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40" w:before="8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ans-serif" w:hAnsi="Times New Roman;sans-serif"/>
          <w:b/>
          <w:color w:val="000000"/>
          <w:sz w:val="20"/>
        </w:rPr>
        <w:t>For the quarterly period ended September 30, 2023</w:t>
      </w:r>
      <w:r>
        <w:rPr>
          <w:color w:val="000000"/>
        </w:rPr>
        <w:t xml:space="preserve">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001-37524</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vTv Therapeutics Inc.</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3980 Premier Dr,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(336) 841-0300</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tbl>
      <w:tblPr>
        <w:tblW w:w="7751"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978"/>
        <w:gridCol w:w="978"/>
        <w:gridCol w:w="1389"/>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November 9, 2023</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1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2023</w:t>
      </w:r>
    </w:p>
    <w:tbl>
      <w:tblPr>
        <w:tblW w:w="10205" w:type="dxa"/>
        <w:jc w:val="left"/>
        <w:tblInd w:w="0" w:type="dxa"/>
        <w:tblLayout w:type="fixed"/>
        <w:tblCellMar>
          <w:top w:w="28" w:type="dxa"/>
          <w:left w:w="28" w:type="dxa"/>
          <w:bottom w:w="28" w:type="dxa"/>
          <w:right w:w="28" w:type="dxa"/>
        </w:tblCellMar>
      </w:tblPr>
      <w:tblGrid>
        <w:gridCol w:w="434"/>
        <w:gridCol w:w="382"/>
        <w:gridCol w:w="382"/>
        <w:gridCol w:w="2868"/>
        <w:gridCol w:w="2630"/>
        <w:gridCol w:w="2650"/>
        <w:gridCol w:w="250"/>
        <w:gridCol w:w="250"/>
        <w:gridCol w:w="359"/>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br/>
              <w:t>NUMBER</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e4f163fa518047cf9584905c5271d2ff_10">
              <w:r>
                <w:rPr>
                  <w:rStyle w:val="InternetLink"/>
                  <w:rFonts w:ascii="Times New Roman;sans-serif" w:hAnsi="Times New Roman;sans-serif"/>
                  <w:b w:val="false"/>
                  <w:color w:val="0000FF"/>
                  <w:sz w:val="20"/>
                  <w:u w:val="single"/>
                </w:rPr>
                <w:t>PART I – FINANCIAL INFORMATION</w:t>
              </w:r>
            </w:hyperlink>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3">
              <w:r>
                <w:rPr>
                  <w:rStyle w:val="InternetLink"/>
                  <w:rFonts w:ascii="Times New Roman;sans-serif" w:hAnsi="Times New Roman;sans-serif"/>
                  <w:b w:val="false"/>
                  <w:strike w:val="false"/>
                  <w:dstrike w:val="false"/>
                  <w:color w:val="000000"/>
                  <w:sz w:val="20"/>
                  <w:u w:val="none"/>
                  <w:effect w:val="none"/>
                </w:rPr>
                <w:t>Item 1.</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e4f163fa518047cf9584905c5271d2ff_13">
              <w:r>
                <w:rPr>
                  <w:rStyle w:val="InternetLink"/>
                  <w:rFonts w:ascii="Times New Roman;sans-serif" w:hAnsi="Times New Roman;sans-serif"/>
                  <w:b w:val="false"/>
                  <w:color w:val="000080"/>
                  <w:sz w:val="20"/>
                  <w:u w:val="single"/>
                </w:rPr>
                <w:t>Condensed Consolidated Balance Sheets as of</w:t>
              </w:r>
            </w:hyperlink>
            <w:hyperlink w:anchor="ie4f163fa518047cf9584905c5271d2ff_13">
              <w:r>
                <w:rPr>
                  <w:rStyle w:val="InternetLink"/>
                  <w:rFonts w:ascii="Times New Roman;sans-serif" w:hAnsi="Times New Roman;sans-serif"/>
                  <w:b w:val="false"/>
                  <w:color w:val="000080"/>
                  <w:sz w:val="20"/>
                  <w:u w:val="single"/>
                </w:rPr>
                <w:t xml:space="preserve"> September</w:t>
              </w:r>
            </w:hyperlink>
            <w:hyperlink w:anchor="ie4f163fa518047cf9584905c5271d2ff_13">
              <w:r>
                <w:rPr>
                  <w:rStyle w:val="InternetLink"/>
                  <w:rFonts w:ascii="Times New Roman;sans-serif" w:hAnsi="Times New Roman;sans-serif"/>
                  <w:b w:val="false"/>
                  <w:color w:val="000080"/>
                  <w:sz w:val="20"/>
                  <w:u w:val="single"/>
                </w:rPr>
                <w:t xml:space="preserve"> 30, 2023 (Unaudited) and December 31, 2022</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3">
              <w:r>
                <w:rPr>
                  <w:rStyle w:val="InternetLink"/>
                  <w:rFonts w:ascii="Times New Roman;sans-serif" w:hAnsi="Times New Roman;sans-serif"/>
                  <w:b w:val="false"/>
                  <w:strike w:val="false"/>
                  <w:dstrike w:val="false"/>
                  <w:color w:val="000000"/>
                  <w:sz w:val="20"/>
                  <w:u w:val="none"/>
                  <w:effect w:val="none"/>
                </w:rPr>
                <w:t>4</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e4f163fa518047cf9584905c5271d2ff_16">
              <w:r>
                <w:rPr>
                  <w:rStyle w:val="InternetLink"/>
                  <w:rFonts w:ascii="Times New Roman;sans-serif" w:hAnsi="Times New Roman;sans-serif"/>
                  <w:b w:val="false"/>
                  <w:color w:val="000080"/>
                  <w:sz w:val="20"/>
                  <w:u w:val="single"/>
                </w:rPr>
                <w:t xml:space="preserve">Unaudited Condensed Consolidated Statements of Operations for the three and </w:t>
              </w:r>
            </w:hyperlink>
            <w:hyperlink w:anchor="ie4f163fa518047cf9584905c5271d2ff_16">
              <w:r>
                <w:rPr>
                  <w:rStyle w:val="InternetLink"/>
                  <w:rFonts w:ascii="Times New Roman;sans-serif" w:hAnsi="Times New Roman;sans-serif"/>
                  <w:b w:val="false"/>
                  <w:color w:val="000080"/>
                  <w:sz w:val="20"/>
                  <w:u w:val="single"/>
                </w:rPr>
                <w:t>nine</w:t>
              </w:r>
            </w:hyperlink>
            <w:hyperlink w:anchor="ie4f163fa518047cf9584905c5271d2ff_16">
              <w:r>
                <w:rPr>
                  <w:rStyle w:val="InternetLink"/>
                  <w:rFonts w:ascii="Times New Roman;sans-serif" w:hAnsi="Times New Roman;sans-serif"/>
                  <w:b w:val="false"/>
                  <w:color w:val="000080"/>
                  <w:sz w:val="20"/>
                  <w:u w:val="single"/>
                </w:rPr>
                <w:t xml:space="preserve"> months ended </w:t>
              </w:r>
            </w:hyperlink>
            <w:hyperlink w:anchor="ie4f163fa518047cf9584905c5271d2ff_16">
              <w:r>
                <w:rPr>
                  <w:rStyle w:val="InternetLink"/>
                  <w:rFonts w:ascii="Times New Roman;sans-serif" w:hAnsi="Times New Roman;sans-serif"/>
                  <w:b w:val="false"/>
                  <w:color w:val="000080"/>
                  <w:sz w:val="20"/>
                  <w:u w:val="single"/>
                </w:rPr>
                <w:t>September</w:t>
              </w:r>
            </w:hyperlink>
            <w:hyperlink w:anchor="ie4f163fa518047cf9584905c5271d2ff_16">
              <w:r>
                <w:rPr>
                  <w:rStyle w:val="InternetLink"/>
                  <w:rFonts w:ascii="Times New Roman;sans-serif" w:hAnsi="Times New Roman;sans-serif"/>
                  <w:b w:val="false"/>
                  <w:color w:val="000080"/>
                  <w:sz w:val="20"/>
                  <w:u w:val="single"/>
                </w:rPr>
                <w:t xml:space="preserve"> 30, 2023 and 2022</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6">
              <w:r>
                <w:rPr>
                  <w:rStyle w:val="InternetLink"/>
                  <w:rFonts w:ascii="Times New Roman;sans-serif" w:hAnsi="Times New Roman;sans-serif"/>
                  <w:b w:val="false"/>
                  <w:strike w:val="false"/>
                  <w:dstrike w:val="false"/>
                  <w:color w:val="000000"/>
                  <w:sz w:val="20"/>
                  <w:u w:val="none"/>
                  <w:effect w:val="none"/>
                </w:rPr>
                <w:t>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e4f163fa518047cf9584905c5271d2ff_19">
              <w:r>
                <w:rPr>
                  <w:rStyle w:val="InternetLink"/>
                  <w:rFonts w:ascii="Times New Roman;sans-serif" w:hAnsi="Times New Roman;sans-serif"/>
                  <w:b w:val="false"/>
                  <w:color w:val="000080"/>
                  <w:sz w:val="20"/>
                  <w:u w:val="single"/>
                </w:rPr>
                <w:t xml:space="preserve">Unaudited Condensed Consolidated Statement of Changes in Redeemable Noncontrolling Interest and Stockholders’ Deficit for the three and </w:t>
              </w:r>
            </w:hyperlink>
            <w:hyperlink w:anchor="ie4f163fa518047cf9584905c5271d2ff_19">
              <w:r>
                <w:rPr>
                  <w:rStyle w:val="InternetLink"/>
                  <w:rFonts w:ascii="Times New Roman;sans-serif" w:hAnsi="Times New Roman;sans-serif"/>
                  <w:b w:val="false"/>
                  <w:color w:val="000080"/>
                  <w:sz w:val="20"/>
                  <w:u w:val="single"/>
                </w:rPr>
                <w:t>nine</w:t>
              </w:r>
            </w:hyperlink>
            <w:hyperlink w:anchor="ie4f163fa518047cf9584905c5271d2ff_19">
              <w:r>
                <w:rPr>
                  <w:rStyle w:val="InternetLink"/>
                  <w:rFonts w:ascii="Times New Roman;sans-serif" w:hAnsi="Times New Roman;sans-serif"/>
                  <w:b w:val="false"/>
                  <w:color w:val="000080"/>
                  <w:sz w:val="20"/>
                  <w:u w:val="single"/>
                </w:rPr>
                <w:t xml:space="preserve"> months ended </w:t>
              </w:r>
            </w:hyperlink>
            <w:hyperlink w:anchor="ie4f163fa518047cf9584905c5271d2ff_19">
              <w:r>
                <w:rPr>
                  <w:rStyle w:val="InternetLink"/>
                  <w:rFonts w:ascii="Times New Roman;sans-serif" w:hAnsi="Times New Roman;sans-serif"/>
                  <w:b w:val="false"/>
                  <w:color w:val="000080"/>
                  <w:sz w:val="20"/>
                  <w:u w:val="single"/>
                </w:rPr>
                <w:t>September</w:t>
              </w:r>
            </w:hyperlink>
            <w:hyperlink w:anchor="ie4f163fa518047cf9584905c5271d2ff_19">
              <w:r>
                <w:rPr>
                  <w:rStyle w:val="InternetLink"/>
                  <w:rFonts w:ascii="Times New Roman;sans-serif" w:hAnsi="Times New Roman;sans-serif"/>
                  <w:b w:val="false"/>
                  <w:color w:val="000080"/>
                  <w:sz w:val="20"/>
                  <w:u w:val="single"/>
                </w:rPr>
                <w:t xml:space="preserve"> 30, 2023 and 2022</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9">
              <w:r>
                <w:rPr>
                  <w:rStyle w:val="InternetLink"/>
                  <w:rFonts w:ascii="Times New Roman;sans-serif" w:hAnsi="Times New Roman;sans-serif"/>
                  <w:b w:val="false"/>
                  <w:strike w:val="false"/>
                  <w:dstrike w:val="false"/>
                  <w:color w:val="000000"/>
                  <w:sz w:val="20"/>
                  <w:u w:val="none"/>
                  <w:effect w:val="none"/>
                </w:rPr>
                <w:t>6</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e4f163fa518047cf9584905c5271d2ff_25">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e4f163fa518047cf9584905c5271d2ff_25">
              <w:r>
                <w:rPr>
                  <w:rStyle w:val="InternetLink"/>
                  <w:rFonts w:ascii="Times New Roman;sans-serif" w:hAnsi="Times New Roman;sans-serif"/>
                  <w:b w:val="false"/>
                  <w:color w:val="000080"/>
                  <w:sz w:val="20"/>
                  <w:u w:val="single"/>
                </w:rPr>
                <w:t>Nine</w:t>
              </w:r>
            </w:hyperlink>
            <w:hyperlink w:anchor="ie4f163fa518047cf9584905c5271d2ff_25">
              <w:r>
                <w:rPr>
                  <w:rStyle w:val="InternetLink"/>
                  <w:rFonts w:ascii="Times New Roman;sans-serif" w:hAnsi="Times New Roman;sans-serif"/>
                  <w:b w:val="false"/>
                  <w:color w:val="000080"/>
                  <w:sz w:val="20"/>
                  <w:u w:val="single"/>
                </w:rPr>
                <w:t xml:space="preserve"> months ended </w:t>
              </w:r>
            </w:hyperlink>
            <w:hyperlink w:anchor="ie4f163fa518047cf9584905c5271d2ff_25">
              <w:r>
                <w:rPr>
                  <w:rStyle w:val="InternetLink"/>
                  <w:rFonts w:ascii="Times New Roman;sans-serif" w:hAnsi="Times New Roman;sans-serif"/>
                  <w:b w:val="false"/>
                  <w:color w:val="000080"/>
                  <w:sz w:val="20"/>
                  <w:u w:val="single"/>
                </w:rPr>
                <w:t>September</w:t>
              </w:r>
            </w:hyperlink>
            <w:hyperlink w:anchor="ie4f163fa518047cf9584905c5271d2ff_25">
              <w:r>
                <w:rPr>
                  <w:rStyle w:val="InternetLink"/>
                  <w:rFonts w:ascii="Times New Roman;sans-serif" w:hAnsi="Times New Roman;sans-serif"/>
                  <w:b w:val="false"/>
                  <w:color w:val="000080"/>
                  <w:sz w:val="20"/>
                  <w:u w:val="single"/>
                </w:rPr>
                <w:t xml:space="preserve"> 30, 2023 and 202</w:t>
              </w:r>
            </w:hyperlink>
            <w:r>
              <w:rPr>
                <w:rFonts w:ascii="Times New Roman;sans-serif" w:hAnsi="Times New Roman;sans-serif"/>
                <w:b w:val="false"/>
                <w:color w:val="000000"/>
                <w:sz w:val="20"/>
              </w:rPr>
              <w:t>2</w:t>
            </w:r>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25">
              <w:r>
                <w:rPr>
                  <w:rStyle w:val="InternetLink"/>
                  <w:rFonts w:ascii="Times New Roman;sans-serif" w:hAnsi="Times New Roman;sans-serif"/>
                  <w:b w:val="false"/>
                  <w:strike w:val="false"/>
                  <w:dstrike w:val="false"/>
                  <w:color w:val="000000"/>
                  <w:sz w:val="20"/>
                  <w:u w:val="none"/>
                  <w:effect w:val="none"/>
                </w:rPr>
                <w:t>8</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28">
              <w:r>
                <w:rPr>
                  <w:rStyle w:val="InternetLink"/>
                  <w:rFonts w:ascii="Times New Roman;sans-serif" w:hAnsi="Times New Roman;sans-serif"/>
                  <w:b w:val="false"/>
                  <w:color w:val="0000FF"/>
                  <w:sz w:val="20"/>
                  <w:u w:val="single"/>
                </w:rPr>
                <w:t>Notes to Unaudited Consolidated Financial Statements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28">
              <w:r>
                <w:rPr>
                  <w:rStyle w:val="InternetLink"/>
                  <w:rFonts w:ascii="Times New Roman;sans-serif" w:hAnsi="Times New Roman;sans-serif"/>
                  <w:b w:val="false"/>
                  <w:strike w:val="false"/>
                  <w:dstrike w:val="false"/>
                  <w:color w:val="000000"/>
                  <w:sz w:val="20"/>
                  <w:u w:val="none"/>
                  <w:effect w:val="none"/>
                </w:rPr>
                <w:t>9</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79">
              <w:r>
                <w:rPr>
                  <w:rStyle w:val="InternetLink"/>
                  <w:rFonts w:ascii="Times New Roman;sans-serif" w:hAnsi="Times New Roman;sans-serif"/>
                  <w:b w:val="false"/>
                  <w:strike w:val="false"/>
                  <w:dstrike w:val="false"/>
                  <w:color w:val="000000"/>
                  <w:sz w:val="20"/>
                  <w:u w:val="none"/>
                  <w:effect w:val="none"/>
                </w:rPr>
                <w:t>Item 2.</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79">
              <w:r>
                <w:rPr>
                  <w:rStyle w:val="InternetLink"/>
                  <w:rFonts w:ascii="Times New Roman;sans-serif" w:hAnsi="Times New Roman;sans-serif"/>
                  <w:b w:val="false"/>
                  <w:strike w:val="false"/>
                  <w:dstrike w:val="false"/>
                  <w:color w:val="000000"/>
                  <w:sz w:val="20"/>
                  <w:u w:val="none"/>
                  <w:effect w:val="none"/>
                </w:rPr>
                <w:t>25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18">
              <w:r>
                <w:rPr>
                  <w:rStyle w:val="InternetLink"/>
                  <w:rFonts w:ascii="Times New Roman;sans-serif" w:hAnsi="Times New Roman;sans-serif"/>
                  <w:b w:val="false"/>
                  <w:strike w:val="false"/>
                  <w:dstrike w:val="false"/>
                  <w:color w:val="000000"/>
                  <w:sz w:val="20"/>
                  <w:u w:val="none"/>
                  <w:effect w:val="none"/>
                </w:rPr>
                <w:t>Item 3.</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18">
              <w:r>
                <w:rPr>
                  <w:rStyle w:val="InternetLink"/>
                  <w:rFonts w:ascii="Times New Roman;sans-serif" w:hAnsi="Times New Roman;sans-serif"/>
                  <w:b w:val="false"/>
                  <w:color w:val="0000FF"/>
                  <w:sz w:val="20"/>
                  <w:u w:val="single"/>
                </w:rPr>
                <w:t>Quantitative and Qualitative Disclosures About Market Risk</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18">
              <w:r>
                <w:rPr>
                  <w:rStyle w:val="InternetLink"/>
                  <w:rFonts w:ascii="Times New Roman;sans-serif" w:hAnsi="Times New Roman;sans-serif"/>
                  <w:b w:val="false"/>
                  <w:strike w:val="false"/>
                  <w:dstrike w:val="false"/>
                  <w:color w:val="000000"/>
                  <w:sz w:val="20"/>
                  <w:u w:val="none"/>
                  <w:effect w:val="none"/>
                </w:rPr>
                <w:t>34</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21">
              <w:r>
                <w:rPr>
                  <w:rStyle w:val="InternetLink"/>
                  <w:rFonts w:ascii="Times New Roman;sans-serif" w:hAnsi="Times New Roman;sans-serif"/>
                  <w:b w:val="false"/>
                  <w:strike w:val="false"/>
                  <w:dstrike w:val="false"/>
                  <w:color w:val="000000"/>
                  <w:sz w:val="20"/>
                  <w:u w:val="none"/>
                  <w:effect w:val="none"/>
                </w:rPr>
                <w:t>Item 4.</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21">
              <w:r>
                <w:rPr>
                  <w:rStyle w:val="InternetLink"/>
                  <w:rFonts w:ascii="Times New Roman;sans-serif" w:hAnsi="Times New Roman;sans-serif"/>
                  <w:b w:val="false"/>
                  <w:color w:val="0000FF"/>
                  <w:sz w:val="20"/>
                  <w:u w:val="single"/>
                </w:rPr>
                <w:t>Controls and Procedures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21">
              <w:r>
                <w:rPr>
                  <w:rStyle w:val="InternetLink"/>
                  <w:rFonts w:ascii="Times New Roman;sans-serif" w:hAnsi="Times New Roman;sans-serif"/>
                  <w:b w:val="false"/>
                  <w:strike w:val="false"/>
                  <w:dstrike w:val="false"/>
                  <w:color w:val="000000"/>
                  <w:sz w:val="20"/>
                  <w:u w:val="none"/>
                  <w:effect w:val="none"/>
                </w:rPr>
                <w:t>34</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6"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e4f163fa518047cf9584905c5271d2ff_124">
              <w:r>
                <w:rPr>
                  <w:rStyle w:val="InternetLink"/>
                  <w:rFonts w:ascii="Times New Roman;sans-serif" w:hAnsi="Times New Roman;sans-serif"/>
                  <w:b w:val="false"/>
                  <w:color w:val="0000FF"/>
                  <w:sz w:val="20"/>
                  <w:u w:val="single"/>
                </w:rPr>
                <w:t xml:space="preserve">PART II – OTHER INFORMATION </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27">
              <w:r>
                <w:rPr>
                  <w:rStyle w:val="InternetLink"/>
                  <w:rFonts w:ascii="Times New Roman;sans-serif" w:hAnsi="Times New Roman;sans-serif"/>
                  <w:b w:val="false"/>
                  <w:strike w:val="false"/>
                  <w:dstrike w:val="false"/>
                  <w:color w:val="000000"/>
                  <w:sz w:val="20"/>
                  <w:u w:val="none"/>
                  <w:effect w:val="none"/>
                </w:rPr>
                <w:t>Item 1.</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27">
              <w:r>
                <w:rPr>
                  <w:rStyle w:val="InternetLink"/>
                  <w:rFonts w:ascii="Times New Roman;sans-serif" w:hAnsi="Times New Roman;sans-serif"/>
                  <w:b w:val="false"/>
                  <w:color w:val="0000FF"/>
                  <w:sz w:val="20"/>
                  <w:u w:val="single"/>
                </w:rPr>
                <w:t>Legal Proceedings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27">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30">
              <w:r>
                <w:rPr>
                  <w:rStyle w:val="InternetLink"/>
                  <w:rFonts w:ascii="Times New Roman;sans-serif" w:hAnsi="Times New Roman;sans-serif"/>
                  <w:b w:val="false"/>
                  <w:strike w:val="false"/>
                  <w:dstrike w:val="false"/>
                  <w:color w:val="000000"/>
                  <w:sz w:val="20"/>
                  <w:u w:val="none"/>
                  <w:effect w:val="none"/>
                </w:rPr>
                <w:t>Item 1A.</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30">
              <w:r>
                <w:rPr>
                  <w:rStyle w:val="InternetLink"/>
                  <w:rFonts w:ascii="Times New Roman;sans-serif" w:hAnsi="Times New Roman;sans-serif"/>
                  <w:b w:val="false"/>
                  <w:color w:val="0000FF"/>
                  <w:sz w:val="20"/>
                  <w:u w:val="single"/>
                </w:rPr>
                <w:t>Risk Factors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30">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33">
              <w:r>
                <w:rPr>
                  <w:rStyle w:val="InternetLink"/>
                  <w:rFonts w:ascii="Times New Roman;sans-serif" w:hAnsi="Times New Roman;sans-serif"/>
                  <w:b w:val="false"/>
                  <w:strike w:val="false"/>
                  <w:dstrike w:val="false"/>
                  <w:color w:val="000000"/>
                  <w:sz w:val="20"/>
                  <w:u w:val="none"/>
                  <w:effect w:val="none"/>
                </w:rPr>
                <w:t>Item 2.</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33">
              <w:r>
                <w:rPr>
                  <w:rStyle w:val="InternetLink"/>
                  <w:rFonts w:ascii="Times New Roman;sans-serif" w:hAnsi="Times New Roman;sans-serif"/>
                  <w:b w:val="false"/>
                  <w:color w:val="0000FF"/>
                  <w:sz w:val="20"/>
                  <w:u w:val="single"/>
                </w:rPr>
                <w:t>Unregistered Sales of Equity Securities and Use of Proceeds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36">
              <w:r>
                <w:rPr>
                  <w:rStyle w:val="InternetLink"/>
                  <w:rFonts w:ascii="Times New Roman;sans-serif" w:hAnsi="Times New Roman;sans-serif"/>
                  <w:b w:val="false"/>
                  <w:strike w:val="false"/>
                  <w:dstrike w:val="false"/>
                  <w:color w:val="000000"/>
                  <w:sz w:val="20"/>
                  <w:u w:val="none"/>
                  <w:effect w:val="none"/>
                </w:rPr>
                <w:t>Item 3.</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36">
              <w:r>
                <w:rPr>
                  <w:rStyle w:val="InternetLink"/>
                  <w:rFonts w:ascii="Times New Roman;sans-serif" w:hAnsi="Times New Roman;sans-serif"/>
                  <w:b w:val="false"/>
                  <w:color w:val="0000FF"/>
                  <w:sz w:val="20"/>
                  <w:u w:val="single"/>
                </w:rPr>
                <w:t>Defaults Upon Senior Securities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39">
              <w:r>
                <w:rPr>
                  <w:rStyle w:val="InternetLink"/>
                  <w:rFonts w:ascii="Times New Roman;sans-serif" w:hAnsi="Times New Roman;sans-serif"/>
                  <w:b w:val="false"/>
                  <w:strike w:val="false"/>
                  <w:dstrike w:val="false"/>
                  <w:color w:val="000000"/>
                  <w:sz w:val="20"/>
                  <w:u w:val="none"/>
                  <w:effect w:val="none"/>
                </w:rPr>
                <w:t>Item 4.</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39">
              <w:r>
                <w:rPr>
                  <w:rStyle w:val="InternetLink"/>
                  <w:rFonts w:ascii="Times New Roman;sans-serif" w:hAnsi="Times New Roman;sans-serif"/>
                  <w:b w:val="false"/>
                  <w:color w:val="0000FF"/>
                  <w:sz w:val="20"/>
                  <w:u w:val="single"/>
                </w:rPr>
                <w:t>Mine Safety Disclosures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42">
              <w:r>
                <w:rPr>
                  <w:rStyle w:val="InternetLink"/>
                  <w:rFonts w:ascii="Times New Roman;sans-serif" w:hAnsi="Times New Roman;sans-serif"/>
                  <w:b w:val="false"/>
                  <w:strike w:val="false"/>
                  <w:dstrike w:val="false"/>
                  <w:color w:val="000000"/>
                  <w:sz w:val="20"/>
                  <w:u w:val="none"/>
                  <w:effect w:val="none"/>
                </w:rPr>
                <w:t>Item 5.</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42">
              <w:r>
                <w:rPr>
                  <w:rStyle w:val="InternetLink"/>
                  <w:rFonts w:ascii="Times New Roman;sans-serif" w:hAnsi="Times New Roman;sans-serif"/>
                  <w:b w:val="false"/>
                  <w:color w:val="0000FF"/>
                  <w:sz w:val="20"/>
                  <w:u w:val="single"/>
                </w:rPr>
                <w:t>Other Information</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42">
              <w:r>
                <w:rPr>
                  <w:rStyle w:val="InternetLink"/>
                  <w:rFonts w:ascii="Times New Roman;sans-serif" w:hAnsi="Times New Roman;sans-serif"/>
                  <w:b w:val="false"/>
                  <w:strike w:val="false"/>
                  <w:dstrike w:val="false"/>
                  <w:color w:val="000000"/>
                  <w:sz w:val="20"/>
                  <w:u w:val="none"/>
                  <w:effect w:val="none"/>
                </w:rPr>
                <w:t>35</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4f163fa518047cf9584905c5271d2ff_145">
              <w:r>
                <w:rPr>
                  <w:rStyle w:val="InternetLink"/>
                  <w:rFonts w:ascii="Times New Roman;sans-serif" w:hAnsi="Times New Roman;sans-serif"/>
                  <w:b w:val="false"/>
                  <w:strike w:val="false"/>
                  <w:dstrike w:val="false"/>
                  <w:color w:val="000000"/>
                  <w:sz w:val="20"/>
                  <w:u w:val="none"/>
                  <w:effect w:val="none"/>
                </w:rPr>
                <w:t>Item 6.</w:t>
              </w:r>
            </w:hyperlink>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45">
              <w:r>
                <w:rPr>
                  <w:rStyle w:val="InternetLink"/>
                  <w:rFonts w:ascii="Times New Roman;sans-serif" w:hAnsi="Times New Roman;sans-serif"/>
                  <w:b w:val="false"/>
                  <w:color w:val="0000FF"/>
                  <w:sz w:val="20"/>
                  <w:u w:val="single"/>
                </w:rPr>
                <w:t>Exhibits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45">
              <w:r>
                <w:rPr>
                  <w:rStyle w:val="InternetLink"/>
                  <w:rFonts w:ascii="Times New Roman;sans-serif" w:hAnsi="Times New Roman;sans-serif"/>
                  <w:b w:val="false"/>
                  <w:strike w:val="false"/>
                  <w:dstrike w:val="false"/>
                  <w:color w:val="000000"/>
                  <w:sz w:val="20"/>
                  <w:u w:val="none"/>
                  <w:effect w:val="none"/>
                </w:rPr>
                <w:t>36</w:t>
              </w:r>
            </w:hyperlink>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e4f163fa518047cf9584905c5271d2ff_148">
              <w:r>
                <w:rPr>
                  <w:rStyle w:val="InternetLink"/>
                  <w:rFonts w:ascii="Times New Roman;sans-serif" w:hAnsi="Times New Roman;sans-serif"/>
                  <w:b w:val="false"/>
                  <w:color w:val="0000FF"/>
                  <w:sz w:val="20"/>
                  <w:u w:val="single"/>
                </w:rPr>
                <w:t>Signatures</w:t>
              </w:r>
            </w:hyperlink>
          </w:p>
        </w:tc>
        <w:tc>
          <w:tcPr>
            <w:tcW w:w="859"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4f163fa518047cf9584905c5271d2ff_148">
              <w:r>
                <w:rPr>
                  <w:rStyle w:val="InternetLink"/>
                  <w:rFonts w:ascii="Times New Roman;sans-serif" w:hAnsi="Times New Roman;sans-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896"/>
        <w:gridCol w:w="2397"/>
        <w:gridCol w:w="2371"/>
        <w:gridCol w:w="222"/>
        <w:gridCol w:w="759"/>
        <w:gridCol w:w="114"/>
        <w:gridCol w:w="109"/>
        <w:gridCol w:w="109"/>
        <w:gridCol w:w="109"/>
        <w:gridCol w:w="216"/>
        <w:gridCol w:w="741"/>
        <w:gridCol w:w="162"/>
      </w:tblGrid>
      <w:tr>
        <w:trPr/>
        <w:tc>
          <w:tcPr>
            <w:tcW w:w="2896"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5"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G42 Promissory Note receivable</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12,243 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Deficit</w:t>
            </w:r>
          </w:p>
        </w:tc>
        <w:tc>
          <w:tcPr>
            <w:tcW w:w="1095" w:type="dxa"/>
            <w:gridSpan w:val="3"/>
            <w:tcBorders>
              <w:top w:val="doub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payable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10,275 </w:t>
            </w:r>
          </w:p>
        </w:tc>
        <w:tc>
          <w:tcPr>
            <w:tcW w:w="11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6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29,435 </w:t>
            </w:r>
          </w:p>
        </w:tc>
        <w:tc>
          <w:tcPr>
            <w:tcW w:w="11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27,399 </w:t>
            </w:r>
          </w:p>
        </w:tc>
        <w:tc>
          <w:tcPr>
            <w:tcW w:w="16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200,000,000 shares authorized, 81,483,600 shares outstanding as of September 30, 2023 and December 31, 2022</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100,000,000 shares authorized, and 23,093,860 outstanding as of September 30, 2023 and December 31, 2022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254,912 </w:t>
            </w:r>
          </w:p>
        </w:tc>
        <w:tc>
          <w:tcPr>
            <w:tcW w:w="11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253,737 </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attributable to vTv Therapeutics Inc.</w:t>
            </w:r>
          </w:p>
        </w:tc>
        <w:tc>
          <w:tcPr>
            <w:tcW w:w="9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(25,233)</w:t>
            </w:r>
          </w:p>
        </w:tc>
        <w:tc>
          <w:tcPr>
            <w:tcW w:w="11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16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noncontrolling interest and stockholders’ deficit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1733"/>
        <w:gridCol w:w="1337"/>
        <w:gridCol w:w="1348"/>
        <w:gridCol w:w="270"/>
        <w:gridCol w:w="811"/>
        <w:gridCol w:w="109"/>
        <w:gridCol w:w="109"/>
        <w:gridCol w:w="109"/>
        <w:gridCol w:w="109"/>
        <w:gridCol w:w="270"/>
        <w:gridCol w:w="811"/>
        <w:gridCol w:w="109"/>
        <w:gridCol w:w="109"/>
        <w:gridCol w:w="109"/>
        <w:gridCol w:w="109"/>
        <w:gridCol w:w="240"/>
        <w:gridCol w:w="841"/>
        <w:gridCol w:w="109"/>
        <w:gridCol w:w="109"/>
        <w:gridCol w:w="109"/>
        <w:gridCol w:w="109"/>
        <w:gridCol w:w="240"/>
        <w:gridCol w:w="841"/>
        <w:gridCol w:w="155"/>
      </w:tblGrid>
      <w:tr>
        <w:trPr/>
        <w:tc>
          <w:tcPr>
            <w:tcW w:w="17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18,206 </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 related party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(18,783)</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w:t>
            </w:r>
          </w:p>
        </w:tc>
        <w:tc>
          <w:tcPr>
            <w:tcW w:w="15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7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55"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vTv Therapeutics Inc. Class A common stock,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80,490,121 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72,649,531 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p>
      <w:pPr>
        <w:pStyle w:val="TextBody"/>
        <w:bidi w:val="0"/>
        <w:spacing w:before="120" w:after="283"/>
        <w:jc w:val="center"/>
        <w:rPr/>
      </w:pPr>
      <w:r>
        <w:rPr/>
      </w:r>
    </w:p>
    <w:tbl>
      <w:tblPr>
        <w:tblW w:w="10832" w:type="dxa"/>
        <w:jc w:val="left"/>
        <w:tblInd w:w="0" w:type="dxa"/>
        <w:tblLayout w:type="fixed"/>
        <w:tblCellMar>
          <w:top w:w="28" w:type="dxa"/>
          <w:left w:w="28" w:type="dxa"/>
          <w:bottom w:w="28" w:type="dxa"/>
          <w:right w:w="28" w:type="dxa"/>
        </w:tblCellMar>
      </w:tblPr>
      <w:tblGrid>
        <w:gridCol w:w="584"/>
        <w:gridCol w:w="210"/>
        <w:gridCol w:w="212"/>
        <w:gridCol w:w="214"/>
        <w:gridCol w:w="677"/>
        <w:gridCol w:w="130"/>
        <w:gridCol w:w="109"/>
        <w:gridCol w:w="109"/>
        <w:gridCol w:w="109"/>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8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September 30, 2023</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June 30, 2023</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18,879</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254,479</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(280,809)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(25,283)</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433 </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September 30, 2023</w:t>
            </w:r>
          </w:p>
        </w:tc>
        <w:tc>
          <w:tcPr>
            <w:tcW w:w="2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10,722</w:t>
            </w:r>
            <w:r>
              <w:rPr>
                <w:color w:val="000000"/>
              </w:rPr>
              <w:t>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254,912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(281,192)</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(25,233)</w:t>
            </w:r>
          </w:p>
        </w:tc>
        <w:tc>
          <w:tcPr>
            <w:tcW w:w="1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tbl>
      <w:tblPr>
        <w:tblW w:w="11930" w:type="dxa"/>
        <w:jc w:val="left"/>
        <w:tblInd w:w="0" w:type="dxa"/>
        <w:tblLayout w:type="fixed"/>
        <w:tblCellMar>
          <w:top w:w="28" w:type="dxa"/>
          <w:left w:w="28" w:type="dxa"/>
          <w:bottom w:w="28" w:type="dxa"/>
          <w:right w:w="28" w:type="dxa"/>
        </w:tblCellMar>
      </w:tblPr>
      <w:tblGrid>
        <w:gridCol w:w="584"/>
        <w:gridCol w:w="210"/>
        <w:gridCol w:w="212"/>
        <w:gridCol w:w="214"/>
        <w:gridCol w:w="677"/>
        <w:gridCol w:w="130"/>
        <w:gridCol w:w="109"/>
        <w:gridCol w:w="109"/>
        <w:gridCol w:w="109"/>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48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930"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September 30, 2022</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 Receivable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June 30, 2022</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15,916</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77,329,051</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773</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243,772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(253,303)</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(8,526)</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338 </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under CinRx purchase agreement, net of offering costs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4,154,549 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9,498 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(9,498)</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(9,498)</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September 30, 2022</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24,207</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253,446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(267,062)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(16,569)</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tbl>
      <w:tblPr>
        <w:tblW w:w="10832" w:type="dxa"/>
        <w:jc w:val="left"/>
        <w:tblInd w:w="0" w:type="dxa"/>
        <w:tblLayout w:type="fixed"/>
        <w:tblCellMar>
          <w:top w:w="28" w:type="dxa"/>
          <w:left w:w="28" w:type="dxa"/>
          <w:bottom w:w="28" w:type="dxa"/>
          <w:right w:w="28" w:type="dxa"/>
        </w:tblCellMar>
      </w:tblPr>
      <w:tblGrid>
        <w:gridCol w:w="565"/>
        <w:gridCol w:w="220"/>
        <w:gridCol w:w="221"/>
        <w:gridCol w:w="214"/>
        <w:gridCol w:w="677"/>
        <w:gridCol w:w="130"/>
        <w:gridCol w:w="109"/>
        <w:gridCol w:w="109"/>
        <w:gridCol w:w="109"/>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8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 September 30, 2023</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Stockholders' Deficit </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2022</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16,579</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253,737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(265,524)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(10,740)</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1,175 </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September 30, 2023</w:t>
            </w:r>
          </w:p>
        </w:tc>
        <w:tc>
          <w:tcPr>
            <w:tcW w:w="2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10,722</w:t>
            </w:r>
            <w:r>
              <w:rPr>
                <w:color w:val="000000"/>
              </w:rPr>
              <w:t>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254,912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(281,192)</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(25,233)</w:t>
            </w:r>
          </w:p>
        </w:tc>
        <w:tc>
          <w:tcPr>
            <w:tcW w:w="1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603" w:type="dxa"/>
        <w:jc w:val="left"/>
        <w:tblInd w:w="0" w:type="dxa"/>
        <w:tblLayout w:type="fixed"/>
        <w:tblCellMar>
          <w:top w:w="28" w:type="dxa"/>
          <w:left w:w="28" w:type="dxa"/>
          <w:bottom w:w="28" w:type="dxa"/>
          <w:right w:w="28" w:type="dxa"/>
        </w:tblCellMar>
      </w:tblPr>
      <w:tblGrid>
        <w:gridCol w:w="565"/>
        <w:gridCol w:w="220"/>
        <w:gridCol w:w="221"/>
        <w:gridCol w:w="214"/>
        <w:gridCol w:w="677"/>
        <w:gridCol w:w="130"/>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48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603"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 September 30, 2022</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 Receivable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Stockholders' Deficit </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2021</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24,962</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66,942,777</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238,193</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(248,834)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(9,740)</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981 </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to collaboration partner, net of offering costs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10,386,274 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under CinRx purchase agreement, net of offering costs</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4,154,549 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5,378 </w:t>
            </w:r>
          </w:p>
        </w:tc>
        <w:tc>
          <w:tcPr>
            <w:tcW w:w="169"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September 30, 2022</w:t>
            </w:r>
          </w:p>
        </w:tc>
        <w:tc>
          <w:tcPr>
            <w:tcW w:w="2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24,207</w:t>
            </w:r>
            <w:r>
              <w:rPr>
                <w:color w:val="000000"/>
              </w:rPr>
              <w:t>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(4,000)</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253,446</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(267,062)</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(16,569)</w:t>
            </w:r>
          </w:p>
        </w:tc>
        <w:tc>
          <w:tcPr>
            <w:tcW w:w="1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19"/>
        <w:gridCol w:w="2293"/>
        <w:gridCol w:w="2308"/>
        <w:gridCol w:w="236"/>
        <w:gridCol w:w="875"/>
        <w:gridCol w:w="121"/>
        <w:gridCol w:w="121"/>
        <w:gridCol w:w="121"/>
        <w:gridCol w:w="121"/>
        <w:gridCol w:w="236"/>
        <w:gridCol w:w="875"/>
        <w:gridCol w:w="179"/>
      </w:tblGrid>
      <w:tr>
        <w:trPr/>
        <w:tc>
          <w:tcPr>
            <w:tcW w:w="271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2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32"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23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w:t>
            </w:r>
          </w:p>
        </w:tc>
        <w:tc>
          <w:tcPr>
            <w:tcW w:w="179"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before noncontrolling interest to net cash used in operating activities: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G42 Promissory Note early redemption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income </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investments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investments in Anteris Bio, Inc.</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related party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3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3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32"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G42 Promissory Note early redemption related to sale of Class A common stock to collaboration partner</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Class A common stock to collaboration partner, net of offering costs</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Class A common stock and warrants, net of offering costs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 issuance</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payable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7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7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beginning of period</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13,415 </w:t>
            </w:r>
          </w:p>
        </w:tc>
        <w:tc>
          <w:tcPr>
            <w:tcW w:w="179"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end of period</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activities:</w:t>
            </w:r>
          </w:p>
        </w:tc>
        <w:tc>
          <w:tcPr>
            <w:tcW w:w="1232"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noncontrolling interest</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recorded at fair value from collaboration partner</w:t>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11,891 </w:t>
            </w:r>
          </w:p>
        </w:tc>
        <w:tc>
          <w:tcPr>
            <w:tcW w:w="17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for common stock from CinRx purchase agreement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Basis of Presentation and Going Concern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(the “Company,” the “Registrant,” “we” or “us”) was incorporated in the state of Delaware in April 2015. The Company is a clinical stage pharmaceutical company focused on treating metabolic and inflammatory diseases to minimize their long-term complications and improve the lives of patients.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Various holders own nonvoting interests in vTv LLC, representing a 22.1% economic interest in vTv LLC, effectively restricting vTv Therapeutics Inc.’s interest to 77.9%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In addition, vTv Therapeutics Inc. also entered into the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(“Cantor Fitzgerald”) (the “ATM Offering”), the purchase agreement with Lincoln Park Capital Fund, LLC (“Lincoln Park”) (the “LPC Purchase Agreement”), the common stock purchase agreement with G42 Investments AI Holding RSC Ltd (“G42 Investments”) (the “G42 Purchase Agreement”) and the common stock and warrant purchase agreement with CinPax, LLC and CinRx, LLC, respectively (the “CinRx Purchase Agreement”). v</w:t>
      </w:r>
      <w:r>
        <w:rPr>
          <w:rFonts w:ascii="Times New Roman;sans-serif" w:hAnsi="Times New Roman;sans-serif"/>
          <w:b w:val="false"/>
          <w:color w:val="000000"/>
          <w:sz w:val="20"/>
          <w:shd w:fill="FFFFFF" w:val="clear"/>
        </w:rPr>
        <w:t xml:space="preserve">Tv Therapeutics Inc. will not be required to provide financial or other support for vTv LLC. </w:t>
      </w:r>
      <w:r>
        <w:rPr>
          <w:rFonts w:ascii="Times New Roman;sans-serif" w:hAnsi="Times New Roman;sans-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Going Concern and 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September 30, 2023,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2023, the Company had an accumulated deficit of $281.2 million and has generated net losses in each year of its existence.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Company’s liquidity sources included cash and cash equivalents of $8.2 million. Based on our current operating plan, we believe that our current cash and cash equivalents will allow us to meet our liquidity requirements into the first quarter of 2024. To meet our future funding requirements into the third quarter of 2024,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funding the ongoing and future clinical trials of </w:t>
      </w:r>
      <w:r>
        <w:rPr>
          <w:rFonts w:ascii="Times New Roman;sans-serif" w:hAnsi="Times New Roman;sans-serif"/>
          <w:b w:val="false"/>
          <w:i/>
          <w:color w:val="000000"/>
          <w:sz w:val="20"/>
        </w:rPr>
        <w:t xml:space="preserve">cadisegliatin </w:t>
      </w:r>
      <w:r>
        <w:rPr>
          <w:rFonts w:ascii="Times New Roman;sans-serif" w:hAnsi="Times New Roman;sans-serif"/>
          <w:b w:val="false"/>
          <w:color w:val="000000"/>
          <w:sz w:val="20"/>
        </w:rPr>
        <w:t>(</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we are evaluating several financing strategies, including direct equity investments and the potential licensing and monetization of other Company programs.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may also use its remaining availability of $37.3 million under its Sales Agreement with Cantor Fitzgerald pursuant to which the Company may offer and sell, from time to time shares of the Company’s Class A common stock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9 for further details.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If we are unable to raise additional capital as and when needed, or upon acceptable terms, such failure would have a significant negative </w:t>
      </w:r>
      <w:r>
        <w:rPr>
          <w:rFonts w:ascii="Times New Roman;sans-serif" w:hAnsi="Times New Roman;sans-serif"/>
          <w:b w:val="false"/>
          <w:color w:val="000000"/>
          <w:sz w:val="20"/>
        </w:rPr>
        <w:t>impact on our financial condition. As such, these conditions raise substantial doubt about the Company’s ability to continue as a going concern.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Company’s financial statements have been prepared assuming the Company will continue as a going concern, which contemplates, among other things, the realization of assets and satisfaction of liabilities in the normal course of business. The</w:t>
      </w:r>
      <w:r>
        <w:rPr>
          <w:color w:val="000000"/>
          <w:shd w:fill="FFFFFF" w:val="clear"/>
        </w:rPr>
        <w:t xml:space="preserve"> </w:t>
      </w:r>
      <w:r>
        <w:rPr>
          <w:rFonts w:ascii="Times New Roman;sans-serif" w:hAnsi="Times New Roman;sans-serif"/>
          <w:b w:val="false"/>
          <w:color w:val="000000"/>
          <w:sz w:val="20"/>
          <w:shd w:fill="FFFFFF" w:val="clear"/>
        </w:rPr>
        <w:t>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accordance with accounting principles generally accepted in the United States of America (“GAAP”). The accompanying Condensed Consolidated Balance Sheet as of September 30, 2023, Condensed Consolidated Statements of Operations for the three and nine months ended September 30, 2023 and 2022, Condensed Consolidated Statement of Changes in Redeemable Noncontrolling Interest and Stockholders’ Deficit for the three and nine months ended September 30, 2023 and 2022 and Condensed Consolidated Statements of Cash Flows for the nine months ended September 30, 2023 and 2022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2022,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2023, the results of operations for the three and nine months ended September 30, 2023 and 2022 and cash flows for the nine months ended September 30, 2023 and 2022. The December 31, 2022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to the financial statements related to the three and nine months ended September 30, 2023 and 2022 are unaudited. Interim results are not necessarily indicative of results for an entire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concentrations of credit risk consist principally of cash on deposit with one financial institution. The balance of the cash account frequently exceed insured limits. The associated risk of concentration for cash and cash equivalents is mitigated by transferring a majority of our cash to a AAA rated money market account with a creditworthy institution.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hundred percent (100%) of the revenue earned during the nine months ended September 30, 2022 was attributable from the satisfaction of a development milestone from the First Huadong Amendment (as defined herein). The Company did not have any revenue during the three months ended September 30, 2022. The Company did not have any revenue during the three and nine months ended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any highly liquid investments with an original maturity of three months or less to be cash and cash equivalents.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uses the revenue recognition guidance established by ASC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(“ASC 606”). When an agreement falls under the scope of other standards, such as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The Company will recognize collaboration revenue under ASC 808 as a stand-ready obligation under ASC 606 over time based on the estimated period of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components of research and development costs include cash compensation, depreciation expense on research and development property and equipment, costs of preclinical studies, clinical trials and related clinical manufacturing,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nonrefundable advance payments it makes for future research and development activities as prepaid expenses. Prepaid expenses are recognized as expenses in the Condensed Consolidated Statements of Operations as the Company receives the related goods or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that are reimbursed under a cost-sharing arrangement are reflected as a reduction of research and development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Fair Value Measurements:</w:t>
      </w:r>
      <w:r>
        <w:rPr>
          <w:color w:val="000000"/>
        </w:rPr>
        <w:t xml:space="preserve"> </w:t>
      </w:r>
      <w:r>
        <w:rPr>
          <w:rFonts w:ascii="Times New Roman;sans-serif" w:hAnsi="Times New Roman;sans-serif"/>
          <w:b w:val="false"/>
          <w:color w:val="000000"/>
          <w:sz w:val="20"/>
        </w:rPr>
        <w:t xml:space="preserve">In June 2022, the Financial Accounting Standards Board (FASB) issued Accounting Standards Update (ASU) No. 2022-03 </w:t>
      </w:r>
      <w:r>
        <w:rPr>
          <w:rFonts w:ascii="Times New Roman;sans-serif" w:hAnsi="Times New Roman;sans-serif"/>
          <w:b w:val="false"/>
          <w:i/>
          <w:color w:val="000000"/>
          <w:sz w:val="20"/>
        </w:rPr>
        <w:t>Fair Value Measurements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Condensed Consolidated Financial Statements.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3: Collaboration Agreements</w:t>
      </w:r>
    </w:p>
    <w:p>
      <w:pPr>
        <w:pStyle w:val="TextBody"/>
        <w:bidi w:val="0"/>
        <w:spacing w:lineRule="auto" w:line="288" w:before="12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G42 Purchase Agreement and Cogna Collaborative and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G42 Investments AI Holding RSC Ltd, a private limited company (“G42 Investments”), entered into a Common Stock Purchase Agreement (the “G42 Purchase Agreement”) on May 31, 2022,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at May 31, 2023 (the “G42 Promissory Note”). As part of the G42 Purchase Agreement, G42 Investments nominated a director as appointee and the Company’s board of directors approved appointing the new director to the Company’s board.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 in the Company’s Condensed Consolidated Statements of Operations.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sans-serif" w:hAnsi="Times New Roman;sans-serif"/>
          <w:b w:val="false"/>
          <w:i/>
          <w:color w:val="000000"/>
          <w:sz w:val="20"/>
        </w:rPr>
        <w:t xml:space="preserve">cadisegliatin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as well as jointly creating a global development plan to develop, market, and commercialize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w:t>
      </w:r>
      <w:r>
        <w:rPr>
          <w:rFonts w:ascii="Times New Roman;sans-serif" w:hAnsi="Times New Roman;sans-serif"/>
          <w:b w:val="false"/>
          <w:i/>
          <w:color w:val="000000"/>
          <w:sz w:val="20"/>
        </w:rPr>
        <w:t xml:space="preserve">e cadisegliatin (TTP399) </w:t>
      </w:r>
      <w:r>
        <w:rPr>
          <w:rFonts w:ascii="Times New Roman;sans-serif" w:hAnsi="Times New Roman;sans-serif"/>
          <w:b w:val="false"/>
          <w:color w:val="000000"/>
          <w:sz w:val="20"/>
        </w:rPr>
        <w:t xml:space="preserve">in the Partner Territory, but will not have access to the various intellectual property (“IP”) related to the license and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xml:space="preserve">. Specifically, the Company will share various protocols with Cogna related to conducting the clinical trials and will provide the patient dosages and placebo of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 xml:space="preserve">needed to conduct the trials.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Under the Cogna Agreement, Cogna has the right to develop and commercialize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sans-serif" w:hAnsi="Times New Roman;sans-serif"/>
          <w:b w:val="false"/>
          <w:i/>
          <w:color w:val="000000"/>
          <w:sz w:val="20"/>
        </w:rPr>
        <w:t>cadisegliatin (TTP399)</w:t>
      </w:r>
      <w:r>
        <w:rPr>
          <w:color w:val="000000"/>
          <w:shd w:fill="FFFFFF" w:val="clear"/>
        </w:rPr>
        <w:t xml:space="preserve"> </w:t>
      </w:r>
      <w:r>
        <w:rPr>
          <w:rFonts w:ascii="Times New Roman;sans-serif" w:hAnsi="Times New Roman;sans-serif"/>
          <w:b w:val="false"/>
          <w:color w:val="000000"/>
          <w:sz w:val="20"/>
          <w:shd w:fill="FFFFFF" w:val="clear"/>
        </w:rPr>
        <w:t>for commercial sale under terms to be agreed upon by the parties at a later date.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Separately, the Company will conduct its clinical trials for </w:t>
      </w:r>
      <w:r>
        <w:rPr>
          <w:rFonts w:ascii="Times New Roman;sans-serif" w:hAnsi="Times New Roman;sans-serif"/>
          <w:b w:val="false"/>
          <w:i/>
          <w:color w:val="000000"/>
          <w:sz w:val="20"/>
          <w:shd w:fill="FFFFFF" w:val="clear"/>
        </w:rPr>
        <w:t>cadisegliatin (TTP399)</w:t>
      </w:r>
      <w:r>
        <w:rPr>
          <w:color w:val="000000"/>
          <w:shd w:fill="FFFFFF" w:val="clear"/>
        </w:rPr>
        <w:t xml:space="preserve"> </w:t>
      </w:r>
      <w:r>
        <w:rPr>
          <w:rFonts w:ascii="Times New Roman;sans-serif" w:hAnsi="Times New Roman;sans-serif"/>
          <w:b w:val="false"/>
          <w:color w:val="000000"/>
          <w:sz w:val="20"/>
          <w:shd w:fill="FFFFFF" w:val="clear"/>
        </w:rPr>
        <w:t xml:space="preserve">outside of the Partner Territory at its own cost. The results of each party’s clinical trials will be combined by the Company to seek FDA approval in the United States for </w:t>
      </w:r>
      <w:r>
        <w:rPr>
          <w:rFonts w:ascii="Times New Roman;sans-serif" w:hAnsi="Times New Roman;sans-serif"/>
          <w:b w:val="false"/>
          <w:i/>
          <w:color w:val="000000"/>
          <w:sz w:val="20"/>
          <w:shd w:fill="FFFFFF" w:val="clear"/>
        </w:rPr>
        <w:t>cadisegliatin (TTP399)</w:t>
      </w:r>
      <w:r>
        <w:rPr>
          <w:rFonts w:ascii="Times New Roman;sans-serif" w:hAnsi="Times New Roman;sans-serif"/>
          <w:b w:val="false"/>
          <w:color w:val="000000"/>
          <w:sz w:val="20"/>
          <w:shd w:fill="FFFFFF" w:val="clear"/>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G42 Purchase Agreement also provides for, following the receipt of FDA approval of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FDA approval and subject to certain limitations and conditions set forth in the G42 Purchase Agreement. There can be no assurance that the FDA approval will be granted or as to the timing thereof.</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Once commercialization takes place in the Partner Territory, the Company will receive royalties in the single digits from Cogna on the net sales of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for a period of at least ten years after the first commercial sale of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in the Partner Territory.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quarterly report on Form 10-Q for details of the ASU. Accordingly, the Company determined that cash consideration of $5.7 million should be recorded as fair value of the Class A common stock at the effective date, utilizing the Class A common stock closing price of $0.55 at the effective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determined that certain commitments under the agreements are in the scope of ASC 808 as both the Company and Cogna are active participants in the clinical trials of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September 30, 2023, the clinical trials had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commenced. Accordingly, no collaboration revenue was recognized for the ASC 808 unit of account during the three and nine months ended September 30, 2023.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and nine months ended September 30, 2023.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February 28, 2023, the Company and G42 Investments amended the G42 Purchase Agreement and modified the G42 Promissory Note to accelerate the payment due under the note. Pursuant to the amendment, on February 28, 2023, the Company receive</w:t>
      </w:r>
      <w:r>
        <w:rPr>
          <w:rFonts w:ascii="Times New Roman;sans-serif" w:hAnsi="Times New Roman;sans-serif"/>
          <w:b w:val="false"/>
          <w:color w:val="000000"/>
          <w:sz w:val="20"/>
          <w:shd w:fill="FFFFFF" w:val="clear"/>
        </w:rPr>
        <w:t xml:space="preserve">d $12.0 million, which reflected the original amount due under the G42 Promissory Note less a 3.75% discount, in full satisfaction of the note, </w:t>
      </w:r>
      <w:r>
        <w:rPr>
          <w:rFonts w:ascii="Times New Roman;sans-serif" w:hAnsi="Times New Roman;sans-serif"/>
          <w:b w:val="false"/>
          <w:color w:val="000000"/>
          <w:sz w:val="20"/>
        </w:rPr>
        <w:t xml:space="preserve">resulting in a loss of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and was recognized as a component of other income/(expense) in the Company’s Condensed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 xml:space="preserve">The G42 Promissory Note receivable was classified and accounted for under ASC 310 </w:t>
      </w:r>
      <w:r>
        <w:rPr>
          <w:rFonts w:ascii="Times New Roman;sans-serif" w:hAnsi="Times New Roman;sans-serif"/>
          <w:b w:val="false"/>
          <w:i/>
          <w:color w:val="000000"/>
          <w:sz w:val="20"/>
          <w:shd w:fill="FFFFFF" w:val="clear"/>
        </w:rPr>
        <w:t xml:space="preserve">Receivables </w:t>
      </w:r>
      <w:r>
        <w:rPr>
          <w:rFonts w:ascii="Times New Roman;sans-serif" w:hAnsi="Times New Roman;sans-serif"/>
          <w:b w:val="false"/>
          <w:color w:val="000000"/>
          <w:sz w:val="20"/>
          <w:shd w:fill="FFFFFF" w:val="clear"/>
        </w:rPr>
        <w:t xml:space="preserve">(“ASC 310”) and was initially measured at its fair value of $11.9 million. </w:t>
      </w:r>
      <w:r>
        <w:rPr>
          <w:rFonts w:ascii="Times New Roman;sans-serif" w:hAnsi="Times New Roman;sans-serif"/>
          <w:b w:val="false"/>
          <w:color w:val="000000"/>
          <w:sz w:val="20"/>
        </w:rPr>
        <w:t xml:space="preserve">The Company also recorded the $18.7 million as deferred revenue in the Condensed Consolidated Balance Sheets, as none of the underlying performance obligations had been satisfied as of and for the three and nine months ended September 30, 2023. </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Huadong License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w:t>
      </w:r>
      <w:r>
        <w:rPr>
          <w:color w:val="000000"/>
          <w:shd w:fill="FFFFFF" w:val="clear"/>
        </w:rPr>
        <w:t xml:space="preserve"> </w:t>
      </w:r>
      <w:r>
        <w:rPr>
          <w:rFonts w:ascii="Times New Roman;sans-serif" w:hAnsi="Times New Roman;sans-serif"/>
          <w:b w:val="false"/>
          <w:i/>
          <w:color w:val="000000"/>
          <w:sz w:val="20"/>
          <w:shd w:fill="FFFFFF" w:val="clear"/>
        </w:rPr>
        <w:t>TTP273</w:t>
      </w:r>
      <w:r>
        <w:rPr>
          <w:rFonts w:ascii="Times New Roman;sans-serif" w:hAnsi="Times New Roman;sans-serif"/>
          <w:b w:val="false"/>
          <w:color w:val="000000"/>
          <w:sz w:val="20"/>
          <w:shd w:fill="FFFFFF" w:val="clear"/>
        </w:rPr>
        <w:t xml:space="preserve">,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14, 2021, the Company entered into the first amendment to the Huadong License Agreement (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immaterial in nature.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In the first quarter of 2022, the transaction price for this performance obligation was increased by $2.0 million due to the satisfaction of a development milestone under the license agreement. This amount was fully recognized as revenue during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September 30, 2022 as the related performance obligation was fully satisfied. No revenue related to this combined performance obligation was recognized during the nine months ended September 30, 2023.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 portion of the transaction price allocated to the obligation to participate in the JDC to oversee the development of products and the Phase 2 MRCT in accordance with the development plan remained deferred as of September 30, 2023, and revenue will be recognized using the proportional performance model over the period of the Company’s participation on the JDC. The unrecognized amount of the transaction price allocated to this performance obligation as of September 30, 2023 was immaterial. </w:t>
      </w:r>
      <w:r>
        <w:rPr>
          <w:rFonts w:ascii="Times New Roman;sans-serif" w:hAnsi="Times New Roman;sans-serif"/>
          <w:b w:val="false"/>
          <w:color w:val="000000"/>
          <w:sz w:val="20"/>
        </w:rPr>
        <w:t xml:space="preserve">An immaterial amount of revenue for this performance obligation was recognized during the nine months ended September 30, 2022. </w:t>
      </w:r>
      <w:r>
        <w:rPr>
          <w:rFonts w:ascii="Times New Roman;sans-serif" w:hAnsi="Times New Roman;sans-serif"/>
          <w:b w:val="false"/>
          <w:color w:val="000000"/>
          <w:sz w:val="20"/>
          <w:shd w:fill="FFFFFF" w:val="clear"/>
        </w:rPr>
        <w:t>No revenue for this performance obligation has been recognized during the nine months ended September 30,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Anteris License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December 11, 2020, the Company entered into a license agreement with Anteris Bio, Inc. (“Anteris”) (the “Anteris License Agreement”), under which Anteris obtained a worldwide, exclusive and sublicensable license to develop and commercialize the Company’s Nrf2 activator, </w:t>
      </w:r>
      <w:r>
        <w:rPr>
          <w:rFonts w:ascii="Times New Roman;sans-serif" w:hAnsi="Times New Roman;sans-serif"/>
          <w:b w:val="false"/>
          <w:i/>
          <w:color w:val="000000"/>
          <w:sz w:val="20"/>
        </w:rPr>
        <w:t>HPP971</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Under the terms of the Anteris License Agreement, Anteris paid the Company an initial license fee of </w:t>
      </w:r>
      <w:r>
        <w:rPr>
          <w:rFonts w:ascii="Times New Roman;sans-serif" w:hAnsi="Times New Roman;sans-serif"/>
          <w:b w:val="false"/>
          <w:color w:val="000000"/>
          <w:sz w:val="20"/>
          <w:shd w:fill="FFFFFF" w:val="clear"/>
        </w:rPr>
        <w:t>$2.0 million</w:t>
      </w:r>
      <w:r>
        <w:rPr>
          <w:rFonts w:ascii="Times New Roman;sans-serif" w:hAnsi="Times New Roman;sans-serif"/>
          <w:b w:val="false"/>
          <w:color w:val="000000"/>
          <w:sz w:val="20"/>
        </w:rPr>
        <w:t xml:space="preserve">. The Company is eligible to receive additional potential development, regulatory, and sales-based milestone payments totaling up to </w:t>
      </w:r>
      <w:r>
        <w:rPr>
          <w:rFonts w:ascii="Times New Roman;sans-serif" w:hAnsi="Times New Roman;sans-serif"/>
          <w:b w:val="false"/>
          <w:color w:val="000000"/>
          <w:sz w:val="20"/>
          <w:shd w:fill="FFFFFF" w:val="clear"/>
        </w:rPr>
        <w:t>$151.0 million</w:t>
      </w:r>
      <w:r>
        <w:rPr>
          <w:rFonts w:ascii="Times New Roman;sans-serif" w:hAnsi="Times New Roman;sans-serif"/>
          <w:b w:val="false"/>
          <w:color w:val="000000"/>
          <w:sz w:val="20"/>
        </w:rPr>
        <w:t>.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Pursuant to the terms of the Anteris License Agreement, the Company was required to provide technology transfer services for a 30 day period after the effective date. In accordance with ASC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w:t>
      </w:r>
      <w:r>
        <w:rPr>
          <w:rFonts w:ascii="Times New Roman;sans-serif" w:hAnsi="Times New Roman;sans-serif"/>
          <w:b w:val="false"/>
          <w:color w:val="000000"/>
          <w:sz w:val="20"/>
          <w:shd w:fill="FFFFFF" w:val="clear"/>
        </w:rPr>
        <w:t>$2.0 million</w:t>
      </w:r>
      <w:r>
        <w:rPr>
          <w:color w:val="000000"/>
        </w:rPr>
        <w:t xml:space="preserve"> </w:t>
      </w:r>
      <w:r>
        <w:rPr>
          <w:rFonts w:ascii="Times New Roman;sans-serif" w:hAnsi="Times New Roman;sans-serif"/>
          <w:b w:val="false"/>
          <w:color w:val="000000"/>
          <w:sz w:val="20"/>
        </w:rPr>
        <w:t xml:space="preserve">initial license payment as well as the fair value of the equity interest received in Anteris of </w:t>
      </w:r>
      <w:r>
        <w:rPr>
          <w:rFonts w:ascii="Times New Roman;sans-serif" w:hAnsi="Times New Roman;sans-serif"/>
          <w:b w:val="false"/>
          <w:color w:val="000000"/>
          <w:sz w:val="20"/>
          <w:shd w:fill="FFFFFF" w:val="clear"/>
        </w:rPr>
        <w:t>$4.2 million</w:t>
      </w:r>
      <w:r>
        <w:rPr>
          <w:rFonts w:ascii="Times New Roman;sans-serif" w:hAnsi="Times New Roman;sans-serif"/>
          <w:b w:val="false"/>
          <w:color w:val="000000"/>
          <w:sz w:val="20"/>
        </w:rPr>
        <w:t>. The revenue related to this performance obligation was fully recognized during the year ended December 31, 2020, as the technology transfer services were considered complete as of that date. No revenue was recognized related to the Anteris License Agreement during the three and nine months ended September 30,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25, 2023, Anteris notified the Company that it was terminating the Anteris License Agreement. Under the terms of the Anteris License Agreement, the termination would become effective ninety days following the receipt of notice, or December 24, 2023. The Company has begun the process of winding up the license, including obtaining all regulatory, manufacturing and other records generated by Anteris during the term of the Anteris License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received a Section228(e) notice from Anteris. that the stockholders voted in favor of the dissolution of the Company and the adoption of a plan of Liquidation and Dissolution (“Plan of Dissolution”). (See Note 14).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related to the Company’s collaboration agreements consisted of the following (in thousands):</w:t>
      </w:r>
    </w:p>
    <w:tbl>
      <w:tblPr>
        <w:tblW w:w="6881" w:type="dxa"/>
        <w:jc w:val="left"/>
        <w:tblInd w:w="0" w:type="dxa"/>
        <w:tblLayout w:type="fixed"/>
        <w:tblCellMar>
          <w:top w:w="28" w:type="dxa"/>
          <w:left w:w="28" w:type="dxa"/>
          <w:bottom w:w="28" w:type="dxa"/>
          <w:right w:w="28" w:type="dxa"/>
        </w:tblCellMar>
      </w:tblPr>
      <w:tblGrid>
        <w:gridCol w:w="1254"/>
        <w:gridCol w:w="1104"/>
        <w:gridCol w:w="1107"/>
        <w:gridCol w:w="313"/>
        <w:gridCol w:w="1070"/>
        <w:gridCol w:w="161"/>
        <w:gridCol w:w="109"/>
        <w:gridCol w:w="109"/>
        <w:gridCol w:w="109"/>
        <w:gridCol w:w="300"/>
        <w:gridCol w:w="1026"/>
        <w:gridCol w:w="219"/>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31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3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2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4: Share-Based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nonqualified stock option awards to management, other key employees, consultants, and nonemployee directors. These option awards generally vest ratably over a three-year period and the option awards expire after a term of ten years from the date of grant. As of September 30, 2023, the Company had total unrecognized stock-based compensation expense for its outstanding stock option awards of approximately $1.8 million, which is expected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recognized over a weighted average period of 2.2 years. The weighted average grant date fair value of options granted during the nine months ended September 30, 2023 and 2022 was $0.76 and $0.68 per option, respectively. The aggregate intrinsic value of the in-the-money awards outstanding at September 30, 2023 was immaterial.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stock option awards for the nine months ended September 30, 2023:</w:t>
      </w:r>
    </w:p>
    <w:tbl>
      <w:tblPr>
        <w:tblW w:w="8524" w:type="dxa"/>
        <w:jc w:val="left"/>
        <w:tblInd w:w="0" w:type="dxa"/>
        <w:tblLayout w:type="fixed"/>
        <w:tblCellMar>
          <w:top w:w="28" w:type="dxa"/>
          <w:left w:w="28" w:type="dxa"/>
          <w:bottom w:w="28" w:type="dxa"/>
          <w:right w:w="28" w:type="dxa"/>
        </w:tblCellMar>
      </w:tblPr>
      <w:tblGrid>
        <w:gridCol w:w="1777"/>
        <w:gridCol w:w="1562"/>
        <w:gridCol w:w="1566"/>
        <w:gridCol w:w="488"/>
        <w:gridCol w:w="488"/>
        <w:gridCol w:w="486"/>
        <w:gridCol w:w="109"/>
        <w:gridCol w:w="109"/>
        <w:gridCol w:w="109"/>
        <w:gridCol w:w="441"/>
        <w:gridCol w:w="1068"/>
        <w:gridCol w:w="321"/>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 Price</w:t>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December 31, 2022</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8,418,571 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1,176,868 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9,545,439 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September 30, 2023</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5,018,072 </w:t>
            </w:r>
          </w:p>
        </w:tc>
        <w:tc>
          <w:tcPr>
            <w:tcW w:w="486"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21"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at September 30, 2023</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8,188,444 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grants of stock options is included in research and development and general and administrative expense as follows (in thousands):</w:t>
      </w:r>
    </w:p>
    <w:tbl>
      <w:tblPr>
        <w:tblW w:w="9410" w:type="dxa"/>
        <w:jc w:val="left"/>
        <w:tblInd w:w="0" w:type="dxa"/>
        <w:tblLayout w:type="fixed"/>
        <w:tblCellMar>
          <w:top w:w="28" w:type="dxa"/>
          <w:left w:w="28" w:type="dxa"/>
          <w:bottom w:w="28" w:type="dxa"/>
          <w:right w:w="28" w:type="dxa"/>
        </w:tblCellMar>
      </w:tblPr>
      <w:tblGrid>
        <w:gridCol w:w="1245"/>
        <w:gridCol w:w="1092"/>
        <w:gridCol w:w="1098"/>
        <w:gridCol w:w="298"/>
        <w:gridCol w:w="659"/>
        <w:gridCol w:w="154"/>
        <w:gridCol w:w="154"/>
        <w:gridCol w:w="154"/>
        <w:gridCol w:w="154"/>
        <w:gridCol w:w="298"/>
        <w:gridCol w:w="659"/>
        <w:gridCol w:w="154"/>
        <w:gridCol w:w="109"/>
        <w:gridCol w:w="109"/>
        <w:gridCol w:w="109"/>
        <w:gridCol w:w="109"/>
        <w:gridCol w:w="109"/>
        <w:gridCol w:w="109"/>
        <w:gridCol w:w="266"/>
        <w:gridCol w:w="776"/>
        <w:gridCol w:w="137"/>
        <w:gridCol w:w="137"/>
        <w:gridCol w:w="137"/>
        <w:gridCol w:w="137"/>
        <w:gridCol w:w="266"/>
        <w:gridCol w:w="587"/>
        <w:gridCol w:w="19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9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5: Investments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Reneo Pharmaceuticals, Inc. (“Reneo”) and Anteris License Agreements, the Company received equity ownership interests of less than 20% of the voting equity of the investees. Further, the Company does not have the ability to exercise significant influence over the investees. The investments are classified as long-term investments in the Company’s Condensed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Reneo completed its initial public offering in April 2021. Prior to Reneo becoming a publicly 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Anteris does not have a readily determinable fair value and is measured at cost less impairment, adjusted for any changes in observable prices.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 of the following:</w:t>
      </w:r>
    </w:p>
    <w:tbl>
      <w:tblPr>
        <w:tblW w:w="10205" w:type="dxa"/>
        <w:jc w:val="left"/>
        <w:tblInd w:w="0" w:type="dxa"/>
        <w:tblLayout w:type="fixed"/>
        <w:tblCellMar>
          <w:top w:w="28" w:type="dxa"/>
          <w:left w:w="28" w:type="dxa"/>
          <w:bottom w:w="28" w:type="dxa"/>
          <w:right w:w="28" w:type="dxa"/>
        </w:tblCellMar>
      </w:tblPr>
      <w:tblGrid>
        <w:gridCol w:w="2548"/>
        <w:gridCol w:w="2233"/>
        <w:gridCol w:w="2245"/>
        <w:gridCol w:w="320"/>
        <w:gridCol w:w="935"/>
        <w:gridCol w:w="165"/>
        <w:gridCol w:w="109"/>
        <w:gridCol w:w="109"/>
        <w:gridCol w:w="109"/>
        <w:gridCol w:w="307"/>
        <w:gridCol w:w="897"/>
        <w:gridCol w:w="228"/>
      </w:tblGrid>
      <w:tr>
        <w:trPr/>
        <w:tc>
          <w:tcPr>
            <w:tcW w:w="254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02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with readily determinable fair value:</w:t>
            </w:r>
          </w:p>
        </w:tc>
        <w:tc>
          <w:tcPr>
            <w:tcW w:w="142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Reneo common stock</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without readily determinable fair values assessed under the measurement alternative:</w:t>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Anteris preferred stock</w:t>
            </w:r>
          </w:p>
        </w:tc>
        <w:tc>
          <w:tcPr>
            <w:tcW w:w="12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22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an unrealized gain on its investment in Reneo of $0.6 million and $3.0 million for the three and nine months ended September 30, 2023, respectively. The Company recognized an unrealized gain on its investment in Reneo of $0.4 million and an unrealized loss of $3.0 million for the three and nine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These adjustments were recognized as a component of other income/(expense) in the Company’s Condensed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2023, the Company received a Section228(e) notice from Anteris that the stockholders voted in favor of the dissolution of Anteris and the adoption of a plan of Liquidation and Dissolution (“Plan of Dissolution”). The Company determined the carrying value of this investment was not expected to be recoverable due to the Plan of Dissolution. As a result, the Company recorded a $4.2 million impairment charge during the three and nine months ended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the Company entered into a Common Stock Repurchase Agreement (the “Repurchase Agreement”) with Reneo to purchase all of its common stock held by vTv LLC for total proceeds to vTv LLC of approximately $4.4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6: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Novo Nordisk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payments payable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Further, th</w:t>
      </w:r>
      <w:r>
        <w:rPr>
          <w:rFonts w:ascii="Times New Roman;sans-serif" w:hAnsi="Times New Roman;sans-serif"/>
          <w:b w:val="false"/>
          <w:color w:val="000000"/>
          <w:sz w:val="20"/>
        </w:rPr>
        <w:t xml:space="preserve">e second amendment to the lease does not include any material residual value guarantee or restrictive covenants.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each of September 30, 2023 and December 31, 2022, the weighted average incremental borrowing rate for the operating leases held by the Company was 9.5%. At September 30, 2023 and December 31, 2022, the weighted average remaining lease terms for the operating leases held by the Company were 2.2 years and 2.9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the Company’s operating leases as of September 30, 2023 were as follows (in thousands):</w:t>
      </w:r>
    </w:p>
    <w:tbl>
      <w:tblPr>
        <w:tblW w:w="3516" w:type="dxa"/>
        <w:jc w:val="left"/>
        <w:tblInd w:w="0" w:type="dxa"/>
        <w:tblLayout w:type="fixed"/>
        <w:tblCellMar>
          <w:top w:w="28" w:type="dxa"/>
          <w:left w:w="28" w:type="dxa"/>
          <w:bottom w:w="28" w:type="dxa"/>
          <w:right w:w="28" w:type="dxa"/>
        </w:tblCellMar>
      </w:tblPr>
      <w:tblGrid>
        <w:gridCol w:w="972"/>
        <w:gridCol w:w="854"/>
        <w:gridCol w:w="859"/>
        <w:gridCol w:w="211"/>
        <w:gridCol w:w="46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three months)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7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and the related operating cash flows for the nine months ended September 30, 2023 and 2022 was $0.2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8: Redeemable Noncontrolling Interest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Exchange Agreement with respect to the vTv Units representing the 22.1% noncontrolling interest in vTv LLC outstanding as of September 30, 2023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 is recognized at the higher of (1) its initial fair value plus accumulated earnings/losses associated with the noncontrolling interest or (2) the redemption value as of the balance sheet date. At September 30, 2023 and December 31, 2022, the redeemable noncontrolling interest was recorded based on the redemption value as of the balance sheet date of $10.7 million and $16.6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1731"/>
        <w:gridCol w:w="1417"/>
        <w:gridCol w:w="1421"/>
        <w:gridCol w:w="238"/>
        <w:gridCol w:w="741"/>
        <w:gridCol w:w="123"/>
        <w:gridCol w:w="123"/>
        <w:gridCol w:w="123"/>
        <w:gridCol w:w="123"/>
        <w:gridCol w:w="238"/>
        <w:gridCol w:w="741"/>
        <w:gridCol w:w="123"/>
        <w:gridCol w:w="109"/>
        <w:gridCol w:w="109"/>
        <w:gridCol w:w="109"/>
        <w:gridCol w:w="227"/>
        <w:gridCol w:w="819"/>
        <w:gridCol w:w="117"/>
        <w:gridCol w:w="117"/>
        <w:gridCol w:w="117"/>
        <w:gridCol w:w="117"/>
        <w:gridCol w:w="227"/>
        <w:gridCol w:w="819"/>
        <w:gridCol w:w="176"/>
      </w:tblGrid>
      <w:tr>
        <w:trPr/>
        <w:tc>
          <w:tcPr>
            <w:tcW w:w="173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w:t>
            </w:r>
          </w:p>
        </w:tc>
        <w:tc>
          <w:tcPr>
            <w:tcW w:w="12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w:t>
            </w:r>
          </w:p>
        </w:tc>
        <w:tc>
          <w:tcPr>
            <w:tcW w:w="12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w:t>
            </w:r>
          </w:p>
        </w:tc>
        <w:tc>
          <w:tcPr>
            <w:tcW w:w="11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w:t>
            </w:r>
          </w:p>
        </w:tc>
        <w:tc>
          <w:tcPr>
            <w:tcW w:w="17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Decrease/(Increase) in vTv Therapeutics Inc. accumulated deficit for purchase of vTv LLC Units as a result of common stock issuances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vTv Therapeutics Inc. common shareholders and transfers to noncontrolling interest</w:t>
            </w:r>
          </w:p>
        </w:tc>
        <w:tc>
          <w:tcPr>
            <w:tcW w:w="23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2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w:t>
            </w:r>
          </w:p>
        </w:tc>
        <w:tc>
          <w:tcPr>
            <w:tcW w:w="12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w:t>
            </w:r>
          </w:p>
        </w:tc>
        <w:tc>
          <w:tcPr>
            <w:tcW w:w="1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w:t>
            </w:r>
          </w:p>
        </w:tc>
        <w:tc>
          <w:tcPr>
            <w:tcW w:w="1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9: Stockholders’ Deficit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and G42 Investments entered in to the G42 Purchase Agreement (see Note 3), pursuant to which the Company agreed to sell to G42 Investments 10,386,274 shares of the Company's Class A common stock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CinPax and CinRx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2022 (the “Transaction Date”), the Company entered into the CinRx Purchase Agreement with CinPax, LLC (“CinPax”) and CinRx Pharma, LLC (“CinRx”), pursuant to which the Company agreed to sell to CinPax 4,154,549 shares of the Company’s Class A common stock at a price per share of approximately $2.41, for an aggregate purchase price of $10.0 million, which was paid (i) $6.0 million in cash at the closing of the transaction and (ii) $4.0 million in the form of a non-interest-bearing promissory note with CinPax and was paid to the Company on November 22, 2022. The CinRx Purchase Agreement provides CinPax the right to nominate a director to be approved to sit on the Company’s Board of Directors and a board observer, which was subsequently approved by the Company’s board.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 this quarterly report on Form 10-Q for details of the ASU.</w:t>
      </w:r>
      <w:r>
        <w:rPr>
          <w:color w:val="000000"/>
        </w:rPr>
        <w:t xml:space="preserve"> </w:t>
      </w:r>
      <w:r>
        <w:rPr>
          <w:rFonts w:ascii="Times New Roman;sans-serif" w:hAnsi="Times New Roman;sans-serif"/>
          <w:b w:val="false"/>
          <w:color w:val="000000"/>
          <w:sz w:val="20"/>
        </w:rPr>
        <w:t xml:space="preserve">Accordingly, the Company determined that cash consideration of $3.0 million should be recorded as fair value of the Class A common stock at the effective date, utilizing the Class A common stock closing price of $0.72 at the effective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CinRx Purchase Agreement also provides CinRx warrants to purchase up to 1,200,000 shares of common stock at an initial exercise of price of approximately $0.72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10)</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defined in Rule 415(a)(4) under the Securities Act (the “ATM Offering”). The shares are offered and sold pursuant to the Company’s shelf registration statement on Form S-3.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w:t>
      </w:r>
      <w:r>
        <w:rPr>
          <w:color w:val="000000"/>
        </w:rPr>
        <w:t xml:space="preserve"> </w:t>
      </w:r>
      <w:r>
        <w:rPr>
          <w:rFonts w:ascii="Times New Roman;sans-serif" w:hAnsi="Times New Roman;sans-serif"/>
          <w:b w:val="false"/>
          <w:color w:val="000000"/>
          <w:sz w:val="20"/>
        </w:rPr>
        <w:t>$5.5 million</w:t>
      </w:r>
      <w:r>
        <w:rPr>
          <w:color w:val="000000"/>
          <w:shd w:fill="FFFFFF" w:val="clear"/>
        </w:rPr>
        <w:t xml:space="preserve"> </w:t>
      </w:r>
      <w:r>
        <w:rPr>
          <w:rFonts w:ascii="Times New Roman;sans-serif" w:hAnsi="Times New Roman;sans-serif"/>
          <w:b w:val="false"/>
          <w:color w:val="000000"/>
          <w:sz w:val="20"/>
          <w:shd w:fill="FFFFFF" w:val="clear"/>
        </w:rPr>
        <w:t>and $50.0 million, respectively</w:t>
      </w:r>
      <w:r>
        <w:rPr>
          <w:rFonts w:ascii="Times New Roman;sans-serif" w:hAnsi="Times New Roman;sans-serif"/>
          <w:b w:val="false"/>
          <w:color w:val="000000"/>
          <w:sz w:val="20"/>
        </w:rPr>
        <w: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and nine months ended September 30, 2023 and 2022, the Company did not sell any shares under the ATM Offering.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Lincoln Park Capital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 During the three and nine months ended September 30, 2023 and 2022, the Company did not sell any shares under the LPC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10: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MacAndrews &amp; Forbes Incorporated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MacAndrews directly or indirectly controls 23,084,267 shares of Class B common stock. Further, as of September 30, 2023, MacAndrews directly or indirectly holds 36,519,212 shares of the Company’s Class A common stock. As a result, MacAndrews’ holdings represent approximately 57.0% of the combined voting power of the Company’s outstanding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September 30, 2023, MacAndrews had not exchanged any shares under the provisions of the Exchange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no shares have been exchanged by MacAndrews pursuant to the Exchange Agreement (discussed above), the Company has not recognized any liability, nor has it made any payments pursuant to the Tax Receivable Agreement as of September 30,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entered into a common stock purchase agreement with G42 Investments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on May 31, 2023 (the “G42 Promissory Note”). As part of the G42 Purchase Agreement, G42 Investments put forward a director as appointee and the Company’s board of directors appointed the new director to the Company’s board on July 11, 2022. On February 28, 2023, the Company and G42 Investments entered into an amendment of the common stock purchase agreement pursuant to which G42 Investments agreed to accelerate payment of the amount due under the G42 Promissory Note. On February 28, 2023, the Company received $12.0 million from G42 Investments, which represented a 3.75% discount to the full amount due under the G42 Promissory Note, in full and final satisfaction of the promissory note, resulting in a loss of $0.3 million and was recognized as a component of other income/(expense)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CinRx Pharma, LLC</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Master Services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2022, the Company entered into the CinRx MSA with CinRx. Under the CinRx MSA, CinRx provides the Company with consulting and clinical trial services, as enumerated in project proposals negotiated between the Company and CinRx from time to time. As of October 10, 2022, the Company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a subsidiary of CinRx, currently holds 4,154,549 shares of the Company’s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income taxes as well as state taxes. The Company did not record an income tax provision for the three and nine months ended September 30, 2023. The Company’s income tax provision for the nine months ended September 30, 2022 was $0.2 million representing foreign withholding taxes incurred in connection with payments received under license agreements with foreign entities. The Company did not record an income tax provision for the three months ended September 30,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 likely than not that the deferred tax assets will not be realized. The difference between the effective tax rate of the Company and the U.S. statutory tax rate of 21% on September 30, 2023 is due to the valuation allowance against the Company’s expected net operating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would trigger a liability under this agreement, the Company has not recognized any liability related to this agreement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12: Net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loss per share of Class A common stock is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432"/>
        <w:gridCol w:w="1262"/>
        <w:gridCol w:w="1270"/>
        <w:gridCol w:w="293"/>
        <w:gridCol w:w="864"/>
        <w:gridCol w:w="127"/>
        <w:gridCol w:w="127"/>
        <w:gridCol w:w="127"/>
        <w:gridCol w:w="127"/>
        <w:gridCol w:w="293"/>
        <w:gridCol w:w="864"/>
        <w:gridCol w:w="127"/>
        <w:gridCol w:w="109"/>
        <w:gridCol w:w="109"/>
        <w:gridCol w:w="109"/>
        <w:gridCol w:w="261"/>
        <w:gridCol w:w="893"/>
        <w:gridCol w:w="120"/>
        <w:gridCol w:w="120"/>
        <w:gridCol w:w="120"/>
        <w:gridCol w:w="120"/>
        <w:gridCol w:w="261"/>
        <w:gridCol w:w="893"/>
        <w:gridCol w:w="177"/>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8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12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2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12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17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 of vTv Therapeutics Inc., basic and diluted</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8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vTv Therapeutics Inc. Class A common stock, basic and diluted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80,490,121 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72,649,531 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9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2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not included in the calculation of dilutive net loss per share are as follows:</w:t>
      </w:r>
    </w:p>
    <w:tbl>
      <w:tblPr>
        <w:tblW w:w="7549" w:type="dxa"/>
        <w:jc w:val="left"/>
        <w:tblInd w:w="0" w:type="dxa"/>
        <w:tblLayout w:type="fixed"/>
        <w:tblCellMar>
          <w:top w:w="28" w:type="dxa"/>
          <w:left w:w="28" w:type="dxa"/>
          <w:bottom w:w="28" w:type="dxa"/>
          <w:right w:w="28" w:type="dxa"/>
        </w:tblCellMar>
      </w:tblPr>
      <w:tblGrid>
        <w:gridCol w:w="1406"/>
        <w:gridCol w:w="1236"/>
        <w:gridCol w:w="1242"/>
        <w:gridCol w:w="540"/>
        <w:gridCol w:w="541"/>
        <w:gridCol w:w="516"/>
        <w:gridCol w:w="109"/>
        <w:gridCol w:w="109"/>
        <w:gridCol w:w="109"/>
        <w:gridCol w:w="540"/>
        <w:gridCol w:w="541"/>
        <w:gridCol w:w="660"/>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884"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Class B common stock </w:t>
            </w:r>
            <w:r>
              <w:rPr>
                <w:rFonts w:ascii="Times New Roman;sans-serif" w:hAnsi="Times New Roman;sans-serif"/>
                <w:b w:val="false"/>
                <w:color w:val="000000"/>
                <w:sz w:val="13"/>
              </w:rPr>
              <w:t>(1)</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51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6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 granted under the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9,545,439 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7,718,944 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3,214,503 </w:t>
            </w:r>
          </w:p>
        </w:tc>
        <w:tc>
          <w:tcPr>
            <w:tcW w:w="51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3,214,503 </w:t>
            </w:r>
          </w:p>
        </w:tc>
        <w:tc>
          <w:tcPr>
            <w:tcW w:w="6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35,853,802 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34,027,307 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13: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certain of the Company’s financial instruments, including cash and cash equivalents, net accounts receivable, note receivable,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value of its equity investments without readily determinable fair values at cost minus impairment, if any, plus or minus changes resulting from observable price changes in orderly transactions for the identical or similar investment. 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financial assets and liabilities subject to fair value measurements on a recurring basis to determine the appropriate level in which to classify them for each reporting period. This determination requires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judgments. The Company determined that the G42 Promissory Note receivable was level 2 and the fair value measurement was based on the market yield curves. The following table summarizes the conclusions reached regarding fair value measurements as of September 30, 2023 and December 31, 2022 (in thousands):</w:t>
      </w:r>
    </w:p>
    <w:tbl>
      <w:tblPr>
        <w:tblW w:w="10205" w:type="dxa"/>
        <w:jc w:val="left"/>
        <w:tblInd w:w="0" w:type="dxa"/>
        <w:tblLayout w:type="fixed"/>
        <w:tblCellMar>
          <w:top w:w="28" w:type="dxa"/>
          <w:left w:w="28" w:type="dxa"/>
          <w:bottom w:w="28" w:type="dxa"/>
          <w:right w:w="28" w:type="dxa"/>
        </w:tblCellMar>
      </w:tblPr>
      <w:tblGrid>
        <w:gridCol w:w="989"/>
        <w:gridCol w:w="871"/>
        <w:gridCol w:w="880"/>
        <w:gridCol w:w="364"/>
        <w:gridCol w:w="1064"/>
        <w:gridCol w:w="188"/>
        <w:gridCol w:w="109"/>
        <w:gridCol w:w="109"/>
        <w:gridCol w:w="109"/>
        <w:gridCol w:w="340"/>
        <w:gridCol w:w="993"/>
        <w:gridCol w:w="175"/>
        <w:gridCol w:w="109"/>
        <w:gridCol w:w="109"/>
        <w:gridCol w:w="109"/>
        <w:gridCol w:w="457"/>
        <w:gridCol w:w="882"/>
        <w:gridCol w:w="239"/>
        <w:gridCol w:w="109"/>
        <w:gridCol w:w="109"/>
        <w:gridCol w:w="109"/>
        <w:gridCol w:w="449"/>
        <w:gridCol w:w="994"/>
        <w:gridCol w:w="339"/>
      </w:tblGrid>
      <w:tr>
        <w:trPr/>
        <w:tc>
          <w:tcPr>
            <w:tcW w:w="98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7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1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with readily determinable fair value</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8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1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2"/>
        <w:gridCol w:w="874"/>
        <w:gridCol w:w="883"/>
        <w:gridCol w:w="360"/>
        <w:gridCol w:w="1052"/>
        <w:gridCol w:w="186"/>
        <w:gridCol w:w="109"/>
        <w:gridCol w:w="109"/>
        <w:gridCol w:w="109"/>
        <w:gridCol w:w="340"/>
        <w:gridCol w:w="995"/>
        <w:gridCol w:w="176"/>
        <w:gridCol w:w="109"/>
        <w:gridCol w:w="109"/>
        <w:gridCol w:w="109"/>
        <w:gridCol w:w="458"/>
        <w:gridCol w:w="884"/>
        <w:gridCol w:w="239"/>
        <w:gridCol w:w="109"/>
        <w:gridCol w:w="109"/>
        <w:gridCol w:w="109"/>
        <w:gridCol w:w="450"/>
        <w:gridCol w:w="996"/>
        <w:gridCol w:w="339"/>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with readily determinable fair value</w:t>
            </w:r>
          </w:p>
        </w:tc>
        <w:tc>
          <w:tcPr>
            <w:tcW w:w="36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36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3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tc>
      </w:tr>
    </w:tbl>
    <w:tbl>
      <w:tblPr>
        <w:tblW w:w="10205" w:type="dxa"/>
        <w:jc w:val="left"/>
        <w:tblInd w:w="0" w:type="dxa"/>
        <w:tblLayout w:type="fixed"/>
        <w:tblCellMar>
          <w:top w:w="28" w:type="dxa"/>
          <w:left w:w="28" w:type="dxa"/>
          <w:bottom w:w="28" w:type="dxa"/>
          <w:right w:w="28" w:type="dxa"/>
        </w:tblCellMar>
      </w:tblPr>
      <w:tblGrid>
        <w:gridCol w:w="799"/>
        <w:gridCol w:w="700"/>
        <w:gridCol w:w="709"/>
        <w:gridCol w:w="340"/>
        <w:gridCol w:w="994"/>
        <w:gridCol w:w="176"/>
        <w:gridCol w:w="109"/>
        <w:gridCol w:w="109"/>
        <w:gridCol w:w="109"/>
        <w:gridCol w:w="368"/>
        <w:gridCol w:w="934"/>
        <w:gridCol w:w="190"/>
        <w:gridCol w:w="109"/>
        <w:gridCol w:w="109"/>
        <w:gridCol w:w="109"/>
        <w:gridCol w:w="239"/>
        <w:gridCol w:w="530"/>
        <w:gridCol w:w="125"/>
        <w:gridCol w:w="109"/>
        <w:gridCol w:w="109"/>
        <w:gridCol w:w="109"/>
        <w:gridCol w:w="292"/>
        <w:gridCol w:w="562"/>
        <w:gridCol w:w="152"/>
        <w:gridCol w:w="109"/>
        <w:gridCol w:w="109"/>
        <w:gridCol w:w="109"/>
        <w:gridCol w:w="382"/>
        <w:gridCol w:w="1118"/>
        <w:gridCol w:w="287"/>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Level 3 instruments for the three months ended September 30,</w:t>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January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September 30,</w:t>
            </w:r>
          </w:p>
        </w:tc>
      </w:tr>
      <w:tr>
        <w:trPr/>
        <w:tc>
          <w:tcPr>
            <w:tcW w:w="220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51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7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9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51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4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9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28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into or out of level 3 instruments and/or between level 1 and level 2 instruments during the three and nine months ended September 30, 2023. Gains and losses recognized due to the change in fair value of the warrant liability, related party are recognized as a component of other income – related party in the Company’s Condensed Consolidated Statements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Letter Agreement Warrants was determined using the Black-Scholes option pricing model or option pricing models based on the Company’s current capitalization. Expected volatility is based on the historical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Company’s common stock over the most recent period. The risk-free rate is based on the U.S. Treasury yield curve in effect at the time of valuation. Significant inputs utilized in the valuation of the Letter Agreement Warrants as of September 30, 2023 and December 31, 2022 were:</w:t>
      </w:r>
    </w:p>
    <w:tbl>
      <w:tblPr>
        <w:tblW w:w="8154" w:type="dxa"/>
        <w:jc w:val="left"/>
        <w:tblInd w:w="0" w:type="dxa"/>
        <w:tblLayout w:type="fixed"/>
        <w:tblCellMar>
          <w:top w:w="28" w:type="dxa"/>
          <w:left w:w="28" w:type="dxa"/>
          <w:bottom w:w="28" w:type="dxa"/>
          <w:right w:w="28" w:type="dxa"/>
        </w:tblCellMar>
      </w:tblPr>
      <w:tblGrid>
        <w:gridCol w:w="669"/>
        <w:gridCol w:w="587"/>
        <w:gridCol w:w="589"/>
        <w:gridCol w:w="505"/>
        <w:gridCol w:w="505"/>
        <w:gridCol w:w="505"/>
        <w:gridCol w:w="482"/>
        <w:gridCol w:w="482"/>
        <w:gridCol w:w="490"/>
        <w:gridCol w:w="109"/>
        <w:gridCol w:w="109"/>
        <w:gridCol w:w="109"/>
        <w:gridCol w:w="583"/>
        <w:gridCol w:w="479"/>
        <w:gridCol w:w="452"/>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68.37% - 77.01%</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76.06%</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76.94% - 85.88%</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82.17%</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4.78% - 5.38%</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4.11% - 4.43%</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September 30, 2023 were:</w:t>
      </w:r>
    </w:p>
    <w:tbl>
      <w:tblPr>
        <w:tblW w:w="3677" w:type="dxa"/>
        <w:jc w:val="left"/>
        <w:tblInd w:w="0" w:type="dxa"/>
        <w:tblLayout w:type="fixed"/>
        <w:tblCellMar>
          <w:top w:w="28" w:type="dxa"/>
          <w:left w:w="28" w:type="dxa"/>
          <w:bottom w:w="28" w:type="dxa"/>
          <w:right w:w="28" w:type="dxa"/>
        </w:tblCellMar>
      </w:tblPr>
      <w:tblGrid>
        <w:gridCol w:w="994"/>
        <w:gridCol w:w="874"/>
        <w:gridCol w:w="877"/>
        <w:gridCol w:w="308"/>
        <w:gridCol w:w="308"/>
        <w:gridCol w:w="31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61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weighted average expected volatility and risk-free interest rate was based on the relative fair values of the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received a Section 228(e) notice from Anteris that the stockholders voted in favor of the dissolution of the Company and the adoption of a plan of Liquidation and Dissolution (“Plan of Dissolution”) (See Note 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vTv LLC, entered into a Common Stock Repurchase Agreement (the “Repurchase Agreement”) with Reneo pursuant to which Reneo agreed to purchase all shares of common stock of Reneo that had been owned by vTv LLC. Pursuant to the Repurchase Agreement, Reneo agreed to pay vTv LLC gross proceeds of approximately $4.4 million, which was received by vTv LLC on October 30, 2023. vTv LLC had acquired the Reneo stock in connection with the December 21, 2017 License Agreement between vTv LLC and Reneo, which remains in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 Looking Statements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an orally administered, small molecule, liver-selective glucokinase activator (“GKA”) as an adjunctive therapy to insulin for the treatment of type 1 diabetes (“T1D”).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6, 2023, the Board approved, and recommended that the stockholders of the Company entitled to vote thereon, approve, via written consent, the Amendment to the Certificate of Incorporation to effect a reverse stock split of the issued and outstanding Class A common stock and Class B common stock, by a ratio of any whole number in the range of 1-for-10 to 1-for-40 (the “Reverse Stock Split”), with such ratio to be determined at the discretion of the Board and with such action to be effected at such time and date, if at all, as determined by the Board on or prior to December 31, 2023. On September 13, 2023, the holders of a majority of the voting power of the Company’s issued and outstanding capital stock entitled to vote thereon (the “Consenting Stockholders”) approved the Reverse Stock Split by means of a written consent. The same ratio will be used to effect a reverse stock split of both the Class A common stock and the Class B common stock. The Reverse Stock Split will not change the number of authorized shares of Class A common stock or Class B common stock. </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not yet determined the date on which the reverse stock split will occur or the ratio.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Product Pipeline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drug candidates, their partnership status and their respective stages of development:</w:t>
      </w:r>
    </w:p>
    <w:p>
      <w:pPr>
        <w:pStyle w:val="TextBody"/>
        <w:bidi w:val="0"/>
        <w:spacing w:before="0" w:after="0"/>
        <w:jc w:val="both"/>
        <w:rPr/>
      </w:pPr>
      <w:r>
        <w:rPr/>
        <w:drawing>
          <wp:inline distT="0" distB="0" distL="0" distR="0">
            <wp:extent cx="6657975" cy="374332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657975" cy="3743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Our Type 1 Diabetes Program – </w:t>
      </w:r>
      <w:r>
        <w:rPr>
          <w:rFonts w:ascii="Times New Roman;sans-serif" w:hAnsi="Times New Roman;sans-serif"/>
          <w:b/>
          <w:i/>
          <w:color w:val="000000"/>
          <w:sz w:val="20"/>
        </w:rPr>
        <w:t>Cadisegliatin (TTP399)</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has alignment with the FDA on trial designs that will support an efficient regulatory pathway to support registration of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as an adjunctive therapy to insulin for the treatment of type 1 diabetes consistent with the breakthrough therapy designation granted by the FDA and expects to initiate studies as soon as possible. The FDA and the Company have agreed on the primary endpoint for the studies as the reduction in the number of hypoglycemic events between placebo and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 xml:space="preserve">treated groups.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October 2021, we announced positive results of a mechanistic study of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in patients with T1D. The study demonstrated that patients with T1D taking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treated group during the week of treatment prior to the insulin withdrawal test. The results of the mechanistic study provided additional evidence to support the idea that treatment with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will not increase the risk of diabetic ketoacidosis (“DKA”) in patients with T1D. The data demonstrate that in contrast to agents such as SGLT2 inhibitors and GLP-1RAs,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does not increase the risk of ketoacidosis when used as an adjunctive therapy to insulin in individuals with T1D. Moreover, these findings support prior studies that demonstrate that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improves glucose control and reduces hypoglycemia and suggests a protective effect of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 xml:space="preserve">against acidosis in people with T1D. Full study results were published in the </w:t>
      </w:r>
      <w:r>
        <w:rPr>
          <w:rFonts w:ascii="Times New Roman;sans-serif" w:hAnsi="Times New Roman;sans-serif"/>
          <w:b w:val="false"/>
          <w:i/>
          <w:color w:val="000000"/>
          <w:sz w:val="20"/>
        </w:rPr>
        <w:t>Diabetes Obesity and Metabolism</w:t>
      </w:r>
      <w:r>
        <w:rPr>
          <w:color w:val="000000"/>
        </w:rPr>
        <w:t xml:space="preserve"> </w:t>
      </w:r>
      <w:r>
        <w:rPr>
          <w:rFonts w:ascii="Times New Roman;sans-serif" w:hAnsi="Times New Roman;sans-serif"/>
          <w:b w:val="false"/>
          <w:color w:val="000000"/>
          <w:sz w:val="20"/>
        </w:rPr>
        <w:t xml:space="preserve">journal in conjunction with the 82nd American Diabetes Association Scientific Sessions on June 6, 2022.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April 2021, we announced that the FDA granted Breakthrough Therapy Designation (“BTD) for </w:t>
      </w:r>
      <w:r>
        <w:rPr>
          <w:rFonts w:ascii="Times New Roman;sans-serif" w:hAnsi="Times New Roman;sans-serif"/>
          <w:b w:val="false"/>
          <w:i/>
          <w:color w:val="000000"/>
          <w:sz w:val="20"/>
        </w:rPr>
        <w:t>cadisegliatin (TTP399)</w:t>
      </w:r>
      <w:r>
        <w:rPr>
          <w:color w:val="000000"/>
        </w:rPr>
        <w:t xml:space="preserve"> </w:t>
      </w:r>
      <w:r>
        <w:rPr>
          <w:rFonts w:ascii="Times New Roman;sans-serif" w:hAnsi="Times New Roman;sans-serif"/>
          <w:b w:val="false"/>
          <w:color w:val="000000"/>
          <w:sz w:val="20"/>
        </w:rPr>
        <w:t>as an adjunctive therapy to insulin for the treatment of T1D. This designation provides a sponsor with added support and the potential to expedite development and review timelines for a promising new investigational medicine.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Holding Company 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our inception, including our predecessor companies, through September 30, 2023, we have incurred approximately $623.9 million in 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by project for the three and nine months ended September 30, 2023 and 2022 were as follows (in thousands):</w:t>
      </w:r>
    </w:p>
    <w:tbl>
      <w:tblPr>
        <w:tblW w:w="9261" w:type="dxa"/>
        <w:jc w:val="left"/>
        <w:tblInd w:w="0" w:type="dxa"/>
        <w:tblLayout w:type="fixed"/>
        <w:tblCellMar>
          <w:top w:w="28" w:type="dxa"/>
          <w:left w:w="28" w:type="dxa"/>
          <w:bottom w:w="28" w:type="dxa"/>
          <w:right w:w="28" w:type="dxa"/>
        </w:tblCellMar>
      </w:tblPr>
      <w:tblGrid>
        <w:gridCol w:w="1310"/>
        <w:gridCol w:w="1149"/>
        <w:gridCol w:w="1155"/>
        <w:gridCol w:w="257"/>
        <w:gridCol w:w="752"/>
        <w:gridCol w:w="133"/>
        <w:gridCol w:w="133"/>
        <w:gridCol w:w="133"/>
        <w:gridCol w:w="133"/>
        <w:gridCol w:w="257"/>
        <w:gridCol w:w="752"/>
        <w:gridCol w:w="133"/>
        <w:gridCol w:w="109"/>
        <w:gridCol w:w="109"/>
        <w:gridCol w:w="109"/>
        <w:gridCol w:w="237"/>
        <w:gridCol w:w="810"/>
        <w:gridCol w:w="122"/>
        <w:gridCol w:w="122"/>
        <w:gridCol w:w="122"/>
        <w:gridCol w:w="122"/>
        <w:gridCol w:w="237"/>
        <w:gridCol w:w="692"/>
        <w:gridCol w:w="17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Cadisegliatin (TTP399)</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7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7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ans-serif" w:hAnsi="Times New Roman;sans-serif"/>
          <w:b w:val="false"/>
          <w:color w:val="000000"/>
          <w:sz w:val="16"/>
        </w:rPr>
        <w:t xml:space="preserve">*Includes </w:t>
      </w:r>
      <w:r>
        <w:rPr>
          <w:rFonts w:ascii="Times New Roman;sans-serif" w:hAnsi="Times New Roman;sans-serif"/>
          <w:b w:val="false"/>
          <w:i/>
          <w:color w:val="000000"/>
          <w:sz w:val="16"/>
        </w:rPr>
        <w:t>HPP737</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Azeliragon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plan to continue to incur significant research and development expenses for the foreseeable future as we continue the development of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uncertainty of the scope, rate of progress and expense of our ongoing, as well as any additional, clinical trials and other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timing and receipt of any regulatory approvals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noncash interest income related to the imputed interest from the G42 Promissory Note receivable, using the effective interest method and cash interest income represents dividends and interest from our money market account, all of which are recognized in our Condensed Consolidated Statement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expense is immaterial.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income/expense primarily consists of unrealized gains or losses attributable to the changes in fair value of the equity investment held, the recognition of changes in fair value of the warrants to purchase shares of our Class A common stock held by related parties, the loss from the G42 Promissory Note early redemption on February 28, 2023 and the impairment charge from Anteris Bio, Inc. (“Anteris”) liquidation and dissolution.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611" w:type="dxa"/>
        <w:jc w:val="left"/>
        <w:tblInd w:w="0" w:type="dxa"/>
        <w:tblLayout w:type="fixed"/>
        <w:tblCellMar>
          <w:top w:w="28" w:type="dxa"/>
          <w:left w:w="28" w:type="dxa"/>
          <w:bottom w:w="28" w:type="dxa"/>
          <w:right w:w="28" w:type="dxa"/>
        </w:tblCellMar>
      </w:tblPr>
      <w:tblGrid>
        <w:gridCol w:w="1603"/>
        <w:gridCol w:w="1408"/>
        <w:gridCol w:w="1413"/>
        <w:gridCol w:w="340"/>
        <w:gridCol w:w="344"/>
        <w:gridCol w:w="346"/>
        <w:gridCol w:w="173"/>
        <w:gridCol w:w="173"/>
        <w:gridCol w:w="173"/>
        <w:gridCol w:w="340"/>
        <w:gridCol w:w="344"/>
        <w:gridCol w:w="346"/>
        <w:gridCol w:w="173"/>
        <w:gridCol w:w="173"/>
        <w:gridCol w:w="173"/>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3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revenue for the three months ended September 30, 2023 and September 30,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$2.8 million and $3.1 million for the three months ended September 30, 2023 and 2022, respectively. The decrease in research and development expenses during this period of $0.2 million, or 7.6%, was primarily driven by i) lower spending on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of $0.4 million, due to decreases in drug product related costs as well as lower spending on trial preparation costs, offset by ii) an increase in indirect costs and other projects of $0.2 million.</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$2.5 million and $2.6 million for the three months ended September 30, 2023 and 2022, respectively. The decrease in general and administrative expenses during this period of $0.1 million, or 3.4%, was primarily driven by i) decreases of $0.4 million in legal expense, ii) decreases of $0.3 million in other general and administrative costs, partially offset by iii) increases of $0.5 million in payroll costs and iv) increases of $0.1 million in share-based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Interest income for the three months ended September 30, 2023 of $0.1 million is related to dividend income from our money market account. Interest income for the three months ended September 30, 2022 of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is related to imputed interest on the promissory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Interest expense for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months ended September 30, 2023 and 2022 was insignificant.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Other expense was $3.3 million for the three months ended September 30, 2023 and was driven by the recording of an impairment charge on a cost-method investment of $4.2 million and an unrealized gain related to our investment in Reneo, as well as gains</w:t>
      </w:r>
      <w:r>
        <w:rPr>
          <w:color w:val="000000"/>
          <w:shd w:fill="FFFFFF" w:val="clear"/>
        </w:rPr>
        <w:t xml:space="preserve"> </w:t>
      </w:r>
      <w:r>
        <w:rPr>
          <w:rFonts w:ascii="Times New Roman;sans-serif" w:hAnsi="Times New Roman;sans-serif"/>
          <w:b w:val="false"/>
          <w:color w:val="000000"/>
          <w:sz w:val="20"/>
          <w:shd w:fill="FFFFFF" w:val="clear"/>
        </w:rPr>
        <w:t>rel</w:t>
      </w:r>
      <w:r>
        <w:rPr>
          <w:rFonts w:ascii="Times New Roman;sans-serif" w:hAnsi="Times New Roman;sans-serif"/>
          <w:b w:val="false"/>
          <w:color w:val="000000"/>
          <w:sz w:val="20"/>
        </w:rPr>
        <w:t xml:space="preserve">ated to the change in the fair value of the outstanding warrants to purchase shares of our own stock issued to related parties (“Related Party Warrants”). Other income was $0.1 million for the three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and was driven by an unrealized gain related to our investment in Reneo as well as the</w:t>
      </w:r>
      <w:r>
        <w:rPr>
          <w:color w:val="000000"/>
          <w:shd w:fill="FFFFFF" w:val="clear"/>
        </w:rPr>
        <w:t xml:space="preserve"> </w:t>
      </w:r>
      <w:r>
        <w:rPr>
          <w:rFonts w:ascii="Times New Roman;sans-serif" w:hAnsi="Times New Roman;sans-serif"/>
          <w:b w:val="false"/>
          <w:color w:val="000000"/>
          <w:sz w:val="20"/>
          <w:shd w:fill="FFFFFF" w:val="clear"/>
        </w:rPr>
        <w:t>losses rel</w:t>
      </w:r>
      <w:r>
        <w:rPr>
          <w:rFonts w:ascii="Times New Roman;sans-serif" w:hAnsi="Times New Roman;sans-serif"/>
          <w:b w:val="false"/>
          <w:color w:val="000000"/>
          <w:sz w:val="20"/>
        </w:rPr>
        <w:t>ated to the change in the fair value of the outstanding warrants to purchase shares of our own stock issued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120" w:after="283"/>
        <w:ind w:left="0" w:right="0" w:firstLine="61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802" w:type="dxa"/>
        <w:jc w:val="left"/>
        <w:tblInd w:w="0" w:type="dxa"/>
        <w:tblLayout w:type="fixed"/>
        <w:tblCellMar>
          <w:top w:w="28" w:type="dxa"/>
          <w:left w:w="28" w:type="dxa"/>
          <w:bottom w:w="28" w:type="dxa"/>
          <w:right w:w="28" w:type="dxa"/>
        </w:tblCellMar>
      </w:tblPr>
      <w:tblGrid>
        <w:gridCol w:w="1603"/>
        <w:gridCol w:w="1408"/>
        <w:gridCol w:w="1413"/>
        <w:gridCol w:w="374"/>
        <w:gridCol w:w="393"/>
        <w:gridCol w:w="402"/>
        <w:gridCol w:w="167"/>
        <w:gridCol w:w="167"/>
        <w:gridCol w:w="167"/>
        <w:gridCol w:w="323"/>
        <w:gridCol w:w="396"/>
        <w:gridCol w:w="399"/>
        <w:gridCol w:w="167"/>
        <w:gridCol w:w="167"/>
        <w:gridCol w:w="167"/>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4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7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16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18,206</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(18,783)</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revenue for the nine months ended September 30, 2023. Revenue for the nine months ended September 30, 2022 relates to the increase in the transaction price for the license performance obligations under the amended license agreement with Huadong due to the satisfaction of a development milestone.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$11.5 million and $8.4 million for the nine months ended September 30, 2023 and 2022, respectively. The increase in research and development expenses during the period of $3.1 million, or 36.5%, was primarily driven by i) higher spending on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of $2.5 million due to increases in drug product related costs as well as higher spending on trial preparation costs, and ii) an increase of $0.6 million in indirect costs and other projects.</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$9.3 million and $9.8 million for the nine months ended September 30, 2023 and 2022, respectively. The decrease of $0.5 million has been primarily driven by i) decreases of $2.8 million in legal expense, ii) decreases of $0.8 million in severance costs, partially offset by iii) increases of $1.7 million in payroll costs, iv) increases of $1.2 million in other general and administrative costs, and v) increases of $0.2 million share-based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Interest income for the nine months ended September 30, 2023 of $0.4 million is related to imputed interest on the G42 Promissory Note and dividend income from our money market account. Interest income for the nine months ended September 30, 2022 o</w:t>
      </w:r>
      <w:r>
        <w:rPr>
          <w:rFonts w:ascii="Times New Roman;sans-serif" w:hAnsi="Times New Roman;sans-serif"/>
          <w:b w:val="false"/>
          <w:color w:val="000000"/>
          <w:sz w:val="20"/>
        </w:rPr>
        <w:t>f $0.2 million</w:t>
      </w:r>
      <w:r>
        <w:rPr>
          <w:color w:val="000000"/>
          <w:shd w:fill="FFFFFF" w:val="clear"/>
        </w:rPr>
        <w:t xml:space="preserve"> </w:t>
      </w:r>
      <w:r>
        <w:rPr>
          <w:rFonts w:ascii="Times New Roman;sans-serif" w:hAnsi="Times New Roman;sans-serif"/>
          <w:b w:val="false"/>
          <w:color w:val="000000"/>
          <w:sz w:val="20"/>
          <w:shd w:fill="FFFFFF" w:val="clear"/>
        </w:rPr>
        <w:t>is related to imputed interest on the promissory note.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nine months ended September 30, 2023 and 2022 was insignificant.</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was $1.1 million for the nine months ended September 30, 2023, and is driven by the recording of a impairment charge on a cost-method investment of $4.2 million offset by an unrealized gain recognized related to the Company’s investment in Reneo as well as gains related to the change in the fair value of the outstanding warrants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shares of our own stock held by related parties. Other expense was $2.8 million for the nine months ended September 30, 2022, and is driven by an unrealized loss recognized related to the Company’s investment in Reneo as well as gains related to the change in the fair value of the outstanding warrants to purchase shares of our own stock issued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an accumulated deficit of $281.2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2023, we had cash and cash equivalents of $8.2 million. The Company received proceeds of $4.4 million from the sale of Reneo Pharmaceuticals, Inc stock on October 30, 2023 (see Note 14).</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Based on our current operating plan, we may rely on the remaining availability of $37.3 million under our Controlled Equity Offering</w:t>
      </w:r>
      <w:r>
        <w:rPr>
          <w:rFonts w:ascii="Times New Roman;sans-serif" w:hAnsi="Times New Roman;sans-serif"/>
          <w:b w:val="false"/>
          <w:color w:val="000000"/>
          <w:sz w:val="13"/>
          <w:shd w:fill="FFFFFF" w:val="clear"/>
        </w:rPr>
        <w:t>SM</w:t>
      </w:r>
      <w:r>
        <w:rPr>
          <w:color w:val="000000"/>
          <w:shd w:fill="FFFFFF" w:val="clear"/>
        </w:rPr>
        <w:t xml:space="preserve"> </w:t>
      </w:r>
      <w:r>
        <w:rPr>
          <w:rFonts w:ascii="Times New Roman;sans-serif" w:hAnsi="Times New Roman;sans-serif"/>
          <w:b w:val="false"/>
          <w:color w:val="000000"/>
          <w:sz w:val="20"/>
          <w:shd w:fill="FFFFFF" w:val="clear"/>
        </w:rPr>
        <w:t>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 xml:space="preserve">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 We are currently in active discussions with respect to financing, partnering and licensing transactions for the future development of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but we may not be successful in completing such transactions. These factors raise substantial doubt about our ability to continue as a going concern.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September 30, 2023, we have sold $31.2 million worth of Class A common stock under the ATM Offering for net proceeds of $30.3 million, leaving $37.3 million available to be sold.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Lincoln Park Purchase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the LPC Purchase Agreement, pursuant to which we have the right to sell to Lincoln Park shares of the Company’s Class A common stock having an aggregate value of up to $47.0 million. As of September 30, 2023, we have issued 5,331,306 of these shares for gross proceeds of approximately $11.1 million, leaving $35.9 million available to be sold.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957" w:type="dxa"/>
        <w:jc w:val="left"/>
        <w:tblInd w:w="0" w:type="dxa"/>
        <w:tblLayout w:type="fixed"/>
        <w:tblCellMar>
          <w:top w:w="28" w:type="dxa"/>
          <w:left w:w="28" w:type="dxa"/>
          <w:bottom w:w="28" w:type="dxa"/>
          <w:right w:w="28" w:type="dxa"/>
        </w:tblCellMar>
      </w:tblPr>
      <w:tblGrid>
        <w:gridCol w:w="1561"/>
        <w:gridCol w:w="1377"/>
        <w:gridCol w:w="1382"/>
        <w:gridCol w:w="222"/>
        <w:gridCol w:w="841"/>
        <w:gridCol w:w="115"/>
        <w:gridCol w:w="115"/>
        <w:gridCol w:w="115"/>
        <w:gridCol w:w="115"/>
        <w:gridCol w:w="222"/>
        <w:gridCol w:w="730"/>
        <w:gridCol w:w="162"/>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w:t>
            </w:r>
          </w:p>
        </w:tc>
        <w:tc>
          <w:tcPr>
            <w:tcW w:w="11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w:t>
            </w:r>
          </w:p>
        </w:tc>
        <w:tc>
          <w:tcPr>
            <w:tcW w:w="16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6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56"/>
        <w:jc w:val="both"/>
        <w:rPr/>
      </w:pPr>
      <w:r>
        <w:rPr>
          <w:rFonts w:ascii="Times New Roman;sans-serif" w:hAnsi="Times New Roman;sans-serif"/>
          <w:b w:val="false"/>
          <w:color w:val="000000"/>
          <w:sz w:val="20"/>
        </w:rPr>
        <w:t>For the nine months ended September 30, 2023, our net cash used in operating activities increased by $7.0 million from the nine months ended September 30, 2022</w:t>
      </w:r>
      <w:r>
        <w:rPr>
          <w:rFonts w:ascii="Times New Roman;sans-serif" w:hAnsi="Times New Roman;sans-serif"/>
          <w:b w:val="false"/>
          <w:color w:val="000000"/>
          <w:sz w:val="20"/>
          <w:shd w:fill="FFFFFF" w:val="clear"/>
        </w:rPr>
        <w:t xml:space="preserve">. The significant contributor to the change in cash used was </w:t>
      </w:r>
      <w:r>
        <w:rPr>
          <w:rFonts w:ascii="Times New Roman;sans-serif" w:hAnsi="Times New Roman;sans-serif"/>
          <w:b w:val="false"/>
          <w:color w:val="000000"/>
          <w:sz w:val="20"/>
        </w:rPr>
        <w:t>driven by working capital changes, and offset by cash received of $6.8 million in excess of the fair value of the Class A common stock issued to G42 investments in 2022.</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cash flows from investing activities for the nine months ended September 30, 2023. For the nine months ended September 30, 2022, net cash used in investing activities was insignificant.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financing activities driven by the receipt of proceeds of $12.0 million from the G42 Promissory Note early redemption during the nine months ended September 30, 2023. For the nine months ended September 30, 2022, net cash provided by financing activities was driven by sales of our Class A common stock to a collaboration partner and from the CinRx Purchase Agreement.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Funding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operating plan, we believe that our current cash and cash equivalents will allow us to meet our liquidity requirements into the first quarter of 2024. We plan to finance our operations into the first quarter of 2024 through the use of our cash and cash equivalents and, based on current operating plans, we are evaluating several financing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to fund the ongoing and future clinical trials of </w:t>
      </w:r>
      <w:r>
        <w:rPr>
          <w:rFonts w:ascii="Times New Roman;sans-serif" w:hAnsi="Times New Roman;sans-serif"/>
          <w:b w:val="false"/>
          <w:i/>
          <w:color w:val="000000"/>
          <w:sz w:val="20"/>
        </w:rPr>
        <w:t>cadisegliatin (TTP399)</w:t>
      </w:r>
      <w:r>
        <w:rPr>
          <w:rFonts w:ascii="Times New Roman;sans-serif" w:hAnsi="Times New Roman;sans-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w:t>
      </w:r>
      <w:r>
        <w:rPr>
          <w:color w:val="000000"/>
          <w:shd w:fill="FFFFFF" w:val="clear"/>
        </w:rPr>
        <w:t xml:space="preserve"> </w:t>
      </w:r>
      <w:r>
        <w:rPr>
          <w:rFonts w:ascii="Times New Roman;sans-serif" w:hAnsi="Times New Roman;sans-serif"/>
          <w:b w:val="false"/>
          <w:color w:val="000000"/>
          <w:sz w:val="20"/>
          <w:shd w:fill="FFFFFF" w:val="clear"/>
        </w:rPr>
        <w:t>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progress, costs, results and timing of our planned trials to evaluate </w:t>
      </w:r>
      <w:r>
        <w:rPr>
          <w:rFonts w:ascii="Times New Roman;sans-serif" w:hAnsi="Times New Roman;sans-serif"/>
          <w:b w:val="false"/>
          <w:i/>
          <w:color w:val="000000"/>
          <w:sz w:val="20"/>
        </w:rPr>
        <w:t xml:space="preserve">cadisegliatin (TTP399) </w:t>
      </w:r>
      <w:r>
        <w:rPr>
          <w:rFonts w:ascii="Times New Roman;sans-serif" w:hAnsi="Times New Roman;sans-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economic and other terms, timing and success of our existing licensing arrangements and any collaboration, licensing or other arrangements into which we may enter in the future; and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amount of any payments we are required to make to M&amp;F TTP Holdings Two LLC in the future under the Tax Receivable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ans-serif" w:hAnsi="Times New Roman;sans-serif"/>
          <w:b w:val="false"/>
          <w:color w:val="000000"/>
          <w:sz w:val="20"/>
          <w:shd w:fill="FFFFFF" w:val="clear"/>
        </w:rPr>
        <w:t>s. We currently have potential external source of funds available through the ATM Offering and LPC Purchase Agreement. However, the ability to use these sources of capital is dependent on a number of factors, including the prevailing market price of and the volume of trading in the Company’s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recurring losses, accumulated deficit and our current levels of cash and cash equivalents raise substantial doubt about our ability to continue as a going concern as of the date of this Quarterly Report on Form 10-Q. If we are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shd w:fill="FFFFFF" w:val="clear"/>
        </w:rPr>
        <w:t>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w:t>
      </w:r>
      <w:r>
        <w:rPr>
          <w:color w:val="000000"/>
        </w:rPr>
        <w:t xml:space="preserve"> </w:t>
      </w:r>
      <w:r>
        <w:rPr>
          <w:rFonts w:ascii="Times New Roman;sans-serif" w:hAnsi="Times New Roman;sans-serif"/>
          <w:b w:val="false"/>
          <w:color w:val="000000"/>
          <w:sz w:val="20"/>
        </w:rPr>
        <w:t>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Discussion of Critical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2022. There have been no material changes to our critical accounting policies and estimates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Effect of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of recent accounting pronouncements in Note 2, “Summary of Significant Accounting Policies”, to the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material interest rate exposure.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 quality. Because of the short-term maturities of our investments, we do not believe that an increase in market rates would have a material negative impact on the value of our investment portfolio.</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September 30, 2023. Based upon that evaluation, our Chief Executive Officer and Chief Financial Officer concluded that, as of September 30,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of any system of controls also is based in part upon certain assumptions about the likelihood of future events, and there can be no assurance that any design will succeed in achieving its stated goals under all potential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set forth under the heading “Risk Factors” under Item 1A of Part I in our Annual Report on Form 10-K for the year ended December 31, 2022. There have been no material changes to our risk factors from those previously disclosed in our Annual Report on Form 10-K for the year ended December 31, 2022.</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equity securities during the three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September 30, 2023,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930xexx311.htm">
              <w:r>
                <w:rPr>
                  <w:rStyle w:val="InternetLink"/>
                  <w:rFonts w:ascii="Times New Roman;sans-serif" w:hAnsi="Times New Roman;sans-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930xexx312.htm">
              <w:r>
                <w:rPr>
                  <w:rStyle w:val="InternetLink"/>
                  <w:rFonts w:ascii="Times New Roman;sans-serif" w:hAnsi="Times New Roman;sans-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30930xexx321.htm">
              <w:r>
                <w:rPr>
                  <w:rStyle w:val="InternetLink"/>
                  <w:rFonts w:ascii="Times New Roman;sans-serif" w:hAnsi="Times New Roman;sans-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930x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120" w:after="283"/>
        <w:ind w:left="0" w:right="0" w:hanging="540"/>
        <w:jc w:val="both"/>
        <w:rPr/>
      </w:pPr>
      <w:r>
        <w:rPr/>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both"/>
        <w:rPr/>
      </w:pPr>
      <w:hyperlink w:anchor="ie4f163fa518047cf9584905c5271d2f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J. Sekhri,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Tuch,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27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September 30, 2023,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September 30, 2023,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27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21177</Words>
  <Characters>116031</Characters>
  <CharactersWithSpaces>136114</CharactersWithSpaces>
  <Paragraphs>1802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