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00" w:hanging="3812"/>
        <w:spacing w:after="0" w:line="344"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5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right"/>
              <w:ind w:right="60"/>
              <w:spacing w:after="0"/>
              <w:rPr>
                <w:sz w:val="20"/>
                <w:szCs w:val="20"/>
                <w:color w:val="auto"/>
              </w:rPr>
            </w:pPr>
            <w:r>
              <w:rPr>
                <w:rFonts w:ascii="Arial" w:cs="Arial" w:eastAsia="Arial" w:hAnsi="Arial"/>
                <w:sz w:val="18"/>
                <w:szCs w:val="18"/>
                <w:b w:val="1"/>
                <w:bCs w:val="1"/>
                <w:color w:val="auto"/>
              </w:rPr>
              <w:t>47-3916571</w:t>
            </w:r>
          </w:p>
        </w:tc>
      </w:tr>
      <w:tr>
        <w:trPr>
          <w:trHeight w:val="148"/>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3980 Premier Dr, Suite 310</w:t>
            </w:r>
          </w:p>
        </w:tc>
        <w:tc>
          <w:tcPr>
            <w:tcW w:w="5080" w:type="dxa"/>
            <w:vAlign w:val="bottom"/>
          </w:tcPr>
          <w:p>
            <w:pPr>
              <w:spacing w:after="0"/>
              <w:rPr>
                <w:sz w:val="24"/>
                <w:szCs w:val="24"/>
                <w:color w:val="auto"/>
              </w:rPr>
            </w:pPr>
          </w:p>
        </w:tc>
      </w:t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High Point, NC</w:t>
            </w:r>
          </w:p>
        </w:tc>
        <w:tc>
          <w:tcPr>
            <w:tcW w:w="508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00" w:type="dxa"/>
            <w:vAlign w:val="bottom"/>
          </w:tcPr>
          <w:p>
            <w:pPr>
              <w:spacing w:after="0"/>
              <w:rPr>
                <w:sz w:val="22"/>
                <w:szCs w:val="22"/>
                <w:color w:val="auto"/>
              </w:rPr>
            </w:pPr>
          </w:p>
        </w:tc>
        <w:tc>
          <w:tcPr>
            <w:tcW w:w="5080" w:type="dxa"/>
            <w:vAlign w:val="bottom"/>
          </w:tcPr>
          <w:p>
            <w:pPr>
              <w:jc w:val="right"/>
              <w:ind w:right="280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00" w:type="dxa"/>
            <w:vAlign w:val="bottom"/>
          </w:tcPr>
          <w:p>
            <w:pPr>
              <w:spacing w:after="0"/>
              <w:rPr>
                <w:sz w:val="16"/>
                <w:szCs w:val="16"/>
                <w:color w:val="auto"/>
              </w:rPr>
            </w:pPr>
          </w:p>
        </w:tc>
        <w:tc>
          <w:tcPr>
            <w:tcW w:w="508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90" w:type="dxa"/>
        <w:tblCellMar>
          <w:top w:w="0" w:type="dxa"/>
          <w:left w:w="0" w:type="dxa"/>
          <w:bottom w:w="0" w:type="dxa"/>
          <w:right w:w="0" w:type="dxa"/>
        </w:tblCellMar>
      </w:tblPr>
      <w:tr>
        <w:trPr>
          <w:trHeight w:val="210"/>
        </w:trPr>
        <w:tc>
          <w:tcPr>
            <w:tcW w:w="4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67" w:lineRule="exact"/>
        <w:rPr>
          <w:sz w:val="24"/>
          <w:szCs w:val="24"/>
          <w:color w:val="auto"/>
        </w:rPr>
      </w:pPr>
    </w:p>
    <w:p>
      <w:pPr>
        <w:ind w:right="8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240" w:firstLine="5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00"/>
        <w:spacing w:after="0" w:line="207" w:lineRule="exact"/>
        <w:tabs>
          <w:tab w:leader="none" w:pos="894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Class of Stock</w:t>
            </w:r>
          </w:p>
        </w:tc>
        <w:tc>
          <w:tcPr>
            <w:tcW w:w="326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 as of May 5, 2021</w:t>
            </w: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68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58,013,630</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00" w:type="dxa"/>
            <w:vAlign w:val="bottom"/>
            <w:gridSpan w:val="3"/>
          </w:tcPr>
          <w:p>
            <w:pPr>
              <w:ind w:left="1680"/>
              <w:spacing w:after="0"/>
              <w:rPr>
                <w:sz w:val="20"/>
                <w:szCs w:val="20"/>
                <w:color w:val="auto"/>
              </w:rPr>
            </w:pPr>
            <w:r>
              <w:rPr>
                <w:rFonts w:ascii="Arial" w:cs="Arial" w:eastAsia="Arial" w:hAnsi="Arial"/>
                <w:sz w:val="18"/>
                <w:szCs w:val="18"/>
                <w:color w:val="auto"/>
              </w:rPr>
              <w:t>Class B common stock, par value $0.01 per share</w:t>
            </w:r>
          </w:p>
        </w:tc>
        <w:tc>
          <w:tcPr>
            <w:tcW w:w="3260" w:type="dxa"/>
            <w:vAlign w:val="bottom"/>
          </w:tcPr>
          <w:p>
            <w:pPr>
              <w:jc w:val="right"/>
              <w:spacing w:after="0"/>
              <w:rPr>
                <w:sz w:val="20"/>
                <w:szCs w:val="20"/>
                <w:color w:val="auto"/>
              </w:rPr>
            </w:pPr>
            <w:r>
              <w:rPr>
                <w:rFonts w:ascii="Arial" w:cs="Arial" w:eastAsia="Arial" w:hAnsi="Arial"/>
                <w:sz w:val="18"/>
                <w:szCs w:val="18"/>
                <w:color w:val="auto"/>
              </w:rPr>
              <w:t>23,093,860</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6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6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MARCH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290"/>
        </w:trPr>
        <w:tc>
          <w:tcPr>
            <w:tcW w:w="298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400" w:type="dxa"/>
            <w:vAlign w:val="bottom"/>
            <w:gridSpan w:val="11"/>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2021 (Unaudited) and December 31, 2020</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83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for the three months ended March 31, 2021 and 2020</w:t>
              </w:r>
            </w:hyperlink>
          </w:p>
        </w:tc>
        <w:tc>
          <w:tcPr>
            <w:tcW w:w="1180" w:type="dxa"/>
            <w:vAlign w:val="bottom"/>
            <w:gridSpan w:val="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318"/>
        </w:trPr>
        <w:tc>
          <w:tcPr>
            <w:tcW w:w="880" w:type="dxa"/>
            <w:vAlign w:val="bottom"/>
          </w:tcPr>
          <w:p>
            <w:pPr>
              <w:spacing w:after="0"/>
              <w:rPr>
                <w:sz w:val="24"/>
                <w:szCs w:val="24"/>
                <w:color w:val="auto"/>
              </w:rPr>
            </w:pPr>
          </w:p>
        </w:tc>
        <w:tc>
          <w:tcPr>
            <w:tcW w:w="9500" w:type="dxa"/>
            <w:vAlign w:val="bottom"/>
            <w:gridSpan w:val="20"/>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 of Changes in Redeemable Noncontrolling Interest and Stockholders’ Deficit for</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months ended March 31, 2021 and 2020</w:t>
              </w:r>
            </w:hyperlink>
          </w:p>
        </w:tc>
        <w:tc>
          <w:tcPr>
            <w:tcW w:w="30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83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three months ended March 31, 2021 and 2020</w:t>
              </w:r>
            </w:hyperlink>
          </w:p>
        </w:tc>
        <w:tc>
          <w:tcPr>
            <w:tcW w:w="1120" w:type="dxa"/>
            <w:vAlign w:val="bottom"/>
            <w:gridSpan w:val="2"/>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18"/>
        </w:trPr>
        <w:tc>
          <w:tcPr>
            <w:tcW w:w="880" w:type="dxa"/>
            <w:vAlign w:val="bottom"/>
          </w:tcPr>
          <w:p>
            <w:pPr>
              <w:spacing w:after="0"/>
              <w:rPr>
                <w:sz w:val="24"/>
                <w:szCs w:val="24"/>
                <w:color w:val="auto"/>
              </w:rPr>
            </w:pPr>
          </w:p>
        </w:tc>
        <w:tc>
          <w:tcPr>
            <w:tcW w:w="39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5560" w:type="dxa"/>
            <w:vAlign w:val="bottom"/>
            <w:gridSpan w:val="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060" w:type="dxa"/>
            <w:vAlign w:val="bottom"/>
            <w:gridSpan w:val="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7720" w:type="dxa"/>
            <w:vAlign w:val="bottom"/>
            <w:gridSpan w:val="12"/>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318"/>
        </w:trPr>
        <w:tc>
          <w:tcPr>
            <w:tcW w:w="1038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 OTHER INFORMATION</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7"/>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78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720" w:type="dxa"/>
            <w:vAlign w:val="bottom"/>
            <w:gridSpan w:val="12"/>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80" w:type="dxa"/>
            <w:vAlign w:val="bottom"/>
            <w:gridSpan w:val="14"/>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160" w:type="dxa"/>
            <w:vAlign w:val="bottom"/>
            <w:gridSpan w:val="7"/>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7180" w:type="dxa"/>
            <w:vAlign w:val="bottom"/>
            <w:gridSpan w:val="10"/>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740" w:type="dxa"/>
            <w:vAlign w:val="bottom"/>
            <w:gridSpan w:val="1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200" w:type="dxa"/>
            <w:vAlign w:val="bottom"/>
            <w:gridSpan w:val="1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Signatures</w:t>
              </w:r>
            </w:hyperlink>
          </w:p>
        </w:tc>
        <w:tc>
          <w:tcPr>
            <w:tcW w:w="8740" w:type="dxa"/>
            <w:vAlign w:val="bottom"/>
            <w:gridSpan w:val="17"/>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858"/>
        </w:trPr>
        <w:tc>
          <w:tcPr>
            <w:tcW w:w="880" w:type="dxa"/>
            <w:vAlign w:val="bottom"/>
          </w:tcPr>
          <w:p>
            <w:pPr>
              <w:spacing w:after="0"/>
              <w:rPr>
                <w:sz w:val="24"/>
                <w:szCs w:val="24"/>
                <w:color w:val="auto"/>
              </w:rPr>
            </w:pPr>
          </w:p>
        </w:tc>
        <w:tc>
          <w:tcPr>
            <w:tcW w:w="6440" w:type="dxa"/>
            <w:vAlign w:val="bottom"/>
            <w:gridSpan w:val="15"/>
          </w:tcPr>
          <w:p>
            <w:pPr>
              <w:ind w:left="470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right="640" w:firstLine="510"/>
        <w:spacing w:after="0" w:line="274" w:lineRule="auto"/>
        <w:rPr>
          <w:sz w:val="20"/>
          <w:szCs w:val="20"/>
          <w:color w:val="auto"/>
        </w:rPr>
      </w:pPr>
      <w:r>
        <w:rPr>
          <w:rFonts w:ascii="Arial" w:cs="Arial" w:eastAsia="Arial" w:hAnsi="Arial"/>
          <w:sz w:val="17"/>
          <w:szCs w:val="17"/>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w:t>
      </w:r>
    </w:p>
    <w:p>
      <w:pPr>
        <w:spacing w:after="0" w:line="260" w:lineRule="auto"/>
        <w:rPr>
          <w:sz w:val="20"/>
          <w:szCs w:val="20"/>
          <w:color w:val="auto"/>
        </w:rPr>
      </w:pPr>
      <w:r>
        <w:rPr>
          <w:rFonts w:ascii="Arial" w:cs="Arial" w:eastAsia="Arial" w:hAnsi="Arial"/>
          <w:sz w:val="18"/>
          <w:szCs w:val="18"/>
          <w:color w:val="auto"/>
        </w:rPr>
        <w:t>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16,754</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4,965</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net of current portion</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100,000,000 shares authorized, 57,571,904</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54,050,710 shares outstanding as of March 31, 2021 and December 31, 2020,</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Class B Common Stock, $0.01 par value; 100,000,000 shares authorized, and 23,093,860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outstanding as of March 31, 2021 and 23,094,221 as of December 31, 2020</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(274,730)</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(290,036)</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(56,275)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4"/>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Operating loss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 related party</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13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loss before noncontrolling interest</w:t>
            </w:r>
          </w:p>
        </w:tc>
        <w:tc>
          <w:tcPr>
            <w:tcW w:w="13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6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vTv Therapeutics Inc.</w:t>
            </w:r>
          </w:p>
        </w:tc>
        <w:tc>
          <w:tcPr>
            <w:tcW w:w="13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 common shareholders</w:t>
            </w:r>
          </w:p>
        </w:tc>
        <w:tc>
          <w:tcPr>
            <w:tcW w:w="13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of vTv Therapeutics Inc. Class A Common</w:t>
            </w:r>
          </w:p>
        </w:tc>
        <w:tc>
          <w:tcPr>
            <w:tcW w:w="1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80"/>
              <w:spacing w:after="0"/>
              <w:rPr>
                <w:sz w:val="20"/>
                <w:szCs w:val="20"/>
                <w:color w:val="auto"/>
              </w:rPr>
            </w:pPr>
            <w:r>
              <w:rPr>
                <w:rFonts w:ascii="Arial" w:cs="Arial" w:eastAsia="Arial" w:hAnsi="Arial"/>
                <w:sz w:val="18"/>
                <w:szCs w:val="18"/>
                <w:color w:val="auto"/>
              </w:rPr>
              <w:t>Stock, basic and diluted</w:t>
            </w:r>
          </w:p>
        </w:tc>
        <w:tc>
          <w:tcPr>
            <w:tcW w:w="17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6"/>
        </w:trPr>
        <w:tc>
          <w:tcPr>
            <w:tcW w:w="6300" w:type="dxa"/>
            <w:vAlign w:val="bottom"/>
            <w:tcBorders>
              <w:top w:val="single" w:sz="8" w:color="CFF0FC"/>
            </w:tcBorders>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Weighted-average number of vTv Therapeutics Inc. Class A</w:t>
            </w:r>
          </w:p>
        </w:tc>
        <w:tc>
          <w:tcPr>
            <w:tcW w:w="13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13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56,472,535</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43,462,551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61"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March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2020</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83,895</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54,050,710</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541</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209,161</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(290,036)</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(80,102)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(1,701)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(4,241)</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(4,241)</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for Class A Common Stock</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20,833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LPC Agreement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8,003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(19,547)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19,547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March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62,647</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57,571,904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576</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217,647</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(274,730)</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(56,275)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560"/>
              <w:spacing w:after="0"/>
              <w:rPr>
                <w:sz w:val="20"/>
                <w:szCs w:val="20"/>
                <w:color w:val="auto"/>
              </w:rPr>
            </w:pPr>
            <w:r>
              <w:rPr>
                <w:rFonts w:ascii="Arial" w:cs="Arial" w:eastAsia="Arial" w:hAnsi="Arial"/>
                <w:sz w:val="13"/>
                <w:szCs w:val="13"/>
                <w:b w:val="1"/>
                <w:bCs w:val="1"/>
                <w:color w:val="auto"/>
                <w:w w:val="91"/>
              </w:rPr>
              <w:t>For the three months ended March 31,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40" w:type="dxa"/>
            <w:vAlign w:val="bottom"/>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2019</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40,183</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40,918,522</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409</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183,858</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(233,522)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(49,023)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(2,441)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(4,724)</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(4,724)</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5,962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14,454</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(14,454)</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(14,454)</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March 31, 2020</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52,196</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44,680,189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190,200</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(252,700)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(61,821)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8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(5,942)</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expense</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436</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1,648</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Amortization of debt discount</w:t>
            </w:r>
          </w:p>
        </w:tc>
        <w:tc>
          <w:tcPr>
            <w:tcW w:w="10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assets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(1,173)</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(987)</w:t>
            </w: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Other liabilities</w:t>
            </w:r>
          </w:p>
        </w:tc>
        <w:tc>
          <w:tcPr>
            <w:tcW w:w="10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(5,299)</w:t>
            </w:r>
          </w:p>
        </w:tc>
        <w:tc>
          <w:tcPr>
            <w:tcW w:w="2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(5,560)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Agreements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8,038</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Repayment of notes payable</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(84)</w:t>
            </w: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8,001</w:t>
            </w:r>
          </w:p>
        </w:tc>
        <w:tc>
          <w:tcPr>
            <w:tcW w:w="2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 and cash equivalents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2,702</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0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5,747</w:t>
            </w:r>
          </w:p>
        </w:tc>
        <w:tc>
          <w:tcPr>
            <w:tcW w:w="28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8,449</w:t>
            </w:r>
          </w:p>
        </w:tc>
        <w:tc>
          <w:tcPr>
            <w:tcW w:w="2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Non-cash 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redemption value of noncontrolling interest</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(19,547)</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Basis of Presentation and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clinical-stage pharmaceutical company focused on treating metabolic diseases to minimize their long-term complications through end-organ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pharmaceutical company focused on treating metabolic diseases to minimize their long-term complications through end-organ protection.</w:t>
      </w:r>
    </w:p>
    <w:p>
      <w:pPr>
        <w:spacing w:after="0" w:line="76"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March 31, 2021, various holders own non-voting interests in vTv LLC, representing a 28.6% economic interest in vTv LLC, effectively restricting vTv Therapeutics Inc.’s interest to 71.4%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10).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with MacAndrews and Forbes Group LLC (“M&amp;F Group”), a related party and an affiliate of MacAndrews &amp; Forbes Incorporated (together with its affiliates “MacAndrews”), in December 2017, July 2018, December 2018, March 2019, September 2019 and December 2019 (the “Letter Agreements”),</w:t>
      </w:r>
    </w:p>
    <w:p>
      <w:pPr>
        <w:spacing w:after="0" w:line="271" w:lineRule="auto"/>
        <w:rPr>
          <w:sz w:val="20"/>
          <w:szCs w:val="20"/>
          <w:color w:val="auto"/>
        </w:rPr>
      </w:pPr>
      <w:r>
        <w:rPr>
          <w:rFonts w:ascii="Arial" w:cs="Arial" w:eastAsia="Arial" w:hAnsi="Arial"/>
          <w:sz w:val="17"/>
          <w:szCs w:val="17"/>
          <w:color w:val="auto"/>
        </w:rPr>
        <w:t>the Controlled Equity Offering</w:t>
      </w:r>
      <w:r>
        <w:rPr>
          <w:rFonts w:ascii="Arial" w:cs="Arial" w:eastAsia="Arial" w:hAnsi="Arial"/>
          <w:sz w:val="17"/>
          <w:szCs w:val="17"/>
          <w:color w:val="auto"/>
          <w:vertAlign w:val="superscript"/>
        </w:rPr>
        <w:t>SM</w:t>
      </w:r>
      <w:r>
        <w:rPr>
          <w:rFonts w:ascii="Arial" w:cs="Arial" w:eastAsia="Arial" w:hAnsi="Arial"/>
          <w:sz w:val="17"/>
          <w:szCs w:val="17"/>
          <w:color w:val="auto"/>
        </w:rPr>
        <w:t xml:space="preserve"> Sales Agreement (the “Sales Agreement”) with Cantor Fitzgerald &amp; Co. (“Cantor Fitzgerald”) (the “ATM Offering”), and the purchase agreement with Lincoln Park Capital Fund, LLC (“Lincoln Park”) (the “LPC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March 31, 2021,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March 31, 2021, the Company had an accumulated deficit of $274.7 million and has generated net losses in each year of its existence.</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March 31, 2021, the Company’s liquidity sources included cash and cash equivalents of $8.4 million and remaining availability of $5.5</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million under our Controlled Equity Offering</w:t>
      </w:r>
      <w:r>
        <w:rPr>
          <w:rFonts w:ascii="Arial" w:cs="Arial" w:eastAsia="Arial" w:hAnsi="Arial"/>
          <w:sz w:val="15"/>
          <w:szCs w:val="15"/>
          <w:color w:val="auto"/>
        </w:rPr>
        <w:t>SM</w:t>
      </w:r>
      <w:r>
        <w:rPr>
          <w:rFonts w:ascii="Arial" w:cs="Arial" w:eastAsia="Arial" w:hAnsi="Arial"/>
          <w:sz w:val="18"/>
          <w:szCs w:val="18"/>
          <w:color w:val="auto"/>
        </w:rPr>
        <w:t xml:space="preserve"> Sales Agreement (the “Sales Agreement”) with Cantor Fitzgerald &amp; Co. (“Cantor Fitzgerald”) pursuant to which the Company may offer and sell, from time to time shares of the Company’s Class A Common Stock (the “ATM Offering”). See Note 10 for further details.</w:t>
      </w:r>
    </w:p>
    <w:p>
      <w:pPr>
        <w:spacing w:after="0" w:line="8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As of March 31, 2021, the Company also had the ability to sell an additional 441,726 shares of Class A Common Stock under the LPC Purchase Agreement based on the number of shares initially registered. The extent to which the Company utilizes the LPC Purchase Agreement as a source of funding will depend on a number of factors, including the prevailing market price of and the volume of trading in the Company’s Class A Common Stock and the extent to which the Company is able to secure funds from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 w:name="page9"/>
    <w:bookmarkEnd w:id="8"/>
    <w:p>
      <w:pPr>
        <w:ind w:right="500"/>
        <w:spacing w:after="0" w:line="286" w:lineRule="auto"/>
        <w:rPr>
          <w:sz w:val="20"/>
          <w:szCs w:val="20"/>
          <w:color w:val="auto"/>
        </w:rPr>
      </w:pPr>
      <w:r>
        <w:rPr>
          <w:rFonts w:ascii="Arial" w:cs="Arial" w:eastAsia="Arial" w:hAnsi="Arial"/>
          <w:sz w:val="17"/>
          <w:szCs w:val="17"/>
          <w:color w:val="auto"/>
        </w:rPr>
        <w:t>sources. The number of shares that the Company may sell to Lincoln Park under the purchase agreement on any given day and during the term of the agreement is limited. Additionally, the Company and Lincoln Park may not effect any sales of shares of our Class A Common Stock under the LPC Purchase Agreement during the continuance of an event of default under the LPC Purchase Agreement.</w:t>
      </w:r>
    </w:p>
    <w:p>
      <w:pPr>
        <w:spacing w:after="0" w:line="5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Based on the Company’s current operating plan, management believes that its current cash and cash equivalents, the amounts raised under the LPC Purchase Agreement through May 5, 2021 and the remaining availability under the ATM Offering, will allow the Company to meet its liquidity requirements through the end of the third quarter, which is less than twelve months from the issuance of these Condensed Consolidated Financial Statements. These conditions raise substantial doubt about the Company’s ability to continue as a going concern. The Company is evaluating several financing strategies to provide continued funding which may include additional direct equity investments or future public offerings of our common stock. The timing and availability of such financing is not yet known and we cannot be certain that additional financing will be available on acceptable terms, or at all. Even if we are able to obtain additional debt or equity financing, it may contain restrictions on our operations or cause substantial dilution to our stockholders.</w:t>
      </w:r>
    </w:p>
    <w:p>
      <w:pPr>
        <w:spacing w:after="0" w:line="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 accompanying Condensed Consolidated Balance Sheet as of March 31, 2021, Condensed Consolidated Statements of Operations for the three months ended March 31, 2021 and 2020, Condensed Consolidated Statement of Changes in Redeemable Noncontrolling Interest and Stockholders’ Deficit for the three months ended March 31, 2021 and 2020 and Condensed Consolidated Statements of Cash Flows for the three months ended March 31, 2021 and 2020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2020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2021, the results of operations for the three months ended March 31, 2021 and 2020 and cash flows for the three months ended March 31, 2021 and 2020. The December 31, 2020 Condensed Consolidated Balance Sheet included herein was derived from the audited financial statements but does not include all disclosures or notes required by GAAP for complete financial statements.</w:t>
      </w:r>
    </w:p>
    <w:p>
      <w:pPr>
        <w:spacing w:after="0" w:line="7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months ended March 31, 2021 and 2020 are unaudited. Interim results are not necessarily indicative of results for an entire year.</w:t>
      </w:r>
    </w:p>
    <w:p>
      <w:pPr>
        <w:spacing w:after="0" w:line="62"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One and two customers represented 100% of the revenue earned during the three months ended March 31, 2021 and March 31, 2020,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Company holds equity investments without readily determinable market values. The Company has elected to measure these investments at cost minus impairment, if any, plus or minus changes resulting from observable price changes in orderly transactions for the identical or similar investment.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uses the revenue recognition guidance established by ASC Topic 606, “Revenue From Contracts With Customers” (“ASC Topic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103"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 activities on the Company’s behalf, facilities costs, and overhead costs. Research and development costs are expensed as incurred.</w:t>
      </w:r>
    </w:p>
    <w:p>
      <w:pPr>
        <w:spacing w:after="0" w:line="7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jc w:val="both"/>
        <w:ind w:right="540" w:firstLine="510"/>
        <w:spacing w:after="0" w:line="375" w:lineRule="auto"/>
        <w:rPr>
          <w:sz w:val="20"/>
          <w:szCs w:val="20"/>
          <w:color w:val="auto"/>
        </w:rPr>
      </w:pPr>
      <w:r>
        <w:rPr>
          <w:rFonts w:ascii="Arial" w:cs="Arial" w:eastAsia="Arial" w:hAnsi="Arial"/>
          <w:sz w:val="15"/>
          <w:szCs w:val="15"/>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recently accounting pronouncements which are expected to have a material impact on the Company’s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jc w:val="both"/>
        <w:ind w:right="280" w:firstLine="468"/>
        <w:spacing w:after="0" w:line="286" w:lineRule="auto"/>
        <w:rPr>
          <w:sz w:val="20"/>
          <w:szCs w:val="20"/>
          <w:color w:val="auto"/>
        </w:rPr>
      </w:pPr>
      <w:r>
        <w:rPr>
          <w:rFonts w:ascii="Arial" w:cs="Arial" w:eastAsia="Arial" w:hAnsi="Arial"/>
          <w:sz w:val="17"/>
          <w:szCs w:val="17"/>
          <w:color w:val="auto"/>
        </w:rPr>
        <w:t xml:space="preserve">The Company is party to a license agreement with Reneo Pharmaceuticals, Inc. (“Reneo”)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w:t>
      </w:r>
    </w:p>
    <w:p>
      <w:pPr>
        <w:spacing w:after="0" w:line="57" w:lineRule="exact"/>
        <w:rPr>
          <w:sz w:val="20"/>
          <w:szCs w:val="20"/>
          <w:color w:val="auto"/>
        </w:rPr>
      </w:pPr>
    </w:p>
    <w:p>
      <w:pPr>
        <w:ind w:right="200" w:firstLine="468"/>
        <w:spacing w:after="0" w:line="263"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6" w:lineRule="exact"/>
        <w:rPr>
          <w:sz w:val="20"/>
          <w:szCs w:val="20"/>
          <w:color w:val="auto"/>
        </w:rPr>
      </w:pPr>
    </w:p>
    <w:p>
      <w:pPr>
        <w:jc w:val="both"/>
        <w:ind w:right="180" w:firstLine="468"/>
        <w:spacing w:after="0" w:line="263" w:lineRule="auto"/>
        <w:rPr>
          <w:sz w:val="20"/>
          <w:szCs w:val="20"/>
          <w:color w:val="auto"/>
        </w:rPr>
      </w:pPr>
      <w:r>
        <w:rPr>
          <w:rFonts w:ascii="Arial" w:cs="Arial" w:eastAsia="Arial" w:hAnsi="Arial"/>
          <w:sz w:val="18"/>
          <w:szCs w:val="18"/>
          <w:color w:val="auto"/>
        </w:rPr>
        <w:t>The revenue related to this performance obligation has been fully recognized and no revenue related to this performance obligation was recognized for the three months ended March 31, 2021 and 2020. There have been no adjustments to the transaction price for the performance obligations under the Reneo License Agreement during the three months ended March 31,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jc w:val="both"/>
        <w:ind w:right="400" w:firstLine="468"/>
        <w:spacing w:after="0" w:line="263" w:lineRule="auto"/>
        <w:rPr>
          <w:sz w:val="20"/>
          <w:szCs w:val="20"/>
          <w:color w:val="auto"/>
        </w:rPr>
      </w:pPr>
      <w:r>
        <w:rPr>
          <w:rFonts w:ascii="Arial" w:cs="Arial" w:eastAsia="Arial" w:hAnsi="Arial"/>
          <w:sz w:val="18"/>
          <w:szCs w:val="18"/>
          <w:color w:val="auto"/>
        </w:rPr>
        <w:t>On January 14, 2021, the Company entered into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76" w:lineRule="exact"/>
        <w:rPr>
          <w:sz w:val="20"/>
          <w:szCs w:val="20"/>
          <w:color w:val="auto"/>
        </w:rPr>
      </w:pPr>
    </w:p>
    <w:p>
      <w:pPr>
        <w:ind w:right="120" w:firstLine="468"/>
        <w:spacing w:after="0" w:line="272" w:lineRule="auto"/>
        <w:rPr>
          <w:sz w:val="20"/>
          <w:szCs w:val="20"/>
          <w:color w:val="auto"/>
        </w:rPr>
      </w:pPr>
      <w:r>
        <w:rPr>
          <w:rFonts w:ascii="Arial" w:cs="Arial" w:eastAsia="Arial" w:hAnsi="Arial"/>
          <w:sz w:val="17"/>
          <w:szCs w:val="17"/>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Topic 606 and performed a reallocation of the transaction price among the remaining performance obligations. This resulted in the recognition of approximately $1.0 million of revenue on a cumulative catch up basis.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69"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significant performance obligations under this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w:t>
      </w:r>
    </w:p>
    <w:p>
      <w:pPr>
        <w:spacing w:after="0" w:line="79" w:lineRule="exact"/>
        <w:rPr>
          <w:sz w:val="20"/>
          <w:szCs w:val="20"/>
          <w:color w:val="auto"/>
        </w:rPr>
      </w:pPr>
    </w:p>
    <w:p>
      <w:pPr>
        <w:ind w:right="180" w:firstLine="468"/>
        <w:spacing w:after="0" w:line="271" w:lineRule="auto"/>
        <w:rPr>
          <w:sz w:val="20"/>
          <w:szCs w:val="20"/>
          <w:color w:val="auto"/>
        </w:rPr>
      </w:pPr>
      <w:r>
        <w:rPr>
          <w:rFonts w:ascii="Arial" w:cs="Arial" w:eastAsia="Arial" w:hAnsi="Arial"/>
          <w:sz w:val="17"/>
          <w:szCs w:val="17"/>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 March 31, 2021. In connection with the First Huadong Amendment, the Company recognized approximately $1.0 million of revenue related to this performance obligation during the three months ended March 31, 2021 due to the reallocation of the transaction price among the performance obligations remaining after the First Huadong Amendment. No revenue related to this combined performance obligation was recognized during the three months ended March 31, 2020.</w:t>
      </w:r>
    </w:p>
    <w:p>
      <w:pPr>
        <w:spacing w:after="0" w:line="70" w:lineRule="exact"/>
        <w:rPr>
          <w:sz w:val="20"/>
          <w:szCs w:val="20"/>
          <w:color w:val="auto"/>
        </w:rPr>
      </w:pPr>
    </w:p>
    <w:p>
      <w:pPr>
        <w:ind w:right="320" w:firstLine="468"/>
        <w:spacing w:after="0" w:line="263" w:lineRule="auto"/>
        <w:rPr>
          <w:sz w:val="20"/>
          <w:szCs w:val="20"/>
          <w:color w:val="auto"/>
        </w:rPr>
      </w:pPr>
      <w:r>
        <w:rPr>
          <w:rFonts w:ascii="Arial" w:cs="Arial" w:eastAsia="Arial" w:hAnsi="Arial"/>
          <w:sz w:val="18"/>
          <w:szCs w:val="18"/>
          <w:color w:val="auto"/>
        </w:rPr>
        <w:t>The portion of the transaction price allocated to the obligation to participate in the joint development committee (the “JDC”) to oversee the development of products and the Phase 2 MRCT in accordance with the development plan remained deferred as of March 31, 2021 and revenue will be recognized using the proportional performance model over the period of the Company’s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600"/>
        <w:spacing w:after="0" w:line="342" w:lineRule="auto"/>
        <w:rPr>
          <w:sz w:val="20"/>
          <w:szCs w:val="20"/>
          <w:color w:val="auto"/>
        </w:rPr>
      </w:pPr>
      <w:r>
        <w:rPr>
          <w:rFonts w:ascii="Arial" w:cs="Arial" w:eastAsia="Arial" w:hAnsi="Arial"/>
          <w:sz w:val="16"/>
          <w:szCs w:val="16"/>
          <w:color w:val="auto"/>
        </w:rPr>
        <w:t>participation on the JDC. The unrecognized amount of the transaction price allocated to this performance obligation as of March 31, 2021 was $0.1 million. An immaterial amount of revenue for this performance obligation has been recognized during the three months ended March 31, 2021.</w:t>
      </w:r>
    </w:p>
    <w:p>
      <w:pPr>
        <w:spacing w:after="0" w:line="16" w:lineRule="exact"/>
        <w:rPr>
          <w:sz w:val="20"/>
          <w:szCs w:val="20"/>
          <w:color w:val="auto"/>
        </w:rPr>
      </w:pPr>
    </w:p>
    <w:p>
      <w:pPr>
        <w:ind w:right="160" w:firstLine="468"/>
        <w:spacing w:after="0" w:line="263"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months ended March 31, 2021 other than the reallocation of the original transaction price among the performance obligations in connection with the First Huadong Amendment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4" w:lineRule="exact"/>
        <w:rPr>
          <w:sz w:val="20"/>
          <w:szCs w:val="20"/>
          <w:color w:val="auto"/>
        </w:rPr>
      </w:pPr>
    </w:p>
    <w:p>
      <w:pPr>
        <w:ind w:right="320" w:firstLine="555"/>
        <w:spacing w:after="0" w:line="257"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March 31, 2021. No revenue related to this performance obligation was recognized and there have been no changes to the transaction price during the three months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Anteris License Agreement</w:t>
      </w:r>
    </w:p>
    <w:p>
      <w:pPr>
        <w:spacing w:after="0" w:line="117" w:lineRule="exact"/>
        <w:rPr>
          <w:sz w:val="20"/>
          <w:szCs w:val="20"/>
          <w:color w:val="auto"/>
        </w:rPr>
      </w:pPr>
    </w:p>
    <w:p>
      <w:pPr>
        <w:ind w:right="300" w:firstLine="568"/>
        <w:spacing w:after="0" w:line="308" w:lineRule="auto"/>
        <w:rPr>
          <w:sz w:val="20"/>
          <w:szCs w:val="20"/>
          <w:color w:val="auto"/>
        </w:rPr>
      </w:pPr>
      <w:r>
        <w:rPr>
          <w:rFonts w:ascii="Arial" w:cs="Arial" w:eastAsia="Arial" w:hAnsi="Arial"/>
          <w:sz w:val="17"/>
          <w:szCs w:val="17"/>
          <w:color w:val="auto"/>
        </w:rPr>
        <w:t xml:space="preserve">On December 11, 2020, we entered into a license agreement with Anteris Bio, Inc. (“Anteris”) (the “Anteris License Agreement”), under which Anteris obtained a worldwide, exclusive and sublicensable license to develop and commercialize the Company’s Nrf2 activator, </w:t>
      </w:r>
      <w:r>
        <w:rPr>
          <w:rFonts w:ascii="Arial" w:cs="Arial" w:eastAsia="Arial" w:hAnsi="Arial"/>
          <w:sz w:val="17"/>
          <w:szCs w:val="17"/>
          <w:i w:val="1"/>
          <w:iCs w:val="1"/>
          <w:color w:val="auto"/>
        </w:rPr>
        <w:t>HPP971</w:t>
      </w:r>
      <w:r>
        <w:rPr>
          <w:rFonts w:ascii="Arial" w:cs="Arial" w:eastAsia="Arial" w:hAnsi="Arial"/>
          <w:sz w:val="17"/>
          <w:szCs w:val="17"/>
          <w:color w:val="auto"/>
        </w:rPr>
        <w:t>.</w:t>
      </w:r>
    </w:p>
    <w:p>
      <w:pPr>
        <w:spacing w:after="0" w:line="38" w:lineRule="exact"/>
        <w:rPr>
          <w:sz w:val="20"/>
          <w:szCs w:val="20"/>
          <w:color w:val="auto"/>
        </w:rPr>
      </w:pPr>
    </w:p>
    <w:p>
      <w:pPr>
        <w:ind w:firstLine="568"/>
        <w:spacing w:after="0" w:line="273" w:lineRule="auto"/>
        <w:rPr>
          <w:sz w:val="20"/>
          <w:szCs w:val="20"/>
          <w:color w:val="auto"/>
        </w:rPr>
      </w:pPr>
      <w:r>
        <w:rPr>
          <w:rFonts w:ascii="Arial" w:cs="Arial" w:eastAsia="Arial" w:hAnsi="Arial"/>
          <w:sz w:val="17"/>
          <w:szCs w:val="17"/>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178"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Pursuant to the terms of the Anteris License Agreement, the Company was required to provide technology transfer services for a 30 day period after the effective date. In accordance with ASC Topic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As of December 31, 2020, the transaction price consisted of the $2.0 million initial license payment as well as the fair value of the equity interest received in Anteris of $4.2 million. The remaining milestone payments that the Company is eligible to receive were not included in the transaction price as of December 31, 2020, as it was not considered probable that such payments will be received. The revenue related to this performance obligation was fully recognized as of December 31, 2020 as the technology transfer services were considered complete. No revenue related to this performance obligation was recognized and there have been no changes to the transaction price during the three months ended March 31,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w:t>
      </w:r>
    </w:p>
    <w:p>
      <w:pPr>
        <w:spacing w:after="0" w:line="5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March 31, 2021, the Company had received funding under this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agreement of $3.0 million. Research and development costs have been offset by a total of $3.0 million over the course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1360" w:type="dxa"/>
            <w:vAlign w:val="bottom"/>
            <w:tcBorders>
              <w:top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 net of current portion</w:t>
            </w:r>
          </w:p>
        </w:tc>
        <w:tc>
          <w:tcPr>
            <w:tcW w:w="1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360" w:type="dxa"/>
            <w:vAlign w:val="bottom"/>
            <w:tcBorders>
              <w:bottom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change in the Company’s contract liabilities for the three months ended March 31, 2021 was due to the recognition of amounts included in the contract liability at the beginning of the period caused by the reallocation of the transaction price in connection with the First Huadong Amendment discussed above.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has issued non-qualified stock option awards to certain employees of the Company. These option awards vest ratably over a three-year period and the option awards expire after a term of ten years from the date of grant. As of March 31, 2021, the Company had total unrecognized stock-based compensation expense for its outstanding stock option awards of approximately $3.3 million, which is expected to be recognized over a weighted average period of 2.4 years. There were no options granted during the three months ended March 31, 2021 and 2020. The aggregate intrinsic value of the in-the-money awards outstanding at March 31, 2021 was $2.0 million.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three months ended March 31,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2020</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4,453,357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(20,833)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(28,121)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outstanding at March 31, 2021</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4,404,403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March 31, 2021</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2,135,504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6.1 Years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March 31, 2021</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4,157,649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7.7 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00" w:firstLine="568"/>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0" w:type="dxa"/>
            <w:vAlign w:val="bottom"/>
            <w:gridSpan w:val="4"/>
          </w:tcPr>
          <w:p>
            <w:pPr>
              <w:jc w:val="right"/>
              <w:ind w:right="227"/>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4220" w:type="dxa"/>
            <w:vAlign w:val="bottom"/>
          </w:tcPr>
          <w:p>
            <w:pPr>
              <w:spacing w:after="0"/>
              <w:rPr>
                <w:sz w:val="18"/>
                <w:szCs w:val="18"/>
                <w:color w:val="auto"/>
              </w:rPr>
            </w:pPr>
          </w:p>
        </w:tc>
        <w:tc>
          <w:tcPr>
            <w:tcW w:w="230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8"/>
                <w:szCs w:val="18"/>
                <w:color w:val="auto"/>
              </w:rPr>
            </w:pPr>
          </w:p>
        </w:tc>
        <w:tc>
          <w:tcPr>
            <w:tcW w:w="142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1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5:Investments</w:t>
      </w:r>
    </w:p>
    <w:p>
      <w:pPr>
        <w:spacing w:after="0" w:line="121"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In connection with the Reneo and Anteris License Agreements, the Company has received equity interests representing a minority equity interest in each investee. In each case, the Company’s investment is measured at cost less impairment, adjusted for any changes in observable prices, because the Company owns less than 20% of the voting equity and does not have the ability to exercise significant influence over the investees. The investments were initially recognized at fair value and are classified as long-term investments in the Company’s Consolidated Balance Sheets.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right="140" w:firstLine="510"/>
        <w:spacing w:after="0" w:line="277" w:lineRule="auto"/>
        <w:rPr>
          <w:sz w:val="20"/>
          <w:szCs w:val="20"/>
          <w:color w:val="auto"/>
        </w:rPr>
      </w:pPr>
      <w:r>
        <w:rPr>
          <w:rFonts w:ascii="Arial" w:cs="Arial" w:eastAsia="Arial" w:hAnsi="Arial"/>
          <w:sz w:val="18"/>
          <w:szCs w:val="18"/>
          <w:color w:val="auto"/>
        </w:rPr>
        <w:t>As of December 31, 2020, the Company’s equity investments without readily determinable fair values assessed under the measurement alternative consist of the following:</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880" w:type="dxa"/>
            <w:vAlign w:val="bottom"/>
            <w:vMerge w:val="restart"/>
          </w:tcPr>
          <w:p>
            <w:pPr>
              <w:spacing w:after="0"/>
              <w:rPr>
                <w:sz w:val="20"/>
                <w:szCs w:val="20"/>
                <w:color w:val="auto"/>
              </w:rPr>
            </w:pPr>
            <w:r>
              <w:rPr>
                <w:rFonts w:ascii="Arial" w:cs="Arial" w:eastAsia="Arial" w:hAnsi="Arial"/>
                <w:sz w:val="18"/>
                <w:szCs w:val="18"/>
                <w:color w:val="auto"/>
              </w:rPr>
              <w:t>Reneo common stock</w:t>
            </w:r>
          </w:p>
        </w:tc>
        <w:tc>
          <w:tcPr>
            <w:tcW w:w="1220" w:type="dxa"/>
            <w:vAlign w:val="bottom"/>
          </w:tcPr>
          <w:p>
            <w:pPr>
              <w:spacing w:after="0"/>
              <w:rPr>
                <w:sz w:val="14"/>
                <w:szCs w:val="14"/>
                <w:color w:val="auto"/>
              </w:rPr>
            </w:pPr>
          </w:p>
        </w:tc>
        <w:tc>
          <w:tcPr>
            <w:tcW w:w="1680" w:type="dxa"/>
            <w:vAlign w:val="bottom"/>
          </w:tcPr>
          <w:p>
            <w:pPr>
              <w:jc w:val="right"/>
              <w:ind w:right="27"/>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28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Borders>
              <w:top w:val="single" w:sz="8" w:color="auto"/>
            </w:tcBorders>
          </w:tcPr>
          <w:p>
            <w:pPr>
              <w:jc w:val="right"/>
              <w:ind w:right="15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Anteris preferred stock</w:t>
            </w:r>
          </w:p>
        </w:tc>
        <w:tc>
          <w:tcPr>
            <w:tcW w:w="122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12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680" w:type="dxa"/>
            <w:vAlign w:val="bottom"/>
            <w:tcBorders>
              <w:bottom w:val="single" w:sz="8" w:color="auto"/>
            </w:tcBorders>
          </w:tcPr>
          <w:p>
            <w:pPr>
              <w:jc w:val="right"/>
              <w:ind w:right="15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No adjustments have been made to the value of the Company’s investment in either Reneo or Anteris since their initial measurement either due to impairment or based on observable price changes.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6:Notes Payable</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(the “Second Amendment”) and on July 29, 2020, the Company entered into the Third Amendment to the Loan Agreement. These amendments extended the maturity dates of the loans and adjusted the minimum cash balance and, in certain instances, provided for interest only payments for certain periods. The Company fully repaid the amounts due under the Loan Agreement in December 2020 in accordance with the stated terms of the agreement as amended and the agreement was then terminated.</w:t>
      </w:r>
    </w:p>
    <w:p>
      <w:pPr>
        <w:spacing w:after="0" w:line="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Each loan tranche bore interest at a floating rate equal to 10.5% plus the amount by which the one-month London Interbank Offer Rate (“LIBOR”) exceeds 0.5%.</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borrowed the first tranche of $12.5 million upon close of the Loan Agreement in October 2016. As amended, the first tranche required only monthly interest payments until May 1, 2018 followed by monthly payments of principal plus accrued interest through the amended maturity date on September 1, 2020. In addition, a final payment for the first tranche loan equal to $0.8 million was due on September 1, 2020, or such earlier date specified in the Loan Agreement, as amended. The Company borrowed the second tranche of $7.5 million in March 2017. The second tranche required only monthly interest payments until October 1, 2018 followed by monthly payments of principal plus accrued interest through the amended maturity date on January 1, 2021. In addition, a final payment for the second tranche loan equal to $0.8 million was due on January 1, 2021, or such earlier date specified in the Loan Agreement as amended.</w:t>
      </w:r>
    </w:p>
    <w:p>
      <w:pPr>
        <w:spacing w:after="0" w:line="87" w:lineRule="exact"/>
        <w:rPr>
          <w:sz w:val="20"/>
          <w:szCs w:val="20"/>
          <w:color w:val="auto"/>
        </w:rPr>
      </w:pPr>
    </w:p>
    <w:p>
      <w:pPr>
        <w:ind w:right="320" w:firstLine="597"/>
        <w:spacing w:after="0" w:line="279" w:lineRule="auto"/>
        <w:rPr>
          <w:sz w:val="20"/>
          <w:szCs w:val="20"/>
          <w:color w:val="auto"/>
        </w:rPr>
      </w:pPr>
      <w:r>
        <w:rPr>
          <w:rFonts w:ascii="Arial" w:cs="Arial" w:eastAsia="Arial" w:hAnsi="Arial"/>
          <w:sz w:val="17"/>
          <w:szCs w:val="17"/>
          <w:color w:val="auto"/>
        </w:rPr>
        <w:t>The Second and Third Amendments were considered modifications to the existing agreement for accounting purposes. As such, the Company determined a new effective interest rate of 21.5% on the debt considering the remaining unamortized cost and the increases to the final payment for the second tranche as a result of these amendments. The related costs were amortized and the final payments for the first and second loan tranches were accrued as additional interest expense, using the effective interest method over the term of the Loan Agreement.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 xml:space="preserve">Under the terms of the Huadong License Agreement, prior to its amendment in January 2021, vTv LLC was obligated to act as the sponsor of the Phase 2 MRCT should Huadong require it to do so. The Phase 2 MRCT was to include sites in both US and the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and was to be designed to satisfy the requirements of the China Food and Drug Administration necessary in order for Huadong to begin a Phase 3 clinical trial in China. vTv LLC was responsible for contributing up to $3.0 million in connection with the Phase 2 MRCT. In connection with the First Huadong Amendment, discussed further in Note 3, the Company’s obligation to sponsor and contribute funding to the Phase 2 MRCT was eliminated from the Huadong License Agreement.</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8:Leases</w:t>
      </w:r>
    </w:p>
    <w:p>
      <w:pPr>
        <w:spacing w:after="0" w:line="12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Company leases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63"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each of March 31, 2021 and December 31, 2020, the weighted average incremental borrowing rate for the operating leases held by the Company was 13.1%. At March 31, 2021 and December 31, 2020, the weighted average remaining lease terms for the operating leases held by the Company were 3.8 years and 4.1 years,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for the Company’s operating leases as of March 31, 2021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nine months)</w:t>
            </w:r>
          </w:p>
        </w:tc>
        <w:tc>
          <w:tcPr>
            <w:tcW w:w="190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2022</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2024</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r>
      <w:tr>
        <w:trPr>
          <w:trHeight w:val="223"/>
        </w:trPr>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lease cost and the related operating cash flows for the three months ended March 31, 2021 and 2020 were immaterial amounts.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9:Redeemable Noncontrolling Interest</w:t>
      </w:r>
    </w:p>
    <w:p>
      <w:pPr>
        <w:spacing w:after="0" w:line="12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28.6% noncontrolling interest in vTv LLC outstanding as of March 31, 2021 (see Note 10).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March 31, 2021 and December 31, 2020, the redeemable noncontrolling interest was recorded based on the redemption value as of the balance sheet date of $62.6 million and $83.9 million, respectively.</w:t>
      </w:r>
    </w:p>
    <w:p>
      <w:pPr>
        <w:spacing w:after="0" w:line="5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229"/>
        </w:trPr>
        <w:tc>
          <w:tcPr>
            <w:tcW w:w="6120" w:type="dxa"/>
            <w:vAlign w:val="bottom"/>
          </w:tcPr>
          <w:p>
            <w:pPr>
              <w:spacing w:after="0"/>
              <w:rPr>
                <w:sz w:val="19"/>
                <w:szCs w:val="19"/>
                <w:color w:val="auto"/>
              </w:rPr>
            </w:pPr>
          </w:p>
        </w:tc>
        <w:tc>
          <w:tcPr>
            <w:tcW w:w="39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4"/>
        </w:trPr>
        <w:tc>
          <w:tcPr>
            <w:tcW w:w="612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0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(4,241)</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(4,724)</w:t>
            </w:r>
          </w:p>
        </w:tc>
      </w:tr>
      <w:tr>
        <w:trPr>
          <w:trHeight w:val="215"/>
        </w:trPr>
        <w:tc>
          <w:tcPr>
            <w:tcW w:w="6120" w:type="dxa"/>
            <w:vAlign w:val="bottom"/>
          </w:tcPr>
          <w:p>
            <w:pPr>
              <w:spacing w:after="0"/>
              <w:rPr>
                <w:sz w:val="20"/>
                <w:szCs w:val="20"/>
                <w:color w:val="auto"/>
              </w:rPr>
            </w:pPr>
            <w:r>
              <w:rPr>
                <w:rFonts w:ascii="Arial" w:cs="Arial" w:eastAsia="Arial" w:hAnsi="Arial"/>
                <w:sz w:val="18"/>
                <w:szCs w:val="18"/>
                <w:color w:val="auto"/>
              </w:rPr>
              <w:t>Increase in vTv Therapeutics Inc. accumulated</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1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(2,410)</w:t>
            </w:r>
          </w:p>
        </w:tc>
        <w:tc>
          <w:tcPr>
            <w:tcW w:w="40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(2,423)</w:t>
            </w:r>
          </w:p>
        </w:tc>
      </w:tr>
      <w:tr>
        <w:trPr>
          <w:trHeight w:val="209"/>
        </w:trPr>
        <w:tc>
          <w:tcPr>
            <w:tcW w:w="6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1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(6,651)</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(7,147)</w:t>
            </w: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w:t>
      </w:r>
    </w:p>
    <w:p>
      <w:pPr>
        <w:spacing w:after="0" w:line="79"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On January 14,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2021 and 2020, the Company did not sell any shares under the ATM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Capital Transaction</w:t>
      </w:r>
    </w:p>
    <w:p>
      <w:pPr>
        <w:spacing w:after="0" w:line="117"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LPC Purchase Agreement. During the three months ended March 31, 2021, the Company sold 3,500,000 shares under the LPC Purchase Agreement for total proceeds of $8.0 million.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As of March 31, 2021, subsidiaries and affiliates of MacAndrews &amp; Forbes Incorporated (collectively “MacAndrews”) indirectly controlled 23,084,267 shares of the Company’s Class B Common Stock and 36,606,212 shares of the Company’s Class A Common Stock. As a result, MacAndrews’ holdings represent approximately 74.0% of the combined voting power of the Company’s outstanding common stock.</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6" w:name="page17"/>
    <w:bookmarkEnd w:id="16"/>
    <w:p>
      <w:pPr>
        <w:ind w:left="480"/>
        <w:spacing w:after="0"/>
        <w:rPr>
          <w:sz w:val="20"/>
          <w:szCs w:val="20"/>
          <w:color w:val="auto"/>
        </w:rPr>
      </w:pPr>
      <w:r>
        <w:rPr>
          <w:rFonts w:ascii="Arial" w:cs="Arial" w:eastAsia="Arial" w:hAnsi="Arial"/>
          <w:sz w:val="18"/>
          <w:szCs w:val="18"/>
          <w:color w:val="auto"/>
        </w:rPr>
        <w:t>Certain terms of the December 23, 2019 Letter Agreement are set forth in the table below:</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23, 2019 Letter Agreement</w:t>
            </w:r>
          </w:p>
        </w:tc>
      </w:tr>
      <w:tr>
        <w:trPr>
          <w:trHeight w:val="26"/>
        </w:trPr>
        <w:tc>
          <w:tcPr>
            <w:tcW w:w="5020" w:type="dxa"/>
            <w:vAlign w:val="bottom"/>
            <w:tcBorders>
              <w:bottom w:val="single" w:sz="8" w:color="CFF0FC"/>
            </w:tcBorders>
          </w:tcPr>
          <w:p>
            <w:pPr>
              <w:spacing w:after="0"/>
              <w:rPr>
                <w:sz w:val="2"/>
                <w:szCs w:val="2"/>
                <w:color w:val="auto"/>
              </w:rPr>
            </w:pPr>
          </w:p>
        </w:tc>
        <w:tc>
          <w:tcPr>
            <w:tcW w:w="12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Aggregate dollar value to be sold under agreement</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Specified purchase price per share</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 agreement</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December 23, 2020</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Shares available to be issued under related warrants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365,472</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 warrants</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Expiration date of related warrants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23, 2026</w:t>
            </w: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 March 31, 2021</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Remaining shares to be issued as of March 31, 2021</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30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March 31, 2021, MacAndrews had not exchanged any shares under the provisions of the Exchange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6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March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Company is subject to U.S. federal income taxes as well as state taxes. The Company’s income tax provision for the three months ended March 31, 2021 was a de minimis amount related to foreign withholding taxes. The Company did not record an income tax provision for the three months ended March 31, 2020.</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March 31, 2021 is due to the valuation allowance against the Company’s expected net operating losses.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firstLine="510"/>
        <w:spacing w:after="0" w:line="257" w:lineRule="auto"/>
        <w:rPr>
          <w:sz w:val="20"/>
          <w:szCs w:val="20"/>
          <w:color w:val="auto"/>
        </w:rPr>
      </w:pPr>
      <w:r>
        <w:rPr>
          <w:rFonts w:ascii="Arial" w:cs="Arial" w:eastAsia="Arial" w:hAnsi="Arial"/>
          <w:sz w:val="18"/>
          <w:szCs w:val="18"/>
          <w:color w:val="auto"/>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2021.</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13:Net Loss per Share</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40" w:type="dxa"/>
            <w:vAlign w:val="bottom"/>
            <w:gridSpan w:val="10"/>
          </w:tcPr>
          <w:p>
            <w:pPr>
              <w:jc w:val="right"/>
              <w:ind w:right="380"/>
              <w:spacing w:after="0"/>
              <w:rPr>
                <w:sz w:val="20"/>
                <w:szCs w:val="20"/>
                <w:color w:val="auto"/>
              </w:rPr>
            </w:pPr>
            <w:r>
              <w:rPr>
                <w:rFonts w:ascii="Arial" w:cs="Arial" w:eastAsia="Arial" w:hAnsi="Arial"/>
                <w:sz w:val="18"/>
                <w:szCs w:val="18"/>
                <w:b w:val="1"/>
                <w:bCs w:val="1"/>
                <w:color w:val="auto"/>
                <w:w w:val="94"/>
              </w:rPr>
              <w:t>For the Three Months Ended March 31,</w:t>
            </w:r>
          </w:p>
        </w:tc>
      </w:tr>
      <w:tr>
        <w:trPr>
          <w:trHeight w:val="234"/>
        </w:trPr>
        <w:tc>
          <w:tcPr>
            <w:tcW w:w="580" w:type="dxa"/>
            <w:vAlign w:val="bottom"/>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49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6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260" w:type="dxa"/>
            <w:vAlign w:val="bottom"/>
            <w:gridSpan w:val="3"/>
          </w:tcPr>
          <w:p>
            <w:pPr>
              <w:ind w:left="24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(5,942)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60"/>
              <w:spacing w:after="0"/>
              <w:rPr>
                <w:sz w:val="20"/>
                <w:szCs w:val="20"/>
                <w:color w:val="auto"/>
              </w:rPr>
            </w:pPr>
            <w:r>
              <w:rPr>
                <w:rFonts w:ascii="Arial" w:cs="Arial" w:eastAsia="Arial" w:hAnsi="Arial"/>
                <w:sz w:val="18"/>
                <w:szCs w:val="18"/>
                <w:color w:val="auto"/>
              </w:rPr>
              <w:t>(7,165)</w:t>
            </w:r>
          </w:p>
        </w:tc>
      </w:tr>
      <w:tr>
        <w:trPr>
          <w:trHeight w:val="215"/>
        </w:trPr>
        <w:tc>
          <w:tcPr>
            <w:tcW w:w="580" w:type="dxa"/>
            <w:vAlign w:val="bottom"/>
          </w:tcPr>
          <w:p>
            <w:pPr>
              <w:spacing w:after="0"/>
              <w:rPr>
                <w:sz w:val="18"/>
                <w:szCs w:val="18"/>
                <w:color w:val="auto"/>
              </w:rPr>
            </w:pPr>
          </w:p>
        </w:tc>
        <w:tc>
          <w:tcPr>
            <w:tcW w:w="62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(2,441)</w:t>
            </w:r>
          </w:p>
        </w:tc>
      </w:tr>
      <w:tr>
        <w:trPr>
          <w:trHeight w:val="209"/>
        </w:trPr>
        <w:tc>
          <w:tcPr>
            <w:tcW w:w="58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gridSpan w:val="3"/>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(4,241)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8"/>
                <w:szCs w:val="18"/>
                <w:color w:val="auto"/>
              </w:rPr>
              <w:t>(4,724)</w:t>
            </w:r>
          </w:p>
        </w:tc>
      </w:tr>
      <w:tr>
        <w:trPr>
          <w:trHeight w:val="223"/>
        </w:trPr>
        <w:tc>
          <w:tcPr>
            <w:tcW w:w="580" w:type="dxa"/>
            <w:vAlign w:val="bottom"/>
          </w:tcPr>
          <w:p>
            <w:pPr>
              <w:spacing w:after="0"/>
              <w:rPr>
                <w:sz w:val="19"/>
                <w:szCs w:val="19"/>
                <w:color w:val="auto"/>
              </w:rPr>
            </w:pPr>
          </w:p>
        </w:tc>
        <w:tc>
          <w:tcPr>
            <w:tcW w:w="6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tcBorders>
              <w:bottom w:val="single" w:sz="8" w:color="CFF0FC"/>
            </w:tcBorders>
            <w:gridSpan w:val="3"/>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56,472,535</w:t>
            </w: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43,462,551</w:t>
            </w:r>
          </w:p>
        </w:tc>
        <w:tc>
          <w:tcPr>
            <w:tcW w:w="120" w:type="dxa"/>
            <w:vAlign w:val="bottom"/>
            <w:tcBorders>
              <w:bottom w:val="single" w:sz="8" w:color="CFF0FC"/>
            </w:tcBorders>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2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2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(0.11)</w:t>
            </w: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5080" w:type="dxa"/>
            <w:vAlign w:val="bottom"/>
            <w:tcBorders>
              <w:top w:val="single" w:sz="8" w:color="CFF0FC"/>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53"/>
        </w:trPr>
        <w:tc>
          <w:tcPr>
            <w:tcW w:w="8680" w:type="dxa"/>
            <w:vAlign w:val="bottom"/>
            <w:gridSpan w:val="10"/>
          </w:tcPr>
          <w:p>
            <w:pPr>
              <w:jc w:val="right"/>
              <w:ind w:right="720"/>
              <w:spacing w:after="0"/>
              <w:rPr>
                <w:sz w:val="20"/>
                <w:szCs w:val="20"/>
                <w:color w:val="auto"/>
              </w:rPr>
            </w:pPr>
            <w:r>
              <w:rPr>
                <w:rFonts w:ascii="Arial" w:cs="Arial" w:eastAsia="Arial" w:hAnsi="Arial"/>
                <w:sz w:val="18"/>
                <w:szCs w:val="18"/>
                <w:color w:val="auto"/>
                <w:w w:val="97"/>
              </w:rPr>
              <w:t>Potentially dilutive securities not included in the calculation of diluted net loss per share are as follows: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March 31, 2021</w:t>
            </w:r>
          </w:p>
        </w:tc>
        <w:tc>
          <w:tcPr>
            <w:tcW w:w="20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w w:val="92"/>
              </w:rPr>
              <w:t>March 31, 2020</w:t>
            </w: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23,093,860</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23,094,221</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4,404,403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2,531,143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options granted under Letter Agreements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Common stock warrants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2,014,503</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2,014,503</w:t>
            </w:r>
          </w:p>
        </w:tc>
        <w:tc>
          <w:tcPr>
            <w:tcW w:w="10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29,512,766</w:t>
            </w:r>
          </w:p>
        </w:tc>
        <w:tc>
          <w:tcPr>
            <w:tcW w:w="2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30,139,867</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134" w:lineRule="exact"/>
        <w:rPr>
          <w:sz w:val="20"/>
          <w:szCs w:val="20"/>
          <w:color w:val="auto"/>
        </w:rPr>
      </w:pPr>
    </w:p>
    <w:p>
      <w:pPr>
        <w:ind w:left="880" w:right="22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of Financial Instruments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measures the value of its equity investments at cost minus impairment, if any, plus or minus changes resulting from observable price changes in orderly transactions for the identical or similar investment. During the three months ended March 31, 2021 and 2020, there were no observable price changes in identical or similar investments, nor were there any indications of impairment. As such, the value of the Company’s equity investments was not remeasured.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March 31, 2021 and December 31, 2020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historical volatility of its own stock as well as a portfolio of selected stocks of companies believed to have market and economic characteristics similar to its own.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1912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4"/>
          </w:tcPr>
          <w:p>
            <w:pPr>
              <w:jc w:val="center"/>
              <w:ind w:right="240"/>
              <w:spacing w:after="0"/>
              <w:rPr>
                <w:sz w:val="20"/>
                <w:szCs w:val="20"/>
                <w:color w:val="auto"/>
              </w:rPr>
            </w:pPr>
            <w:r>
              <w:rPr>
                <w:rFonts w:ascii="Arial" w:cs="Arial" w:eastAsia="Arial" w:hAnsi="Arial"/>
                <w:sz w:val="14"/>
                <w:szCs w:val="14"/>
                <w:b w:val="1"/>
                <w:bCs w:val="1"/>
                <w:color w:val="auto"/>
                <w:w w:val="92"/>
              </w:rPr>
              <w:t>Changes in Level 3 instruments for the three months ended March 31,</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Net Change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4"/>
              </w:rPr>
              <w:t>fair value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Purchases /</w:t>
            </w:r>
          </w:p>
        </w:tc>
        <w:tc>
          <w:tcPr>
            <w:tcW w:w="160" w:type="dxa"/>
            <w:vAlign w:val="bottom"/>
          </w:tcPr>
          <w:p>
            <w:pPr>
              <w:spacing w:after="0"/>
              <w:rPr>
                <w:sz w:val="12"/>
                <w:szCs w:val="12"/>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earnings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Issuance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Repurchases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2021</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2020</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During the three months ended March 31, 2021 and 2020, the Company recognized a loss of $1.6 million and a loss of $0.4 million, respectively, related to the change in fair value of the Letter Agreement Warrants. These amounts were recognized as a component of other (expense) income – related party in the Condensed Consolidated Statements of Operations. Significant inputs utilized in the valuation of the Letter Agreement Warrants as of March 31, 2021 and December 31, 2020 were: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00" w:type="dxa"/>
            <w:vAlign w:val="bottom"/>
            <w:gridSpan w:val="3"/>
          </w:tcPr>
          <w:p>
            <w:pPr>
              <w:ind w:left="460"/>
              <w:spacing w:after="0"/>
              <w:rPr>
                <w:sz w:val="20"/>
                <w:szCs w:val="20"/>
                <w:color w:val="auto"/>
              </w:rPr>
            </w:pPr>
            <w:r>
              <w:rPr>
                <w:rFonts w:ascii="Arial" w:cs="Arial" w:eastAsia="Arial" w:hAnsi="Arial"/>
                <w:sz w:val="14"/>
                <w:szCs w:val="14"/>
                <w:b w:val="1"/>
                <w:bCs w:val="1"/>
                <w:color w:val="auto"/>
              </w:rPr>
              <w:t>March 31, 2021</w:t>
            </w:r>
          </w:p>
        </w:tc>
        <w:tc>
          <w:tcPr>
            <w:tcW w:w="1000" w:type="dxa"/>
            <w:vAlign w:val="bottom"/>
          </w:tcPr>
          <w:p>
            <w:pPr>
              <w:spacing w:after="0"/>
              <w:rPr>
                <w:sz w:val="16"/>
                <w:szCs w:val="16"/>
                <w:color w:val="auto"/>
              </w:rPr>
            </w:pPr>
          </w:p>
        </w:tc>
        <w:tc>
          <w:tcPr>
            <w:tcW w:w="29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 2020</w:t>
            </w:r>
          </w:p>
        </w:tc>
      </w:tr>
      <w:tr>
        <w:trPr>
          <w:trHeight w:val="25"/>
        </w:trPr>
        <w:tc>
          <w:tcPr>
            <w:tcW w:w="350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3500" w:type="dxa"/>
            <w:vAlign w:val="bottom"/>
          </w:tcPr>
          <w:p>
            <w:pPr>
              <w:spacing w:after="0"/>
              <w:rPr>
                <w:sz w:val="18"/>
                <w:szCs w:val="18"/>
                <w:color w:val="auto"/>
              </w:rPr>
            </w:pPr>
          </w:p>
        </w:tc>
        <w:tc>
          <w:tcPr>
            <w:tcW w:w="1940" w:type="dxa"/>
            <w:vAlign w:val="bottom"/>
            <w:gridSpan w:val="2"/>
          </w:tcPr>
          <w:p>
            <w:pPr>
              <w:ind w:left="760"/>
              <w:spacing w:after="0"/>
              <w:rPr>
                <w:sz w:val="20"/>
                <w:szCs w:val="20"/>
                <w:color w:val="auto"/>
              </w:rPr>
            </w:pPr>
            <w:r>
              <w:rPr>
                <w:rFonts w:ascii="Arial" w:cs="Arial" w:eastAsia="Arial" w:hAnsi="Arial"/>
                <w:sz w:val="14"/>
                <w:szCs w:val="14"/>
                <w:b w:val="1"/>
                <w:bCs w:val="1"/>
                <w:color w:val="auto"/>
              </w:rPr>
              <w:t>Range</w:t>
            </w: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Weighted Average</w:t>
            </w:r>
          </w:p>
        </w:tc>
        <w:tc>
          <w:tcPr>
            <w:tcW w:w="2060" w:type="dxa"/>
            <w:vAlign w:val="bottom"/>
            <w:gridSpan w:val="2"/>
          </w:tcPr>
          <w:p>
            <w:pPr>
              <w:ind w:left="860"/>
              <w:spacing w:after="0"/>
              <w:rPr>
                <w:sz w:val="20"/>
                <w:szCs w:val="20"/>
                <w:color w:val="auto"/>
              </w:rPr>
            </w:pPr>
            <w:r>
              <w:rPr>
                <w:rFonts w:ascii="Arial" w:cs="Arial" w:eastAsia="Arial" w:hAnsi="Arial"/>
                <w:sz w:val="14"/>
                <w:szCs w:val="14"/>
                <w:b w:val="1"/>
                <w:bCs w:val="1"/>
                <w:color w:val="auto"/>
              </w:rPr>
              <w:t>Range</w:t>
            </w: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Weighted Average</w:t>
            </w:r>
          </w:p>
        </w:tc>
      </w:tr>
      <w:tr>
        <w:trPr>
          <w:trHeight w:val="25"/>
        </w:trPr>
        <w:tc>
          <w:tcPr>
            <w:tcW w:w="35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124.11%</w:t>
            </w: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- 148.12%</w:t>
            </w:r>
          </w:p>
        </w:tc>
        <w:tc>
          <w:tcPr>
            <w:tcW w:w="174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132.12%</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120.53%</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- 142.07%</w:t>
            </w:r>
          </w:p>
        </w:tc>
        <w:tc>
          <w:tcPr>
            <w:tcW w:w="176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rPr>
              <w:t>128.16%</w:t>
            </w:r>
          </w:p>
        </w:tc>
        <w:tc>
          <w:tcPr>
            <w:tcW w:w="12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18"/>
                <w:szCs w:val="18"/>
                <w:color w:val="auto"/>
              </w:rPr>
              <w:t>0.55%</w:t>
            </w:r>
          </w:p>
        </w:tc>
        <w:tc>
          <w:tcPr>
            <w:tcW w:w="1040" w:type="dxa"/>
            <w:vAlign w:val="bottom"/>
          </w:tcPr>
          <w:p>
            <w:pPr>
              <w:ind w:left="20"/>
              <w:spacing w:after="0"/>
              <w:rPr>
                <w:sz w:val="20"/>
                <w:szCs w:val="20"/>
                <w:color w:val="auto"/>
              </w:rPr>
            </w:pPr>
            <w:r>
              <w:rPr>
                <w:rFonts w:ascii="Arial" w:cs="Arial" w:eastAsia="Arial" w:hAnsi="Arial"/>
                <w:sz w:val="18"/>
                <w:szCs w:val="18"/>
                <w:color w:val="auto"/>
              </w:rPr>
              <w:t>- 1.10%</w:t>
            </w:r>
          </w:p>
        </w:tc>
        <w:tc>
          <w:tcPr>
            <w:tcW w:w="1740" w:type="dxa"/>
            <w:vAlign w:val="bottom"/>
          </w:tcPr>
          <w:p>
            <w:pPr>
              <w:jc w:val="right"/>
              <w:ind w:right="576"/>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1060" w:type="dxa"/>
            <w:vAlign w:val="bottom"/>
          </w:tcPr>
          <w:p>
            <w:pPr>
              <w:ind w:left="20"/>
              <w:spacing w:after="0"/>
              <w:rPr>
                <w:sz w:val="20"/>
                <w:szCs w:val="20"/>
                <w:color w:val="auto"/>
              </w:rPr>
            </w:pPr>
            <w:r>
              <w:rPr>
                <w:rFonts w:ascii="Arial" w:cs="Arial" w:eastAsia="Arial" w:hAnsi="Arial"/>
                <w:sz w:val="18"/>
                <w:szCs w:val="18"/>
                <w:color w:val="auto"/>
              </w:rPr>
              <w:t>- 0.50%</w:t>
            </w:r>
          </w:p>
        </w:tc>
        <w:tc>
          <w:tcPr>
            <w:tcW w:w="1760" w:type="dxa"/>
            <w:vAlign w:val="bottom"/>
          </w:tcPr>
          <w:p>
            <w:pPr>
              <w:jc w:val="right"/>
              <w:ind w:right="596"/>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15:Subsequent Events</w:t>
      </w:r>
    </w:p>
    <w:p>
      <w:pPr>
        <w:spacing w:after="0" w:line="12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Subsequent to March 31, 2021, the Company has issued an additional 441,726 shares of Class A common stock under the LPC Purchase Agreement for total gross proceeds of approximately $1.0 million.</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320" w:top="553" w:right="979" w:bottom="1440" w:gutter="0" w:footer="0" w:header="0"/>
        </w:sectPr>
      </w:pPr>
    </w:p>
    <w:bookmarkStart w:id="20" w:name="page21"/>
    <w:bookmarkEnd w:id="20"/>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a clinical-stage pharmaceutical company focused on treating metabolic and inflammatory diseases to minimize their long-term complications and improve the lives of patients. We have an innovative pipeline of first-in-class small molecule clinical and pre-clinical drug candidates for the treatment of a wide range of diseases. Our pipeline is led by our programs for the treatment of type 1 diabetes (</w:t>
      </w:r>
      <w:r>
        <w:rPr>
          <w:rFonts w:ascii="Arial" w:cs="Arial" w:eastAsia="Arial" w:hAnsi="Arial"/>
          <w:sz w:val="16"/>
          <w:szCs w:val="16"/>
          <w:i w:val="1"/>
          <w:iCs w:val="1"/>
          <w:color w:val="auto"/>
        </w:rPr>
        <w:t>TTP399</w:t>
      </w:r>
      <w:r>
        <w:rPr>
          <w:rFonts w:ascii="Arial" w:cs="Arial" w:eastAsia="Arial" w:hAnsi="Arial"/>
          <w:sz w:val="16"/>
          <w:szCs w:val="16"/>
          <w:color w:val="auto"/>
        </w:rPr>
        <w:t>) and for psoriasis (</w:t>
      </w:r>
      <w:r>
        <w:rPr>
          <w:rFonts w:ascii="Arial" w:cs="Arial" w:eastAsia="Arial" w:hAnsi="Arial"/>
          <w:sz w:val="16"/>
          <w:szCs w:val="16"/>
          <w:i w:val="1"/>
          <w:iCs w:val="1"/>
          <w:color w:val="auto"/>
        </w:rPr>
        <w:t>HPP737</w:t>
      </w:r>
      <w:r>
        <w:rPr>
          <w:rFonts w:ascii="Arial" w:cs="Arial" w:eastAsia="Arial" w:hAnsi="Arial"/>
          <w:sz w:val="16"/>
          <w:szCs w:val="16"/>
          <w:color w:val="auto"/>
        </w:rPr>
        <w:t xml:space="preserve">). We completed the Simplici-T1 Study, an adaptive Phase 1b/2 study supported by JDRF International (“JDRF”),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at the beginning of 2020. In February 2020, we reported positive results from the Phase 2 - Part 2 confirming phase of this study which achieved its primary objective by demonstrating statistically significant improvements in HbA1c (long-term blood sugar)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compared to placebo. In April 2021, we announced that the U.S. Food and Drug Administration granted Breakthrough Therapy designation to TTP399 for the treatment of type 1 diabetes. We are working on the design for pivotal and registrational studies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are seeking input from the FDA in connection with the grant of Breakthrough Therapy designation. In addition to the pivotal studies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we are currently conducting a Phase 1 mechanistic study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to determine the impact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on ketone body formation during a period of acute insulin withdrawal.</w:t>
      </w:r>
    </w:p>
    <w:p>
      <w:pPr>
        <w:spacing w:after="0" w:line="6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 xml:space="preserve">We are also conducting a multiple ascending dose Phase 1 study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an orally administered phosphodiesterase type 4 (“PDE4”) inhibitor, to assess the pharmacokinetics, pharmacodynamics, safety and tolerability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 healthy volunteers as part of our psoriasis program. The goal of this study is to confirm the maximum tolerated dose with minimal or no gastrointestinal (“GI”) intolerance in the form of nausea, vomiting or diarrhea. We expect to complete this study in the third quarter of 2021.</w:t>
      </w:r>
    </w:p>
    <w:p>
      <w:pPr>
        <w:spacing w:after="0" w:line="79"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 xml:space="preserve">In addition to our internal development programs, we are furthering the clinical development of four other programs: a small molecule GLP-1r agonist, the PDE4 inhibitor, </w:t>
      </w:r>
      <w:r>
        <w:rPr>
          <w:rFonts w:ascii="Arial" w:cs="Arial" w:eastAsia="Arial" w:hAnsi="Arial"/>
          <w:sz w:val="18"/>
          <w:szCs w:val="18"/>
          <w:i w:val="1"/>
          <w:iCs w:val="1"/>
          <w:color w:val="auto"/>
        </w:rPr>
        <w:t>HPP737</w:t>
      </w:r>
      <w:r>
        <w:rPr>
          <w:rFonts w:ascii="Arial" w:cs="Arial" w:eastAsia="Arial" w:hAnsi="Arial"/>
          <w:sz w:val="18"/>
          <w:szCs w:val="18"/>
          <w:color w:val="auto"/>
        </w:rPr>
        <w:t>, a PPAR-δ agonist, and an Nrf2 activator through partnerships with pharmaceutical partners via licensing arrangements.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83185</wp:posOffset>
            </wp:positionV>
            <wp:extent cx="5880735" cy="2811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073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Chronic obstructive pulmonary disease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–TTP399</w:t>
      </w:r>
    </w:p>
    <w:p>
      <w:pPr>
        <w:spacing w:after="0" w:line="121" w:lineRule="exact"/>
        <w:rPr>
          <w:sz w:val="20"/>
          <w:szCs w:val="20"/>
          <w:color w:val="auto"/>
        </w:rPr>
      </w:pPr>
    </w:p>
    <w:p>
      <w:pPr>
        <w:ind w:right="500" w:firstLine="510"/>
        <w:spacing w:after="0" w:line="301" w:lineRule="auto"/>
        <w:rPr>
          <w:sz w:val="20"/>
          <w:szCs w:val="20"/>
          <w:color w:val="auto"/>
        </w:rPr>
      </w:pPr>
      <w:r>
        <w:rPr>
          <w:rFonts w:ascii="Arial" w:cs="Arial" w:eastAsia="Arial" w:hAnsi="Arial"/>
          <w:sz w:val="16"/>
          <w:szCs w:val="16"/>
          <w:color w:val="auto"/>
        </w:rPr>
        <w:t xml:space="preserve">We are conducting a phase 1 mechanistic study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to determine the impact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on ketone body formation during a period of acute insulin withdrawal. We proposed the mechanistic study to the FDA and the FDA recommended that the study be performed in support of the planned pivotal trials. The results of this mechanistic study will provide additional evidence to support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on diabetic ketoacidosis (“DKA”) in patients with type 1 diabetes. We expect to report top-line results in the third quarter of 2021.</w:t>
      </w:r>
    </w:p>
    <w:p>
      <w:pPr>
        <w:spacing w:after="0" w:line="4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 xml:space="preserve">On April 13, 2021, we announced that the FDA has granted Breakthrough Therapy designation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an adjunctive therapy to insulin for the treatment of type 1 diabetes. This designation provides a sponsor with added support and the potential to expedite development and review timelines for a promising new investigational medicine. Based on the receipt of this designation, we are engaging with the FDA to discuss the continued development of </w:t>
      </w:r>
      <w:r>
        <w:rPr>
          <w:rFonts w:ascii="Arial" w:cs="Arial" w:eastAsia="Arial" w:hAnsi="Arial"/>
          <w:sz w:val="16"/>
          <w:szCs w:val="16"/>
          <w:i w:val="1"/>
          <w:iCs w:val="1"/>
          <w:color w:val="auto"/>
        </w:rPr>
        <w:t xml:space="preserve">TTP399 </w:t>
      </w:r>
      <w:r>
        <w:rPr>
          <w:rFonts w:ascii="Arial" w:cs="Arial" w:eastAsia="Arial" w:hAnsi="Arial"/>
          <w:sz w:val="16"/>
          <w:szCs w:val="16"/>
          <w:color w:val="auto"/>
        </w:rPr>
        <w:t>as a potential treatment of type 1 diabetes. The results of such discussions will inform our pivotal study trial design.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Psoriasis Program - HPP737</w:t>
      </w:r>
    </w:p>
    <w:p>
      <w:pPr>
        <w:spacing w:after="0" w:line="121" w:lineRule="exact"/>
        <w:rPr>
          <w:sz w:val="20"/>
          <w:szCs w:val="20"/>
          <w:color w:val="auto"/>
        </w:rPr>
      </w:pPr>
    </w:p>
    <w:p>
      <w:pPr>
        <w:ind w:right="380" w:firstLine="510"/>
        <w:spacing w:after="0" w:line="291" w:lineRule="auto"/>
        <w:rPr>
          <w:sz w:val="20"/>
          <w:szCs w:val="20"/>
          <w:color w:val="auto"/>
        </w:rPr>
      </w:pPr>
      <w:r>
        <w:rPr>
          <w:rFonts w:ascii="Arial" w:cs="Arial" w:eastAsia="Arial" w:hAnsi="Arial"/>
          <w:sz w:val="16"/>
          <w:szCs w:val="16"/>
          <w:color w:val="auto"/>
        </w:rPr>
        <w:t xml:space="preserve">We are conducting a multiple ascending dose Phase 1 study of </w:t>
      </w:r>
      <w:r>
        <w:rPr>
          <w:rFonts w:ascii="Arial" w:cs="Arial" w:eastAsia="Arial" w:hAnsi="Arial"/>
          <w:sz w:val="16"/>
          <w:szCs w:val="16"/>
          <w:i w:val="1"/>
          <w:iCs w:val="1"/>
          <w:color w:val="auto"/>
        </w:rPr>
        <w:t>HPP737</w:t>
      </w:r>
      <w:r>
        <w:rPr>
          <w:rFonts w:ascii="Arial" w:cs="Arial" w:eastAsia="Arial" w:hAnsi="Arial"/>
          <w:sz w:val="16"/>
          <w:szCs w:val="16"/>
          <w:color w:val="auto"/>
        </w:rPr>
        <w:t xml:space="preserve">, an orally administered phosphodiesterase type 4 (“PDE4”) inhibitor, to assess the pharmacokinetics, pharmacodynamics, safety and tolerability of </w:t>
      </w:r>
      <w:r>
        <w:rPr>
          <w:rFonts w:ascii="Arial" w:cs="Arial" w:eastAsia="Arial" w:hAnsi="Arial"/>
          <w:sz w:val="16"/>
          <w:szCs w:val="16"/>
          <w:i w:val="1"/>
          <w:iCs w:val="1"/>
          <w:color w:val="auto"/>
        </w:rPr>
        <w:t>HPP737</w:t>
      </w:r>
      <w:r>
        <w:rPr>
          <w:rFonts w:ascii="Arial" w:cs="Arial" w:eastAsia="Arial" w:hAnsi="Arial"/>
          <w:sz w:val="16"/>
          <w:szCs w:val="16"/>
          <w:color w:val="auto"/>
        </w:rPr>
        <w:t xml:space="preserve"> in healthy volunteers as part of our psoriasis development</w:t>
      </w:r>
    </w:p>
    <w:p>
      <w:pPr>
        <w:jc w:val="both"/>
        <w:ind w:right="20"/>
        <w:spacing w:after="0" w:line="302" w:lineRule="auto"/>
        <w:rPr>
          <w:sz w:val="20"/>
          <w:szCs w:val="20"/>
          <w:color w:val="auto"/>
        </w:rPr>
      </w:pPr>
      <w:r>
        <w:rPr>
          <w:rFonts w:ascii="Arial" w:cs="Arial" w:eastAsia="Arial" w:hAnsi="Arial"/>
          <w:sz w:val="16"/>
          <w:szCs w:val="16"/>
          <w:color w:val="auto"/>
        </w:rPr>
        <w:t xml:space="preserve">program. The goal of this study is to continue multiple-dose escalation to define a maximum tolerated dose characterized by minimal or no gastrointestinal intolerance (i.e., nausea, vomiting or diarrhea). We expect to report top-line results from this study in the third quarter of 2021. Based upon the outcome of the multiple-dose escalation study, we plan to initiate a phase 2 study to investigate </w:t>
      </w:r>
      <w:r>
        <w:rPr>
          <w:rFonts w:ascii="Arial" w:cs="Arial" w:eastAsia="Arial" w:hAnsi="Arial"/>
          <w:sz w:val="16"/>
          <w:szCs w:val="16"/>
          <w:i w:val="1"/>
          <w:iCs w:val="1"/>
          <w:color w:val="auto"/>
        </w:rPr>
        <w:t>HPP737</w:t>
      </w:r>
      <w:r>
        <w:rPr>
          <w:rFonts w:ascii="Arial" w:cs="Arial" w:eastAsia="Arial" w:hAnsi="Arial"/>
          <w:sz w:val="16"/>
          <w:szCs w:val="16"/>
          <w:color w:val="auto"/>
        </w:rPr>
        <w:t xml:space="preserve"> as a potential treatment of moderate to severe plaque psoriasis.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our inception, including our predecessor companies, through March 31, 2021, we have incurred approximately $594.1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project for the three months ended March 31, 2021 and 2020 were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350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8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240" w:type="dxa"/>
            <w:vAlign w:val="bottom"/>
          </w:tcPr>
          <w:p>
            <w:pPr>
              <w:jc w:val="right"/>
              <w:ind w:right="105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712</w:t>
            </w:r>
          </w:p>
        </w:tc>
        <w:tc>
          <w:tcPr>
            <w:tcW w:w="380" w:type="dxa"/>
            <w:vAlign w:val="bottom"/>
          </w:tcPr>
          <w:p>
            <w:pPr>
              <w:spacing w:after="0"/>
              <w:rPr>
                <w:sz w:val="19"/>
                <w:szCs w:val="19"/>
                <w:color w:val="auto"/>
              </w:rPr>
            </w:pPr>
          </w:p>
        </w:tc>
        <w:tc>
          <w:tcPr>
            <w:tcW w:w="1260" w:type="dxa"/>
            <w:vAlign w:val="bottom"/>
          </w:tcPr>
          <w:p>
            <w:pPr>
              <w:jc w:val="right"/>
              <w:ind w:right="10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r>
      <w:tr>
        <w:trPr>
          <w:trHeight w:val="229"/>
        </w:trPr>
        <w:tc>
          <w:tcPr>
            <w:tcW w:w="5880" w:type="dxa"/>
            <w:vAlign w:val="bottom"/>
          </w:tcPr>
          <w:p>
            <w:pPr>
              <w:ind w:left="120"/>
              <w:spacing w:after="0"/>
              <w:rPr>
                <w:sz w:val="20"/>
                <w:szCs w:val="20"/>
                <w:color w:val="auto"/>
              </w:rPr>
            </w:pPr>
            <w:r>
              <w:rPr>
                <w:rFonts w:ascii="Arial" w:cs="Arial" w:eastAsia="Arial" w:hAnsi="Arial"/>
                <w:sz w:val="18"/>
                <w:szCs w:val="18"/>
                <w:i w:val="1"/>
                <w:iCs w:val="1"/>
                <w:color w:val="auto"/>
              </w:rPr>
              <w:t>HPP737</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1,055</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3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240" w:type="dxa"/>
            <w:vAlign w:val="bottom"/>
            <w:tcBorders>
              <w:bottom w:val="single" w:sz="8" w:color="auto"/>
            </w:tcBorders>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3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and further advance the development of our other drug candidates, subject to the availability of additional funding.</w:t>
      </w:r>
    </w:p>
    <w:p>
      <w:pPr>
        <w:spacing w:after="0" w:line="38" w:lineRule="exact"/>
        <w:rPr>
          <w:sz w:val="20"/>
          <w:szCs w:val="20"/>
          <w:color w:val="auto"/>
        </w:rPr>
      </w:pPr>
    </w:p>
    <w:p>
      <w:pPr>
        <w:ind w:right="440" w:firstLine="510"/>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4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3" w:name="page24"/>
    <w:bookmarkEnd w:id="23"/>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1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Interest expense primarily consists of cash and non-cash interest expense related to our Venture Loan and Security Agreement (the “Loan Agreement”) with Horizon Technology Finance Corporation and Silicon Valley Bank.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are required to be paid in cash upon maturity), all of which are recognized in our Condensed Consolidated Statement of Operations using the effective interest method.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8"/>
          </w:tcPr>
          <w:p>
            <w:pPr>
              <w:jc w:val="right"/>
              <w:ind w:right="29"/>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(1,101)</w:t>
            </w: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r>
      <w:tr>
        <w:trPr>
          <w:trHeight w:val="223"/>
        </w:trPr>
        <w:tc>
          <w:tcPr>
            <w:tcW w:w="45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2,366</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net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(1,285)</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Revenue for the three months ended March 31, 2021 relates to the reallocation of revenue to the license and technology transfer performance obligation made in connection with the First Huadong Amendment. Revenue for the three months ended March 31, 2020 was insignificant.</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 xml:space="preserve">Research and development expenses were $3.1 million and $4.2 million for the three months ended March 31, 2021 and 2020, respectively. The decrease in research and development expenses during the period of $1.1 million, or 26.2%, was primarily due to a decrease in clinical trial costs of $1.7 million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which was mainly driven by discontinuance of its development as a potential treatment of Alzheimer’s disease in patients with type 2 diabetes. This decrease was coupled with lower spending on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indirect costs of approximately $0.4 million. However, these decreases were offset by increased spending of $1.0 million related to the multiple ascending dose study for </w:t>
      </w:r>
      <w:r>
        <w:rPr>
          <w:rFonts w:ascii="Arial" w:cs="Arial" w:eastAsia="Arial" w:hAnsi="Arial"/>
          <w:sz w:val="17"/>
          <w:szCs w:val="17"/>
          <w:i w:val="1"/>
          <w:iCs w:val="1"/>
          <w:color w:val="auto"/>
        </w:rPr>
        <w:t>HPP737.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General and administrative expenses were $2.2 million and $2.5 million for the three months ended March 31, 2021 and 2020, respectively. The decrease of $0.3 million has been primarily driven by the refund of certain foreign taxes paid in connection with license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Interest expense was $0.2 million for the three months ended March 31, 2020 and was related to the cash and non-cash interest for our previous Loan Agreement. Since the Loan Agreement was fully repaid in December 2020, the Company did not incur any interest expense during the three months ended March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40" w:firstLine="510"/>
        <w:spacing w:after="0" w:line="258" w:lineRule="auto"/>
        <w:rPr>
          <w:sz w:val="20"/>
          <w:szCs w:val="20"/>
          <w:color w:val="auto"/>
        </w:rPr>
      </w:pPr>
      <w:r>
        <w:rPr>
          <w:rFonts w:ascii="Arial" w:cs="Arial" w:eastAsia="Arial" w:hAnsi="Arial"/>
          <w:sz w:val="17"/>
          <w:szCs w:val="17"/>
          <w:color w:val="auto"/>
        </w:rPr>
        <w:t>As of March 31, 2021, we have an accumulated deficit of $274.7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March 31, 2021, our liquidity sources included cash and cash equivalents of $8.4 million and amounts raised under the LPC Purchase Agreement through May 5, 2021. Further, we had remaining availability of $5.5 million under our Controlled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“Sales Agreement”) with Cantor Fitzgerald &amp; Co. (“Cantor Fitzgerald”) pursuant to which the Company could offer and sell, from time to time shares of the Company’s Class A Common Stock (the “ATM Offering”). See the “ATM Offering” section below for further details. Based on our current operating plan, we believe that our current cash and cash equivalents, remaining funds available under the ATM Offering, if fully utilized, and amounts sold under the purchase agreement with Lincoln Park Capital Fund, LLC (“Lincoln Park”) (the “LPC Purchase Agreement”) through May 5, 2021 will allow us to meet our liquidity requirements through the end of the third quarter. These factors raise substantial doubt about our ability to continue as a going concern.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right="80" w:firstLine="568"/>
        <w:spacing w:after="0" w:line="275" w:lineRule="auto"/>
        <w:rPr>
          <w:sz w:val="20"/>
          <w:szCs w:val="20"/>
          <w:color w:val="auto"/>
        </w:rPr>
      </w:pPr>
      <w:r>
        <w:rPr>
          <w:rFonts w:ascii="Arial" w:cs="Arial" w:eastAsia="Arial" w:hAnsi="Arial"/>
          <w:sz w:val="17"/>
          <w:szCs w:val="17"/>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$18.5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March 31, 2021, we have sold $13.0 million worth of Class A Common Stock under the ATM Offering for net proceeds of $12.5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Purchase Agreement</w:t>
      </w:r>
    </w:p>
    <w:p>
      <w:pPr>
        <w:spacing w:after="0" w:line="117" w:lineRule="exact"/>
        <w:rPr>
          <w:sz w:val="20"/>
          <w:szCs w:val="20"/>
          <w:color w:val="auto"/>
        </w:rPr>
      </w:pPr>
    </w:p>
    <w:p>
      <w:pPr>
        <w:ind w:right="140" w:firstLine="568"/>
        <w:spacing w:after="0" w:line="259" w:lineRule="auto"/>
        <w:rPr>
          <w:sz w:val="20"/>
          <w:szCs w:val="20"/>
          <w:color w:val="auto"/>
        </w:rPr>
      </w:pPr>
      <w:r>
        <w:rPr>
          <w:rFonts w:ascii="Arial" w:cs="Arial" w:eastAsia="Arial" w:hAnsi="Arial"/>
          <w:sz w:val="18"/>
          <w:szCs w:val="18"/>
          <w:color w:val="auto"/>
        </w:rPr>
        <w:t>We have entered into the LPC Purchase Agreement, pursuant to which we have the right to sell to Lincoln Park shares of the Company’s Class A Common Stock having an aggregate value of up to $47.0 million. In December 2020, we filed a registration statement to register 5,331,306 shares. As of March 31, 2021, we have issued 4,889,580 of these registered shares and the remaining 441,726 were issued subsequent to March 31, 2021 for gross proceeds of approximately $1.0 million.</w:t>
      </w:r>
    </w:p>
    <w:p>
      <w:pPr>
        <w:spacing w:after="0" w:line="79" w:lineRule="exact"/>
        <w:rPr>
          <w:sz w:val="20"/>
          <w:szCs w:val="20"/>
          <w:color w:val="auto"/>
        </w:rPr>
      </w:pPr>
    </w:p>
    <w:p>
      <w:pPr>
        <w:ind w:firstLine="568"/>
        <w:spacing w:after="0" w:line="255" w:lineRule="auto"/>
        <w:rPr>
          <w:sz w:val="20"/>
          <w:szCs w:val="20"/>
          <w:color w:val="auto"/>
        </w:rPr>
      </w:pPr>
      <w:r>
        <w:rPr>
          <w:rFonts w:ascii="Arial" w:cs="Arial" w:eastAsia="Arial" w:hAnsi="Arial"/>
          <w:sz w:val="18"/>
          <w:szCs w:val="18"/>
          <w:color w:val="auto"/>
        </w:rPr>
        <w:t>Over the 36-month term of the LPC Purchase Agreement, we have the right, but not the obligation, from time to time, in its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80"/>
        <w:spacing w:after="0" w:line="259" w:lineRule="auto"/>
        <w:rPr>
          <w:sz w:val="20"/>
          <w:szCs w:val="20"/>
          <w:color w:val="auto"/>
        </w:rPr>
      </w:pPr>
      <w:r>
        <w:rPr>
          <w:rFonts w:ascii="Arial" w:cs="Arial" w:eastAsia="Arial" w:hAnsi="Arial"/>
          <w:sz w:val="18"/>
          <w:szCs w:val="18"/>
          <w:color w:val="auto"/>
        </w:rPr>
        <w:t>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79" w:lineRule="exact"/>
        <w:rPr>
          <w:sz w:val="20"/>
          <w:szCs w:val="20"/>
          <w:color w:val="auto"/>
        </w:rPr>
      </w:pPr>
    </w:p>
    <w:p>
      <w:pPr>
        <w:ind w:firstLine="568"/>
        <w:spacing w:after="0" w:line="270" w:lineRule="auto"/>
        <w:rPr>
          <w:sz w:val="20"/>
          <w:szCs w:val="20"/>
          <w:color w:val="auto"/>
        </w:rPr>
      </w:pPr>
      <w:r>
        <w:rPr>
          <w:rFonts w:ascii="Arial" w:cs="Arial" w:eastAsia="Arial" w:hAnsi="Arial"/>
          <w:sz w:val="17"/>
          <w:szCs w:val="17"/>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73" w:lineRule="exact"/>
        <w:rPr>
          <w:sz w:val="20"/>
          <w:szCs w:val="20"/>
          <w:color w:val="auto"/>
        </w:rPr>
      </w:pPr>
    </w:p>
    <w:p>
      <w:pPr>
        <w:ind w:right="180" w:firstLine="568"/>
        <w:spacing w:after="0" w:line="279" w:lineRule="auto"/>
        <w:rPr>
          <w:sz w:val="20"/>
          <w:szCs w:val="20"/>
          <w:color w:val="auto"/>
        </w:rPr>
      </w:pPr>
      <w:r>
        <w:rPr>
          <w:rFonts w:ascii="Arial" w:cs="Arial" w:eastAsia="Arial" w:hAnsi="Arial"/>
          <w:sz w:val="17"/>
          <w:szCs w:val="17"/>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(5,299)</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8,001</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For the three months ended March 31, 2021, our net cash used in operating activities decreased $0.3 million from the three months ended March 31, 2020 due primarily to working capital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cash flows from investing activities for the three months ended March 31, 2021 or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For the three months ended March 31, 2021, net cash provided by financing activities increased by $3.8 million from the three months ended March 31, 2020, driven by decreases in payments on loans due to the full repayment of the Loan Agreement in December 2020 and higher sales of shares of our Class A Common Stock during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right="40" w:firstLine="510"/>
        <w:spacing w:after="0" w:line="269" w:lineRule="auto"/>
        <w:rPr>
          <w:sz w:val="20"/>
          <w:szCs w:val="20"/>
          <w:color w:val="auto"/>
        </w:rPr>
      </w:pPr>
      <w:r>
        <w:rPr>
          <w:rFonts w:ascii="Arial" w:cs="Arial" w:eastAsia="Arial" w:hAnsi="Arial"/>
          <w:sz w:val="17"/>
          <w:szCs w:val="17"/>
          <w:color w:val="auto"/>
        </w:rPr>
        <w:t xml:space="preserve">Based on our current operating plan, we believe that our current cash and cash equivalents, availability under the ATM Offering and amounts raised under the LPC Purchase Agreement through May 5, 2021 will allow us to meet our liquidity requirements through the end of the third quarter of 2021.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are also evaluating several financing strategies to fund the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including direct equity investments and future public offerings of our common stock. The timing and availability of such financing are not yet known and we cannot be certain that additional financing will be available on acceptable terms, or at all. Even if we are able to obtain additional debt or equity financing, it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16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trial(s) to evaluate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 and our planned trial(s)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a potential treatment of psoriasis;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117"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ATM Offering and LPC Purchase Agreement. In addition, we are evaluating several financing strategies to fund the on-going and future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HPP737</w:t>
      </w:r>
      <w:r>
        <w:rPr>
          <w:rFonts w:ascii="Arial" w:cs="Arial" w:eastAsia="Arial" w:hAnsi="Arial"/>
          <w:sz w:val="16"/>
          <w:szCs w:val="16"/>
          <w:color w:val="auto"/>
        </w:rPr>
        <w:t>,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220"/>
        <w:spacing w:after="0" w:line="277" w:lineRule="auto"/>
        <w:rPr>
          <w:sz w:val="20"/>
          <w:szCs w:val="20"/>
          <w:color w:val="auto"/>
        </w:rPr>
      </w:pPr>
      <w:r>
        <w:rPr>
          <w:rFonts w:ascii="Arial" w:cs="Arial" w:eastAsia="Arial" w:hAnsi="Arial"/>
          <w:sz w:val="18"/>
          <w:szCs w:val="18"/>
          <w:color w:val="auto"/>
        </w:rPr>
        <w:t>we could be forced to delay, reduce or eliminate our research and development programs or commercialization efforts, or pursue one or more alternative strategies, such as restructuring, any of which could adversely affect our business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2020. There have been no material changes to our critical accounting policies and estimates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7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currently have any material interest rate exposure.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8" w:name="page29"/>
    <w:bookmarkEnd w:id="28"/>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March 31, 2021. Based upon that evaluation, our Chief Executive Officer and Chief Financial Officer concluded that, as of March 31, 2021,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risk factors are set forth under the heading “Risk Factors” under Item 1A of Part I in our Annual Report on Form 10-K for the year ended December 31, 2020. There have been no material changes to our risk factors from those previously disclosed in our Annual Report on Form 10-K for the year ended December 31, 2020.</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sales of unregistered equity securities during the three months ended March 31, 2021.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29" w:name="page30"/>
    <w:bookmarkEnd w:id="29"/>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00" w:type="dxa"/>
            <w:vAlign w:val="bottom"/>
            <w:gridSpan w:val="9"/>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10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2"/>
                <w:szCs w:val="22"/>
                <w:color w:val="auto"/>
              </w:rPr>
            </w:pPr>
          </w:p>
        </w:tc>
        <w:tc>
          <w:tcPr>
            <w:tcW w:w="10200" w:type="dxa"/>
            <w:vAlign w:val="bottom"/>
            <w:gridSpan w:val="12"/>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First Amendment to License Agreement, dated as of January 14, 2021 by and between Hangzhou Zhongmei Huadong Pharmaceutical Co.,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Ltd. And vTv Therapeutics LLC (incorporated by reference to Exhibit 10.36 to the Company’s Annual Report on Form 10-K filed on</w:t>
              </w:r>
            </w:hyperlink>
          </w:p>
        </w:tc>
        <w:tc>
          <w:tcPr>
            <w:tcW w:w="38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February 24, 2021).</w:t>
              </w:r>
            </w:hyperlink>
          </w:p>
        </w:tc>
        <w:tc>
          <w:tcPr>
            <w:tcW w:w="8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0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9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Certification of President and Chief Executive Officer pursuant to 18 U.S.C. Section 1350, as adopted pursuant to Section 906 of the</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200" w:type="dxa"/>
            <w:vAlign w:val="bottom"/>
            <w:gridSpan w:val="1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2002.</w:t>
              </w:r>
            </w:hyperlink>
          </w:p>
        </w:tc>
        <w:tc>
          <w:tcPr>
            <w:tcW w:w="10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520" w:hanging="49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-276225</wp:posOffset>
            </wp:positionV>
            <wp:extent cx="11912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00" w:top="33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920" w:type="dxa"/>
            <w:vAlign w:val="bottom"/>
          </w:tcPr>
          <w:p>
            <w:pPr>
              <w:ind w:left="900"/>
              <w:spacing w:after="0"/>
              <w:rPr>
                <w:sz w:val="20"/>
                <w:szCs w:val="20"/>
                <w:color w:val="auto"/>
              </w:rPr>
            </w:pPr>
            <w:r>
              <w:rPr>
                <w:rFonts w:ascii="Arial" w:cs="Arial" w:eastAsia="Arial" w:hAnsi="Arial"/>
                <w:sz w:val="18"/>
                <w:szCs w:val="18"/>
                <w:color w:val="auto"/>
              </w:rPr>
              <w:t>VTV THERAPEUTICS INC.</w:t>
            </w:r>
          </w:p>
        </w:tc>
      </w:tr>
      <w:tr>
        <w:trPr>
          <w:trHeight w:val="230"/>
        </w:trPr>
        <w:tc>
          <w:tcPr>
            <w:tcW w:w="560" w:type="dxa"/>
            <w:vAlign w:val="bottom"/>
          </w:tcPr>
          <w:p>
            <w:pPr>
              <w:spacing w:after="0"/>
              <w:rPr>
                <w:sz w:val="20"/>
                <w:szCs w:val="20"/>
                <w:color w:val="auto"/>
              </w:rPr>
            </w:pPr>
          </w:p>
        </w:tc>
        <w:tc>
          <w:tcPr>
            <w:tcW w:w="3920" w:type="dxa"/>
            <w:vAlign w:val="bottom"/>
          </w:tcPr>
          <w:p>
            <w:pPr>
              <w:ind w:left="1540"/>
              <w:spacing w:after="0"/>
              <w:rPr>
                <w:sz w:val="20"/>
                <w:szCs w:val="20"/>
                <w:color w:val="auto"/>
              </w:rPr>
            </w:pPr>
            <w:r>
              <w:rPr>
                <w:rFonts w:ascii="Arial" w:cs="Arial" w:eastAsia="Arial" w:hAnsi="Arial"/>
                <w:sz w:val="18"/>
                <w:szCs w:val="18"/>
                <w:color w:val="auto"/>
              </w:rPr>
              <w:t>(Registrant)</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Stephen L. Holcombe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March 31, 2021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March 31, 2021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49" Type="http://schemas.openxmlformats.org/officeDocument/2006/relationships/hyperlink" Target="http://www.sec.gov/Archives/edgar/data/1641489/000156459021008149/vtvt-ex1036_3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2021-05-05T15:40:13Z</dcterms:created>
  <dcterms:modified xsi:type="dcterms:W3CDTF">2021-05-05T15:40:13Z</dcterms:modified>
</cp:coreProperties>
</file>