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580" w:hanging="3812"/>
        <w:spacing w:after="0" w:line="344"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5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47-3916571</w:t>
            </w:r>
          </w:p>
        </w:tc>
      </w:tr>
      <w:tr>
        <w:trPr>
          <w:trHeight w:val="148"/>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5080" w:type="dxa"/>
            <w:vAlign w:val="bottom"/>
          </w:tcPr>
          <w:p>
            <w:pPr>
              <w:spacing w:after="0"/>
              <w:rPr>
                <w:sz w:val="24"/>
                <w:szCs w:val="24"/>
                <w:color w:val="auto"/>
              </w:rPr>
            </w:pP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High Point, NC</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00" w:type="dxa"/>
            <w:vAlign w:val="bottom"/>
          </w:tcPr>
          <w:p>
            <w:pPr>
              <w:spacing w:after="0"/>
              <w:rPr>
                <w:sz w:val="22"/>
                <w:szCs w:val="22"/>
                <w:color w:val="auto"/>
              </w:rPr>
            </w:pPr>
          </w:p>
        </w:tc>
        <w:tc>
          <w:tcPr>
            <w:tcW w:w="5080" w:type="dxa"/>
            <w:vAlign w:val="bottom"/>
          </w:tcPr>
          <w:p>
            <w:pPr>
              <w:jc w:val="right"/>
              <w:ind w:right="280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50" w:type="dxa"/>
        <w:tblCellMar>
          <w:top w:w="0" w:type="dxa"/>
          <w:left w:w="0" w:type="dxa"/>
          <w:bottom w:w="0" w:type="dxa"/>
          <w:right w:w="0" w:type="dxa"/>
        </w:tblCellMar>
      </w:tblPr>
      <w:tr>
        <w:trPr>
          <w:trHeight w:val="210"/>
        </w:trPr>
        <w:tc>
          <w:tcPr>
            <w:tcW w:w="44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6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22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00"/>
        <w:spacing w:after="0" w:line="207" w:lineRule="exact"/>
        <w:tabs>
          <w:tab w:leader="none" w:pos="894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Class of Stock</w:t>
            </w:r>
          </w:p>
        </w:tc>
        <w:tc>
          <w:tcPr>
            <w:tcW w:w="3260" w:type="dxa"/>
            <w:vAlign w:val="bottom"/>
          </w:tcPr>
          <w:p>
            <w:pPr>
              <w:jc w:val="right"/>
              <w:ind w:right="356"/>
              <w:spacing w:after="0"/>
              <w:rPr>
                <w:sz w:val="20"/>
                <w:szCs w:val="20"/>
                <w:color w:val="auto"/>
              </w:rPr>
            </w:pPr>
            <w:r>
              <w:rPr>
                <w:rFonts w:ascii="Arial" w:cs="Arial" w:eastAsia="Arial" w:hAnsi="Arial"/>
                <w:sz w:val="14"/>
                <w:szCs w:val="14"/>
                <w:b w:val="1"/>
                <w:bCs w:val="1"/>
                <w:color w:val="auto"/>
              </w:rPr>
              <w:t>Shares Outstanding as of May 12, 2022</w:t>
            </w:r>
          </w:p>
        </w:tc>
        <w:tc>
          <w:tcPr>
            <w:tcW w:w="1780" w:type="dxa"/>
            <w:vAlign w:val="bottom"/>
          </w:tcPr>
          <w:p>
            <w:pPr>
              <w:spacing w:after="0"/>
              <w:rPr>
                <w:sz w:val="14"/>
                <w:szCs w:val="14"/>
                <w:color w:val="auto"/>
              </w:rPr>
            </w:pPr>
          </w:p>
        </w:tc>
      </w:tr>
      <w:tr>
        <w:trPr>
          <w:trHeight w:val="209"/>
        </w:trPr>
        <w:tc>
          <w:tcPr>
            <w:tcW w:w="168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66,942,777</w:t>
            </w:r>
          </w:p>
        </w:tc>
        <w:tc>
          <w:tcPr>
            <w:tcW w:w="1780" w:type="dxa"/>
            <w:vAlign w:val="bottom"/>
          </w:tcPr>
          <w:p>
            <w:pPr>
              <w:spacing w:after="0"/>
              <w:rPr>
                <w:sz w:val="18"/>
                <w:szCs w:val="18"/>
                <w:color w:val="auto"/>
              </w:rPr>
            </w:pPr>
          </w:p>
        </w:tc>
      </w:tr>
      <w:tr>
        <w:trPr>
          <w:trHeight w:val="230"/>
        </w:trPr>
        <w:tc>
          <w:tcPr>
            <w:tcW w:w="6200" w:type="dxa"/>
            <w:vAlign w:val="bottom"/>
            <w:gridSpan w:val="3"/>
          </w:tcPr>
          <w:p>
            <w:pPr>
              <w:ind w:left="1680"/>
              <w:spacing w:after="0"/>
              <w:rPr>
                <w:sz w:val="20"/>
                <w:szCs w:val="20"/>
                <w:color w:val="auto"/>
              </w:rPr>
            </w:pPr>
            <w:r>
              <w:rPr>
                <w:rFonts w:ascii="Arial" w:cs="Arial" w:eastAsia="Arial" w:hAnsi="Arial"/>
                <w:sz w:val="18"/>
                <w:szCs w:val="18"/>
                <w:color w:val="auto"/>
              </w:rPr>
              <w:t>Class B common stock, par value $0.01 per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23,093,860</w:t>
            </w:r>
          </w:p>
        </w:tc>
        <w:tc>
          <w:tcPr>
            <w:tcW w:w="1780" w:type="dxa"/>
            <w:vAlign w:val="bottom"/>
          </w:tcPr>
          <w:p>
            <w:pPr>
              <w:spacing w:after="0"/>
              <w:rPr>
                <w:sz w:val="20"/>
                <w:szCs w:val="20"/>
                <w:color w:val="auto"/>
              </w:rPr>
            </w:pPr>
          </w:p>
        </w:tc>
      </w:tr>
      <w:tr>
        <w:trPr>
          <w:trHeight w:val="122"/>
        </w:trPr>
        <w:tc>
          <w:tcPr>
            <w:tcW w:w="16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98"/>
        </w:trPr>
        <w:tc>
          <w:tcPr>
            <w:tcW w:w="16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NUMBER</w:t>
            </w:r>
          </w:p>
        </w:tc>
      </w:tr>
      <w:tr>
        <w:trPr>
          <w:trHeight w:val="290"/>
        </w:trPr>
        <w:tc>
          <w:tcPr>
            <w:tcW w:w="298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40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2022, (Unaudited) and December 31, 2021</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Operations for the three months ended March 31, 2022, and 2021</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Changes in Redeemable Noncontrolling Interest and Stockholders’ Deficit for</w:t>
              </w:r>
            </w:hyperlink>
          </w:p>
        </w:tc>
        <w:tc>
          <w:tcPr>
            <w:tcW w:w="8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the three months ended March 31, 2022, and 2021</w:t>
              </w:r>
            </w:hyperlink>
          </w:p>
        </w:tc>
        <w:tc>
          <w:tcPr>
            <w:tcW w:w="5360" w:type="dxa"/>
            <w:vAlign w:val="bottom"/>
            <w:tcBorders>
              <w:top w:val="single" w:sz="8" w:color="0000EE"/>
            </w:tcBorders>
            <w:gridSpan w:val="8"/>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18"/>
        </w:trPr>
        <w:tc>
          <w:tcPr>
            <w:tcW w:w="880" w:type="dxa"/>
            <w:vAlign w:val="bottom"/>
          </w:tcPr>
          <w:p>
            <w:pPr>
              <w:spacing w:after="0"/>
              <w:rPr>
                <w:sz w:val="24"/>
                <w:szCs w:val="24"/>
                <w:color w:val="auto"/>
              </w:rPr>
            </w:pPr>
          </w:p>
        </w:tc>
        <w:tc>
          <w:tcPr>
            <w:tcW w:w="84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three months ended March 31, 2022, and 2021</w:t>
              </w:r>
            </w:hyperlink>
          </w:p>
        </w:tc>
        <w:tc>
          <w:tcPr>
            <w:tcW w:w="10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880" w:type="dxa"/>
            <w:vAlign w:val="bottom"/>
          </w:tcPr>
          <w:p>
            <w:pPr>
              <w:spacing w:after="0"/>
              <w:rPr>
                <w:sz w:val="24"/>
                <w:szCs w:val="24"/>
                <w:color w:val="auto"/>
              </w:rPr>
            </w:pPr>
          </w:p>
        </w:tc>
        <w:tc>
          <w:tcPr>
            <w:tcW w:w="39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556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06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7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38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 OTHER INFORMATION</w:t>
              </w:r>
            </w:hyperlink>
          </w:p>
        </w:tc>
        <w:tc>
          <w:tcPr>
            <w:tcW w:w="860" w:type="dxa"/>
            <w:vAlign w:val="bottom"/>
          </w:tcPr>
          <w:p>
            <w:pPr>
              <w:spacing w:after="0"/>
              <w:rPr>
                <w:sz w:val="24"/>
                <w:szCs w:val="24"/>
                <w:color w:val="auto"/>
              </w:rPr>
            </w:pPr>
          </w:p>
        </w:tc>
      </w:tr>
      <w:tr>
        <w:trPr>
          <w:trHeight w:val="318"/>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78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16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18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74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20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Signatures</w:t>
              </w:r>
            </w:hyperlink>
          </w:p>
        </w:tc>
        <w:tc>
          <w:tcPr>
            <w:tcW w:w="874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858"/>
        </w:trPr>
        <w:tc>
          <w:tcPr>
            <w:tcW w:w="880" w:type="dxa"/>
            <w:vAlign w:val="bottom"/>
          </w:tcPr>
          <w:p>
            <w:pPr>
              <w:spacing w:after="0"/>
              <w:rPr>
                <w:sz w:val="24"/>
                <w:szCs w:val="24"/>
                <w:color w:val="auto"/>
              </w:rPr>
            </w:pPr>
          </w:p>
        </w:tc>
        <w:tc>
          <w:tcPr>
            <w:tcW w:w="6440" w:type="dxa"/>
            <w:vAlign w:val="bottom"/>
            <w:gridSpan w:val="15"/>
          </w:tcPr>
          <w:p>
            <w:pPr>
              <w:ind w:left="470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right="640" w:firstLine="510"/>
        <w:spacing w:after="0" w:line="274" w:lineRule="auto"/>
        <w:rPr>
          <w:sz w:val="20"/>
          <w:szCs w:val="20"/>
          <w:color w:val="auto"/>
        </w:rPr>
      </w:pPr>
      <w:r>
        <w:rPr>
          <w:rFonts w:ascii="Arial" w:cs="Arial" w:eastAsia="Arial" w:hAnsi="Arial"/>
          <w:sz w:val="17"/>
          <w:szCs w:val="17"/>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w:t>
      </w:r>
    </w:p>
    <w:p>
      <w:pPr>
        <w:spacing w:after="0" w:line="260" w:lineRule="auto"/>
        <w:rPr>
          <w:sz w:val="20"/>
          <w:szCs w:val="20"/>
          <w:color w:val="auto"/>
        </w:rPr>
      </w:pPr>
      <w:r>
        <w:rPr>
          <w:rFonts w:ascii="Arial" w:cs="Arial" w:eastAsia="Arial" w:hAnsi="Arial"/>
          <w:sz w:val="18"/>
          <w:szCs w:val="18"/>
          <w:color w:val="auto"/>
        </w:rPr>
        <w:t>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20,185</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12,474</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 liability, related party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200,000,000 shares authorized, 66,942,777</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outstanding as of March 31, 2022, and December 31, 2021</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23,093,860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outstanding as of March 31, 2022, and December 31, 2021</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238,669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(247,663)</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(248,834)</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(8,093)</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60" w:type="dxa"/>
            <w:vAlign w:val="bottom"/>
            <w:gridSpan w:val="4"/>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Operating loss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 related party</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1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loss before noncontrolling interest</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vTv Therapeutics Inc.</w:t>
            </w:r>
          </w:p>
        </w:tc>
        <w:tc>
          <w:tcPr>
            <w:tcW w:w="13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(7,007)</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 common shareholders</w:t>
            </w:r>
          </w:p>
        </w:tc>
        <w:tc>
          <w:tcPr>
            <w:tcW w:w="13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of vTv Therapeutics Inc. Class A Common</w:t>
            </w: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17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6"/>
        </w:trPr>
        <w:tc>
          <w:tcPr>
            <w:tcW w:w="630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number of vTv Therapeutics Inc. Class A</w:t>
            </w:r>
          </w:p>
        </w:tc>
        <w:tc>
          <w:tcPr>
            <w:tcW w:w="13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3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66,942,777</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56,472,535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March 31, 2022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2060" w:type="dxa"/>
            <w:vAlign w:val="bottom"/>
            <w:tcBorders>
              <w:top w:val="single" w:sz="8" w:color="auto"/>
            </w:tcBorders>
            <w:gridSpan w:val="6"/>
          </w:tcPr>
          <w:p>
            <w:pPr>
              <w:ind w:left="280"/>
              <w:spacing w:after="0"/>
              <w:rPr>
                <w:sz w:val="20"/>
                <w:szCs w:val="20"/>
                <w:color w:val="auto"/>
              </w:rPr>
            </w:pPr>
            <w:r>
              <w:rPr>
                <w:rFonts w:ascii="Arial" w:cs="Arial" w:eastAsia="Arial" w:hAnsi="Arial"/>
                <w:sz w:val="13"/>
                <w:szCs w:val="13"/>
                <w:b w:val="1"/>
                <w:bCs w:val="1"/>
                <w:color w:val="auto"/>
              </w:rPr>
              <w:t>Class B Common Stock</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91"/>
              </w:rPr>
              <w:t>Additional</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Paid-in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72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2021</w:t>
            </w: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24,962</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66,942,777</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669</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238,193</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(248,834)</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(9,740)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(2,417)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(7,007)</w:t>
            </w:r>
          </w:p>
        </w:tc>
        <w:tc>
          <w:tcPr>
            <w:tcW w:w="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(7,007)</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(8,178)</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March 31, 2022</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14,367</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66,942,777</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669</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238,669</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(247,663)</w:t>
            </w: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(8,093)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480"/>
              <w:spacing w:after="0"/>
              <w:rPr>
                <w:sz w:val="20"/>
                <w:szCs w:val="20"/>
                <w:color w:val="auto"/>
              </w:rPr>
            </w:pPr>
            <w:r>
              <w:rPr>
                <w:rFonts w:ascii="Arial" w:cs="Arial" w:eastAsia="Arial" w:hAnsi="Arial"/>
                <w:sz w:val="13"/>
                <w:szCs w:val="13"/>
                <w:b w:val="1"/>
                <w:bCs w:val="1"/>
                <w:color w:val="auto"/>
                <w:w w:val="94"/>
              </w:rPr>
              <w:t>For the three months ended March 31, 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3"/>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2060" w:type="dxa"/>
            <w:vAlign w:val="bottom"/>
            <w:gridSpan w:val="6"/>
          </w:tcPr>
          <w:p>
            <w:pPr>
              <w:ind w:left="280"/>
              <w:spacing w:after="0" w:line="142" w:lineRule="exact"/>
              <w:rPr>
                <w:sz w:val="20"/>
                <w:szCs w:val="20"/>
                <w:color w:val="auto"/>
              </w:rPr>
            </w:pPr>
            <w:r>
              <w:rPr>
                <w:rFonts w:ascii="Arial" w:cs="Arial" w:eastAsia="Arial" w:hAnsi="Arial"/>
                <w:sz w:val="13"/>
                <w:szCs w:val="13"/>
                <w:b w:val="1"/>
                <w:bCs w:val="1"/>
                <w:color w:val="auto"/>
              </w:rPr>
              <w:t>Class B Common Stock</w:t>
            </w:r>
          </w:p>
        </w:tc>
        <w:tc>
          <w:tcPr>
            <w:tcW w:w="10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1"/>
              </w:rPr>
              <w:t>Additional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Paid-in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72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2020</w:t>
            </w: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83,895</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54,050,710</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541</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209,161</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(290,036)</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(80,102)</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(1,701)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(4,241)</w:t>
            </w:r>
          </w:p>
        </w:tc>
        <w:tc>
          <w:tcPr>
            <w:tcW w:w="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(4,241)</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9"/>
              </w:rPr>
              <w:t>Exchange of Class B Common Stock for</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Class A Common Stock</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4"/>
              </w:rPr>
              <w:t>Issuance of Class A Common Stock under</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LPC Agreement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(19,547)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19,547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March 31, 2021</w:t>
            </w: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62,647</w:t>
            </w:r>
          </w:p>
        </w:tc>
        <w:tc>
          <w:tcPr>
            <w:tcW w:w="1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57,571,904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576</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217,647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(274,730)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(56,275)</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40" w:type="dxa"/>
            <w:vAlign w:val="bottom"/>
            <w:gridSpan w:val="5"/>
          </w:tcPr>
          <w:p>
            <w:pPr>
              <w:jc w:val="right"/>
              <w:ind w:right="10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22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2220" w:type="dxa"/>
            <w:vAlign w:val="bottom"/>
            <w:gridSpan w:val="2"/>
            <w:shd w:val="clear" w:color="auto" w:fill="CFF0FC"/>
          </w:tcPr>
          <w:p>
            <w:pPr>
              <w:jc w:val="right"/>
              <w:ind w:right="89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(9,424)</w:t>
            </w:r>
          </w:p>
        </w:tc>
        <w:tc>
          <w:tcPr>
            <w:tcW w:w="1120" w:type="dxa"/>
            <w:vAlign w:val="bottom"/>
            <w:gridSpan w:val="2"/>
            <w:shd w:val="clear" w:color="auto" w:fill="CFF0FC"/>
          </w:tcPr>
          <w:p>
            <w:pPr>
              <w:jc w:val="right"/>
              <w:ind w:right="889"/>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43"/>
        </w:trPr>
        <w:tc>
          <w:tcPr>
            <w:tcW w:w="652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expense</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investments</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assets</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56"/>
        </w:trPr>
        <w:tc>
          <w:tcPr>
            <w:tcW w:w="6520" w:type="dxa"/>
            <w:vAlign w:val="bottom"/>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2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Repayment of notes payable</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6"/>
        </w:trPr>
        <w:tc>
          <w:tcPr>
            <w:tcW w:w="6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20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(256)</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8,001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Net (decrease) increase in cash, cash equivalents and restricted cash and cash equivalents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20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13,415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200" w:type="dxa"/>
            <w:vAlign w:val="bottom"/>
          </w:tcPr>
          <w:p>
            <w:pPr>
              <w:spacing w:after="0"/>
              <w:rPr>
                <w:sz w:val="13"/>
                <w:szCs w:val="13"/>
                <w:color w:val="auto"/>
              </w:rPr>
            </w:pPr>
          </w:p>
        </w:tc>
        <w:tc>
          <w:tcPr>
            <w:tcW w:w="1020" w:type="dxa"/>
            <w:vAlign w:val="bottom"/>
            <w:tcBorders>
              <w:bottom w:val="single" w:sz="8" w:color="auto"/>
            </w:tcBorders>
          </w:tcPr>
          <w:p>
            <w:pPr>
              <w:jc w:val="right"/>
              <w:ind w:right="89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Non-cash activities:</w:t>
            </w:r>
          </w:p>
        </w:tc>
        <w:tc>
          <w:tcPr>
            <w:tcW w:w="1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2220" w:type="dxa"/>
            <w:vAlign w:val="bottom"/>
            <w:gridSpan w:val="2"/>
          </w:tcPr>
          <w:p>
            <w:pPr>
              <w:jc w:val="right"/>
              <w:ind w:right="89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(8,178)</w:t>
            </w:r>
          </w:p>
        </w:tc>
        <w:tc>
          <w:tcPr>
            <w:tcW w:w="1120" w:type="dxa"/>
            <w:vAlign w:val="bottom"/>
            <w:gridSpan w:val="2"/>
          </w:tcPr>
          <w:p>
            <w:pPr>
              <w:jc w:val="right"/>
              <w:ind w:right="889"/>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(19,547)</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ind w:right="5600"/>
        <w:spacing w:after="0" w:line="377" w:lineRule="auto"/>
        <w:rPr>
          <w:sz w:val="20"/>
          <w:szCs w:val="20"/>
          <w:color w:val="auto"/>
        </w:rPr>
      </w:pPr>
      <w:r>
        <w:rPr>
          <w:rFonts w:ascii="Arial" w:cs="Arial" w:eastAsia="Arial" w:hAnsi="Arial"/>
          <w:sz w:val="18"/>
          <w:szCs w:val="18"/>
          <w:b w:val="1"/>
          <w:bCs w:val="1"/>
          <w:color w:val="auto"/>
        </w:rPr>
        <w:t xml:space="preserve">Note 1:Description of Business, Basis of Presentation and Going Concern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520"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 stage biopharmaceutical company engaged in the discovery and development of orally administered small molecule drug candidates to fill significant unmet medical needs.</w:t>
      </w:r>
    </w:p>
    <w:p>
      <w:pPr>
        <w:spacing w:after="0" w:line="76"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March 31, 2022, various holders own non-voting interests in vTv LLC, representing a 25.6% economic interest in vTv LLC, effectively restricting vTv Therapeutics Inc.’s interest to 74.4%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w:t>
      </w:r>
    </w:p>
    <w:p>
      <w:pPr>
        <w:spacing w:after="0" w:line="271" w:lineRule="auto"/>
        <w:rPr>
          <w:sz w:val="20"/>
          <w:szCs w:val="20"/>
          <w:color w:val="auto"/>
        </w:rPr>
      </w:pPr>
      <w:r>
        <w:rPr>
          <w:rFonts w:ascii="Arial" w:cs="Arial" w:eastAsia="Arial" w:hAnsi="Arial"/>
          <w:sz w:val="17"/>
          <w:szCs w:val="17"/>
          <w:color w:val="auto"/>
        </w:rPr>
        <w:t>the Controlled Equity Offering</w:t>
      </w:r>
      <w:r>
        <w:rPr>
          <w:rFonts w:ascii="Arial" w:cs="Arial" w:eastAsia="Arial" w:hAnsi="Arial"/>
          <w:sz w:val="17"/>
          <w:szCs w:val="17"/>
          <w:color w:val="auto"/>
          <w:vertAlign w:val="superscript"/>
        </w:rPr>
        <w:t>SM</w:t>
      </w:r>
      <w:r>
        <w:rPr>
          <w:rFonts w:ascii="Arial" w:cs="Arial" w:eastAsia="Arial" w:hAnsi="Arial"/>
          <w:sz w:val="17"/>
          <w:szCs w:val="17"/>
          <w:color w:val="auto"/>
        </w:rPr>
        <w:t xml:space="preserve"> Sales Agreement (the “Sales Agreement”) with Cantor Fitzgerald &amp; Co. (“Cantor Fitzgerald”) (the “ATM Offering”), and the purchase agreement with Lincoln Park Capital Fund, LLC (“Lincoln Park”) (the “LPC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March 31, 2022,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2022, the Company had an accumulated deficit of $247.7 million and has generated net losses in each year of its existence.</w:t>
      </w:r>
    </w:p>
    <w:p>
      <w:pPr>
        <w:spacing w:after="0" w:line="188" w:lineRule="exact"/>
        <w:rPr>
          <w:sz w:val="20"/>
          <w:szCs w:val="20"/>
          <w:color w:val="auto"/>
        </w:rPr>
      </w:pPr>
    </w:p>
    <w:p>
      <w:pPr>
        <w:ind w:right="200" w:firstLine="510"/>
        <w:spacing w:after="0" w:line="272" w:lineRule="auto"/>
        <w:rPr>
          <w:sz w:val="20"/>
          <w:szCs w:val="20"/>
          <w:color w:val="auto"/>
        </w:rPr>
      </w:pPr>
      <w:r>
        <w:rPr>
          <w:rFonts w:ascii="Arial" w:cs="Arial" w:eastAsia="Arial" w:hAnsi="Arial"/>
          <w:sz w:val="16"/>
          <w:szCs w:val="16"/>
          <w:color w:val="auto"/>
        </w:rPr>
        <w:t xml:space="preserve">As of March 31, 2022, the Company’s liquidity sources included cash and cash equivalents of $12.1 million. To meet our future funding requirements into the fourth quarter of 2022, based on our current operating plans, we are actively seeking to raise capital through licensing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regions outside of North America and Europe and are also actively seeking licensing deals for </w:t>
      </w:r>
      <w:r>
        <w:rPr>
          <w:rFonts w:ascii="Arial" w:cs="Arial" w:eastAsia="Arial" w:hAnsi="Arial"/>
          <w:sz w:val="16"/>
          <w:szCs w:val="16"/>
          <w:i w:val="1"/>
          <w:iCs w:val="1"/>
          <w:color w:val="auto"/>
        </w:rPr>
        <w:t>HPP737</w:t>
      </w:r>
      <w:r>
        <w:rPr>
          <w:rFonts w:ascii="Arial" w:cs="Arial" w:eastAsia="Arial" w:hAnsi="Arial"/>
          <w:sz w:val="16"/>
          <w:szCs w:val="16"/>
          <w:color w:val="auto"/>
        </w:rPr>
        <w:t xml:space="preserve"> and other assets. Additionally, we are evaluating several financing strategies to fund the on-going and future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including direct equity investments. The Company may also use its remaining availability of $37.3 million under our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“Sales Agreement”) with Cantor Fitzgerald &amp; Co. (“Cantor Fitzgerald”) pursuant to which the Company may offer and sell, from time to time shares of the Company’s Class A Common Stock (the “ATM Offering”) and the ability to sell an additional 9,437,376 shares of Class A Common Stock under the LPC Purchase Agreement based on the remaining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number of registered shares. However, the ability to use these sources of capital is dependent on a number of factors, including the prevailing market price of and the volume of trading in the Company’s Class A Common Stock. See Note 9 for further details.</w:t>
      </w:r>
    </w:p>
    <w:p>
      <w:pPr>
        <w:spacing w:after="0" w:line="170" w:lineRule="exact"/>
        <w:rPr>
          <w:sz w:val="20"/>
          <w:szCs w:val="20"/>
          <w:color w:val="auto"/>
        </w:rPr>
      </w:pPr>
    </w:p>
    <w:p>
      <w:pPr>
        <w:ind w:right="160" w:firstLine="578"/>
        <w:spacing w:after="0" w:line="308"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If we are unable to raise additional capital as and when needed, or upon acceptable terms, such failure would have a significant negative impact on our financial condition.</w:t>
      </w:r>
    </w:p>
    <w:p>
      <w:pPr>
        <w:spacing w:after="0" w:line="3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Condensed Consolidated Balance Sheet as of March 31, 2022, Condensed Consolidated Statements of Operations for the three months ended March 31, 2022 and 2021, Condensed Consolidated Statement of Changes in Redeemable Noncontrolling Interest and Stockholders’ Deficit for the three months ended March 31, 2022 and 2021 and Condensed Consolidated Statements of Cash Flows for the three months ended March 31, 2022 and 2021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2021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2022, the results of operations for the three months ended March 31, 2022 and 2021 and cash flows for the three months ended March 31, 2022 and 2021. The December 31, 2021 Condensed Consolidated Balance Sheet included herein was derived from the audited financial statements but does not include all disclosures or notes required by GAAP for complete financial statements.</w:t>
      </w:r>
    </w:p>
    <w:p>
      <w:pPr>
        <w:spacing w:after="0" w:line="7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months ended March 31, 2022 and 2021 are unaudited. Interim results are not necessarily indicative of results for an entire year.</w:t>
      </w:r>
    </w:p>
    <w:p>
      <w:pPr>
        <w:spacing w:after="0" w:line="62"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one financial institution. The balances of these cash accounts frequently exceed insured limits.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One customer represented 100% of the revenue earned during the three months ended March 31,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Consolidated Statements of Operations.</w:t>
      </w:r>
    </w:p>
    <w:p>
      <w:pPr>
        <w:spacing w:after="0" w:line="7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uses the revenue recognition guidance established by ASC Topic 606, “Revenue From Contracts With Customers” (“ASC Topic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7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right="540" w:firstLine="510"/>
        <w:spacing w:after="0" w:line="375" w:lineRule="auto"/>
        <w:rPr>
          <w:sz w:val="20"/>
          <w:szCs w:val="20"/>
          <w:color w:val="auto"/>
        </w:rPr>
      </w:pPr>
      <w:r>
        <w:rPr>
          <w:rFonts w:ascii="Arial" w:cs="Arial" w:eastAsia="Arial" w:hAnsi="Arial"/>
          <w:sz w:val="15"/>
          <w:szCs w:val="15"/>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40" w:firstLine="464"/>
        <w:spacing w:after="0" w:line="277" w:lineRule="auto"/>
        <w:rPr>
          <w:sz w:val="20"/>
          <w:szCs w:val="20"/>
          <w:color w:val="auto"/>
        </w:rPr>
      </w:pPr>
      <w:r>
        <w:rPr>
          <w:rFonts w:ascii="Arial" w:cs="Arial" w:eastAsia="Arial" w:hAnsi="Arial"/>
          <w:sz w:val="18"/>
          <w:szCs w:val="18"/>
          <w:color w:val="auto"/>
        </w:rPr>
        <w:t>There have been no recently issued accounting pronouncements which are expected to have a material impact on the Company’s financial statements.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jc w:val="both"/>
        <w:ind w:right="280" w:firstLine="468"/>
        <w:spacing w:after="0" w:line="286" w:lineRule="auto"/>
        <w:rPr>
          <w:sz w:val="20"/>
          <w:szCs w:val="20"/>
          <w:color w:val="auto"/>
        </w:rPr>
      </w:pPr>
      <w:r>
        <w:rPr>
          <w:rFonts w:ascii="Arial" w:cs="Arial" w:eastAsia="Arial" w:hAnsi="Arial"/>
          <w:sz w:val="17"/>
          <w:szCs w:val="17"/>
          <w:color w:val="auto"/>
        </w:rPr>
        <w:t>The Company is party to a license agreement with Reneo Pharmaceuticals, Inc. (“Reneo”) (the “Reneo License Agreement”), under which Reneo obtained an exclusive, worldwide, sublicensable license to develop and commercialize the Company’s peroxisome proliferation activated receptor delta (PPAR-δ) agonist program, including the compound HPP593, for therapeutic, prophylactic or diagnostic application in humans.</w:t>
      </w:r>
    </w:p>
    <w:p>
      <w:pPr>
        <w:spacing w:after="0" w:line="57"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jc w:val="both"/>
        <w:ind w:right="180" w:firstLine="468"/>
        <w:spacing w:after="0" w:line="263" w:lineRule="auto"/>
        <w:rPr>
          <w:sz w:val="20"/>
          <w:szCs w:val="20"/>
          <w:color w:val="auto"/>
        </w:rPr>
      </w:pPr>
      <w:r>
        <w:rPr>
          <w:rFonts w:ascii="Arial" w:cs="Arial" w:eastAsia="Arial" w:hAnsi="Arial"/>
          <w:sz w:val="18"/>
          <w:szCs w:val="18"/>
          <w:color w:val="auto"/>
        </w:rPr>
        <w:t>The revenue related to this performance obligation has been fully recognized and no revenue related to this performance obligation was recognized for the three months ended March 31, 2022 and 2021. There have been no adjustments to the transaction price for the performance obligations under the Reneo License Agreement during the three months ended March 31,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jc w:val="both"/>
        <w:ind w:right="400" w:firstLine="468"/>
        <w:spacing w:after="0" w:line="263" w:lineRule="auto"/>
        <w:rPr>
          <w:sz w:val="20"/>
          <w:szCs w:val="20"/>
          <w:color w:val="auto"/>
        </w:rPr>
      </w:pPr>
      <w:r>
        <w:rPr>
          <w:rFonts w:ascii="Arial" w:cs="Arial" w:eastAsia="Arial" w:hAnsi="Arial"/>
          <w:sz w:val="18"/>
          <w:szCs w:val="18"/>
          <w:color w:val="auto"/>
        </w:rPr>
        <w:t>On January 14, 2021, the Company entered into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76" w:lineRule="exact"/>
        <w:rPr>
          <w:sz w:val="20"/>
          <w:szCs w:val="20"/>
          <w:color w:val="auto"/>
        </w:rPr>
      </w:pPr>
    </w:p>
    <w:p>
      <w:pPr>
        <w:ind w:right="60" w:firstLine="468"/>
        <w:spacing w:after="0" w:line="272" w:lineRule="auto"/>
        <w:rPr>
          <w:sz w:val="20"/>
          <w:szCs w:val="20"/>
          <w:color w:val="auto"/>
        </w:rPr>
      </w:pPr>
      <w:r>
        <w:rPr>
          <w:rFonts w:ascii="Arial" w:cs="Arial" w:eastAsia="Arial" w:hAnsi="Arial"/>
          <w:sz w:val="17"/>
          <w:szCs w:val="17"/>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Topic 606 and performed a reallocation of the transaction price among the remaining performance obligations. This resulted in the recognition of approximately $1.0 million of revenue on a cumulative catch up basis during the three months ended March 31, 2021.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69"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significant performance obligations under this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9" w:lineRule="exact"/>
        <w:rPr>
          <w:sz w:val="20"/>
          <w:szCs w:val="20"/>
          <w:color w:val="auto"/>
        </w:rPr>
      </w:pPr>
    </w:p>
    <w:p>
      <w:pPr>
        <w:ind w:right="180" w:firstLine="468"/>
        <w:spacing w:after="0" w:line="271" w:lineRule="auto"/>
        <w:rPr>
          <w:sz w:val="20"/>
          <w:szCs w:val="20"/>
          <w:color w:val="auto"/>
        </w:rPr>
      </w:pPr>
      <w:r>
        <w:rPr>
          <w:rFonts w:ascii="Arial" w:cs="Arial" w:eastAsia="Arial" w:hAnsi="Arial"/>
          <w:sz w:val="17"/>
          <w:szCs w:val="17"/>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This combined performance obligation was considered complete as of March 31, 2021. The Company recognized $1.0 million of revenue related to this combined performance obligation during the three months ended March 31, 2021. In the first quarter of 2022, the transaction price for this performance obligation was increased by $2.0 million due to the satisfaction of a development milestone under the license agreement. This amount was fully recognized as revenue during the three months ended March 31, 2022, as the related performance obligation was fully satisfied.</w:t>
      </w:r>
    </w:p>
    <w:p>
      <w:pPr>
        <w:spacing w:after="0" w:line="70" w:lineRule="exact"/>
        <w:rPr>
          <w:sz w:val="20"/>
          <w:szCs w:val="20"/>
          <w:color w:val="auto"/>
        </w:rPr>
      </w:pPr>
    </w:p>
    <w:p>
      <w:pPr>
        <w:ind w:right="140" w:firstLine="468"/>
        <w:spacing w:after="0" w:line="255" w:lineRule="auto"/>
        <w:rPr>
          <w:sz w:val="20"/>
          <w:szCs w:val="20"/>
          <w:color w:val="auto"/>
        </w:rPr>
      </w:pPr>
      <w:r>
        <w:rPr>
          <w:rFonts w:ascii="Arial" w:cs="Arial" w:eastAsia="Arial" w:hAnsi="Arial"/>
          <w:sz w:val="18"/>
          <w:szCs w:val="18"/>
          <w:color w:val="auto"/>
        </w:rPr>
        <w:t>A portion of the transaction price allocated to the obligation to participate in the joint development committee (the “JDC”) to oversee the development of products and the Phase 2 MRCT in accordance with the development plan remained deferred as of March 31, 2022 and revenue will be recognized using the proportional performance model over the period of the Company’s participation on the JDC. The unrecognized amount of the transaction price allocated to this performance obligation as of March 31, 2022 was de minimis. No revenue for this performance obligation has been recognized during the three months ended March 31, 2022. An immaterial amount of revenue for this performance obligation has been recognized during the three months ended March 31,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right="380" w:firstLine="468"/>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60" w:firstLine="468"/>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ind w:right="340" w:firstLine="555"/>
        <w:spacing w:after="0" w:line="257"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March 31, 2022. No revenue related to this performance obligation was recognized and there have been no changes to the transaction price during the three months ended March 31, 2022 and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Anteris License Agreement</w:t>
      </w:r>
    </w:p>
    <w:p>
      <w:pPr>
        <w:spacing w:after="0" w:line="117" w:lineRule="exact"/>
        <w:rPr>
          <w:sz w:val="20"/>
          <w:szCs w:val="20"/>
          <w:color w:val="auto"/>
        </w:rPr>
      </w:pPr>
    </w:p>
    <w:p>
      <w:pPr>
        <w:ind w:right="320" w:firstLine="568"/>
        <w:spacing w:after="0" w:line="308" w:lineRule="auto"/>
        <w:rPr>
          <w:sz w:val="20"/>
          <w:szCs w:val="20"/>
          <w:color w:val="auto"/>
        </w:rPr>
      </w:pPr>
      <w:r>
        <w:rPr>
          <w:rFonts w:ascii="Arial" w:cs="Arial" w:eastAsia="Arial" w:hAnsi="Arial"/>
          <w:sz w:val="17"/>
          <w:szCs w:val="17"/>
          <w:color w:val="auto"/>
        </w:rPr>
        <w:t xml:space="preserve">On December 11, 2020, we entered into a license agreement with Anteris Bio, Inc. (“Anteris”) (the “Anteris License Agreement”), under which Anteris obtained a worldwide, exclusive and sublicensable license to develop and commercialize the Company’s Nrf2 activator, </w:t>
      </w:r>
      <w:r>
        <w:rPr>
          <w:rFonts w:ascii="Arial" w:cs="Arial" w:eastAsia="Arial" w:hAnsi="Arial"/>
          <w:sz w:val="17"/>
          <w:szCs w:val="17"/>
          <w:i w:val="1"/>
          <w:iCs w:val="1"/>
          <w:color w:val="auto"/>
        </w:rPr>
        <w:t>HPP971</w:t>
      </w:r>
      <w:r>
        <w:rPr>
          <w:rFonts w:ascii="Arial" w:cs="Arial" w:eastAsia="Arial" w:hAnsi="Arial"/>
          <w:sz w:val="17"/>
          <w:szCs w:val="17"/>
          <w:color w:val="auto"/>
        </w:rPr>
        <w:t>.</w:t>
      </w:r>
    </w:p>
    <w:p>
      <w:pPr>
        <w:spacing w:after="0" w:line="38" w:lineRule="exact"/>
        <w:rPr>
          <w:sz w:val="20"/>
          <w:szCs w:val="20"/>
          <w:color w:val="auto"/>
        </w:rPr>
      </w:pPr>
    </w:p>
    <w:p>
      <w:pPr>
        <w:ind w:right="20" w:firstLine="568"/>
        <w:spacing w:after="0" w:line="273" w:lineRule="auto"/>
        <w:rPr>
          <w:sz w:val="20"/>
          <w:szCs w:val="20"/>
          <w:color w:val="auto"/>
        </w:rPr>
      </w:pPr>
      <w:r>
        <w:rPr>
          <w:rFonts w:ascii="Arial" w:cs="Arial" w:eastAsia="Arial" w:hAnsi="Arial"/>
          <w:sz w:val="17"/>
          <w:szCs w:val="17"/>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70" w:lineRule="exact"/>
        <w:rPr>
          <w:sz w:val="20"/>
          <w:szCs w:val="20"/>
          <w:color w:val="auto"/>
        </w:rPr>
      </w:pPr>
    </w:p>
    <w:p>
      <w:pPr>
        <w:ind w:firstLine="568"/>
        <w:spacing w:after="0" w:line="290" w:lineRule="auto"/>
        <w:rPr>
          <w:sz w:val="20"/>
          <w:szCs w:val="20"/>
          <w:color w:val="auto"/>
        </w:rPr>
      </w:pPr>
      <w:r>
        <w:rPr>
          <w:rFonts w:ascii="Arial" w:cs="Arial" w:eastAsia="Arial" w:hAnsi="Arial"/>
          <w:sz w:val="16"/>
          <w:szCs w:val="16"/>
          <w:color w:val="auto"/>
        </w:rPr>
        <w:t>Pursuant to the terms of the Anteris License Agreement, the Company was required to provide technology transfer services for a 30 day period after the effective date. In accordance with ASC Topic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consisted of the $2.0 million initial license payments as well as the fair value of the equity interest received in Anteris of $4.2 million. The revenue related to this performance obligation was fully recognized during the year ended December 31, 2020, as the technology transfer services were considered complete as of that date. No revenue related to this performance obligation was recognized and there have been no changes to the transaction price during the three months ended March 31,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The JDRF Agreement was amended in June 2021 to provide additional funding for the Company’s mechanistic study exploring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ketone body formation during a period of insulin withdrawal in people with type 1 diabetes. According to the terms of the JDRF Agreement, JDRF will provide research funding of up to $3.4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6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March 31, 2022, the Company had received funding under this agreement of $3.4 million. Research and development costs have been offset by a total of $3.4 million over the course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1360" w:type="dxa"/>
            <w:vAlign w:val="bottom"/>
            <w:tcBorders>
              <w:top w:val="single" w:sz="8" w:color="auto"/>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120"/>
              <w:spacing w:after="0"/>
              <w:rPr>
                <w:sz w:val="20"/>
                <w:szCs w:val="20"/>
                <w:color w:val="auto"/>
              </w:rPr>
            </w:pPr>
            <w:r>
              <w:rPr>
                <w:rFonts w:ascii="Arial" w:cs="Arial" w:eastAsia="Arial" w:hAnsi="Arial"/>
                <w:sz w:val="18"/>
                <w:szCs w:val="18"/>
                <w:color w:val="auto"/>
              </w:rPr>
              <w:t>Total contract liabilities</w:t>
            </w:r>
          </w:p>
        </w:tc>
        <w:tc>
          <w:tcPr>
            <w:tcW w:w="1360" w:type="dxa"/>
            <w:vAlign w:val="bottom"/>
            <w:tcBorders>
              <w:bottom w:val="single" w:sz="8" w:color="auto"/>
            </w:tcBorders>
          </w:tcPr>
          <w:p>
            <w:pPr>
              <w:jc w:val="right"/>
              <w:ind w:right="120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229"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Company has issued non-qualified stock option awards to management, other key employees, consultants and non-employee directors. These option awards vest ratably over a three-year period and the option awards expire after a term of ten years from the date of grant. As of March 31, 2022, the Company had total unrecognized stock-based compensation expense for its outstanding stock option awards of approximately $1.9 million, which is expected to be recognized over a weighted average period of 2.5 years. The weighted average grant date fair value of options granted during the three months ended March 31, 2022, was $0.65 per option. There were no options granted during the three months ended March 31, 2021. The aggregate intrinsic value of the in-the-money awards outstanding at March 31, 2022 was de minimis.</w:t>
      </w:r>
    </w:p>
    <w:p>
      <w:pPr>
        <w:spacing w:after="0" w:line="178"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On February 27, 2022, Ms. Deepa Prasad notified the Board of Directors (the “Board”) of vTv Therapeutics Inc. (the “Company”) of her decision to resign from her positions as Chief Executive Officer, President and Board member, effective as of March 29, 2022, and has agreed to continue serving in those roles until the earlier of the completion of a certain Company milestone or March 29, 2022 (the “Effective Date”). Ms. Prasad has agreed to serve as a Strategic Advisor to the Company for six months after the Effective Date. Ms. Prasad will retain 624,659 of the outstanding options previously granted to her, which will vest at the end of the 15-month period following the Effective Date. As a result of the separation agreement, these options were modified to accelerate vesting at the Effective Date. These options will remain exercisable for the original ten-year period and the remaining 1,873,976 of her options were cancelled. The additional stock compensation expense for the modification during the three months ended March 31, 2022, was de minimis.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three months ended March 31, 2022:</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2021</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7,056,035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1,200,000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(2,533,693)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outstanding at March 31, 2022</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5,722,342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March 31, 2022</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2,506,916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6.3 Years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March 31, 2022</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5,060,013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7.9 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0" w:firstLine="568"/>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0" w:type="dxa"/>
            <w:vAlign w:val="bottom"/>
            <w:gridSpan w:val="4"/>
          </w:tcPr>
          <w:p>
            <w:pPr>
              <w:jc w:val="right"/>
              <w:ind w:right="227"/>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220" w:type="dxa"/>
            <w:vAlign w:val="bottom"/>
          </w:tcPr>
          <w:p>
            <w:pPr>
              <w:spacing w:after="0"/>
              <w:rPr>
                <w:sz w:val="18"/>
                <w:szCs w:val="18"/>
                <w:color w:val="auto"/>
              </w:rPr>
            </w:pPr>
          </w:p>
        </w:tc>
        <w:tc>
          <w:tcPr>
            <w:tcW w:w="230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8"/>
                <w:szCs w:val="18"/>
                <w:color w:val="auto"/>
              </w:rPr>
            </w:pPr>
          </w:p>
        </w:tc>
        <w:tc>
          <w:tcPr>
            <w:tcW w:w="142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1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5:Investments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Reneo and Anteris License Agreements, the Company has received equity ownership interests of less than 20% of the voting equity of the investee. Further, the Company does not have the ability to exercise significant influence over the investees. The investments are classified as long-term investments in the Company’s Consolidated Balance Sheets.</w:t>
      </w:r>
    </w:p>
    <w:p>
      <w:pPr>
        <w:spacing w:after="0" w:line="7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Reneo completed its initial public offering in April 2021. Prior to Reneo becoming a publicly traded company, the Company’s investment in Reneo did not have a readily determinable fair value and was measured at cost less impairment, adjusted for any changes in observable prices, under the measurement alternative. Subsequent to Reneo’s initial public offering, the Company’s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120"/>
        <w:spacing w:after="0" w:line="277" w:lineRule="auto"/>
        <w:rPr>
          <w:sz w:val="20"/>
          <w:szCs w:val="20"/>
          <w:color w:val="auto"/>
        </w:rPr>
      </w:pPr>
      <w:r>
        <w:rPr>
          <w:rFonts w:ascii="Arial" w:cs="Arial" w:eastAsia="Arial" w:hAnsi="Arial"/>
          <w:sz w:val="18"/>
          <w:szCs w:val="18"/>
          <w:color w:val="auto"/>
        </w:rPr>
        <w:t>investment in Reneo is considered to have a readily determinable fair value and, as such, is adjusted to its fair value each period with changes in fair value recognized as a component of net loss.</w:t>
      </w:r>
    </w:p>
    <w:p>
      <w:pPr>
        <w:spacing w:after="0" w:line="6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Company’s investment in Anteris does not have a readily determinable fair value and is measured at cost less impairment, adjusted for any changes in observable prices.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investments consist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investment with readily determinable fair value:</w:t>
            </w:r>
          </w:p>
        </w:tc>
        <w:tc>
          <w:tcPr>
            <w:tcW w:w="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Reneo common stock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1,694</w:t>
            </w:r>
          </w:p>
        </w:tc>
        <w:tc>
          <w:tcPr>
            <w:tcW w:w="2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820" w:type="dxa"/>
            <w:vAlign w:val="bottom"/>
            <w:gridSpan w:val="2"/>
            <w:shd w:val="clear" w:color="auto" w:fill="CFF0FC"/>
          </w:tcPr>
          <w:p>
            <w:pPr>
              <w:spacing w:after="0"/>
              <w:rPr>
                <w:sz w:val="19"/>
                <w:szCs w:val="19"/>
                <w:color w:val="auto"/>
              </w:rPr>
            </w:pPr>
          </w:p>
        </w:tc>
        <w:tc>
          <w:tcPr>
            <w:tcW w:w="144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w w:val="90"/>
              </w:rPr>
              <w:t>Equity investment without readily determinable fair values assessed under the measurement alternative: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Anteris preferred stock</w:t>
            </w:r>
          </w:p>
        </w:tc>
        <w:tc>
          <w:tcPr>
            <w:tcW w:w="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No adjustments have been made to the value of the Company’s investment in Anteris since its initial measurement either due to impairment or based on observable price changes. The Company recognized an unrealized loss on its investment in Reneo of $3.2 million for the three months ended March 31, 2022. These adjustments were recognized as a component of other expense in the Company’s Condensed Consolidated Statements of Operations.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February 2007, the Company entered into an Agreement Concerning Glucokinase Activator Project with Novo Nordisk A/S (the “Novo License Agreement”)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fourth quarter of 2021, the Company made a payment of $2.0 million related to the satisfaction of the milestone to complete the phase 2 trials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under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Company leases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63"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each of March 31, 2022 and December 31, 2021, the weighted average incremental borrowing rate for the operating leases held by the Company was 13.1%. At March 31, 2022 and December 31, 2021, the weighted average remaining lease terms for the operating leases held by the Company were 2.8 years and 3.1 years,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Maturities of lease liabilities for the Company’s operating leases as of March 31, 2022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2022 (remaining nine months)</w:t>
            </w:r>
          </w:p>
        </w:tc>
        <w:tc>
          <w:tcPr>
            <w:tcW w:w="19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2025</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lease cost and the related operating cash flows for the three months ended March 31, 2022 and 2021 were immaterial amounts.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8:Redeemable Noncontrolling Interest</w:t>
      </w:r>
    </w:p>
    <w:p>
      <w:pPr>
        <w:spacing w:after="0" w:line="121"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25.6% noncontrolling interest in vTv LLC outstanding as of March 31, 2022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March 31, 2022 and December 31, 2021, the redeemable noncontrolling interest was recorded based on the redemption value as of the balance sheet date of $14.4 million and $25.0 million, respectively.</w:t>
      </w:r>
    </w:p>
    <w:p>
      <w:pPr>
        <w:spacing w:after="0" w:line="5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120" w:type="dxa"/>
            <w:vAlign w:val="bottom"/>
          </w:tcPr>
          <w:p>
            <w:pPr>
              <w:spacing w:after="0"/>
              <w:rPr>
                <w:sz w:val="19"/>
                <w:szCs w:val="19"/>
                <w:color w:val="auto"/>
              </w:rPr>
            </w:pPr>
          </w:p>
        </w:tc>
        <w:tc>
          <w:tcPr>
            <w:tcW w:w="39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4"/>
        </w:trPr>
        <w:tc>
          <w:tcPr>
            <w:tcW w:w="612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20"/>
                <w:szCs w:val="20"/>
                <w:color w:val="auto"/>
              </w:rPr>
            </w:pPr>
          </w:p>
        </w:tc>
      </w:tr>
      <w:tr>
        <w:trPr>
          <w:trHeight w:val="20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(7,007)</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(4,241)</w:t>
            </w:r>
          </w:p>
        </w:tc>
      </w:tr>
      <w:tr>
        <w:trPr>
          <w:trHeight w:val="215"/>
        </w:trPr>
        <w:tc>
          <w:tcPr>
            <w:tcW w:w="6120" w:type="dxa"/>
            <w:vAlign w:val="bottom"/>
          </w:tcPr>
          <w:p>
            <w:pPr>
              <w:spacing w:after="0"/>
              <w:rPr>
                <w:sz w:val="20"/>
                <w:szCs w:val="20"/>
                <w:color w:val="auto"/>
              </w:rPr>
            </w:pPr>
            <w:r>
              <w:rPr>
                <w:rFonts w:ascii="Arial" w:cs="Arial" w:eastAsia="Arial" w:hAnsi="Arial"/>
                <w:sz w:val="18"/>
                <w:szCs w:val="18"/>
                <w:color w:val="auto"/>
              </w:rPr>
              <w:t>Decrease/(Increase) in vTv Therapeutics Inc. accumulated</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2,432</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(2,410)</w:t>
            </w:r>
          </w:p>
        </w:tc>
      </w:tr>
      <w:tr>
        <w:trPr>
          <w:trHeight w:val="209"/>
        </w:trPr>
        <w:tc>
          <w:tcPr>
            <w:tcW w:w="6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1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(4,575)</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(6,651)</w:t>
            </w: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8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2022, and 2021, the Company did not sell any shares under the ATM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Capital Transaction</w:t>
      </w:r>
    </w:p>
    <w:p>
      <w:pPr>
        <w:spacing w:after="0" w:line="117"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LPC Purchase Agreement. During the three months ended March 31, 2021, the Company sold 3,500,000 shares under the LPC Purchase Agreement for total proceeds of $8.0 million.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March 31, 2022, the Company did not sell any shares under the LPC Purchase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As of March 31, 2022, subsidiaries and affiliates of MacAndrews &amp; Forbes Incorporated (collectively “MacAndrews”) indirectly controlled 23,084,267 shares of the Company’s Class B Common Stock and 36,519,212 shares of the Company’s Class A Common Stock. As a result, MacAndrews’ holdings represent approximately 66.2%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40" w:firstLine="468"/>
        <w:spacing w:after="0" w:line="257" w:lineRule="auto"/>
        <w:rPr>
          <w:sz w:val="20"/>
          <w:szCs w:val="20"/>
          <w:color w:val="auto"/>
        </w:rPr>
      </w:pPr>
      <w:r>
        <w:rPr>
          <w:rFonts w:ascii="Arial" w:cs="Arial" w:eastAsia="Arial" w:hAnsi="Arial"/>
          <w:sz w:val="18"/>
          <w:szCs w:val="18"/>
          <w:color w:val="auto"/>
        </w:rPr>
        <w:t>The Company has previously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March 31, 2022, MacAndrews had not exchanged any shares under the provisions of the Exchange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is subject to U.S. federal income taxes as well as state taxes. The Company’s income tax provision for the three months ended March 31, 2022, was $0.2 million related to foreign withholding taxes. The Company’s income tax provision for the three months ended March 31, 2021, was a de minimis amount related to foreign withholding taxes.</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March 31, 2022 is due to the valuation allowance against the Company’s expected net operating losses.</w:t>
      </w:r>
    </w:p>
    <w:p>
      <w:pPr>
        <w:spacing w:after="0" w:line="79" w:lineRule="exact"/>
        <w:rPr>
          <w:sz w:val="20"/>
          <w:szCs w:val="20"/>
          <w:color w:val="auto"/>
        </w:rPr>
      </w:pPr>
    </w:p>
    <w:p>
      <w:pPr>
        <w:jc w:val="both"/>
        <w:ind w:right="80" w:firstLine="510"/>
        <w:spacing w:after="0" w:line="257" w:lineRule="auto"/>
        <w:rPr>
          <w:sz w:val="20"/>
          <w:szCs w:val="20"/>
          <w:color w:val="auto"/>
        </w:rPr>
      </w:pPr>
      <w:r>
        <w:rPr>
          <w:rFonts w:ascii="Arial" w:cs="Arial" w:eastAsia="Arial" w:hAnsi="Arial"/>
          <w:sz w:val="18"/>
          <w:szCs w:val="18"/>
          <w:color w:val="auto"/>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12:Net Loss per Share</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For the Three Months Ended March 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60" w:type="dxa"/>
            <w:vAlign w:val="bottom"/>
            <w:tcBorders>
              <w:bottom w:val="single" w:sz="8" w:color="CFF0FC"/>
            </w:tcBorders>
          </w:tcPr>
          <w:p>
            <w:pPr>
              <w:spacing w:after="0"/>
              <w:rPr>
                <w:sz w:val="20"/>
                <w:szCs w:val="20"/>
                <w:color w:val="auto"/>
              </w:rPr>
            </w:pPr>
          </w:p>
        </w:tc>
        <w:tc>
          <w:tcPr>
            <w:tcW w:w="19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(9,424)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(5,942)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1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1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60" w:type="dxa"/>
            <w:vAlign w:val="bottom"/>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(4,241)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Common Stock, basic and diluted</w:t>
            </w:r>
          </w:p>
        </w:tc>
        <w:tc>
          <w:tcPr>
            <w:tcW w:w="19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66,942,777</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56,472,535</w:t>
            </w:r>
          </w:p>
        </w:tc>
        <w:tc>
          <w:tcPr>
            <w:tcW w:w="120" w:type="dxa"/>
            <w:vAlign w:val="bottom"/>
            <w:tcBorders>
              <w:bottom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(0.10)</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bottom w:val="single" w:sz="8" w:color="CFF0FC"/>
            </w:tcBorders>
            <w:vMerge w:val="restart"/>
          </w:tcPr>
          <w:p>
            <w:pPr>
              <w:jc w:val="right"/>
              <w:ind w:right="1150"/>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Potentially dilutive securities not included in the calculation of diluted net loss per share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2022</w:t>
            </w: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1140" w:type="dxa"/>
            <w:vAlign w:val="bottom"/>
          </w:tcPr>
          <w:p>
            <w:pPr>
              <w:spacing w:after="0"/>
              <w:rPr>
                <w:sz w:val="19"/>
                <w:szCs w:val="19"/>
                <w:color w:val="auto"/>
              </w:rPr>
            </w:pPr>
          </w:p>
        </w:tc>
        <w:tc>
          <w:tcPr>
            <w:tcW w:w="5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23,093,860</w:t>
            </w:r>
          </w:p>
        </w:tc>
        <w:tc>
          <w:tcPr>
            <w:tcW w:w="2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23,093,860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480" w:type="dxa"/>
            <w:vAlign w:val="bottom"/>
          </w:tcPr>
          <w:p>
            <w:pPr>
              <w:jc w:val="right"/>
              <w:spacing w:after="0"/>
              <w:rPr>
                <w:sz w:val="20"/>
                <w:szCs w:val="20"/>
                <w:color w:val="auto"/>
              </w:rPr>
            </w:pPr>
            <w:r>
              <w:rPr>
                <w:rFonts w:ascii="Arial" w:cs="Arial" w:eastAsia="Arial" w:hAnsi="Arial"/>
                <w:sz w:val="18"/>
                <w:szCs w:val="18"/>
                <w:color w:val="auto"/>
              </w:rPr>
              <w:t>5,722,342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4,404,403</w:t>
            </w:r>
          </w:p>
        </w:tc>
        <w:tc>
          <w:tcPr>
            <w:tcW w:w="100" w:type="dxa"/>
            <w:vAlign w:val="bottom"/>
          </w:tcPr>
          <w:p>
            <w:pPr>
              <w:spacing w:after="0"/>
              <w:rPr>
                <w:sz w:val="19"/>
                <w:szCs w:val="19"/>
                <w:color w:val="auto"/>
              </w:rPr>
            </w:pPr>
          </w:p>
        </w:tc>
      </w:tr>
      <w:tr>
        <w:trPr>
          <w:trHeight w:val="230"/>
        </w:trPr>
        <w:tc>
          <w:tcPr>
            <w:tcW w:w="6840" w:type="dxa"/>
            <w:vAlign w:val="bottom"/>
            <w:gridSpan w:val="3"/>
          </w:tcPr>
          <w:p>
            <w:pPr>
              <w:ind w:left="1140"/>
              <w:spacing w:after="0"/>
              <w:rPr>
                <w:sz w:val="20"/>
                <w:szCs w:val="20"/>
                <w:color w:val="auto"/>
              </w:rPr>
            </w:pPr>
            <w:r>
              <w:rPr>
                <w:rFonts w:ascii="Arial" w:cs="Arial" w:eastAsia="Arial" w:hAnsi="Arial"/>
                <w:sz w:val="18"/>
                <w:szCs w:val="18"/>
                <w:color w:val="auto"/>
              </w:rPr>
              <w:t>Common stock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2,014,503</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2,014,503</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7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30,830,705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29,512,766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34" w:lineRule="exact"/>
        <w:rPr>
          <w:sz w:val="20"/>
          <w:szCs w:val="20"/>
          <w:color w:val="auto"/>
        </w:rPr>
      </w:pPr>
    </w:p>
    <w:p>
      <w:pPr>
        <w:ind w:left="880" w:right="8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of Financial Instruments</w:t>
      </w:r>
    </w:p>
    <w:p>
      <w:pPr>
        <w:spacing w:after="0" w:line="121" w:lineRule="exact"/>
        <w:rPr>
          <w:sz w:val="20"/>
          <w:szCs w:val="20"/>
          <w:color w:val="auto"/>
        </w:rPr>
      </w:pPr>
    </w:p>
    <w:p>
      <w:pPr>
        <w:ind w:right="300" w:firstLine="510"/>
        <w:spacing w:after="0" w:line="258"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1" w:lineRule="exact"/>
        <w:rPr>
          <w:sz w:val="20"/>
          <w:szCs w:val="20"/>
          <w:color w:val="auto"/>
        </w:rPr>
      </w:pPr>
    </w:p>
    <w:p>
      <w:pPr>
        <w:jc w:val="both"/>
        <w:ind w:right="100" w:firstLine="510"/>
        <w:spacing w:after="0" w:line="255" w:lineRule="auto"/>
        <w:rPr>
          <w:sz w:val="20"/>
          <w:szCs w:val="20"/>
          <w:color w:val="auto"/>
        </w:rPr>
      </w:pPr>
      <w:r>
        <w:rPr>
          <w:rFonts w:ascii="Arial" w:cs="Arial" w:eastAsia="Arial" w:hAnsi="Arial"/>
          <w:sz w:val="18"/>
          <w:szCs w:val="18"/>
          <w:color w:val="auto"/>
        </w:rPr>
        <w:t>During the year ended December 31,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March 31, 2022, and December 31, 2021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w w:val="97"/>
              </w:rPr>
              <w:t>Quoted Prices in</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1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7"/>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1,694</w:t>
            </w:r>
          </w:p>
        </w:tc>
        <w:tc>
          <w:tcPr>
            <w:tcW w:w="6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560" w:type="dxa"/>
            <w:vAlign w:val="bottom"/>
            <w:tcBorders>
              <w:bottom w:val="single" w:sz="8" w:color="CFF0FC"/>
            </w:tcBorders>
            <w:gridSpan w:val="2"/>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0"/>
        </w:trPr>
        <w:tc>
          <w:tcPr>
            <w:tcW w:w="46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4,928</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20" w:type="dxa"/>
            <w:vAlign w:val="bottom"/>
            <w:tcBorders>
              <w:top w:val="single" w:sz="8" w:color="auto"/>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4,928</w:t>
            </w:r>
          </w:p>
        </w:tc>
        <w:tc>
          <w:tcPr>
            <w:tcW w:w="20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380" w:hanging="492"/>
        <w:spacing w:after="0" w:line="34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1912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82" w:right="47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5"/>
          </w:tcPr>
          <w:p>
            <w:pPr>
              <w:jc w:val="center"/>
              <w:ind w:right="240"/>
              <w:spacing w:after="0"/>
              <w:rPr>
                <w:sz w:val="20"/>
                <w:szCs w:val="20"/>
                <w:color w:val="auto"/>
              </w:rPr>
            </w:pPr>
            <w:r>
              <w:rPr>
                <w:rFonts w:ascii="Arial" w:cs="Arial" w:eastAsia="Arial" w:hAnsi="Arial"/>
                <w:sz w:val="14"/>
                <w:szCs w:val="14"/>
                <w:b w:val="1"/>
                <w:bCs w:val="1"/>
                <w:color w:val="auto"/>
                <w:w w:val="92"/>
              </w:rPr>
              <w:t>Changes in Level 3 instruments for the three months ended March 31,</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160" w:type="dxa"/>
            <w:vAlign w:val="bottom"/>
          </w:tcPr>
          <w:p>
            <w:pPr>
              <w:spacing w:after="0"/>
              <w:rPr>
                <w:sz w:val="12"/>
                <w:szCs w:val="12"/>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Issuance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Repurchases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2022</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jc w:val="right"/>
              <w:ind w:right="3030"/>
              <w:spacing w:after="0"/>
              <w:rPr>
                <w:sz w:val="20"/>
                <w:szCs w:val="20"/>
                <w:color w:val="auto"/>
              </w:rPr>
            </w:pPr>
            <w:r>
              <w:rPr>
                <w:rFonts w:ascii="Arial" w:cs="Arial" w:eastAsia="Arial" w:hAnsi="Arial"/>
                <w:sz w:val="18"/>
                <w:szCs w:val="18"/>
                <w:b w:val="1"/>
                <w:bCs w:val="1"/>
                <w:color w:val="auto"/>
                <w:w w:val="84"/>
              </w:rPr>
              <w:t>2021</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1,648</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There were no transfers into or out of level 3 instruments and/or between level 1 and level 2 instruments during the three months ended March 31, 2022, and 2021, respectively. Gains and losses recognized due to the change in fair value of the warrant liability, related party are recognized as a component of other (expense) income, related party in the Condensed Consolidated Statements of Operations.</w:t>
      </w:r>
    </w:p>
    <w:p>
      <w:pPr>
        <w:spacing w:after="0" w:line="3" w:lineRule="exact"/>
        <w:rPr>
          <w:sz w:val="20"/>
          <w:szCs w:val="20"/>
          <w:color w:val="auto"/>
        </w:rPr>
      </w:pPr>
    </w:p>
    <w:p>
      <w:pPr>
        <w:ind w:right="220" w:firstLine="510"/>
        <w:spacing w:after="0" w:line="281" w:lineRule="auto"/>
        <w:rPr>
          <w:sz w:val="20"/>
          <w:szCs w:val="20"/>
          <w:color w:val="auto"/>
        </w:rPr>
      </w:pPr>
      <w:r>
        <w:rPr>
          <w:rFonts w:ascii="Arial" w:cs="Arial" w:eastAsia="Arial" w:hAnsi="Arial"/>
          <w:sz w:val="16"/>
          <w:szCs w:val="16"/>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recent period. The risk-free rate is based on the U.S. Treasury yield curve in effect at the time of valuation. Significant inputs utilized in the valuation of the Letter Agreement Warrants as of March 31, 2022, and December 31, 2021, were:</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800" w:type="dxa"/>
            <w:vAlign w:val="bottom"/>
            <w:gridSpan w:val="3"/>
          </w:tcPr>
          <w:p>
            <w:pPr>
              <w:ind w:left="1360"/>
              <w:spacing w:after="0"/>
              <w:rPr>
                <w:sz w:val="20"/>
                <w:szCs w:val="20"/>
                <w:color w:val="auto"/>
              </w:rPr>
            </w:pPr>
            <w:r>
              <w:rPr>
                <w:rFonts w:ascii="Arial" w:cs="Arial" w:eastAsia="Arial" w:hAnsi="Arial"/>
                <w:sz w:val="14"/>
                <w:szCs w:val="14"/>
                <w:b w:val="1"/>
                <w:bCs w:val="1"/>
                <w:color w:val="auto"/>
              </w:rPr>
              <w:t>March 31, 2022</w:t>
            </w:r>
          </w:p>
        </w:tc>
        <w:tc>
          <w:tcPr>
            <w:tcW w:w="3940" w:type="dxa"/>
            <w:vAlign w:val="bottom"/>
            <w:gridSpan w:val="3"/>
          </w:tcPr>
          <w:p>
            <w:pPr>
              <w:ind w:left="1380"/>
              <w:spacing w:after="0"/>
              <w:rPr>
                <w:sz w:val="20"/>
                <w:szCs w:val="20"/>
                <w:color w:val="auto"/>
              </w:rPr>
            </w:pPr>
            <w:r>
              <w:rPr>
                <w:rFonts w:ascii="Arial" w:cs="Arial" w:eastAsia="Arial" w:hAnsi="Arial"/>
                <w:sz w:val="14"/>
                <w:szCs w:val="14"/>
                <w:b w:val="1"/>
                <w:bCs w:val="1"/>
                <w:color w:val="auto"/>
              </w:rPr>
              <w:t>December 31, 2021</w:t>
            </w:r>
          </w:p>
        </w:tc>
      </w:tr>
      <w:tr>
        <w:trPr>
          <w:trHeight w:val="26"/>
        </w:trPr>
        <w:tc>
          <w:tcPr>
            <w:tcW w:w="35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3500" w:type="dxa"/>
            <w:vAlign w:val="bottom"/>
          </w:tcPr>
          <w:p>
            <w:pPr>
              <w:spacing w:after="0"/>
              <w:rPr>
                <w:sz w:val="18"/>
                <w:szCs w:val="18"/>
                <w:color w:val="auto"/>
              </w:rPr>
            </w:pPr>
          </w:p>
        </w:tc>
        <w:tc>
          <w:tcPr>
            <w:tcW w:w="1920" w:type="dxa"/>
            <w:vAlign w:val="bottom"/>
          </w:tcPr>
          <w:p>
            <w:pPr>
              <w:ind w:left="760"/>
              <w:spacing w:after="0"/>
              <w:rPr>
                <w:sz w:val="20"/>
                <w:szCs w:val="20"/>
                <w:color w:val="auto"/>
              </w:rPr>
            </w:pPr>
            <w:r>
              <w:rPr>
                <w:rFonts w:ascii="Arial" w:cs="Arial" w:eastAsia="Arial" w:hAnsi="Arial"/>
                <w:sz w:val="14"/>
                <w:szCs w:val="14"/>
                <w:b w:val="1"/>
                <w:bCs w:val="1"/>
                <w:color w:val="auto"/>
              </w:rPr>
              <w:t>Range</w:t>
            </w:r>
          </w:p>
        </w:tc>
        <w:tc>
          <w:tcPr>
            <w:tcW w:w="1880" w:type="dxa"/>
            <w:vAlign w:val="bottom"/>
            <w:gridSpan w:val="2"/>
          </w:tcPr>
          <w:p>
            <w:pPr>
              <w:ind w:left="320"/>
              <w:spacing w:after="0"/>
              <w:rPr>
                <w:sz w:val="20"/>
                <w:szCs w:val="20"/>
                <w:color w:val="auto"/>
              </w:rPr>
            </w:pPr>
            <w:r>
              <w:rPr>
                <w:rFonts w:ascii="Arial" w:cs="Arial" w:eastAsia="Arial" w:hAnsi="Arial"/>
                <w:sz w:val="14"/>
                <w:szCs w:val="14"/>
                <w:b w:val="1"/>
                <w:bCs w:val="1"/>
                <w:color w:val="auto"/>
              </w:rPr>
              <w:t>Weighted Average</w:t>
            </w:r>
          </w:p>
        </w:tc>
        <w:tc>
          <w:tcPr>
            <w:tcW w:w="2040" w:type="dxa"/>
            <w:vAlign w:val="bottom"/>
          </w:tcPr>
          <w:p>
            <w:pPr>
              <w:ind w:left="860"/>
              <w:spacing w:after="0"/>
              <w:rPr>
                <w:sz w:val="20"/>
                <w:szCs w:val="20"/>
                <w:color w:val="auto"/>
              </w:rPr>
            </w:pPr>
            <w:r>
              <w:rPr>
                <w:rFonts w:ascii="Arial" w:cs="Arial" w:eastAsia="Arial" w:hAnsi="Arial"/>
                <w:sz w:val="14"/>
                <w:szCs w:val="14"/>
                <w:b w:val="1"/>
                <w:bCs w:val="1"/>
                <w:color w:val="auto"/>
              </w:rPr>
              <w:t>Range</w:t>
            </w:r>
          </w:p>
        </w:tc>
        <w:tc>
          <w:tcPr>
            <w:tcW w:w="1900" w:type="dxa"/>
            <w:vAlign w:val="bottom"/>
            <w:gridSpan w:val="2"/>
          </w:tcPr>
          <w:p>
            <w:pPr>
              <w:ind w:left="320"/>
              <w:spacing w:after="0"/>
              <w:rPr>
                <w:sz w:val="20"/>
                <w:szCs w:val="20"/>
                <w:color w:val="auto"/>
              </w:rPr>
            </w:pPr>
            <w:r>
              <w:rPr>
                <w:rFonts w:ascii="Arial" w:cs="Arial" w:eastAsia="Arial" w:hAnsi="Arial"/>
                <w:sz w:val="14"/>
                <w:szCs w:val="14"/>
                <w:b w:val="1"/>
                <w:bCs w:val="1"/>
                <w:color w:val="auto"/>
              </w:rPr>
              <w:t>Weighted Average</w:t>
            </w:r>
          </w:p>
        </w:tc>
      </w:tr>
      <w:tr>
        <w:trPr>
          <w:trHeight w:val="26"/>
        </w:trPr>
        <w:tc>
          <w:tcPr>
            <w:tcW w:w="3500" w:type="dxa"/>
            <w:vAlign w:val="bottom"/>
            <w:tcBorders>
              <w:bottom w:val="single" w:sz="8" w:color="CFF0FC"/>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92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83.73% - 135.37%</w:t>
            </w:r>
          </w:p>
        </w:tc>
        <w:tc>
          <w:tcPr>
            <w:tcW w:w="176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119.98%</w:t>
            </w: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82.68% - 142.86%</w:t>
            </w:r>
          </w:p>
        </w:tc>
        <w:tc>
          <w:tcPr>
            <w:tcW w:w="17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rPr>
              <w:t>128.13%</w:t>
            </w:r>
          </w:p>
        </w:tc>
        <w:tc>
          <w:tcPr>
            <w:tcW w:w="12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tcPr>
          <w:p>
            <w:pPr>
              <w:jc w:val="right"/>
              <w:ind w:right="359"/>
              <w:spacing w:after="0"/>
              <w:rPr>
                <w:sz w:val="20"/>
                <w:szCs w:val="20"/>
                <w:color w:val="auto"/>
              </w:rPr>
            </w:pPr>
            <w:r>
              <w:rPr>
                <w:rFonts w:ascii="Arial" w:cs="Arial" w:eastAsia="Arial" w:hAnsi="Arial"/>
                <w:sz w:val="18"/>
                <w:szCs w:val="18"/>
                <w:color w:val="auto"/>
              </w:rPr>
              <w:t>2.40% - 2.44%</w:t>
            </w:r>
          </w:p>
        </w:tc>
        <w:tc>
          <w:tcPr>
            <w:tcW w:w="1760" w:type="dxa"/>
            <w:vAlign w:val="bottom"/>
          </w:tcPr>
          <w:p>
            <w:pPr>
              <w:jc w:val="right"/>
              <w:ind w:right="57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2040" w:type="dxa"/>
            <w:vAlign w:val="bottom"/>
          </w:tcPr>
          <w:p>
            <w:pPr>
              <w:jc w:val="right"/>
              <w:ind w:right="359"/>
              <w:spacing w:after="0"/>
              <w:rPr>
                <w:sz w:val="20"/>
                <w:szCs w:val="20"/>
                <w:color w:val="auto"/>
              </w:rPr>
            </w:pPr>
            <w:r>
              <w:rPr>
                <w:rFonts w:ascii="Arial" w:cs="Arial" w:eastAsia="Arial" w:hAnsi="Arial"/>
                <w:sz w:val="18"/>
                <w:szCs w:val="18"/>
                <w:color w:val="auto"/>
              </w:rPr>
              <w:t>0.95% - 1.26%</w:t>
            </w:r>
          </w:p>
        </w:tc>
        <w:tc>
          <w:tcPr>
            <w:tcW w:w="1780" w:type="dxa"/>
            <w:vAlign w:val="bottom"/>
          </w:tcPr>
          <w:p>
            <w:pPr>
              <w:jc w:val="right"/>
              <w:ind w:right="596"/>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22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 evaluated subsequent events through May 12, 2022 and determined that there have been no events that have occurred that would require adjustments to our disclosures or the unaudited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9" w:name="page20"/>
    <w:bookmarkEnd w:id="19"/>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color w:val="auto"/>
        </w:rPr>
        <w:t xml:space="preserve">We are a clinical-stage pharmaceutical company focused on treating metabolic and inflammatory diseases to minimize their long- term complications and improve the lives of patients. We have an innovative pipeline of first-in-class small molecule clinical and pre- clinical drug candidates. Our lead program is </w:t>
      </w:r>
      <w:r>
        <w:rPr>
          <w:rFonts w:ascii="Arial" w:cs="Arial" w:eastAsia="Arial" w:hAnsi="Arial"/>
          <w:sz w:val="16"/>
          <w:szCs w:val="16"/>
          <w:i w:val="1"/>
          <w:iCs w:val="1"/>
          <w:color w:val="auto"/>
        </w:rPr>
        <w:t>TTP399</w:t>
      </w:r>
      <w:r>
        <w:rPr>
          <w:rFonts w:ascii="Arial" w:cs="Arial" w:eastAsia="Arial" w:hAnsi="Arial"/>
          <w:sz w:val="16"/>
          <w:szCs w:val="16"/>
          <w:color w:val="auto"/>
        </w:rPr>
        <w:t>, an orally administered, small molecule, liver-selective glucokinase activator (“GKA”) for the treatment of type 1 diabetes.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 xml:space="preserve">Based upon the positive results of our Simplici-T1 Study, we requested Breakthrough Therapy Designation (“BTD”) with the FDA which was granted in April 2021. In October 2021, we began to implement a strategy to focus our efforts on the continued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for patients with type 1 diabetes (“T1D”).</w:t>
      </w:r>
    </w:p>
    <w:p>
      <w:pPr>
        <w:spacing w:after="0" w:line="76" w:lineRule="exact"/>
        <w:rPr>
          <w:sz w:val="20"/>
          <w:szCs w:val="20"/>
          <w:color w:val="auto"/>
        </w:rPr>
      </w:pPr>
    </w:p>
    <w:p>
      <w:pPr>
        <w:jc w:val="both"/>
        <w:ind w:right="100" w:firstLine="749"/>
        <w:spacing w:after="0" w:line="301" w:lineRule="auto"/>
        <w:rPr>
          <w:sz w:val="20"/>
          <w:szCs w:val="20"/>
          <w:color w:val="auto"/>
        </w:rPr>
      </w:pPr>
      <w:r>
        <w:rPr>
          <w:rFonts w:ascii="Arial" w:cs="Arial" w:eastAsia="Arial" w:hAnsi="Arial"/>
          <w:sz w:val="16"/>
          <w:szCs w:val="16"/>
          <w:color w:val="auto"/>
        </w:rPr>
        <w:t xml:space="preserve">After several meetings with the FDA BTD-team, the Company is planning two pivotal, placebo-controlled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subjects with T1D. The studies will recruit a total of approximately 1000 patients and at least one of the studies will be one year of treatment. The FDA confirmed that the effect size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 events of hypoglycemia as demonstrated in the Phase 2 SimpliciT-1 Study is clinically meaningful and has agreed on the primary endpoint for the studies as the difference between placebo and </w:t>
      </w:r>
      <w:r>
        <w:rPr>
          <w:rFonts w:ascii="Arial" w:cs="Arial" w:eastAsia="Arial" w:hAnsi="Arial"/>
          <w:sz w:val="16"/>
          <w:szCs w:val="16"/>
          <w:i w:val="1"/>
          <w:iCs w:val="1"/>
          <w:color w:val="auto"/>
        </w:rPr>
        <w:t>TTP399</w:t>
      </w:r>
      <w:r>
        <w:rPr>
          <w:rFonts w:ascii="Arial" w:cs="Arial" w:eastAsia="Arial" w:hAnsi="Arial"/>
          <w:sz w:val="16"/>
          <w:szCs w:val="16"/>
          <w:color w:val="auto"/>
        </w:rPr>
        <w:t>-treated group in number of hypoglycemia events.</w:t>
      </w:r>
    </w:p>
    <w:p>
      <w:pPr>
        <w:spacing w:after="0" w:line="49" w:lineRule="exact"/>
        <w:rPr>
          <w:sz w:val="20"/>
          <w:szCs w:val="20"/>
          <w:color w:val="auto"/>
        </w:rPr>
      </w:pPr>
    </w:p>
    <w:p>
      <w:pPr>
        <w:ind w:right="120" w:firstLine="749"/>
        <w:spacing w:after="0" w:line="218" w:lineRule="exact"/>
        <w:rPr>
          <w:sz w:val="20"/>
          <w:szCs w:val="20"/>
          <w:color w:val="auto"/>
        </w:rPr>
      </w:pPr>
      <w:r>
        <w:rPr>
          <w:rFonts w:ascii="Arial" w:cs="Arial" w:eastAsia="Arial" w:hAnsi="Arial"/>
          <w:sz w:val="16"/>
          <w:szCs w:val="16"/>
          <w:color w:val="auto"/>
        </w:rPr>
        <w:t xml:space="preserve">The results of the mechanistic study provided additional evidence to support the idea that treatment with </w:t>
      </w:r>
      <w:r>
        <w:rPr>
          <w:rFonts w:ascii="Arial" w:cs="Arial" w:eastAsia="Arial" w:hAnsi="Arial"/>
          <w:sz w:val="16"/>
          <w:szCs w:val="16"/>
          <w:i w:val="1"/>
          <w:iCs w:val="1"/>
          <w:color w:val="auto"/>
        </w:rPr>
        <w:t>TTP399</w:t>
      </w:r>
      <w:r>
        <w:rPr>
          <w:rFonts w:ascii="Arial" w:cs="Arial" w:eastAsia="Arial" w:hAnsi="Arial"/>
          <w:sz w:val="16"/>
          <w:szCs w:val="16"/>
          <w:color w:val="auto"/>
        </w:rPr>
        <w:t xml:space="preserve"> will not increase the risk of diabetic ketoacidosis (“DKA”) in patients with T1D. The data demonstrate that in contrast to agents such as SGLT2 inhibitors and GLP</w:t>
      </w:r>
      <w:r>
        <w:rPr>
          <w:rFonts w:ascii="MS PGothic" w:cs="MS PGothic" w:eastAsia="MS PGothic" w:hAnsi="MS PGothic"/>
          <w:sz w:val="16"/>
          <w:szCs w:val="16"/>
          <w:color w:val="auto"/>
        </w:rPr>
        <w:t>‐</w:t>
      </w:r>
      <w:r>
        <w:rPr>
          <w:rFonts w:ascii="Arial" w:cs="Arial" w:eastAsia="Arial" w:hAnsi="Arial"/>
          <w:sz w:val="16"/>
          <w:szCs w:val="16"/>
          <w:color w:val="auto"/>
        </w:rPr>
        <w:t xml:space="preserve">1RAs, </w:t>
      </w:r>
      <w:r>
        <w:rPr>
          <w:rFonts w:ascii="Arial" w:cs="Arial" w:eastAsia="Arial" w:hAnsi="Arial"/>
          <w:sz w:val="16"/>
          <w:szCs w:val="16"/>
          <w:i w:val="1"/>
          <w:iCs w:val="1"/>
          <w:color w:val="auto"/>
        </w:rPr>
        <w:t>TTP399</w:t>
      </w:r>
      <w:r>
        <w:rPr>
          <w:rFonts w:ascii="Arial" w:cs="Arial" w:eastAsia="Arial" w:hAnsi="Arial"/>
          <w:sz w:val="16"/>
          <w:szCs w:val="16"/>
          <w:color w:val="auto"/>
        </w:rPr>
        <w:t xml:space="preserve"> does not increase the risk of ketoacidosis when used as an adjunctive therapy to insulin in individuals with T1D. Moreover, these findings support prior studies that demonstrate that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improves glucose control and reduces hypoglycemia and suggests a protective effect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against acidosis in people with T1D. Thus, accumulating data suggest that </w:t>
      </w:r>
      <w:r>
        <w:rPr>
          <w:rFonts w:ascii="Arial" w:cs="Arial" w:eastAsia="Arial" w:hAnsi="Arial"/>
          <w:sz w:val="16"/>
          <w:szCs w:val="16"/>
          <w:i w:val="1"/>
          <w:iCs w:val="1"/>
          <w:color w:val="auto"/>
        </w:rPr>
        <w:t>TTP399</w:t>
      </w:r>
      <w:r>
        <w:rPr>
          <w:rFonts w:ascii="Arial" w:cs="Arial" w:eastAsia="Arial" w:hAnsi="Arial"/>
          <w:sz w:val="16"/>
          <w:szCs w:val="16"/>
          <w:color w:val="auto"/>
        </w:rPr>
        <w:t xml:space="preserve"> has robust potential as an adjunctive therapy for T1D. Full study results will be published in the Diabetes Obesity and Metabolism journal in conjunction with the 82nd American Diabetes Association Scientific Sessions on June 6th,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ind w:left="760"/>
        <w:spacing w:after="0"/>
        <w:rPr>
          <w:sz w:val="20"/>
          <w:szCs w:val="20"/>
          <w:color w:val="auto"/>
        </w:rPr>
      </w:pPr>
      <w:r>
        <w:rPr>
          <w:rFonts w:ascii="Arial" w:cs="Arial" w:eastAsia="Arial" w:hAnsi="Arial"/>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126365</wp:posOffset>
            </wp:positionV>
            <wp:extent cx="5366385" cy="360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6638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Chronic obstructive pulmonary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Type 1 Diabetes Program – </w:t>
      </w:r>
      <w:r>
        <w:rPr>
          <w:rFonts w:ascii="Arial" w:cs="Arial" w:eastAsia="Arial" w:hAnsi="Arial"/>
          <w:sz w:val="18"/>
          <w:szCs w:val="18"/>
          <w:b w:val="1"/>
          <w:bCs w:val="1"/>
          <w:i w:val="1"/>
          <w:iCs w:val="1"/>
          <w:color w:val="auto"/>
        </w:rPr>
        <w:t>TTP399</w:t>
      </w:r>
    </w:p>
    <w:p>
      <w:pPr>
        <w:spacing w:after="0" w:line="121"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 xml:space="preserve">The Company is planning two pivotal, placebo-controlled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subjects with T1D and has engaged with the Food and Drug Administration (FDA) on the optimal clinical trial designs for these studies. The studies will recruit a total of approximately 1000 patients and at least one of the studies will be one year of treatment. The FDA and the company have agreed on the primary endpoint for the studies as the difference between placebo and </w:t>
      </w:r>
      <w:r>
        <w:rPr>
          <w:rFonts w:ascii="Arial" w:cs="Arial" w:eastAsia="Arial" w:hAnsi="Arial"/>
          <w:sz w:val="17"/>
          <w:szCs w:val="17"/>
          <w:i w:val="1"/>
          <w:iCs w:val="1"/>
          <w:color w:val="auto"/>
        </w:rPr>
        <w:t>TTP399</w:t>
      </w:r>
      <w:r>
        <w:rPr>
          <w:rFonts w:ascii="Arial" w:cs="Arial" w:eastAsia="Arial" w:hAnsi="Arial"/>
          <w:sz w:val="17"/>
          <w:szCs w:val="17"/>
          <w:color w:val="auto"/>
        </w:rPr>
        <w:t>-treated group in number of hypoglycemia events. These pivotal studies are expected to start in 3Q 2022.</w:t>
      </w:r>
    </w:p>
    <w:p>
      <w:pPr>
        <w:spacing w:after="0" w:line="63"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 xml:space="preserve">In October 2021, we announced positive results of a mechanistic study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T1D. The study demonstrated that patients with T1D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Arial" w:cs="Arial" w:eastAsia="Arial" w:hAnsi="Arial"/>
          <w:sz w:val="18"/>
          <w:szCs w:val="18"/>
          <w:i w:val="1"/>
          <w:iCs w:val="1"/>
          <w:color w:val="auto"/>
        </w:rPr>
        <w:t xml:space="preserve">TTP399 </w:t>
      </w:r>
      <w:r>
        <w:rPr>
          <w:rFonts w:ascii="Arial" w:cs="Arial" w:eastAsia="Arial" w:hAnsi="Arial"/>
          <w:sz w:val="18"/>
          <w:szCs w:val="18"/>
          <w:color w:val="auto"/>
        </w:rPr>
        <w:t>treated group during the week of treatment prior to the insulin withdrawal test. The U.S. Food and Drug Administration (“FDA”) has declined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approve SGLT2 inhibitors as an adjunctive therapy in T1D, with concerns over the potential risks of diabetic ketoacidosis (“DKA”) in focus. DKA can lead to hospitalization and, if untreated, death. In order to address these concerns, vTv, following the FDA’s recommendation, conducted this mechanistic study to demonstrate that treatment with </w:t>
      </w:r>
      <w:r>
        <w:rPr>
          <w:rFonts w:ascii="Arial" w:cs="Arial" w:eastAsia="Arial" w:hAnsi="Arial"/>
          <w:sz w:val="18"/>
          <w:szCs w:val="18"/>
          <w:i w:val="1"/>
          <w:iCs w:val="1"/>
          <w:color w:val="auto"/>
        </w:rPr>
        <w:t>TTP399</w:t>
      </w:r>
      <w:r>
        <w:rPr>
          <w:rFonts w:ascii="Arial" w:cs="Arial" w:eastAsia="Arial" w:hAnsi="Arial"/>
          <w:sz w:val="18"/>
          <w:szCs w:val="18"/>
          <w:color w:val="auto"/>
        </w:rPr>
        <w:t>, a liver-selective glucokinase activator, will not result in increased production of ketones, a precursor to ketoacidosis.</w:t>
      </w:r>
    </w:p>
    <w:p>
      <w:pPr>
        <w:spacing w:after="0" w:line="84" w:lineRule="exact"/>
        <w:rPr>
          <w:sz w:val="20"/>
          <w:szCs w:val="20"/>
          <w:color w:val="auto"/>
        </w:rPr>
      </w:pPr>
    </w:p>
    <w:p>
      <w:pPr>
        <w:ind w:right="360" w:firstLine="749"/>
        <w:spacing w:after="0" w:line="263" w:lineRule="auto"/>
        <w:rPr>
          <w:sz w:val="20"/>
          <w:szCs w:val="20"/>
          <w:color w:val="auto"/>
        </w:rPr>
      </w:pPr>
      <w:r>
        <w:rPr>
          <w:rFonts w:ascii="Arial" w:cs="Arial" w:eastAsia="Arial" w:hAnsi="Arial"/>
          <w:sz w:val="18"/>
          <w:szCs w:val="18"/>
          <w:color w:val="auto"/>
        </w:rPr>
        <w:t xml:space="preserve">In April 2021, we announced that the FDA granted BTD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an adjunctive therapy to insulin for the treatment of T1D. This designation provides a sponsor with added support and the potential to expedite development and review timelines for a promising new investigational medicine.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milestones and research fees under collaboration and license agreements.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our inception, including our predecessor companies, through March 31, 2022, we have incurred approximately $603.2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project for the three months ended March 31, 2022 and 2021 were as follows (in thousands):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350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8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240" w:type="dxa"/>
            <w:vAlign w:val="bottom"/>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260" w:type="dxa"/>
            <w:vAlign w:val="bottom"/>
          </w:tcPr>
          <w:p>
            <w:pPr>
              <w:jc w:val="right"/>
              <w:ind w:right="10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r>
      <w:tr>
        <w:trPr>
          <w:trHeight w:val="229"/>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i w:val="1"/>
                <w:iCs w:val="1"/>
                <w:color w:val="auto"/>
              </w:rPr>
              <w:t>HPP737</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3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3,133</w:t>
            </w:r>
          </w:p>
        </w:tc>
        <w:tc>
          <w:tcPr>
            <w:tcW w:w="3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40" w:firstLine="512"/>
        <w:spacing w:after="0" w:line="274"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further advance the development of our other drug candidates, subject to the availability of additional funding.</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187" w:lineRule="exact"/>
        <w:rPr>
          <w:sz w:val="20"/>
          <w:szCs w:val="20"/>
          <w:color w:val="auto"/>
        </w:rPr>
      </w:pPr>
    </w:p>
    <w:p>
      <w:pPr>
        <w:ind w:left="1000" w:right="4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2" w:name="page23"/>
    <w:bookmarkEnd w:id="22"/>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23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interest expense is immaterial.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Other income/expense primarily consists of unrealized gains or losses attributable to the changes in fair value of the equity investments held in our licensees as well the recognition of changes in fair value of the warrants to purchase shares of our Class A common stock held by a related party.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8"/>
          </w:tcPr>
          <w:p>
            <w:pPr>
              <w:jc w:val="right"/>
              <w:ind w:right="7"/>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Statement of operations data:</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net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Less: net loss attributable to noncontrolling interest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20" w:type="dxa"/>
            <w:vAlign w:val="bottom"/>
            <w:vMerge w:val="restart"/>
          </w:tcPr>
          <w:p>
            <w:pPr>
              <w:jc w:val="right"/>
              <w:ind w:right="4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Revenue for the three months ended March 31, 2022 includes a $2.0 million increase to the transaction price for the license performance obligations under the amended license agreement with Huadong due to the satisfaction of a development milestone. Revenue for the three months ended March 31, 2021 relates to the reallocation of revenue to the license and technology transfer performance obligation made in connection with the First Huadong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Research and development expenses were $3.1 million for the three months ended March 31, 2022, and 2021. The change in research and development expenses was consistent period over period. Research and development expenses for the three months ended March 31, 2022 compared to the same period in 2021 was primarily driven by i) a decrease in clinical trial costs of $0.7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discontinuance of its development as a potential treatment of Alzheimer’s disease in patients with type 2 diabetes, ii) decreased spending of $1.0 million related to the multiple ascending dose study for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iii) decreases in other projects and indirect costs of $0.5 million offset by iii) higher spending on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of $2.2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General and administrative expenses were $5.3 million and $2.2 million for the three months ended March 31, 2022, and 2021, respectively. The increase in general and administrative expenses during this period of $3.2 million or 147.1%, was primarily driven by i) increases of $2.3 million in legal expense, ii) increases of $0.8 million in severance costs, iii) increases of $0.4 million other general and administrative costs, offset by iv) decreases in payroll costs of $0.3 million due to the reduction in workforce in connection with the Company’s restructuring plan that occurred in December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for the three months ended March 31, 2022, and 2021, was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Other expense was $2.7 million for the three months ended March 31, 2022, and was driven by an unrealized loss related to our investment in Reneo as well as the gains related to a reduction in the fair value of the outstanding warrants to purchase shares of our own stock issued to a related party (“Related Party Warrants”). Other expense was $1.6 million for the three months ended March 31, 2021, and is driven by gains related to a reduction in fair value of the Related Party Warrants.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ind w:right="60" w:firstLine="568"/>
        <w:spacing w:after="0" w:line="271" w:lineRule="auto"/>
        <w:rPr>
          <w:sz w:val="20"/>
          <w:szCs w:val="20"/>
          <w:color w:val="auto"/>
        </w:rPr>
      </w:pPr>
      <w:r>
        <w:rPr>
          <w:rFonts w:ascii="Arial" w:cs="Arial" w:eastAsia="Arial" w:hAnsi="Arial"/>
          <w:sz w:val="17"/>
          <w:szCs w:val="17"/>
          <w:color w:val="auto"/>
        </w:rPr>
        <w:t xml:space="preserve">As of March 31, 2022, we have an accumulated deficit of $247.7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March 31, 2022, our liquidity sources included cash and cash equivalents of $12.1 million. In addition to available cash and cash equivalents discussed above, we are actively seeking to raise capital through licensing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regions outside of North America and Europe and are also actively seeking licensing deals for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and other assets. Additionally, we are evaluating several financing strategies to fund the on-going and future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including direct equity investments. The timing and availability of such financing are not yet known. We are currently in active discussions with respect to financing, partnering and licensing transactions for the further development of </w:t>
      </w:r>
      <w:r>
        <w:rPr>
          <w:rFonts w:ascii="Arial" w:cs="Arial" w:eastAsia="Arial" w:hAnsi="Arial"/>
          <w:sz w:val="17"/>
          <w:szCs w:val="17"/>
          <w:i w:val="1"/>
          <w:iCs w:val="1"/>
          <w:color w:val="auto"/>
        </w:rPr>
        <w:t>TTP399</w:t>
      </w:r>
      <w:r>
        <w:rPr>
          <w:rFonts w:ascii="Arial" w:cs="Arial" w:eastAsia="Arial" w:hAnsi="Arial"/>
          <w:sz w:val="17"/>
          <w:szCs w:val="17"/>
          <w:color w:val="auto"/>
        </w:rPr>
        <w:t>, but we may not be successful in completing such transactions.</w:t>
      </w:r>
    </w:p>
    <w:p>
      <w:pPr>
        <w:spacing w:after="0" w:line="178" w:lineRule="exact"/>
        <w:rPr>
          <w:sz w:val="20"/>
          <w:szCs w:val="20"/>
          <w:color w:val="auto"/>
        </w:rPr>
      </w:pPr>
    </w:p>
    <w:p>
      <w:pPr>
        <w:ind w:right="160" w:firstLine="568"/>
        <w:spacing w:after="0" w:line="273" w:lineRule="auto"/>
        <w:rPr>
          <w:sz w:val="20"/>
          <w:szCs w:val="20"/>
          <w:color w:val="auto"/>
        </w:rPr>
      </w:pPr>
      <w:r>
        <w:rPr>
          <w:rFonts w:ascii="Arial" w:cs="Arial" w:eastAsia="Arial" w:hAnsi="Arial"/>
          <w:sz w:val="17"/>
          <w:szCs w:val="17"/>
          <w:color w:val="auto"/>
        </w:rPr>
        <w:t>Based on our current operating plan, we may use the remaining availability of $37.3 million under our Controlled Equity OfferingSM 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 These factors raise substantial doubt about our ability to continue as a going concern.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right="20" w:firstLine="568"/>
        <w:spacing w:after="0" w:line="253" w:lineRule="auto"/>
        <w:rPr>
          <w:sz w:val="20"/>
          <w:szCs w:val="20"/>
          <w:color w:val="auto"/>
        </w:rPr>
      </w:pPr>
      <w:r>
        <w:rPr>
          <w:rFonts w:ascii="Arial" w:cs="Arial" w:eastAsia="Arial" w:hAnsi="Arial"/>
          <w:sz w:val="18"/>
          <w:szCs w:val="18"/>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March 31, 2022, we have sold $31.2 million worth of Class A Common Stock under the ATM Offering for net proceeds of $30.3 million, leaving $37.3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Purchase Agreement</w:t>
      </w:r>
    </w:p>
    <w:p>
      <w:pPr>
        <w:spacing w:after="0" w:line="225" w:lineRule="exact"/>
        <w:rPr>
          <w:sz w:val="20"/>
          <w:szCs w:val="20"/>
          <w:color w:val="auto"/>
        </w:rPr>
      </w:pPr>
    </w:p>
    <w:p>
      <w:pPr>
        <w:jc w:val="both"/>
        <w:ind w:right="220" w:firstLine="568"/>
        <w:spacing w:after="0" w:line="263" w:lineRule="auto"/>
        <w:rPr>
          <w:sz w:val="20"/>
          <w:szCs w:val="20"/>
          <w:color w:val="auto"/>
        </w:rPr>
      </w:pPr>
      <w:r>
        <w:rPr>
          <w:rFonts w:ascii="Arial" w:cs="Arial" w:eastAsia="Arial" w:hAnsi="Arial"/>
          <w:sz w:val="18"/>
          <w:szCs w:val="18"/>
          <w:color w:val="auto"/>
        </w:rPr>
        <w:t>We have entered into the LPC Purchase Agreement, pursuant to which we have the right to sell to Lincoln Park shares of the Company’s Class A Common Stock having an aggregate value of up to $47.0 million. As of March 31, 2022, we have issued 5,331,306 of these shares for gross proceeds of approximately $11.1 million, leaving $35.9 million available to be sold.</w:t>
      </w:r>
    </w:p>
    <w:p>
      <w:pPr>
        <w:spacing w:after="0" w:line="184" w:lineRule="exact"/>
        <w:rPr>
          <w:sz w:val="20"/>
          <w:szCs w:val="20"/>
          <w:color w:val="auto"/>
        </w:rPr>
      </w:pPr>
    </w:p>
    <w:p>
      <w:pPr>
        <w:ind w:right="80" w:firstLine="568"/>
        <w:spacing w:after="0" w:line="270" w:lineRule="auto"/>
        <w:rPr>
          <w:sz w:val="20"/>
          <w:szCs w:val="20"/>
          <w:color w:val="auto"/>
        </w:rPr>
      </w:pPr>
      <w:r>
        <w:rPr>
          <w:rFonts w:ascii="Arial" w:cs="Arial" w:eastAsia="Arial" w:hAnsi="Arial"/>
          <w:sz w:val="17"/>
          <w:szCs w:val="17"/>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181" w:lineRule="exact"/>
        <w:rPr>
          <w:sz w:val="20"/>
          <w:szCs w:val="20"/>
          <w:color w:val="auto"/>
        </w:rPr>
      </w:pPr>
    </w:p>
    <w:p>
      <w:pPr>
        <w:ind w:right="120" w:firstLine="568"/>
        <w:spacing w:after="0" w:line="270" w:lineRule="auto"/>
        <w:rPr>
          <w:sz w:val="20"/>
          <w:szCs w:val="20"/>
          <w:color w:val="auto"/>
        </w:rPr>
      </w:pPr>
      <w:r>
        <w:rPr>
          <w:rFonts w:ascii="Arial" w:cs="Arial" w:eastAsia="Arial" w:hAnsi="Arial"/>
          <w:sz w:val="17"/>
          <w:szCs w:val="17"/>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289" w:lineRule="exact"/>
        <w:rPr>
          <w:sz w:val="20"/>
          <w:szCs w:val="20"/>
          <w:color w:val="auto"/>
        </w:rPr>
      </w:pPr>
    </w:p>
    <w:p>
      <w:pPr>
        <w:ind w:right="200" w:firstLine="568"/>
        <w:spacing w:after="0" w:line="279"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20" w:type="dxa"/>
            <w:vAlign w:val="bottom"/>
            <w:gridSpan w:val="2"/>
            <w:vMerge w:val="restart"/>
          </w:tcPr>
          <w:p>
            <w:pPr>
              <w:jc w:val="right"/>
              <w:ind w:right="3290"/>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(5,299)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Net cash (used in) provided by financing activities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jc w:val="right"/>
              <w:ind w:right="61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For the three months ended March 31, 2022, our net cash used in operating activities decreased $4.3 million from the three months ended March 31, 2021 The significant contributor to the change in cash used during the year was driven by working capital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cash flows from investing activities for the three months ended March 31, 2022, or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three months ended March 31, 2022, net cash provided by financing activities decreased by $7.7 million from the three months ended March 31, 2021, driven by sales of shares of our Class A Common Stock during the three months ended March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right="160" w:firstLine="505"/>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 xml:space="preserve">We plan to finance our operations into the fourth quarter of 2022 through the use of our cash and cash equivalents and based on current operating plans, we are actively seeking to raise additional capital through licensing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regions outside of North America and Europe and are also actively seeking licensing deals for </w:t>
      </w:r>
      <w:r>
        <w:rPr>
          <w:rFonts w:ascii="Arial" w:cs="Arial" w:eastAsia="Arial" w:hAnsi="Arial"/>
          <w:sz w:val="16"/>
          <w:szCs w:val="16"/>
          <w:i w:val="1"/>
          <w:iCs w:val="1"/>
          <w:color w:val="auto"/>
        </w:rPr>
        <w:t>HPP737</w:t>
      </w:r>
      <w:r>
        <w:rPr>
          <w:rFonts w:ascii="Arial" w:cs="Arial" w:eastAsia="Arial" w:hAnsi="Arial"/>
          <w:sz w:val="16"/>
          <w:szCs w:val="16"/>
          <w:color w:val="auto"/>
        </w:rPr>
        <w:t xml:space="preserve"> and other assets. Additionally, we are evaluating several financing strategies to fund the on-going and future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including direct equity investments. The timing of any such transactions is not certain, and we may not be able to complete such transactions on acceptable terms, or at all. Even if we are able to complete such transactions, it may contain restrictions on our operations or cause substantial dilution to our stockholders. We have based our estimates on assumptions that may prove to be wrong, and we may use our available capital resources sooner than we currently expect.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 and we may use our available capital resources sooner than we currently expect.</w:t>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1500" w:hanging="358"/>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T1D;</w:t>
      </w:r>
    </w:p>
    <w:p>
      <w:pPr>
        <w:spacing w:after="0" w:line="117" w:lineRule="exact"/>
        <w:rPr>
          <w:rFonts w:ascii="Arial" w:cs="Arial" w:eastAsia="Arial" w:hAnsi="Arial"/>
          <w:sz w:val="18"/>
          <w:szCs w:val="18"/>
          <w:color w:val="auto"/>
        </w:rPr>
      </w:pPr>
    </w:p>
    <w:p>
      <w:pPr>
        <w:ind w:left="1500" w:right="340" w:hanging="358"/>
        <w:spacing w:after="0" w:line="277"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500" w:hanging="358"/>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500" w:hanging="358"/>
        <w:spacing w:after="0"/>
        <w:tabs>
          <w:tab w:leader="none" w:pos="1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and characteristics of drug candidates that we pursue, including our drug candidates in preclinical development;</w:t>
      </w:r>
    </w:p>
    <w:p>
      <w:pPr>
        <w:spacing w:after="0" w:line="128" w:lineRule="exact"/>
        <w:rPr>
          <w:rFonts w:ascii="Arial" w:cs="Arial" w:eastAsia="Arial" w:hAnsi="Arial"/>
          <w:sz w:val="17"/>
          <w:szCs w:val="17"/>
          <w:color w:val="auto"/>
        </w:rPr>
      </w:pPr>
    </w:p>
    <w:p>
      <w:pPr>
        <w:ind w:left="1500" w:hanging="358"/>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500" w:hanging="358"/>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500" w:hanging="358"/>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500" w:hanging="358"/>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6" w:name="page27"/>
    <w:bookmarkEnd w:id="26"/>
    <w:p>
      <w:pPr>
        <w:ind w:left="1500" w:right="380" w:hanging="358"/>
        <w:spacing w:after="0" w:line="263"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500" w:hanging="358"/>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500" w:hanging="358"/>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500" w:hanging="358"/>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500" w:right="400" w:hanging="358"/>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1500" w:right="1520" w:hanging="358"/>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500" w:hanging="358"/>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ATM Offering and LPC Purchase Agreement.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2021. There have been no material changes to our critical accounting policies and estimates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76"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Our forward-looking statements made herein are made only as of the date of this quarterly report. We expressly disclaim any intent, obligation or undertaking to update or revise any forward-looking statements made herein to reflect any change in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right="100"/>
        <w:spacing w:after="0" w:line="263" w:lineRule="auto"/>
        <w:rPr>
          <w:sz w:val="20"/>
          <w:szCs w:val="20"/>
          <w:color w:val="auto"/>
        </w:rPr>
      </w:pPr>
      <w:r>
        <w:rPr>
          <w:rFonts w:ascii="Arial" w:cs="Arial" w:eastAsia="Arial" w:hAnsi="Arial"/>
          <w:sz w:val="18"/>
          <w:szCs w:val="18"/>
          <w:color w:val="auto"/>
        </w:rPr>
        <w:t>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currently have any material interest rate exposure.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in a financial institution that management believes to be of high credit quality. Because of the short-term maturities of our investments, we do not believe that an increase in market rates would have a material negative impact on the value of our investment portfolio.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Under the supervision and with the participation of our Interim Chief Executive Officer and Chief Accounting Officer, management has evaluated the effectiveness of the design and operation of our disclosure controls and procedures (as defined in Rules 13a-15(e) or 15d-15(e) of the Securities Exchange Act of 1934) as of March 31, 2022. Based upon that evaluation, our Interim Chief Executive Officer and Chief Accounting Officer concluded that, as of March 31, 2022,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Our management, including our Interim Chief Executive Officer and Chief Accounting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risk factors are set forth under the heading “Risk Factors” under Item 1A of Part I in our Annual Report on Form 10-K for the year ended December 31, 2021. There have been no material changes to our risk factors from those previously disclosed in our Annual Report on Form 10-K for the year ended December 31, 2021.</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sales of unregistered equity securities during the three months ended March 31, 2022.</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60" w:type="dxa"/>
            <w:vAlign w:val="bottom"/>
            <w:gridSpan w:val="7"/>
            <w:vMerge w:val="restart"/>
          </w:tcPr>
          <w:p>
            <w:pPr>
              <w:ind w:left="1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6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Deepa Prasad Separation Agreement</w:t>
              </w:r>
            </w:hyperlink>
          </w:p>
        </w:tc>
        <w:tc>
          <w:tcPr>
            <w:tcW w:w="7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Richard S. Nelson Employment Agreement</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Certification of Interim President and Chief Executive Officer required by Rule 13a-14(a)/15d-14(a) under the Securities Exchange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1934, as amended, as adopted pursuant to Section 302 of the Sarbanes-Oxley Act of 2002.</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200" w:type="dxa"/>
            <w:vAlign w:val="bottom"/>
            <w:gridSpan w:val="11"/>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Certification of Chief Accounting Officer required by Rule 13a-14(a)/15d-14(a) under the Securities Exchange Act of 1934, as amended,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adopted pursuant to Section 302 of the Sarbanes-Oxley Act of 2002.</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Certification of Interim President and Chief Executive Officer pursuant to 18 U.S.C. Section 1350, as adopted pursuant to Section 906 of the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1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of Chief Accounting Officer pursuant to 18 U.S.C. Section 1350, as adopted pursuant to Section 906 of the Sarbanes-Oxley Act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Document</w:t>
            </w: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351"/>
        </w:trPr>
        <w:tc>
          <w:tcPr>
            <w:tcW w:w="980" w:type="dxa"/>
            <w:vAlign w:val="bottom"/>
            <w:gridSpan w:val="2"/>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1020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520" w:hanging="49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-276225</wp:posOffset>
            </wp:positionV>
            <wp:extent cx="11912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37" w:right="339" w:bottom="1440" w:gutter="0" w:footer="0" w:header="0"/>
        </w:sectPr>
      </w:pPr>
    </w:p>
    <w:bookmarkStart w:id="30" w:name="page31"/>
    <w:bookmarkEnd w:id="3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2022</w:t>
      </w:r>
    </w:p>
    <w:p>
      <w:pPr>
        <w:spacing w:after="0" w:line="225"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7260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Richard S. Nelson</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Interim Chief Executive Officer</w:t>
      </w:r>
    </w:p>
    <w:p>
      <w:pPr>
        <w:spacing w:after="0" w:line="238" w:lineRule="exact"/>
        <w:rPr>
          <w:sz w:val="20"/>
          <w:szCs w:val="20"/>
          <w:color w:val="auto"/>
        </w:rPr>
      </w:pPr>
    </w:p>
    <w:p>
      <w:pPr>
        <w:ind w:left="65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7260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00"/>
          </w:cols>
          <w:pgMar w:left="320" w:top="337" w:right="779" w:bottom="1440" w:gutter="0" w:footer="0" w:header="0"/>
        </w:sectPr>
      </w:pPr>
    </w:p>
    <w:bookmarkStart w:id="31" w:name="page32"/>
    <w:bookmarkEnd w:id="31"/>
    <w:p>
      <w:pPr>
        <w:ind w:left="1012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12"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vTv Therapeutics LLC (the "Company") and Deepa Prasad, her heirs, executors, administrators, successors, and assigns (collectively referred to throughout this Agreement as "Executive"), enter into this Separation Agreement and Mutual Release (the "Agreement), and agree that:</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WHEREAS, Executive has notified the Company of her intention to resign from her employment and her positions as President, Chief Executive Officer and Member of the Board of Directors; and</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WHEREAS, the parties are entering into this Agreement to confirm the terms applicable to Executive's separation from the Company and Executive's role in the transition of her responsibilities, and for the purposes of resolving or avoiding any potential disputes between them;</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and sufficiency of which are hereby acknowledged, it is agreed as follows:</w:t>
      </w:r>
    </w:p>
    <w:p>
      <w:pPr>
        <w:spacing w:after="0" w:line="169" w:lineRule="exact"/>
        <w:rPr>
          <w:sz w:val="20"/>
          <w:szCs w:val="20"/>
          <w:color w:val="auto"/>
        </w:rPr>
      </w:pPr>
    </w:p>
    <w:p>
      <w:pPr>
        <w:jc w:val="both"/>
        <w:ind w:firstLine="1735"/>
        <w:spacing w:after="0" w:line="239" w:lineRule="auto"/>
        <w:tabs>
          <w:tab w:leader="none" w:pos="2537"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Resignation.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hereby confirms that she is resigning from her employment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from any positions she currently holds, including the positions of President, Chief Executive Officer and Director, effective as of the earlier of the execution of definitive transaction documents for the "G Transaction" or March 29, 2022 (the "Effective Date").</w:t>
      </w:r>
    </w:p>
    <w:p>
      <w:pPr>
        <w:spacing w:after="0" w:line="207" w:lineRule="exact"/>
        <w:rPr>
          <w:rFonts w:ascii="Arial" w:cs="Arial" w:eastAsia="Arial" w:hAnsi="Arial"/>
          <w:sz w:val="22"/>
          <w:szCs w:val="22"/>
          <w:color w:val="auto"/>
        </w:rPr>
      </w:pPr>
    </w:p>
    <w:p>
      <w:pPr>
        <w:jc w:val="both"/>
        <w:ind w:firstLine="1735"/>
        <w:spacing w:after="0" w:line="244" w:lineRule="auto"/>
        <w:tabs>
          <w:tab w:leader="none" w:pos="2537" w:val="left"/>
        </w:tabs>
        <w:numPr>
          <w:ilvl w:val="0"/>
          <w:numId w:val="10"/>
        </w:numPr>
        <w:rPr>
          <w:rFonts w:ascii="Arial" w:cs="Arial" w:eastAsia="Arial" w:hAnsi="Arial"/>
          <w:sz w:val="21"/>
          <w:szCs w:val="21"/>
          <w:color w:val="auto"/>
        </w:rPr>
      </w:pPr>
      <w:r>
        <w:rPr>
          <w:rFonts w:ascii="Arial" w:cs="Arial" w:eastAsia="Arial" w:hAnsi="Arial"/>
          <w:sz w:val="21"/>
          <w:szCs w:val="21"/>
          <w:b w:val="1"/>
          <w:bCs w:val="1"/>
          <w:u w:val="single" w:color="auto"/>
          <w:color w:val="auto"/>
        </w:rPr>
        <w:t>Strategic Advisor Role.</w:t>
      </w:r>
      <w:r>
        <w:rPr>
          <w:rFonts w:ascii="Arial" w:cs="Arial" w:eastAsia="Arial" w:hAnsi="Arial"/>
          <w:sz w:val="21"/>
          <w:szCs w:val="21"/>
          <w:b w:val="1"/>
          <w:bCs w:val="1"/>
          <w:color w:val="auto"/>
        </w:rPr>
        <w:t xml:space="preserve"> </w:t>
      </w:r>
      <w:r>
        <w:rPr>
          <w:rFonts w:ascii="Arial" w:cs="Arial" w:eastAsia="Arial" w:hAnsi="Arial"/>
          <w:sz w:val="21"/>
          <w:szCs w:val="21"/>
          <w:color w:val="auto"/>
        </w:rPr>
        <w:t>Commencing upon the Effective Date and for a period of up to six (6)</w:t>
      </w:r>
      <w:r>
        <w:rPr>
          <w:rFonts w:ascii="Arial" w:cs="Arial" w:eastAsia="Arial" w:hAnsi="Arial"/>
          <w:sz w:val="21"/>
          <w:szCs w:val="21"/>
          <w:b w:val="1"/>
          <w:bCs w:val="1"/>
          <w:color w:val="auto"/>
        </w:rPr>
        <w:t xml:space="preserve"> </w:t>
      </w:r>
      <w:r>
        <w:rPr>
          <w:rFonts w:ascii="Arial" w:cs="Arial" w:eastAsia="Arial" w:hAnsi="Arial"/>
          <w:sz w:val="21"/>
          <w:szCs w:val="21"/>
          <w:color w:val="auto"/>
        </w:rPr>
        <w:t>months, subject to earlier termination of the role at the discretion of the Board of Directors, Executive shall serve as a Strategic Advisor to the Company's Board of Directors and Chief Executive Officer, or the Acting or Interim Chief Executive Officer (the "CEO"). During the time that she is serving as a Strategic Advisor, Executive shall be a consultant, but not an employee or officer of the Company, and in that capacity, she will continue to assist in the transition of her responsibilities at the written request of the CEO. It is anticipated that such services as a Strategic Advisor shall not exceed 19.9% of Executive's time. Executive agrees that the severance compensation to be paid to her under Paragraph 4(a) below is sufficient and adequate compensation for the consulting services to be provided by her as a Strategic Advisor, and that she will not be entitled to any additional compensation for such services, nor will she be entitled to participate in the Company's employee benefit plans except as stated herein. It is agreed by Executive and the Company that the failure by Executive to perform the services requested in her Strategic Advisor role will constitute a breach of this Agreement, but will not be a basis for the reduction of the compensation payable to her under Paragraph 4(a) below. Early termination of Executive's Strategic Advisor role by the Company will not be a breach of this agreement, nor will it result in the reduction of the compensation payable to Executive under Paragraph 4(a) of this Agreement.</w:t>
      </w:r>
    </w:p>
    <w:p>
      <w:pPr>
        <w:spacing w:after="0" w:line="186" w:lineRule="exact"/>
        <w:rPr>
          <w:rFonts w:ascii="Arial" w:cs="Arial" w:eastAsia="Arial" w:hAnsi="Arial"/>
          <w:sz w:val="21"/>
          <w:szCs w:val="21"/>
          <w:color w:val="auto"/>
        </w:rPr>
      </w:pPr>
    </w:p>
    <w:p>
      <w:pPr>
        <w:ind w:left="5580" w:hanging="181"/>
        <w:spacing w:after="0"/>
        <w:tabs>
          <w:tab w:leader="none" w:pos="55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ind w:left="2540" w:hanging="805"/>
        <w:spacing w:after="0"/>
        <w:tabs>
          <w:tab w:leader="none" w:pos="254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Post-Employment Covenants and Return of Property.</w:t>
      </w:r>
    </w:p>
    <w:p>
      <w:pPr>
        <w:spacing w:after="0" w:line="1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Except as otherwise set forth in this Paragraph 3, Executive acknowledges that she continues to be bound by the confidentiality, non-competition, non-disparagement, cooperation and non-solicitation provisions of the employment agreement between Executive, the Company and vTv Therapeutics, Inc. dated October 19, 2021 (the "Employment Agreement"), which will remain in effect in accordance with their terms, provided, however, that (i) the non-solicitation provision set forth in the Employment Agreement shall be amended such that the "NS Restricted Period" shall be reduced to one (1) year; and (ii) the non-competition provision set forth in the Employment Agreement shall be amended so that the "NC Restricted Period" shall be reduced to one (1) year, and the term "Competing Business" shall mean and refer solely to any business that engages in the development of drugs to Treat Type 1 or Type 2 diabetes, or that engages in the development of drugs that would compete with HPP 737. Executive agrees that she will continue to take all reasonable steps to assist in protecting the Company's confidential information from improper disclosure. Executive agrees not to disclose any information regarding the underlying facts leading up to or the existence or substance of this Agreement, except to her spouse, tax or other advisors, and/or attorneys.</w:t>
      </w:r>
    </w:p>
    <w:p>
      <w:pPr>
        <w:spacing w:after="0" w:line="157"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Executive affirms that she has returned or will return all of the Company's property, documents, and/or any confidential information in Employee's possession or control other than information relating to her compensation and benefits and any written agreements setting forth the terms of her employment or her participation in any benefit or equity plans sponsored or maintained by the Company, provided, however, that Executive shall, for the period in which she serves as a Strategic Advisor, be provided a Company email address and device for her use solely to the extent necessary to communicate with the Company. Executive acknowledges that if she discovers in her possession any property belonging to the Company, documents or materials that relate to the Company or to its business with any of its products, research, experiments, clients or customers, she will notify the Company immediately and immediately deliver such property, documents and materials to Human Resources at vTv Therapeutics LLC, 3980 Premier Drive, Suite 310, High Point, NC 27265.</w:t>
      </w:r>
    </w:p>
    <w:p>
      <w:pPr>
        <w:spacing w:after="0" w:line="212" w:lineRule="exact"/>
        <w:rPr>
          <w:sz w:val="20"/>
          <w:szCs w:val="20"/>
          <w:color w:val="auto"/>
        </w:rPr>
      </w:pPr>
    </w:p>
    <w:p>
      <w:pPr>
        <w:jc w:val="both"/>
        <w:ind w:firstLine="1512"/>
        <w:spacing w:after="0" w:line="297" w:lineRule="auto"/>
        <w:rPr>
          <w:sz w:val="20"/>
          <w:szCs w:val="20"/>
          <w:color w:val="auto"/>
        </w:rPr>
      </w:pPr>
      <w:r>
        <w:rPr>
          <w:rFonts w:ascii="Arial" w:cs="Arial" w:eastAsia="Arial" w:hAnsi="Arial"/>
          <w:sz w:val="19"/>
          <w:szCs w:val="19"/>
          <w:color w:val="auto"/>
        </w:rPr>
        <w:t>The confidentiality agreements and obligations contained in this paragraph are in addition to any other confidentiality obligations established by the statutes and common law of Delaware, as well as the provisions set out in any other prior confidentiality agreement between Executive and the Company, including those contained in the Employment Agreement.</w:t>
      </w:r>
    </w:p>
    <w:p>
      <w:pPr>
        <w:spacing w:after="0" w:line="128" w:lineRule="exact"/>
        <w:rPr>
          <w:sz w:val="20"/>
          <w:szCs w:val="20"/>
          <w:color w:val="auto"/>
        </w:rPr>
      </w:pPr>
    </w:p>
    <w:p>
      <w:pPr>
        <w:ind w:right="20" w:firstLine="1735"/>
        <w:spacing w:after="0" w:line="256" w:lineRule="auto"/>
        <w:tabs>
          <w:tab w:leader="none" w:pos="2537" w:val="left"/>
        </w:tabs>
        <w:numPr>
          <w:ilvl w:val="1"/>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agrees to provide to Executive the following severance benefits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in exchange for the release and other obligations undertaken by Executive herein:</w:t>
      </w:r>
    </w:p>
    <w:p>
      <w:pPr>
        <w:spacing w:after="0" w:line="168" w:lineRule="exact"/>
        <w:rPr>
          <w:rFonts w:ascii="Arial" w:cs="Arial" w:eastAsia="Arial" w:hAnsi="Arial"/>
          <w:sz w:val="22"/>
          <w:szCs w:val="22"/>
          <w:color w:val="auto"/>
        </w:rPr>
      </w:pPr>
    </w:p>
    <w:p>
      <w:pPr>
        <w:jc w:val="both"/>
        <w:ind w:left="880" w:hanging="440"/>
        <w:spacing w:after="0" w:line="236" w:lineRule="auto"/>
        <w:tabs>
          <w:tab w:leader="none" w:pos="8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As a severance benefit and as compensation for any consulting services to be provided by Executive under Paragraph 2 of this Agreement, the Company will continue to pay Executive her base salary for a period of fifteen (15) months following the Effective Date, at the rate in effect as of the date of this Agreement. These payments will be made in regular payroll installments and will be subject to applicable taxes and withholdings required by law or authorized by Executive.</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5580" w:hanging="181"/>
        <w:spacing w:after="0"/>
        <w:tabs>
          <w:tab w:leader="none" w:pos="5580" w:val="left"/>
        </w:tabs>
        <w:numPr>
          <w:ilvl w:val="2"/>
          <w:numId w:val="13"/>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jc w:val="both"/>
        <w:ind w:left="880" w:hanging="440"/>
        <w:spacing w:after="0" w:line="236" w:lineRule="auto"/>
        <w:tabs>
          <w:tab w:leader="none" w:pos="8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Company will reimburse the Executive for the cost of her group health plan benefits premiums under the Company's plan for the 12-month period following the date of termination, provided that Executive elects to receive and qualifies for such benefits under COBRA. To receive reimbursement, Executive must submit to Company on a monthly basis copies of the premium invoice from the COBRA administrator and proof of timely payment of premium and continuation of benefits.</w:t>
      </w:r>
    </w:p>
    <w:p>
      <w:pPr>
        <w:spacing w:after="0" w:line="187" w:lineRule="exact"/>
        <w:rPr>
          <w:rFonts w:ascii="Arial" w:cs="Arial" w:eastAsia="Arial" w:hAnsi="Arial"/>
          <w:sz w:val="22"/>
          <w:szCs w:val="22"/>
          <w:color w:val="auto"/>
        </w:rPr>
      </w:pPr>
    </w:p>
    <w:p>
      <w:pPr>
        <w:jc w:val="both"/>
        <w:ind w:left="880" w:hanging="440"/>
        <w:spacing w:after="0" w:line="248" w:lineRule="auto"/>
        <w:tabs>
          <w:tab w:leader="none" w:pos="8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Executive will receive a Cash Bonus in the gross amount of Three Hundred Twenty-Five Thousand Dollars ($325,000), less applicable taxes and withholdings, to be paid in two equal installments. The first installment in the gross amount of One Hundred Sixty-Two Thousand, Five Hundred Dollars ($162,500) will be payable within ten (10) days of the execution of this Agreement. The second installment in the gross amount of One Hundred Sixty-Two Thousand, Five Hundred Dollars ($162,500) will be paid within ten (10) days of the earlier of the execution of definitive transaction documents for the "G Transaction" or September 29, 2022.</w:t>
      </w:r>
    </w:p>
    <w:p>
      <w:pPr>
        <w:spacing w:after="0" w:line="170" w:lineRule="exact"/>
        <w:rPr>
          <w:rFonts w:ascii="Arial" w:cs="Arial" w:eastAsia="Arial" w:hAnsi="Arial"/>
          <w:sz w:val="21"/>
          <w:szCs w:val="21"/>
          <w:color w:val="auto"/>
        </w:rPr>
      </w:pPr>
    </w:p>
    <w:p>
      <w:pPr>
        <w:jc w:val="both"/>
        <w:ind w:left="880" w:hanging="440"/>
        <w:spacing w:after="0" w:line="272"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9"/>
          <w:szCs w:val="19"/>
          <w:color w:val="auto"/>
        </w:rPr>
        <w:t xml:space="preserve">The Company and Executive acknowledge and agree that Executive was previously granted </w:t>
      </w:r>
      <w:r>
        <w:rPr>
          <w:rFonts w:ascii="Arial" w:cs="Arial" w:eastAsia="Arial" w:hAnsi="Arial"/>
          <w:sz w:val="19"/>
          <w:szCs w:val="19"/>
          <w:b w:val="1"/>
          <w:bCs w:val="1"/>
          <w:color w:val="auto"/>
        </w:rPr>
        <w:t>2,498,635</w:t>
      </w:r>
      <w:r>
        <w:rPr>
          <w:rFonts w:ascii="Arial" w:cs="Arial" w:eastAsia="Arial" w:hAnsi="Arial"/>
          <w:sz w:val="19"/>
          <w:szCs w:val="19"/>
          <w:color w:val="auto"/>
        </w:rPr>
        <w:t xml:space="preserve"> stock options to acquire shares of Class A Common stock of the Company pursuant to a stock option agreement dated as of October 19, 2021 (the "Option Agreement"). Sections 2 and 3 of the Option Agreement (including Exhibit A) are hereby deleted in their entirety, and Executive shall have no rights or entitlements under those deleted Sections. Notwithstanding anything in the Option Agreement to the contrary, as of the date of the execution of this Agreement, 75% of such stock options </w:t>
      </w:r>
      <w:r>
        <w:rPr>
          <w:rFonts w:ascii="Arial" w:cs="Arial" w:eastAsia="Arial" w:hAnsi="Arial"/>
          <w:sz w:val="19"/>
          <w:szCs w:val="19"/>
          <w:b w:val="1"/>
          <w:bCs w:val="1"/>
          <w:color w:val="auto"/>
        </w:rPr>
        <w:t>(1,873,976)</w:t>
      </w:r>
      <w:r>
        <w:rPr>
          <w:rFonts w:ascii="Arial" w:cs="Arial" w:eastAsia="Arial" w:hAnsi="Arial"/>
          <w:sz w:val="19"/>
          <w:szCs w:val="19"/>
          <w:color w:val="auto"/>
        </w:rPr>
        <w:t xml:space="preserve"> are cancelled and forfeited in their entirety. The remaining 25% of the stock options </w:t>
      </w:r>
      <w:r>
        <w:rPr>
          <w:rFonts w:ascii="Arial" w:cs="Arial" w:eastAsia="Arial" w:hAnsi="Arial"/>
          <w:sz w:val="19"/>
          <w:szCs w:val="19"/>
          <w:b w:val="1"/>
          <w:bCs w:val="1"/>
          <w:color w:val="auto"/>
        </w:rPr>
        <w:t>(624,659)</w:t>
      </w:r>
      <w:r>
        <w:rPr>
          <w:rFonts w:ascii="Arial" w:cs="Arial" w:eastAsia="Arial" w:hAnsi="Arial"/>
          <w:sz w:val="19"/>
          <w:szCs w:val="19"/>
          <w:color w:val="auto"/>
        </w:rPr>
        <w:t xml:space="preserve"> (the "Continuing Options") are currently unvested, but will vest and become exercisable at the end of fifteen months after the Effective Date, subject to and conditioned upon Executive's continued compliance with her obligations under Paragraph 10 of this Agreement. If Executive breaches her obligations under Paragraph 10 of this Agreement, then the Continuing Options shall be cancelled and forfeited in their entirety without payment or right to further vesting. The Continuing Options, to the extent vested and not yet exercised (unless canceled and forfeited as a result of Executive's breach of Paragraph 10 of this Agreement) shall be exercisable until October 19, 2031, or such earlier date upon the occurrence of a Change in Control (as defined in the Company's 2015 Omnibus Equity Plan, as amended).</w:t>
      </w:r>
    </w:p>
    <w:p>
      <w:pPr>
        <w:spacing w:after="0" w:line="155" w:lineRule="exact"/>
        <w:rPr>
          <w:rFonts w:ascii="Arial" w:cs="Arial" w:eastAsia="Arial" w:hAnsi="Arial"/>
          <w:sz w:val="18"/>
          <w:szCs w:val="18"/>
          <w:color w:val="auto"/>
        </w:rPr>
      </w:pPr>
    </w:p>
    <w:p>
      <w:pPr>
        <w:jc w:val="both"/>
        <w:ind w:firstLine="1735"/>
        <w:spacing w:after="0" w:line="236" w:lineRule="auto"/>
        <w:tabs>
          <w:tab w:leader="none" w:pos="2537" w:val="left"/>
        </w:tabs>
        <w:numPr>
          <w:ilvl w:val="1"/>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participation in each and all of the Company's employee benefit plans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programs shall cease as of the Effective Date (or such earlier date if required under the terms of the plan), and she shall not be entitled to any further benefits or coverages under any such employee benefit plans, except that Executive's medical, dental and vision insurances under the Company's plan will continue through the 12-month period following the Effective Date, contingent upon Executive making timely premium payments and maintaining eligibility for continuation of benefits as set forth in Paragraph 4(b) above.</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Executive will receive from the health benefits plan administrator a notice of her opportunities to continue to participate in each of the Company's medical, dental, and vision insurance, and any other benefits through the provisions of COBRA. Executive may elect to continue her health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jc w:val="both"/>
        <w:spacing w:after="0" w:line="236" w:lineRule="auto"/>
        <w:rPr>
          <w:sz w:val="20"/>
          <w:szCs w:val="20"/>
          <w:color w:val="auto"/>
        </w:rPr>
      </w:pPr>
      <w:r>
        <w:rPr>
          <w:rFonts w:ascii="Arial" w:cs="Arial" w:eastAsia="Arial" w:hAnsi="Arial"/>
          <w:sz w:val="22"/>
          <w:szCs w:val="22"/>
          <w:color w:val="auto"/>
        </w:rPr>
        <w:t>insurance or other applicable coverages in accordance with the provisions of that notice. If Executive elects to continue to participate in any such benefits through the COBRA continuation rights afforded under any of the applicable benefit plans, she must timely complete any election forms and timely make any required premium payments and otherwise comply with the terms of such benefit plans. Executive shall have no continuation rights to participate in the Company's medical benefit plans except as set forth in the applicable COBRA notices.</w:t>
      </w:r>
    </w:p>
    <w:p>
      <w:pPr>
        <w:spacing w:after="0" w:line="181" w:lineRule="exact"/>
        <w:rPr>
          <w:sz w:val="20"/>
          <w:szCs w:val="20"/>
          <w:color w:val="auto"/>
        </w:rPr>
      </w:pPr>
    </w:p>
    <w:p>
      <w:pPr>
        <w:jc w:val="both"/>
        <w:ind w:firstLine="1735"/>
        <w:spacing w:after="0" w:line="237" w:lineRule="auto"/>
        <w:tabs>
          <w:tab w:leader="none" w:pos="2534"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will be paid all compensation, wages, bonuses, commissions, vacation,</w:t>
      </w:r>
      <w:r>
        <w:rPr>
          <w:rFonts w:ascii="Arial" w:cs="Arial" w:eastAsia="Arial" w:hAnsi="Arial"/>
          <w:sz w:val="22"/>
          <w:szCs w:val="22"/>
          <w:b w:val="1"/>
          <w:bCs w:val="1"/>
          <w:color w:val="auto"/>
        </w:rPr>
        <w:t xml:space="preserve"> </w:t>
      </w:r>
      <w:r>
        <w:rPr>
          <w:rFonts w:ascii="Arial" w:cs="Arial" w:eastAsia="Arial" w:hAnsi="Arial"/>
          <w:sz w:val="22"/>
          <w:szCs w:val="22"/>
          <w:color w:val="auto"/>
        </w:rPr>
        <w:t>earned unused PTO, and/or benefits which she earned through the Effective Date, to be paid on the normal payroll date at her regular prorated salary rate, subject to applicable taxes and withholdings. Executive acknowledges and agrees that, except as stated herein, she is not entitled to any bonuses, whether in cash or equity, or any additional equity awards or options to acquire the stock of vTv.</w:t>
      </w:r>
    </w:p>
    <w:p>
      <w:pPr>
        <w:spacing w:after="0" w:line="181" w:lineRule="exact"/>
        <w:rPr>
          <w:rFonts w:ascii="Arial" w:cs="Arial" w:eastAsia="Arial" w:hAnsi="Arial"/>
          <w:sz w:val="22"/>
          <w:szCs w:val="22"/>
          <w:color w:val="auto"/>
        </w:rPr>
      </w:pPr>
    </w:p>
    <w:p>
      <w:pPr>
        <w:jc w:val="both"/>
        <w:ind w:firstLine="1735"/>
        <w:spacing w:after="0" w:line="283" w:lineRule="auto"/>
        <w:tabs>
          <w:tab w:leader="none" w:pos="2537"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be entitled to Indemnification for her actions and service as</w:t>
      </w:r>
      <w:r>
        <w:rPr>
          <w:rFonts w:ascii="Arial" w:cs="Arial" w:eastAsia="Arial" w:hAnsi="Arial"/>
          <w:sz w:val="19"/>
          <w:szCs w:val="19"/>
          <w:b w:val="1"/>
          <w:bCs w:val="1"/>
          <w:color w:val="auto"/>
        </w:rPr>
        <w:t xml:space="preserve"> </w:t>
      </w:r>
      <w:r>
        <w:rPr>
          <w:rFonts w:ascii="Arial" w:cs="Arial" w:eastAsia="Arial" w:hAnsi="Arial"/>
          <w:sz w:val="19"/>
          <w:szCs w:val="19"/>
          <w:color w:val="auto"/>
        </w:rPr>
        <w:t>an Officer and Director of the Company in accordance with the Indemnification Agreement attached as Exhibit A, which the parties will sign contemporaneously with the execution of this Agreement, and which is incorporated by reference herein. Executive will also be entitled to indemnification on the same terms and under the same conditions as set forth in Exhibit A in connection with any services that she provides as a Strategic Advisor in response to written requests from the CEO.</w:t>
      </w:r>
    </w:p>
    <w:p>
      <w:pPr>
        <w:spacing w:after="0" w:line="142" w:lineRule="exact"/>
        <w:rPr>
          <w:rFonts w:ascii="Arial" w:cs="Arial" w:eastAsia="Arial" w:hAnsi="Arial"/>
          <w:sz w:val="19"/>
          <w:szCs w:val="19"/>
          <w:color w:val="auto"/>
        </w:rPr>
      </w:pPr>
    </w:p>
    <w:p>
      <w:pPr>
        <w:jc w:val="both"/>
        <w:ind w:firstLine="1735"/>
        <w:spacing w:after="0" w:line="274" w:lineRule="auto"/>
        <w:tabs>
          <w:tab w:leader="none" w:pos="2537"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General Release of All Claims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incorporate by reference herein the Mutual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attached hereto as Exhibit B, which they will sign contemporaneously with the execution of this Agreement. The parties acknowledge and agree that the Mutual Release does not apply to any claims which by law cannot be waived in a private agreement between an employer and employee. Moreover, the Mutual Release does not prohibit Executive from filing a charge of discrimination with the Equal Employment Opportunity Commission (the "EEOC") or equivalent state agency in Executive's state or participating in an EEOC or state agency investigation, nor does it restrict the Company from defending against any such claims, charges or proceedings, including by presenting evidence as to matters that are otherwise subject to the release. Executive agrees to waive her right to monetary or other recovery should any claim be pursued with the EEOC, state agency, or any other federal, state or local administrative agency on Executive's behalf arising out of or related to Executive's employment with and/or separation from the Company.</w:t>
      </w:r>
    </w:p>
    <w:p>
      <w:pPr>
        <w:spacing w:after="0" w:line="152"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1"/>
          <w:szCs w:val="21"/>
          <w:color w:val="auto"/>
        </w:rPr>
        <w:t xml:space="preserve">9. </w:t>
      </w:r>
      <w:r>
        <w:rPr>
          <w:rFonts w:ascii="Arial" w:cs="Arial" w:eastAsia="Arial" w:hAnsi="Arial"/>
          <w:sz w:val="21"/>
          <w:szCs w:val="21"/>
          <w:b w:val="1"/>
          <w:bCs w:val="1"/>
          <w:u w:val="single" w:color="auto"/>
          <w:color w:val="auto"/>
        </w:rPr>
        <w:t>Acknowledgments and Affirmations</w:t>
      </w:r>
      <w:r>
        <w:rPr>
          <w:rFonts w:ascii="Arial" w:cs="Arial" w:eastAsia="Arial" w:hAnsi="Arial"/>
          <w:sz w:val="21"/>
          <w:szCs w:val="21"/>
          <w:b w:val="1"/>
          <w:bCs w:val="1"/>
          <w:color w:val="auto"/>
        </w:rPr>
        <w:t>.</w:t>
      </w:r>
      <w:r>
        <w:rPr>
          <w:rFonts w:ascii="Arial" w:cs="Arial" w:eastAsia="Arial" w:hAnsi="Arial"/>
          <w:sz w:val="21"/>
          <w:szCs w:val="21"/>
          <w:color w:val="auto"/>
        </w:rPr>
        <w:t xml:space="preserve"> Executive affirms that she has not filed, caused to be filed, or presently is a party to any claim or administrative proceeding against the Company. Executive also affirms that she has not divulged any proprietary or confidential information of the Company in violation of her Employment Agreement.</w:t>
      </w:r>
    </w:p>
    <w:p>
      <w:pPr>
        <w:spacing w:after="0" w:line="160" w:lineRule="exact"/>
        <w:rPr>
          <w:sz w:val="20"/>
          <w:szCs w:val="20"/>
          <w:color w:val="auto"/>
        </w:rPr>
      </w:pPr>
    </w:p>
    <w:p>
      <w:pPr>
        <w:jc w:val="both"/>
        <w:ind w:firstLine="1727"/>
        <w:spacing w:after="0" w:line="289" w:lineRule="auto"/>
        <w:rPr>
          <w:sz w:val="20"/>
          <w:szCs w:val="20"/>
          <w:color w:val="auto"/>
        </w:rPr>
      </w:pPr>
      <w:r>
        <w:rPr>
          <w:rFonts w:ascii="Arial" w:cs="Arial" w:eastAsia="Arial" w:hAnsi="Arial"/>
          <w:sz w:val="19"/>
          <w:szCs w:val="19"/>
          <w:color w:val="auto"/>
        </w:rPr>
        <w:t xml:space="preserve">10. </w:t>
      </w:r>
      <w:r>
        <w:rPr>
          <w:rFonts w:ascii="Arial" w:cs="Arial" w:eastAsia="Arial" w:hAnsi="Arial"/>
          <w:sz w:val="19"/>
          <w:szCs w:val="19"/>
          <w:b w:val="1"/>
          <w:bCs w:val="1"/>
          <w:u w:val="single" w:color="auto"/>
          <w:color w:val="auto"/>
        </w:rPr>
        <w:t>Non-Disparagement.</w:t>
      </w:r>
      <w:r>
        <w:rPr>
          <w:rFonts w:ascii="Arial" w:cs="Arial" w:eastAsia="Arial" w:hAnsi="Arial"/>
          <w:sz w:val="19"/>
          <w:szCs w:val="19"/>
          <w:color w:val="auto"/>
        </w:rPr>
        <w:t xml:space="preserve"> Executive agrees that she will not make any derogatory or disparaging remarks about the Company or its majority shareholder, MacAndrews &amp; Forbes Incorporated, or any of its or their management, employees, consultants, officers, directors or affiliates, nor will she make derogatory or disparaging remarks about the Company's products or business. Executive further agrees that she will not make any announcements, press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jc w:val="both"/>
        <w:spacing w:after="0" w:line="249" w:lineRule="auto"/>
        <w:rPr>
          <w:sz w:val="20"/>
          <w:szCs w:val="20"/>
          <w:color w:val="auto"/>
        </w:rPr>
      </w:pPr>
      <w:r>
        <w:rPr>
          <w:rFonts w:ascii="Arial" w:cs="Arial" w:eastAsia="Arial" w:hAnsi="Arial"/>
          <w:sz w:val="21"/>
          <w:szCs w:val="21"/>
          <w:color w:val="auto"/>
        </w:rPr>
        <w:t>releases, or demonstrations regarding the Company. Similarly, the Company's CEO and Board of Directors agree that they will not make any derogatory or disparaging remarks about Executive. The parties agree that the Company will issue a press release in the form attached hereto as Exhibit C announcing Executive's resignation. Nothing herein shall prevent the parties from testifying or providing information to the government in connection with any legal proceeding or governmental investigation, or from responding to a subpoena or governmental request for information.</w:t>
      </w:r>
    </w:p>
    <w:p>
      <w:pPr>
        <w:spacing w:after="0" w:line="172" w:lineRule="exact"/>
        <w:rPr>
          <w:sz w:val="20"/>
          <w:szCs w:val="20"/>
          <w:color w:val="auto"/>
        </w:rPr>
      </w:pPr>
    </w:p>
    <w:p>
      <w:pPr>
        <w:jc w:val="both"/>
        <w:ind w:firstLine="1735"/>
        <w:spacing w:after="0" w:line="280" w:lineRule="auto"/>
        <w:tabs>
          <w:tab w:leader="none" w:pos="2637" w:val="left"/>
        </w:tabs>
        <w:numPr>
          <w:ilvl w:val="1"/>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Protected Rights</w:t>
      </w:r>
      <w:r>
        <w:rPr>
          <w:rFonts w:ascii="Arial" w:cs="Arial" w:eastAsia="Arial" w:hAnsi="Arial"/>
          <w:sz w:val="19"/>
          <w:szCs w:val="19"/>
          <w:color w:val="auto"/>
        </w:rPr>
        <w:t>. Notwithstanding any other provision in this Agreement or any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Executive may have entered with the Company (collectively, the "Agreements"), nothing contained in any of the Agreements</w:t>
      </w:r>
    </w:p>
    <w:p>
      <w:pPr>
        <w:jc w:val="both"/>
        <w:ind w:firstLine="8"/>
        <w:spacing w:after="0" w:line="244" w:lineRule="auto"/>
        <w:tabs>
          <w:tab w:leader="none" w:pos="295"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prohibit Executive or the Company from reporting to the staff of the Securities and Exchange Commission (the "SEC") possible violations of any law or regulation of the SEC, (ii) prohibit Executive from making other disclosures to the staff of the SEC that are protected under the whistleblower provisions of any federal securities laws or regulations or (iii) limit Executive's right to receive an award for information provided to the SEC staff in accordance with the foregoing. Executive does not need the prior authorizations of the Company to make such reports, communications or disclosures, and is not required to notify the Company if she makes any such reports, communications or disclosures.</w:t>
      </w:r>
    </w:p>
    <w:p>
      <w:pPr>
        <w:spacing w:after="0" w:line="176" w:lineRule="exact"/>
        <w:rPr>
          <w:rFonts w:ascii="Arial" w:cs="Arial" w:eastAsia="Arial" w:hAnsi="Arial"/>
          <w:sz w:val="21"/>
          <w:szCs w:val="21"/>
          <w:color w:val="auto"/>
        </w:rPr>
      </w:pPr>
    </w:p>
    <w:p>
      <w:pPr>
        <w:ind w:left="2660" w:hanging="925"/>
        <w:spacing w:after="0"/>
        <w:tabs>
          <w:tab w:leader="none" w:pos="2660" w:val="left"/>
        </w:tabs>
        <w:numPr>
          <w:ilvl w:val="1"/>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Dispute Resolution; Remedies.</w:t>
      </w:r>
    </w:p>
    <w:p>
      <w:pPr>
        <w:spacing w:after="0" w:line="212" w:lineRule="exact"/>
        <w:rPr>
          <w:rFonts w:ascii="Arial" w:cs="Arial" w:eastAsia="Arial" w:hAnsi="Arial"/>
          <w:sz w:val="22"/>
          <w:szCs w:val="22"/>
          <w:color w:val="auto"/>
        </w:rPr>
      </w:pPr>
    </w:p>
    <w:p>
      <w:pPr>
        <w:jc w:val="both"/>
        <w:ind w:left="3040" w:hanging="440"/>
        <w:spacing w:after="0" w:line="236" w:lineRule="auto"/>
        <w:tabs>
          <w:tab w:leader="none" w:pos="3040" w:val="left"/>
        </w:tabs>
        <w:numPr>
          <w:ilvl w:val="2"/>
          <w:numId w:val="17"/>
        </w:numPr>
        <w:rPr>
          <w:rFonts w:ascii="Arial" w:cs="Arial" w:eastAsia="Arial" w:hAnsi="Arial"/>
          <w:sz w:val="22"/>
          <w:szCs w:val="22"/>
          <w:color w:val="auto"/>
        </w:rPr>
      </w:pPr>
      <w:r>
        <w:rPr>
          <w:rFonts w:ascii="Arial" w:cs="Arial" w:eastAsia="Arial" w:hAnsi="Arial"/>
          <w:sz w:val="22"/>
          <w:szCs w:val="22"/>
          <w:color w:val="auto"/>
        </w:rPr>
        <w:t>It is the intent of the parties hereto that all questions with respect to the construction of this Agreement and the rights and liabilities of the parties hereunder shall be determined in accordance with the laws of the State of Delaware, without regard to principles of conflicts of laws thereof that would call for the application of the substantive law of any jurisdiction other than the State of Delaware.</w:t>
      </w:r>
    </w:p>
    <w:p>
      <w:pPr>
        <w:spacing w:after="0" w:line="241" w:lineRule="exact"/>
        <w:rPr>
          <w:rFonts w:ascii="Arial" w:cs="Arial" w:eastAsia="Arial" w:hAnsi="Arial"/>
          <w:sz w:val="22"/>
          <w:szCs w:val="22"/>
          <w:color w:val="auto"/>
        </w:rPr>
      </w:pPr>
    </w:p>
    <w:p>
      <w:pPr>
        <w:jc w:val="both"/>
        <w:ind w:left="3040" w:hanging="440"/>
        <w:spacing w:after="0" w:line="273" w:lineRule="auto"/>
        <w:tabs>
          <w:tab w:leader="none" w:pos="3040" w:val="left"/>
        </w:tabs>
        <w:numPr>
          <w:ilvl w:val="2"/>
          <w:numId w:val="17"/>
        </w:numPr>
        <w:rPr>
          <w:rFonts w:ascii="Arial" w:cs="Arial" w:eastAsia="Arial" w:hAnsi="Arial"/>
          <w:sz w:val="19"/>
          <w:szCs w:val="19"/>
          <w:color w:val="auto"/>
        </w:rPr>
      </w:pPr>
      <w:r>
        <w:rPr>
          <w:rFonts w:ascii="Arial" w:cs="Arial" w:eastAsia="Arial" w:hAnsi="Arial"/>
          <w:sz w:val="19"/>
          <w:szCs w:val="19"/>
          <w:color w:val="auto"/>
        </w:rPr>
        <w:t>Each party irrevocably agrees for the exclusive benefit of the other that any and all suits, actions or proceedings relating to this Agreement (a "Proceeding") shall be maintained in either the courts of the State of Delaware or the federal District Courts sitting in Wilmington, Delaware (collectively, the "Chosen Courts") and that the Chosen Courts shall have exclusive jurisdiction to hear and determine or settle any such Proceeding and that any such Proceedings shall only be brought in the Chosen Courts. Each party irrevocably waives any objection that it may have now or hereafter to the laying of the venue of any Proceedings in the Chosen Courts and any claim that any Proceedings have been brought in an inconvenient forum and further irrevocably agrees that a judgment in any Proceeding brought in the Chosen Courts shall be conclusive and binding upon it and may be enforced in the courts of any other jurisdiction.</w:t>
      </w:r>
    </w:p>
    <w:p>
      <w:pPr>
        <w:spacing w:after="0" w:line="214" w:lineRule="exact"/>
        <w:rPr>
          <w:rFonts w:ascii="Arial" w:cs="Arial" w:eastAsia="Arial" w:hAnsi="Arial"/>
          <w:sz w:val="19"/>
          <w:szCs w:val="19"/>
          <w:color w:val="auto"/>
        </w:rPr>
      </w:pPr>
    </w:p>
    <w:p>
      <w:pPr>
        <w:jc w:val="both"/>
        <w:ind w:left="3040" w:hanging="440"/>
        <w:spacing w:after="0"/>
        <w:tabs>
          <w:tab w:leader="none" w:pos="3040" w:val="left"/>
        </w:tabs>
        <w:numPr>
          <w:ilvl w:val="2"/>
          <w:numId w:val="17"/>
        </w:numPr>
        <w:rPr>
          <w:rFonts w:ascii="Arial" w:cs="Arial" w:eastAsia="Arial" w:hAnsi="Arial"/>
          <w:sz w:val="22"/>
          <w:szCs w:val="22"/>
          <w:color w:val="auto"/>
        </w:rPr>
      </w:pPr>
      <w:r>
        <w:rPr>
          <w:rFonts w:ascii="Arial" w:cs="Arial" w:eastAsia="Arial" w:hAnsi="Arial"/>
          <w:sz w:val="22"/>
          <w:szCs w:val="22"/>
          <w:color w:val="auto"/>
        </w:rPr>
        <w:t>Each of the parties hereto agrees that this Agreement involves at least $100,000 and that this Agreement has been entered into in express reliance on Section 2708 of Title 6 of the Delaware Code. Each of the</w:t>
      </w:r>
    </w:p>
    <w:p>
      <w:pPr>
        <w:spacing w:after="0" w:line="240" w:lineRule="exact"/>
        <w:rPr>
          <w:rFonts w:ascii="Arial" w:cs="Arial" w:eastAsia="Arial" w:hAnsi="Arial"/>
          <w:sz w:val="22"/>
          <w:szCs w:val="22"/>
          <w:color w:val="auto"/>
        </w:rPr>
      </w:pPr>
    </w:p>
    <w:p>
      <w:pPr>
        <w:ind w:left="5580" w:hanging="181"/>
        <w:spacing w:after="0"/>
        <w:tabs>
          <w:tab w:leader="none" w:pos="5580" w:val="left"/>
        </w:tabs>
        <w:numPr>
          <w:ilvl w:val="3"/>
          <w:numId w:val="17"/>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jc w:val="both"/>
        <w:ind w:left="1920"/>
        <w:spacing w:after="0" w:line="273" w:lineRule="auto"/>
        <w:rPr>
          <w:sz w:val="20"/>
          <w:szCs w:val="20"/>
          <w:color w:val="auto"/>
        </w:rPr>
      </w:pPr>
      <w:r>
        <w:rPr>
          <w:rFonts w:ascii="Arial" w:cs="Arial" w:eastAsia="Arial" w:hAnsi="Arial"/>
          <w:sz w:val="19"/>
          <w:szCs w:val="19"/>
          <w:color w:val="auto"/>
        </w:rPr>
        <w:t>parties hereto irrevocably and unconditionally agrees that (i) to the extent such party is not otherwise subject to service of process in the State of Delaware, it will appoint (and maintain an agreement with respect to) an agent in the State of Delaware as such party's agent for acceptance of legal process and notify the other parties hereto of the name and address of said agent, (ii) service of process may also be made on such party by pre-paid certified mail with a validated proof of mailing receipt constituting evidence of valid service sent to such party at the address set forth in Section 15 of the Employment Agreement, as such address may be changed from time to time pursuant hereto, and (iii) service made pursuant to clause (i) or (ii) above shall, to the fullest extent permitted by applicable law, have the same legal force and effect as if served upon such party personally within the State of Delaware.</w:t>
      </w:r>
    </w:p>
    <w:p>
      <w:pPr>
        <w:spacing w:after="0" w:line="215" w:lineRule="exact"/>
        <w:rPr>
          <w:sz w:val="20"/>
          <w:szCs w:val="20"/>
          <w:color w:val="auto"/>
        </w:rPr>
      </w:pPr>
    </w:p>
    <w:p>
      <w:pPr>
        <w:jc w:val="both"/>
        <w:ind w:left="1920" w:hanging="440"/>
        <w:spacing w:after="0" w:line="249" w:lineRule="auto"/>
        <w:tabs>
          <w:tab w:leader="none" w:pos="1920"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JURY TRIAL WAIVER.</w:t>
      </w:r>
      <w:r>
        <w:rPr>
          <w:rFonts w:ascii="Arial" w:cs="Arial" w:eastAsia="Arial" w:hAnsi="Arial"/>
          <w:sz w:val="21"/>
          <w:szCs w:val="21"/>
          <w:color w:val="auto"/>
        </w:rPr>
        <w:t xml:space="preserve"> TO THE EXTENT PERMISSIBLE BY LAW AND APPLICABLE PUBLIC POLICY, THE PARTIES EXPRESSLY AND KNOWINGLY WAIVE ANY RIGHT TO A JURY TRIAL IN THE EVENT ANY ACTION ARISING UNDER OR IN CONNECTION WITH THIS AGREEMENT OR THE EXECUTIVE'S EMPLOYMENT WITH THE COMPANY IS LITIGATED OR HEARD IN ANY COURT.</w:t>
      </w:r>
    </w:p>
    <w:p>
      <w:pPr>
        <w:spacing w:after="0" w:line="172" w:lineRule="exact"/>
        <w:rPr>
          <w:rFonts w:ascii="Arial" w:cs="Arial" w:eastAsia="Arial" w:hAnsi="Arial"/>
          <w:sz w:val="21"/>
          <w:szCs w:val="21"/>
          <w:color w:val="auto"/>
        </w:rPr>
      </w:pPr>
    </w:p>
    <w:p>
      <w:pPr>
        <w:jc w:val="both"/>
        <w:ind w:left="-1120" w:firstLine="1735"/>
        <w:spacing w:after="0" w:line="243" w:lineRule="auto"/>
        <w:tabs>
          <w:tab w:leader="none" w:pos="1525"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Non-admission of Wrongdoing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that neither this Agreement nor the furnishing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consideration for this Agreement shall be deemed or construed at any time for any purpose as an admission of wrongdoing or evidence of any liability or unlawful conduct of any kind.</w:t>
      </w:r>
    </w:p>
    <w:p>
      <w:pPr>
        <w:spacing w:after="0" w:line="176" w:lineRule="exact"/>
        <w:rPr>
          <w:rFonts w:ascii="Arial" w:cs="Arial" w:eastAsia="Arial" w:hAnsi="Arial"/>
          <w:sz w:val="22"/>
          <w:szCs w:val="22"/>
          <w:color w:val="auto"/>
        </w:rPr>
      </w:pPr>
    </w:p>
    <w:p>
      <w:pPr>
        <w:ind w:left="-1120" w:right="20" w:firstLine="1735"/>
        <w:spacing w:after="0" w:line="256" w:lineRule="auto"/>
        <w:tabs>
          <w:tab w:leader="none" w:pos="1525"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modified, altered or changed except in writing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both parties wherein specific reference is made to this Agreement.</w:t>
      </w:r>
    </w:p>
    <w:p>
      <w:pPr>
        <w:spacing w:after="0" w:line="162" w:lineRule="exact"/>
        <w:rPr>
          <w:rFonts w:ascii="Arial" w:cs="Arial" w:eastAsia="Arial" w:hAnsi="Arial"/>
          <w:sz w:val="22"/>
          <w:szCs w:val="22"/>
          <w:color w:val="auto"/>
        </w:rPr>
      </w:pPr>
    </w:p>
    <w:p>
      <w:pPr>
        <w:jc w:val="both"/>
        <w:ind w:left="-1120" w:firstLine="1735"/>
        <w:spacing w:after="0" w:line="275" w:lineRule="auto"/>
        <w:tabs>
          <w:tab w:leader="none" w:pos="1525" w:val="left"/>
        </w:tabs>
        <w:numPr>
          <w:ilvl w:val="0"/>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Representation by Counsel.</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her execution of this Agreement, Executive was advised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of her right to seek independent advice from an attorney of her own selection regarding this Agreement. Executive acknowledges that she has entered into this Agreement knowingly and voluntarily and with full knowledge and understanding of the provisions of this Agreement after being given the opportunity to consult with counsel and has in fact consulted with counsel. Executive further represents that in entering into this Agreement, she is not relying on any statements or representations made by any of the Company's directors, officers, employees or agents which are not expressly set forth herein, and that Executive is relying only upon her own judgment and any advice provided by Executive's attorney. Executive acknowledge and agrees that she was represented by counsel and expressly agrees to all the provisions in this Agreement, including, without limitation, the governing law, venue and forum provisions.</w:t>
      </w:r>
    </w:p>
    <w:p>
      <w:pPr>
        <w:spacing w:after="0" w:line="149" w:lineRule="exact"/>
        <w:rPr>
          <w:rFonts w:ascii="Arial" w:cs="Arial" w:eastAsia="Arial" w:hAnsi="Arial"/>
          <w:sz w:val="19"/>
          <w:szCs w:val="19"/>
          <w:color w:val="auto"/>
        </w:rPr>
      </w:pPr>
    </w:p>
    <w:p>
      <w:pPr>
        <w:jc w:val="both"/>
        <w:ind w:left="-1120" w:firstLine="1735"/>
        <w:spacing w:after="0" w:line="243" w:lineRule="auto"/>
        <w:tabs>
          <w:tab w:leader="none" w:pos="1525"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together with the attachments hereto, sets forth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the parties hereto, and fully supersedes any prior agreements or understandings between the parties, except the provisions of the Employment</w:t>
      </w:r>
    </w:p>
    <w:p>
      <w:pPr>
        <w:spacing w:after="0" w:line="182" w:lineRule="exact"/>
        <w:rPr>
          <w:rFonts w:ascii="Arial" w:cs="Arial" w:eastAsia="Arial" w:hAnsi="Arial"/>
          <w:sz w:val="22"/>
          <w:szCs w:val="22"/>
          <w:color w:val="auto"/>
        </w:rPr>
      </w:pPr>
    </w:p>
    <w:p>
      <w:pPr>
        <w:ind w:left="4460" w:hanging="181"/>
        <w:spacing w:after="0"/>
        <w:tabs>
          <w:tab w:leader="none" w:pos="4460" w:val="left"/>
        </w:tabs>
        <w:numPr>
          <w:ilvl w:val="2"/>
          <w:numId w:val="19"/>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9"/>
          <w:szCs w:val="19"/>
          <w:color w:val="auto"/>
        </w:rPr>
        <w:t>Agreement previously executed by Executive and incorporated herein by reference on the terms set forth herein. Executive acknowledges that she has not relied on any representations, promises, or agreements of any kind made to her in connection with her decision to accept this Agreement, except for those set forth in this Agreement. Executive agrees that she may not assign her rights under this Agreement to any other individual or entity, but acknowledges it is binding upon her heirs, successors and assigns. The Company also agrees that this Agreement is binding on and shall inure to the benefit of its successors and assigns.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Parties knowingly and voluntarily sign this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6760" w:type="dxa"/>
            <w:vAlign w:val="bottom"/>
            <w:gridSpan w:val="2"/>
          </w:tcPr>
          <w:p>
            <w:pPr>
              <w:ind w:left="1720"/>
              <w:spacing w:after="0"/>
              <w:rPr>
                <w:sz w:val="20"/>
                <w:szCs w:val="20"/>
                <w:color w:val="auto"/>
              </w:rPr>
            </w:pPr>
            <w:r>
              <w:rPr>
                <w:rFonts w:ascii="Arial" w:cs="Arial" w:eastAsia="Arial" w:hAnsi="Arial"/>
                <w:sz w:val="22"/>
                <w:szCs w:val="22"/>
                <w:color w:val="auto"/>
              </w:rPr>
              <w:t>vTv Therapeutics LLC</w:t>
            </w:r>
          </w:p>
        </w:tc>
      </w:tr>
      <w:tr>
        <w:trPr>
          <w:trHeight w:val="665"/>
        </w:trPr>
        <w:tc>
          <w:tcPr>
            <w:tcW w:w="4480" w:type="dxa"/>
            <w:vAlign w:val="bottom"/>
            <w:gridSpan w:val="2"/>
          </w:tcPr>
          <w:p>
            <w:pPr>
              <w:spacing w:after="0"/>
              <w:rPr>
                <w:sz w:val="20"/>
                <w:szCs w:val="20"/>
                <w:color w:val="auto"/>
              </w:rPr>
            </w:pPr>
            <w:r>
              <w:rPr>
                <w:rFonts w:ascii="Arial" w:cs="Arial" w:eastAsia="Arial" w:hAnsi="Arial"/>
                <w:sz w:val="22"/>
                <w:szCs w:val="22"/>
                <w:color w:val="auto"/>
              </w:rPr>
              <w:t>By:   /s/ Deepa Prasad</w:t>
            </w:r>
          </w:p>
        </w:tc>
        <w:tc>
          <w:tcPr>
            <w:tcW w:w="6760" w:type="dxa"/>
            <w:vAlign w:val="bottom"/>
            <w:gridSpan w:val="2"/>
          </w:tcPr>
          <w:p>
            <w:pPr>
              <w:ind w:left="1720"/>
              <w:spacing w:after="0"/>
              <w:rPr>
                <w:sz w:val="20"/>
                <w:szCs w:val="20"/>
                <w:color w:val="auto"/>
              </w:rPr>
            </w:pPr>
            <w:r>
              <w:rPr>
                <w:rFonts w:ascii="Arial" w:cs="Arial" w:eastAsia="Arial" w:hAnsi="Arial"/>
                <w:sz w:val="22"/>
                <w:szCs w:val="22"/>
                <w:color w:val="auto"/>
              </w:rPr>
              <w:t>By: /s/ Richard Nelson</w:t>
            </w:r>
          </w:p>
        </w:tc>
      </w:tr>
      <w:tr>
        <w:trPr>
          <w:trHeight w:val="215"/>
        </w:trPr>
        <w:tc>
          <w:tcPr>
            <w:tcW w:w="580" w:type="dxa"/>
            <w:vAlign w:val="bottom"/>
          </w:tcPr>
          <w:p>
            <w:pPr>
              <w:spacing w:after="0"/>
              <w:rPr>
                <w:sz w:val="18"/>
                <w:szCs w:val="18"/>
                <w:color w:val="auto"/>
              </w:rPr>
            </w:pPr>
          </w:p>
        </w:tc>
        <w:tc>
          <w:tcPr>
            <w:tcW w:w="39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Deepa Prasad</w:t>
            </w:r>
          </w:p>
        </w:tc>
        <w:tc>
          <w:tcPr>
            <w:tcW w:w="2120" w:type="dxa"/>
            <w:vAlign w:val="bottom"/>
          </w:tcPr>
          <w:p>
            <w:pPr>
              <w:spacing w:after="0"/>
              <w:rPr>
                <w:sz w:val="18"/>
                <w:szCs w:val="18"/>
                <w:color w:val="auto"/>
              </w:rPr>
            </w:pPr>
          </w:p>
        </w:tc>
        <w:tc>
          <w:tcPr>
            <w:tcW w:w="46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Richard Nelson</w:t>
            </w:r>
          </w:p>
        </w:tc>
      </w:tr>
      <w:tr>
        <w:trPr>
          <w:trHeight w:val="274"/>
        </w:trPr>
        <w:tc>
          <w:tcPr>
            <w:tcW w:w="5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640" w:type="dxa"/>
            <w:vAlign w:val="bottom"/>
          </w:tcPr>
          <w:p>
            <w:pPr>
              <w:spacing w:after="0"/>
              <w:rPr>
                <w:sz w:val="20"/>
                <w:szCs w:val="20"/>
                <w:color w:val="auto"/>
              </w:rPr>
            </w:pPr>
            <w:r>
              <w:rPr>
                <w:rFonts w:ascii="Arial" w:cs="Arial" w:eastAsia="Arial" w:hAnsi="Arial"/>
                <w:sz w:val="22"/>
                <w:szCs w:val="22"/>
                <w:color w:val="auto"/>
              </w:rPr>
              <w:t>Acting Chief Executive Officer</w:t>
            </w:r>
          </w:p>
        </w:tc>
      </w:tr>
      <w:tr>
        <w:trPr>
          <w:trHeight w:val="459"/>
        </w:trPr>
        <w:tc>
          <w:tcPr>
            <w:tcW w:w="4480" w:type="dxa"/>
            <w:vAlign w:val="bottom"/>
            <w:gridSpan w:val="2"/>
          </w:tcPr>
          <w:p>
            <w:pPr>
              <w:spacing w:after="0"/>
              <w:rPr>
                <w:sz w:val="20"/>
                <w:szCs w:val="20"/>
                <w:color w:val="auto"/>
              </w:rPr>
            </w:pPr>
            <w:r>
              <w:rPr>
                <w:rFonts w:ascii="Arial" w:cs="Arial" w:eastAsia="Arial" w:hAnsi="Arial"/>
                <w:sz w:val="22"/>
                <w:szCs w:val="22"/>
                <w:color w:val="auto"/>
              </w:rPr>
              <w:t>Date: March 4, 2022</w:t>
            </w:r>
          </w:p>
        </w:tc>
        <w:tc>
          <w:tcPr>
            <w:tcW w:w="6760" w:type="dxa"/>
            <w:vAlign w:val="bottom"/>
            <w:gridSpan w:val="2"/>
          </w:tcPr>
          <w:p>
            <w:pPr>
              <w:ind w:left="1720"/>
              <w:spacing w:after="0"/>
              <w:rPr>
                <w:sz w:val="20"/>
                <w:szCs w:val="20"/>
                <w:color w:val="auto"/>
              </w:rPr>
            </w:pPr>
            <w:r>
              <w:rPr>
                <w:rFonts w:ascii="Arial" w:cs="Arial" w:eastAsia="Arial" w:hAnsi="Arial"/>
                <w:sz w:val="22"/>
                <w:szCs w:val="22"/>
                <w:color w:val="auto"/>
              </w:rPr>
              <w:t>Date: March 4,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8" w:name="page39"/>
    <w:bookmarkEnd w:id="38"/>
    <w:p>
      <w:pPr>
        <w:jc w:val="right"/>
        <w:ind w:right="393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auto"/>
        </w:rPr>
        <w:t>US2000 12014257.1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2"/>
          <w:szCs w:val="22"/>
          <w:b w:val="1"/>
          <w:bCs w:val="1"/>
          <w:u w:val="single" w:color="auto"/>
          <w:color w:val="auto"/>
        </w:rPr>
        <w:t>INDEMNIFICATION AGREEMENT</w:t>
      </w:r>
    </w:p>
    <w:p>
      <w:pPr>
        <w:spacing w:after="0" w:line="212" w:lineRule="exact"/>
        <w:rPr>
          <w:sz w:val="20"/>
          <w:szCs w:val="20"/>
          <w:color w:val="auto"/>
        </w:rPr>
      </w:pPr>
    </w:p>
    <w:p>
      <w:pPr>
        <w:jc w:val="both"/>
        <w:ind w:right="260" w:firstLine="1727"/>
        <w:spacing w:after="0" w:line="257" w:lineRule="auto"/>
        <w:rPr>
          <w:sz w:val="20"/>
          <w:szCs w:val="20"/>
          <w:color w:val="auto"/>
        </w:rPr>
      </w:pPr>
      <w:r>
        <w:rPr>
          <w:rFonts w:ascii="Arial" w:cs="Arial" w:eastAsia="Arial" w:hAnsi="Arial"/>
          <w:sz w:val="21"/>
          <w:szCs w:val="21"/>
          <w:color w:val="auto"/>
        </w:rPr>
        <w:t>THIS INDEMNIFICATION AGREEMENT, dated effective as of March 3, 2022 (the "</w:t>
      </w:r>
      <w:r>
        <w:rPr>
          <w:rFonts w:ascii="Arial" w:cs="Arial" w:eastAsia="Arial" w:hAnsi="Arial"/>
          <w:sz w:val="21"/>
          <w:szCs w:val="21"/>
          <w:u w:val="single" w:color="auto"/>
          <w:color w:val="auto"/>
        </w:rPr>
        <w:t>Agreement</w:t>
      </w:r>
      <w:r>
        <w:rPr>
          <w:rFonts w:ascii="Arial" w:cs="Arial" w:eastAsia="Arial" w:hAnsi="Arial"/>
          <w:sz w:val="21"/>
          <w:szCs w:val="21"/>
          <w:color w:val="auto"/>
        </w:rPr>
        <w:t>"), is by and between vTv Therapeutics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Deepa Prasad ("</w:t>
      </w:r>
      <w:r>
        <w:rPr>
          <w:rFonts w:ascii="Arial" w:cs="Arial" w:eastAsia="Arial" w:hAnsi="Arial"/>
          <w:sz w:val="21"/>
          <w:szCs w:val="21"/>
          <w:u w:val="single" w:color="auto"/>
          <w:color w:val="auto"/>
        </w:rPr>
        <w:t>Indemnitee</w:t>
      </w:r>
      <w:r>
        <w:rPr>
          <w:rFonts w:ascii="Arial" w:cs="Arial" w:eastAsia="Arial" w:hAnsi="Arial"/>
          <w:sz w:val="21"/>
          <w:szCs w:val="21"/>
          <w:color w:val="auto"/>
        </w:rPr>
        <w:t xml:space="preserve">"). Capitalized terms used herein and not otherwise defined shall have the respective meanings set forth in </w:t>
      </w:r>
      <w:r>
        <w:rPr>
          <w:rFonts w:ascii="Arial" w:cs="Arial" w:eastAsia="Arial" w:hAnsi="Arial"/>
          <w:sz w:val="21"/>
          <w:szCs w:val="21"/>
          <w:u w:val="single" w:color="auto"/>
          <w:color w:val="auto"/>
        </w:rPr>
        <w:t>Article 1</w:t>
      </w:r>
      <w:r>
        <w:rPr>
          <w:rFonts w:ascii="Arial" w:cs="Arial" w:eastAsia="Arial" w:hAnsi="Arial"/>
          <w:sz w:val="21"/>
          <w:szCs w:val="21"/>
          <w:color w:val="auto"/>
        </w:rPr>
        <w:t>.</w:t>
      </w:r>
    </w:p>
    <w:p>
      <w:pPr>
        <w:spacing w:after="0" w:line="169" w:lineRule="exact"/>
        <w:rPr>
          <w:sz w:val="20"/>
          <w:szCs w:val="20"/>
          <w:color w:val="auto"/>
        </w:rPr>
      </w:pPr>
    </w:p>
    <w:p>
      <w:pPr>
        <w:jc w:val="both"/>
        <w:ind w:right="280" w:firstLine="1727"/>
        <w:spacing w:after="0" w:line="250" w:lineRule="auto"/>
        <w:rPr>
          <w:sz w:val="20"/>
          <w:szCs w:val="20"/>
          <w:color w:val="auto"/>
        </w:rPr>
      </w:pPr>
      <w:r>
        <w:rPr>
          <w:rFonts w:ascii="Arial" w:cs="Arial" w:eastAsia="Arial" w:hAnsi="Arial"/>
          <w:sz w:val="22"/>
          <w:szCs w:val="22"/>
          <w:color w:val="auto"/>
        </w:rPr>
        <w:t>WHEREAS, the Company desires to attract and retain the services of highly qualified individuals, such as Indemnitee, to serve the Company;</w:t>
      </w:r>
    </w:p>
    <w:p>
      <w:pPr>
        <w:spacing w:after="0" w:line="175" w:lineRule="exact"/>
        <w:rPr>
          <w:sz w:val="20"/>
          <w:szCs w:val="20"/>
          <w:color w:val="auto"/>
        </w:rPr>
      </w:pPr>
    </w:p>
    <w:p>
      <w:pPr>
        <w:ind w:right="300" w:firstLine="1727"/>
        <w:spacing w:after="0"/>
        <w:rPr>
          <w:sz w:val="20"/>
          <w:szCs w:val="20"/>
          <w:color w:val="auto"/>
        </w:rPr>
      </w:pPr>
      <w:r>
        <w:rPr>
          <w:rFonts w:ascii="Arial" w:cs="Arial" w:eastAsia="Arial" w:hAnsi="Arial"/>
          <w:sz w:val="22"/>
          <w:szCs w:val="22"/>
          <w:color w:val="auto"/>
        </w:rPr>
        <w:t>WHEREAS, in order to induce Indemnitee to provide or continue to provide services to the Company, the Company wishes to provide for the indemnification of, and advancement of expenses to, Indemnitee to the fullest extent permitted by law;</w:t>
      </w:r>
    </w:p>
    <w:p>
      <w:pPr>
        <w:spacing w:after="0" w:line="186" w:lineRule="exact"/>
        <w:rPr>
          <w:sz w:val="20"/>
          <w:szCs w:val="20"/>
          <w:color w:val="auto"/>
        </w:rPr>
      </w:pPr>
    </w:p>
    <w:p>
      <w:pPr>
        <w:ind w:firstLine="1727"/>
        <w:spacing w:after="0" w:line="297" w:lineRule="auto"/>
        <w:rPr>
          <w:sz w:val="20"/>
          <w:szCs w:val="20"/>
          <w:color w:val="auto"/>
        </w:rPr>
      </w:pPr>
      <w:r>
        <w:rPr>
          <w:rFonts w:ascii="Arial" w:cs="Arial" w:eastAsia="Arial" w:hAnsi="Arial"/>
          <w:sz w:val="19"/>
          <w:szCs w:val="19"/>
          <w:color w:val="auto"/>
        </w:rPr>
        <w:t>WHEREAS, the Company and Indemnitee further recognize the substantial increase in corporate litigation in general, subjecting directors, officers, employees, agents and fiduciaries to expensive litigation risks at the same time as the availability and scope of coverage of liability insurance provide increasing challenges for the Company;</w:t>
      </w:r>
    </w:p>
    <w:p>
      <w:pPr>
        <w:spacing w:after="0" w:line="134" w:lineRule="exact"/>
        <w:rPr>
          <w:sz w:val="20"/>
          <w:szCs w:val="20"/>
          <w:color w:val="auto"/>
        </w:rPr>
      </w:pPr>
    </w:p>
    <w:p>
      <w:pPr>
        <w:jc w:val="both"/>
        <w:ind w:right="640" w:firstLine="1727"/>
        <w:spacing w:after="0" w:line="238" w:lineRule="auto"/>
        <w:rPr>
          <w:sz w:val="20"/>
          <w:szCs w:val="20"/>
          <w:color w:val="auto"/>
        </w:rPr>
      </w:pPr>
      <w:r>
        <w:rPr>
          <w:rFonts w:ascii="Arial" w:cs="Arial" w:eastAsia="Arial" w:hAnsi="Arial"/>
          <w:sz w:val="22"/>
          <w:szCs w:val="22"/>
          <w:color w:val="auto"/>
        </w:rPr>
        <w:t>WHEREAS, the Company's Amended and Restated Certificate of Incorporation (as the same may be amended and/or restated from time to time, the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requires indemnification of the officers and directors of the Company, and Indemnitee may also be entitled to indemnification pursuant to applicable provisions of the Delaware General Corporation Law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pacing w:after="0" w:line="185" w:lineRule="exact"/>
        <w:rPr>
          <w:sz w:val="20"/>
          <w:szCs w:val="20"/>
          <w:color w:val="auto"/>
        </w:rPr>
      </w:pPr>
    </w:p>
    <w:p>
      <w:pPr>
        <w:ind w:right="140" w:firstLine="1727"/>
        <w:spacing w:after="0" w:line="238" w:lineRule="auto"/>
        <w:rPr>
          <w:sz w:val="20"/>
          <w:szCs w:val="20"/>
          <w:color w:val="auto"/>
        </w:rPr>
      </w:pPr>
      <w:r>
        <w:rPr>
          <w:rFonts w:ascii="Arial" w:cs="Arial" w:eastAsia="Arial" w:hAnsi="Arial"/>
          <w:sz w:val="22"/>
          <w:szCs w:val="22"/>
          <w:color w:val="auto"/>
        </w:rPr>
        <w:t>WHEREAS, the Certificate of Incorporation and the DGCL expressly provide that the indemnification provisions set forth therein are not exclusive, and thereby contemplate that contracts providing for indemnification may be entered into between the Company and members of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executive officers and other key employees of the Company;</w:t>
      </w:r>
    </w:p>
    <w:p>
      <w:pPr>
        <w:spacing w:after="0" w:line="185" w:lineRule="exact"/>
        <w:rPr>
          <w:sz w:val="20"/>
          <w:szCs w:val="20"/>
          <w:color w:val="auto"/>
        </w:rPr>
      </w:pPr>
    </w:p>
    <w:p>
      <w:pPr>
        <w:ind w:firstLine="1727"/>
        <w:spacing w:after="0" w:line="252" w:lineRule="auto"/>
        <w:rPr>
          <w:sz w:val="20"/>
          <w:szCs w:val="20"/>
          <w:color w:val="auto"/>
        </w:rPr>
      </w:pPr>
      <w:r>
        <w:rPr>
          <w:rFonts w:ascii="Arial" w:cs="Arial" w:eastAsia="Arial" w:hAnsi="Arial"/>
          <w:sz w:val="21"/>
          <w:szCs w:val="21"/>
          <w:color w:val="auto"/>
        </w:rPr>
        <w:t>WHEREAS, this Agreement is a supplement to and in furtherance of the Certificate of Incorporation and any resolutions adopted pursuant thereto and shall not be deemed a substitute therefor nor to diminish or abrogate any rights of Indemnitee thereunder (regardless of, among other things, any amendment to or revocation of governing documents or any change in the composition of the Board or any Corporate Transaction); and</w:t>
      </w:r>
    </w:p>
    <w:p>
      <w:pPr>
        <w:spacing w:after="0" w:line="174" w:lineRule="exact"/>
        <w:rPr>
          <w:sz w:val="20"/>
          <w:szCs w:val="20"/>
          <w:color w:val="auto"/>
        </w:rPr>
      </w:pPr>
    </w:p>
    <w:p>
      <w:pPr>
        <w:ind w:right="600" w:firstLine="1727"/>
        <w:spacing w:after="0"/>
        <w:rPr>
          <w:sz w:val="20"/>
          <w:szCs w:val="20"/>
          <w:color w:val="auto"/>
        </w:rPr>
      </w:pPr>
      <w:r>
        <w:rPr>
          <w:rFonts w:ascii="Arial" w:cs="Arial" w:eastAsia="Arial" w:hAnsi="Arial"/>
          <w:sz w:val="22"/>
          <w:szCs w:val="22"/>
          <w:color w:val="auto"/>
        </w:rPr>
        <w:t>WHEREAS, Indemnitee will serve or continue to serve as a director, officer or key employee of the Company for so long as Indemnitee is duly elected or appointed or until Indemnitee tenders his resignation or is otherwise terminated by the Company.</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NOW, THEREFORE, in consideration of the promises and the covenants contained herein, the Company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Indemnitee do hereby covenant and agree as follows:</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As used in this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tcPr>
          <w:p>
            <w:pPr>
              <w:jc w:val="right"/>
              <w:ind w:right="872"/>
              <w:spacing w:after="0"/>
              <w:rPr>
                <w:sz w:val="20"/>
                <w:szCs w:val="20"/>
                <w:color w:val="auto"/>
              </w:rPr>
            </w:pPr>
            <w:r>
              <w:rPr>
                <w:rFonts w:ascii="Arial" w:cs="Arial" w:eastAsia="Arial" w:hAnsi="Arial"/>
                <w:sz w:val="22"/>
                <w:szCs w:val="22"/>
                <w:color w:val="auto"/>
              </w:rPr>
              <w:t>1.1.</w:t>
            </w:r>
          </w:p>
        </w:tc>
        <w:tc>
          <w:tcPr>
            <w:tcW w:w="8180" w:type="dxa"/>
            <w:vAlign w:val="bottom"/>
            <w:gridSpan w:val="10"/>
          </w:tcPr>
          <w:p>
            <w:pPr>
              <w:ind w:left="960"/>
              <w:spacing w:after="0"/>
              <w:rPr>
                <w:sz w:val="20"/>
                <w:szCs w:val="20"/>
                <w:color w:val="auto"/>
              </w:rPr>
            </w:pPr>
            <w:r>
              <w:rPr>
                <w:rFonts w:ascii="Arial" w:cs="Arial" w:eastAsia="Arial" w:hAnsi="Arial"/>
                <w:sz w:val="22"/>
                <w:szCs w:val="22"/>
                <w:color w:val="auto"/>
                <w:w w:val="91"/>
              </w:rPr>
              <w:t>"Affiliate" shall have the meaning set forth in Rule 405 under the Securities Act of</w:t>
            </w:r>
          </w:p>
        </w:tc>
      </w:tr>
      <w:tr>
        <w:trPr>
          <w:trHeight w:val="20"/>
        </w:trPr>
        <w:tc>
          <w:tcPr>
            <w:tcW w:w="41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74"/>
        </w:trPr>
        <w:tc>
          <w:tcPr>
            <w:tcW w:w="11220" w:type="dxa"/>
            <w:vAlign w:val="bottom"/>
            <w:gridSpan w:val="11"/>
          </w:tcPr>
          <w:p>
            <w:pPr>
              <w:spacing w:after="0"/>
              <w:rPr>
                <w:sz w:val="20"/>
                <w:szCs w:val="20"/>
                <w:color w:val="auto"/>
              </w:rPr>
            </w:pPr>
            <w:r>
              <w:rPr>
                <w:rFonts w:ascii="Arial" w:cs="Arial" w:eastAsia="Arial" w:hAnsi="Arial"/>
                <w:sz w:val="22"/>
                <w:szCs w:val="22"/>
                <w:color w:val="auto"/>
              </w:rPr>
              <w:t>1933, as amended (as in effect on the date hereof).</w:t>
            </w:r>
          </w:p>
        </w:tc>
      </w:tr>
      <w:tr>
        <w:trPr>
          <w:trHeight w:val="408"/>
        </w:trPr>
        <w:tc>
          <w:tcPr>
            <w:tcW w:w="3040" w:type="dxa"/>
            <w:vAlign w:val="bottom"/>
          </w:tcPr>
          <w:p>
            <w:pPr>
              <w:jc w:val="right"/>
              <w:ind w:right="872"/>
              <w:spacing w:after="0"/>
              <w:rPr>
                <w:sz w:val="20"/>
                <w:szCs w:val="20"/>
                <w:color w:val="auto"/>
              </w:rPr>
            </w:pPr>
            <w:r>
              <w:rPr>
                <w:rFonts w:ascii="Arial" w:cs="Arial" w:eastAsia="Arial" w:hAnsi="Arial"/>
                <w:sz w:val="22"/>
                <w:szCs w:val="22"/>
                <w:color w:val="auto"/>
              </w:rPr>
              <w:t>1.2.</w:t>
            </w:r>
          </w:p>
        </w:tc>
        <w:tc>
          <w:tcPr>
            <w:tcW w:w="8180" w:type="dxa"/>
            <w:vAlign w:val="bottom"/>
            <w:gridSpan w:val="10"/>
          </w:tcPr>
          <w:p>
            <w:pPr>
              <w:ind w:left="960"/>
              <w:spacing w:after="0"/>
              <w:rPr>
                <w:sz w:val="20"/>
                <w:szCs w:val="20"/>
                <w:color w:val="auto"/>
              </w:rPr>
            </w:pPr>
            <w:r>
              <w:rPr>
                <w:rFonts w:ascii="Arial" w:cs="Arial" w:eastAsia="Arial" w:hAnsi="Arial"/>
                <w:sz w:val="22"/>
                <w:szCs w:val="22"/>
                <w:color w:val="auto"/>
              </w:rPr>
              <w:t>"Agreement" shall have the meaning set forth in the preamble.</w:t>
            </w:r>
          </w:p>
        </w:tc>
      </w:tr>
      <w:tr>
        <w:trPr>
          <w:trHeight w:val="20"/>
        </w:trPr>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39"/>
        </w:trPr>
        <w:tc>
          <w:tcPr>
            <w:tcW w:w="3040" w:type="dxa"/>
            <w:vAlign w:val="bottom"/>
          </w:tcPr>
          <w:p>
            <w:pPr>
              <w:jc w:val="right"/>
              <w:ind w:right="872"/>
              <w:spacing w:after="0"/>
              <w:rPr>
                <w:sz w:val="20"/>
                <w:szCs w:val="20"/>
                <w:color w:val="auto"/>
              </w:rPr>
            </w:pPr>
            <w:r>
              <w:rPr>
                <w:rFonts w:ascii="Arial" w:cs="Arial" w:eastAsia="Arial" w:hAnsi="Arial"/>
                <w:sz w:val="22"/>
                <w:szCs w:val="22"/>
                <w:color w:val="auto"/>
              </w:rPr>
              <w:t>1.3.</w:t>
            </w:r>
          </w:p>
        </w:tc>
        <w:tc>
          <w:tcPr>
            <w:tcW w:w="8180" w:type="dxa"/>
            <w:vAlign w:val="bottom"/>
            <w:gridSpan w:val="10"/>
          </w:tcPr>
          <w:p>
            <w:pPr>
              <w:ind w:left="960"/>
              <w:spacing w:after="0"/>
              <w:rPr>
                <w:sz w:val="20"/>
                <w:szCs w:val="20"/>
                <w:color w:val="auto"/>
              </w:rPr>
            </w:pPr>
            <w:r>
              <w:rPr>
                <w:rFonts w:ascii="Arial" w:cs="Arial" w:eastAsia="Arial" w:hAnsi="Arial"/>
                <w:sz w:val="22"/>
                <w:szCs w:val="22"/>
                <w:color w:val="auto"/>
                <w:w w:val="90"/>
              </w:rPr>
              <w:t>"Beneficial Owner" and "Beneficial Ownership" shall have the meaning set forth in</w:t>
            </w:r>
          </w:p>
        </w:tc>
      </w:tr>
      <w:tr>
        <w:trPr>
          <w:trHeight w:val="20"/>
        </w:trPr>
        <w:tc>
          <w:tcPr>
            <w:tcW w:w="41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74"/>
        </w:trPr>
        <w:tc>
          <w:tcPr>
            <w:tcW w:w="11220" w:type="dxa"/>
            <w:vAlign w:val="bottom"/>
            <w:gridSpan w:val="11"/>
          </w:tcPr>
          <w:p>
            <w:pPr>
              <w:spacing w:after="0"/>
              <w:rPr>
                <w:sz w:val="20"/>
                <w:szCs w:val="20"/>
                <w:color w:val="auto"/>
              </w:rPr>
            </w:pPr>
            <w:r>
              <w:rPr>
                <w:rFonts w:ascii="Arial" w:cs="Arial" w:eastAsia="Arial" w:hAnsi="Arial"/>
                <w:sz w:val="22"/>
                <w:szCs w:val="22"/>
                <w:color w:val="auto"/>
              </w:rPr>
              <w:t>Rule 13d-3 under the Exchange Act (as in effect on the date hereof).</w:t>
            </w:r>
          </w:p>
        </w:tc>
      </w:tr>
      <w:tr>
        <w:trPr>
          <w:trHeight w:val="408"/>
        </w:trPr>
        <w:tc>
          <w:tcPr>
            <w:tcW w:w="3040" w:type="dxa"/>
            <w:vAlign w:val="bottom"/>
          </w:tcPr>
          <w:p>
            <w:pPr>
              <w:jc w:val="right"/>
              <w:ind w:right="872"/>
              <w:spacing w:after="0"/>
              <w:rPr>
                <w:sz w:val="20"/>
                <w:szCs w:val="20"/>
                <w:color w:val="auto"/>
              </w:rPr>
            </w:pPr>
            <w:r>
              <w:rPr>
                <w:rFonts w:ascii="Arial" w:cs="Arial" w:eastAsia="Arial" w:hAnsi="Arial"/>
                <w:sz w:val="22"/>
                <w:szCs w:val="22"/>
                <w:color w:val="auto"/>
              </w:rPr>
              <w:t>1.4.</w:t>
            </w:r>
          </w:p>
        </w:tc>
        <w:tc>
          <w:tcPr>
            <w:tcW w:w="8180" w:type="dxa"/>
            <w:vAlign w:val="bottom"/>
            <w:gridSpan w:val="10"/>
          </w:tcPr>
          <w:p>
            <w:pPr>
              <w:ind w:left="960"/>
              <w:spacing w:after="0"/>
              <w:rPr>
                <w:sz w:val="20"/>
                <w:szCs w:val="20"/>
                <w:color w:val="auto"/>
              </w:rPr>
            </w:pPr>
            <w:r>
              <w:rPr>
                <w:rFonts w:ascii="Arial" w:cs="Arial" w:eastAsia="Arial" w:hAnsi="Arial"/>
                <w:sz w:val="22"/>
                <w:szCs w:val="22"/>
                <w:color w:val="auto"/>
              </w:rPr>
              <w:t>"Board" shall have the meaning set forth in the recitals.</w:t>
            </w:r>
          </w:p>
        </w:tc>
      </w:tr>
      <w:tr>
        <w:trPr>
          <w:trHeight w:val="20"/>
        </w:trPr>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439"/>
        </w:trPr>
        <w:tc>
          <w:tcPr>
            <w:tcW w:w="3040" w:type="dxa"/>
            <w:vAlign w:val="bottom"/>
          </w:tcPr>
          <w:p>
            <w:pPr>
              <w:jc w:val="right"/>
              <w:ind w:right="872"/>
              <w:spacing w:after="0"/>
              <w:rPr>
                <w:sz w:val="20"/>
                <w:szCs w:val="20"/>
                <w:color w:val="auto"/>
              </w:rPr>
            </w:pPr>
            <w:r>
              <w:rPr>
                <w:rFonts w:ascii="Arial" w:cs="Arial" w:eastAsia="Arial" w:hAnsi="Arial"/>
                <w:sz w:val="22"/>
                <w:szCs w:val="22"/>
                <w:color w:val="auto"/>
              </w:rPr>
              <w:t>1.5.</w:t>
            </w:r>
          </w:p>
        </w:tc>
        <w:tc>
          <w:tcPr>
            <w:tcW w:w="8180" w:type="dxa"/>
            <w:vAlign w:val="bottom"/>
            <w:gridSpan w:val="10"/>
          </w:tcPr>
          <w:p>
            <w:pPr>
              <w:ind w:left="960"/>
              <w:spacing w:after="0"/>
              <w:rPr>
                <w:sz w:val="20"/>
                <w:szCs w:val="20"/>
                <w:color w:val="auto"/>
              </w:rPr>
            </w:pPr>
            <w:r>
              <w:rPr>
                <w:rFonts w:ascii="Arial" w:cs="Arial" w:eastAsia="Arial" w:hAnsi="Arial"/>
                <w:sz w:val="22"/>
                <w:szCs w:val="22"/>
                <w:color w:val="auto"/>
                <w:w w:val="94"/>
              </w:rPr>
              <w:t>"By-Laws" shall mean the Company's Amended and Restated By-Laws (as the</w:t>
            </w:r>
          </w:p>
        </w:tc>
      </w:tr>
      <w:tr>
        <w:trPr>
          <w:trHeight w:val="20"/>
        </w:trPr>
        <w:tc>
          <w:tcPr>
            <w:tcW w:w="410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274"/>
        </w:trPr>
        <w:tc>
          <w:tcPr>
            <w:tcW w:w="11220" w:type="dxa"/>
            <w:vAlign w:val="bottom"/>
            <w:gridSpan w:val="11"/>
          </w:tcPr>
          <w:p>
            <w:pPr>
              <w:spacing w:after="0"/>
              <w:rPr>
                <w:sz w:val="20"/>
                <w:szCs w:val="20"/>
                <w:color w:val="auto"/>
              </w:rPr>
            </w:pPr>
            <w:r>
              <w:rPr>
                <w:rFonts w:ascii="Arial" w:cs="Arial" w:eastAsia="Arial" w:hAnsi="Arial"/>
                <w:sz w:val="22"/>
                <w:szCs w:val="22"/>
                <w:color w:val="auto"/>
              </w:rPr>
              <w:t>same may be amended and/or restated from time to time).</w:t>
            </w:r>
          </w:p>
        </w:tc>
      </w:tr>
      <w:tr>
        <w:trPr>
          <w:trHeight w:val="408"/>
        </w:trPr>
        <w:tc>
          <w:tcPr>
            <w:tcW w:w="3040" w:type="dxa"/>
            <w:vAlign w:val="bottom"/>
          </w:tcPr>
          <w:p>
            <w:pPr>
              <w:jc w:val="right"/>
              <w:ind w:right="872"/>
              <w:spacing w:after="0"/>
              <w:rPr>
                <w:sz w:val="20"/>
                <w:szCs w:val="20"/>
                <w:color w:val="auto"/>
              </w:rPr>
            </w:pPr>
            <w:r>
              <w:rPr>
                <w:rFonts w:ascii="Arial" w:cs="Arial" w:eastAsia="Arial" w:hAnsi="Arial"/>
                <w:sz w:val="22"/>
                <w:szCs w:val="22"/>
                <w:color w:val="auto"/>
              </w:rPr>
              <w:t>1.6.</w:t>
            </w:r>
          </w:p>
        </w:tc>
        <w:tc>
          <w:tcPr>
            <w:tcW w:w="8180" w:type="dxa"/>
            <w:vAlign w:val="bottom"/>
            <w:gridSpan w:val="10"/>
          </w:tcPr>
          <w:p>
            <w:pPr>
              <w:ind w:left="960"/>
              <w:spacing w:after="0"/>
              <w:rPr>
                <w:sz w:val="20"/>
                <w:szCs w:val="20"/>
                <w:color w:val="auto"/>
              </w:rPr>
            </w:pPr>
            <w:r>
              <w:rPr>
                <w:rFonts w:ascii="Arial" w:cs="Arial" w:eastAsia="Arial" w:hAnsi="Arial"/>
                <w:sz w:val="22"/>
                <w:szCs w:val="22"/>
                <w:color w:val="auto"/>
                <w:w w:val="98"/>
              </w:rPr>
              <w:t>"Certificate of Incorporation" shall have the meaning set forth in the recitals.</w:t>
            </w:r>
          </w:p>
        </w:tc>
      </w:tr>
      <w:tr>
        <w:trPr>
          <w:trHeight w:val="20"/>
        </w:trPr>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840" w:type="dxa"/>
            <w:vAlign w:val="bottom"/>
            <w:tcBorders>
              <w:left w:val="single" w:sz="8" w:color="auto"/>
            </w:tcBorders>
            <w:gridSpan w:val="2"/>
            <w:shd w:val="clear" w:color="auto" w:fill="000000"/>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r>
      <w:tr>
        <w:trPr>
          <w:trHeight w:val="439"/>
        </w:trPr>
        <w:tc>
          <w:tcPr>
            <w:tcW w:w="3040" w:type="dxa"/>
            <w:vAlign w:val="bottom"/>
          </w:tcPr>
          <w:p>
            <w:pPr>
              <w:jc w:val="right"/>
              <w:ind w:right="872"/>
              <w:spacing w:after="0"/>
              <w:rPr>
                <w:sz w:val="20"/>
                <w:szCs w:val="20"/>
                <w:color w:val="auto"/>
              </w:rPr>
            </w:pPr>
            <w:r>
              <w:rPr>
                <w:rFonts w:ascii="Arial" w:cs="Arial" w:eastAsia="Arial" w:hAnsi="Arial"/>
                <w:sz w:val="22"/>
                <w:szCs w:val="22"/>
                <w:color w:val="auto"/>
              </w:rPr>
              <w:t>1.7.</w:t>
            </w:r>
          </w:p>
        </w:tc>
        <w:tc>
          <w:tcPr>
            <w:tcW w:w="8180" w:type="dxa"/>
            <w:vAlign w:val="bottom"/>
            <w:gridSpan w:val="10"/>
          </w:tcPr>
          <w:p>
            <w:pPr>
              <w:ind w:left="960"/>
              <w:spacing w:after="0"/>
              <w:rPr>
                <w:sz w:val="20"/>
                <w:szCs w:val="20"/>
                <w:color w:val="auto"/>
              </w:rPr>
            </w:pPr>
            <w:r>
              <w:rPr>
                <w:rFonts w:ascii="Arial" w:cs="Arial" w:eastAsia="Arial" w:hAnsi="Arial"/>
                <w:sz w:val="22"/>
                <w:szCs w:val="22"/>
                <w:color w:val="auto"/>
                <w:w w:val="90"/>
              </w:rPr>
              <w:t>"Change in Control" shall mean, and shall be deemed to occur upon the earliest to</w:t>
            </w:r>
          </w:p>
        </w:tc>
      </w:tr>
      <w:tr>
        <w:trPr>
          <w:trHeight w:val="20"/>
        </w:trPr>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occur after the date of this Agreement of any of the following events:</w:t>
      </w:r>
    </w:p>
    <w:p>
      <w:pPr>
        <w:spacing w:after="0" w:line="206" w:lineRule="exact"/>
        <w:rPr>
          <w:sz w:val="20"/>
          <w:szCs w:val="20"/>
          <w:color w:val="auto"/>
        </w:rPr>
      </w:pPr>
    </w:p>
    <w:p>
      <w:pPr>
        <w:ind w:left="2460"/>
        <w:spacing w:after="0"/>
        <w:tabs>
          <w:tab w:leader="none" w:pos="55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u w:val="single" w:color="auto"/>
          <w:color w:val="auto"/>
        </w:rPr>
        <w:t>Acquisition of Stock by Third Party</w:t>
      </w:r>
      <w:r>
        <w:rPr>
          <w:rFonts w:ascii="Arial" w:cs="Arial" w:eastAsia="Arial" w:hAnsi="Arial"/>
          <w:sz w:val="21"/>
          <w:szCs w:val="21"/>
          <w:color w:val="auto"/>
        </w:rPr>
        <w:t>. Any Person other than a</w:t>
      </w:r>
    </w:p>
    <w:p>
      <w:pPr>
        <w:spacing w:after="0" w:line="20" w:lineRule="exact"/>
        <w:rPr>
          <w:sz w:val="20"/>
          <w:szCs w:val="20"/>
          <w:color w:val="auto"/>
        </w:rPr>
      </w:pPr>
    </w:p>
    <w:p>
      <w:pPr>
        <w:ind w:left="880" w:right="120"/>
        <w:spacing w:after="0" w:line="266" w:lineRule="auto"/>
        <w:rPr>
          <w:sz w:val="20"/>
          <w:szCs w:val="20"/>
          <w:color w:val="auto"/>
        </w:rPr>
      </w:pPr>
      <w:r>
        <w:rPr>
          <w:rFonts w:ascii="Arial" w:cs="Arial" w:eastAsia="Arial" w:hAnsi="Arial"/>
          <w:sz w:val="19"/>
          <w:szCs w:val="19"/>
          <w:color w:val="auto"/>
        </w:rPr>
        <w:t>Permitted Holder is or becomes the Beneficial Owner, directly or indirectly, of securities of the Company representing more than 50% of the combined voting power of the Company's then outstanding Voting Securities, unless (i) the change in the relative Beneficial Ownership of the Company's securities by any Person results solely from a reduction in the aggregate number of outstanding shares of securities entitled to vote generally in the election of directors, or</w:t>
      </w:r>
    </w:p>
    <w:p>
      <w:pPr>
        <w:spacing w:after="0" w:line="3" w:lineRule="exact"/>
        <w:rPr>
          <w:sz w:val="20"/>
          <w:szCs w:val="20"/>
          <w:color w:val="auto"/>
        </w:rPr>
      </w:pPr>
    </w:p>
    <w:p>
      <w:pPr>
        <w:ind w:left="880" w:right="140" w:hanging="8"/>
        <w:spacing w:after="0" w:line="236" w:lineRule="auto"/>
        <w:tabs>
          <w:tab w:leader="none" w:pos="1198" w:val="left"/>
        </w:tabs>
        <w:numPr>
          <w:ilvl w:val="0"/>
          <w:numId w:val="20"/>
        </w:numPr>
        <w:rPr>
          <w:rFonts w:ascii="Arial" w:cs="Arial" w:eastAsia="Arial" w:hAnsi="Arial"/>
          <w:sz w:val="22"/>
          <w:szCs w:val="22"/>
          <w:color w:val="auto"/>
        </w:rPr>
      </w:pPr>
      <w:r>
        <w:rPr>
          <w:rFonts w:ascii="Arial" w:cs="Arial" w:eastAsia="Arial" w:hAnsi="Arial"/>
          <w:sz w:val="22"/>
          <w:szCs w:val="22"/>
          <w:color w:val="auto"/>
        </w:rPr>
        <w:t>such acquisition was approved in advance by the Continuing Directors and such acquisition would not constitute a Change in Control under part (c) of this definition;</w:t>
      </w:r>
    </w:p>
    <w:p>
      <w:pPr>
        <w:spacing w:after="0" w:line="187" w:lineRule="exact"/>
        <w:rPr>
          <w:sz w:val="20"/>
          <w:szCs w:val="20"/>
          <w:color w:val="auto"/>
        </w:rPr>
      </w:pPr>
    </w:p>
    <w:p>
      <w:pPr>
        <w:ind w:left="880" w:right="40" w:firstLine="1594"/>
        <w:spacing w:after="0" w:line="248"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Change in Board of Directors</w:t>
      </w:r>
      <w:r>
        <w:rPr>
          <w:rFonts w:ascii="Arial" w:cs="Arial" w:eastAsia="Arial" w:hAnsi="Arial"/>
          <w:sz w:val="21"/>
          <w:szCs w:val="21"/>
          <w:color w:val="auto"/>
        </w:rPr>
        <w:t>. Individuals who, as of the date hereof, constitute the Board, and any new director whose appointment or election by the Board or nomination for election by the Company's stockholders was approved or recommended by a vote of at least a majority of the directors then still in office who were directors on the date hereof or whose appointment, election or nomination for election was previously so approved or recommended by the directors referred to in this clause (b) (collectively, the "</w:t>
      </w:r>
      <w:r>
        <w:rPr>
          <w:rFonts w:ascii="Arial" w:cs="Arial" w:eastAsia="Arial" w:hAnsi="Arial"/>
          <w:sz w:val="21"/>
          <w:szCs w:val="21"/>
          <w:u w:val="single" w:color="auto"/>
          <w:color w:val="auto"/>
        </w:rPr>
        <w:t>Continuing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Directors</w:t>
      </w:r>
      <w:r>
        <w:rPr>
          <w:rFonts w:ascii="Arial" w:cs="Arial" w:eastAsia="Arial" w:hAnsi="Arial"/>
          <w:sz w:val="21"/>
          <w:szCs w:val="21"/>
          <w:color w:val="auto"/>
        </w:rPr>
        <w:t>"), cease for any reason to constitute at least a majority of the members of the Board;</w:t>
      </w:r>
    </w:p>
    <w:p>
      <w:pPr>
        <w:spacing w:after="0" w:line="177" w:lineRule="exact"/>
        <w:rPr>
          <w:sz w:val="20"/>
          <w:szCs w:val="20"/>
          <w:color w:val="auto"/>
        </w:rPr>
      </w:pPr>
    </w:p>
    <w:p>
      <w:pPr>
        <w:ind w:left="880" w:right="220" w:firstLine="1594"/>
        <w:spacing w:after="0" w:line="250"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Corporate Transactions</w:t>
      </w:r>
      <w:r>
        <w:rPr>
          <w:rFonts w:ascii="Arial" w:cs="Arial" w:eastAsia="Arial" w:hAnsi="Arial"/>
          <w:sz w:val="22"/>
          <w:szCs w:val="22"/>
          <w:color w:val="auto"/>
        </w:rPr>
        <w:t>. The effective date of a reorganization, merger or consolidation of the Company (a "</w:t>
      </w:r>
      <w:r>
        <w:rPr>
          <w:rFonts w:ascii="Arial" w:cs="Arial" w:eastAsia="Arial" w:hAnsi="Arial"/>
          <w:sz w:val="22"/>
          <w:szCs w:val="22"/>
          <w:u w:val="single" w:color="auto"/>
          <w:color w:val="auto"/>
        </w:rPr>
        <w:t>Corporate Transaction</w:t>
      </w:r>
      <w:r>
        <w:rPr>
          <w:rFonts w:ascii="Arial" w:cs="Arial" w:eastAsia="Arial" w:hAnsi="Arial"/>
          <w:sz w:val="22"/>
          <w:szCs w:val="22"/>
          <w:color w:val="auto"/>
        </w:rPr>
        <w:t>"),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47" w:right="359" w:bottom="1440" w:gutter="0" w:footer="0" w:header="0"/>
        </w:sectPr>
      </w:pPr>
    </w:p>
    <w:bookmarkStart w:id="41" w:name="page42"/>
    <w:bookmarkEnd w:id="41"/>
    <w:p>
      <w:pPr>
        <w:ind w:left="880"/>
        <w:spacing w:after="0" w:line="268" w:lineRule="auto"/>
        <w:rPr>
          <w:sz w:val="20"/>
          <w:szCs w:val="20"/>
          <w:color w:val="auto"/>
        </w:rPr>
      </w:pPr>
      <w:r>
        <w:rPr>
          <w:rFonts w:ascii="Arial" w:cs="Arial" w:eastAsia="Arial" w:hAnsi="Arial"/>
          <w:sz w:val="19"/>
          <w:szCs w:val="19"/>
          <w:color w:val="auto"/>
        </w:rPr>
        <w:t>unless, following such Corporate Transaction: (i) all or substantially all of the individuals and entities who were the Beneficial Owners of Voting Securities of the Company immediately prior to such Corporate Transaction beneficially own, directly or indirectly, more than 50% of the combined voting power of the then outstanding Voting Securities of the Company or other Person resulting from such Corporate Transaction (including, without limitation, a corporation or other Person that as a result of such transaction owns the Company or all or substantially all of the Company's assets either directly or through one or more Subsidiaries) in substantially the same proportions as their ownership of Voting Securities immediately prior to such Corporate Transaction; (ii) no Person (excluding any corporation resulting from such Corporate Transaction or the Permitted Holders) is the Beneficial Owner, directly or indirectly, of 50% or more of the combined voting power of the then outstanding Voting Securities of the Company or other Person resulting from such Corporate Transaction, except to the extent that such ownership existed prior to such Corporate Transaction; and</w:t>
      </w:r>
    </w:p>
    <w:p>
      <w:pPr>
        <w:spacing w:after="0" w:line="8" w:lineRule="exact"/>
        <w:rPr>
          <w:sz w:val="20"/>
          <w:szCs w:val="20"/>
          <w:color w:val="auto"/>
        </w:rPr>
      </w:pPr>
    </w:p>
    <w:p>
      <w:pPr>
        <w:ind w:left="880" w:right="520" w:hanging="8"/>
        <w:spacing w:after="0" w:line="234" w:lineRule="auto"/>
        <w:tabs>
          <w:tab w:leader="none" w:pos="1258" w:val="left"/>
        </w:tabs>
        <w:numPr>
          <w:ilvl w:val="0"/>
          <w:numId w:val="21"/>
        </w:numPr>
        <w:rPr>
          <w:rFonts w:ascii="Arial" w:cs="Arial" w:eastAsia="Arial" w:hAnsi="Arial"/>
          <w:sz w:val="22"/>
          <w:szCs w:val="22"/>
          <w:color w:val="auto"/>
        </w:rPr>
      </w:pPr>
      <w:r>
        <w:rPr>
          <w:rFonts w:ascii="Arial" w:cs="Arial" w:eastAsia="Arial" w:hAnsi="Arial"/>
          <w:sz w:val="22"/>
          <w:szCs w:val="22"/>
          <w:color w:val="auto"/>
        </w:rPr>
        <w:t>at least a majority of the board of directors of the Company or other Person resulting from such Corporate Transaction were Continuing Directors at the time of the execution of the initial agreement, or of the action of the Board, providing for such Corporate Transaction; or</w:t>
      </w:r>
    </w:p>
    <w:p>
      <w:pPr>
        <w:spacing w:after="0" w:line="187" w:lineRule="exact"/>
        <w:rPr>
          <w:sz w:val="20"/>
          <w:szCs w:val="20"/>
          <w:color w:val="auto"/>
        </w:rPr>
      </w:pPr>
    </w:p>
    <w:p>
      <w:pPr>
        <w:ind w:left="880" w:right="60" w:firstLine="1594"/>
        <w:spacing w:after="0" w:line="234"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Other Events</w:t>
      </w:r>
      <w:r>
        <w:rPr>
          <w:rFonts w:ascii="Arial" w:cs="Arial" w:eastAsia="Arial" w:hAnsi="Arial"/>
          <w:sz w:val="22"/>
          <w:szCs w:val="22"/>
          <w:color w:val="auto"/>
        </w:rPr>
        <w:t>. The approval by the stockholders of the Company of a plan of complete liquidation or dissolution of the Company or the consummation of an agreement or series of related agreements for the sale or other disposition, directly or indirectly, by the Company of all or substantially all of the Company's assets, other than such sale or other disposition by the Company of all or substantially all of the Company's assets to a Person, at least 50% of the combined voting power of the Voting Securities of which are Beneficially Owned by (i) the stockholders of the Company immediately prior to such sale or (ii) the Permitted Holders.</w:t>
      </w:r>
    </w:p>
    <w:p>
      <w:pPr>
        <w:spacing w:after="0" w:line="191" w:lineRule="exact"/>
        <w:rPr>
          <w:sz w:val="20"/>
          <w:szCs w:val="20"/>
          <w:color w:val="auto"/>
        </w:rPr>
      </w:pPr>
    </w:p>
    <w:p>
      <w:pPr>
        <w:ind w:right="20" w:firstLine="1727"/>
        <w:spacing w:after="0" w:line="275" w:lineRule="auto"/>
        <w:rPr>
          <w:sz w:val="20"/>
          <w:szCs w:val="20"/>
          <w:color w:val="auto"/>
        </w:rPr>
      </w:pPr>
      <w:r>
        <w:rPr>
          <w:rFonts w:ascii="Arial" w:cs="Arial" w:eastAsia="Arial" w:hAnsi="Arial"/>
          <w:sz w:val="19"/>
          <w:szCs w:val="19"/>
          <w:color w:val="auto"/>
        </w:rPr>
        <w:t xml:space="preserve">1.8. " </w:t>
      </w:r>
      <w:r>
        <w:rPr>
          <w:rFonts w:ascii="Arial" w:cs="Arial" w:eastAsia="Arial" w:hAnsi="Arial"/>
          <w:sz w:val="19"/>
          <w:szCs w:val="19"/>
          <w:u w:val="single" w:color="auto"/>
          <w:color w:val="auto"/>
        </w:rPr>
        <w:t>Company</w:t>
      </w:r>
      <w:r>
        <w:rPr>
          <w:rFonts w:ascii="Arial" w:cs="Arial" w:eastAsia="Arial" w:hAnsi="Arial"/>
          <w:sz w:val="19"/>
          <w:szCs w:val="19"/>
          <w:color w:val="auto"/>
        </w:rPr>
        <w:t>" shall have the meaning set forth in the preamble and shall also include, in addition to the resulting corporation or other entity, any constituent corporation (including, without limitation, any constituent of a constituent) absorbed in a consolidation or merger that,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employee or agent of another corporation, partnership, joint venture, trust or other enterprise, Indemnitee shall stand in the same position under the provisions of this Agreement with respect to the resulting or surviving corporation or other entity as Indemnitee would have with respect to such constituent corporation if its separate existence had continued.</w:t>
      </w:r>
    </w:p>
    <w:p>
      <w:pPr>
        <w:spacing w:after="0" w:line="128"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Arial" w:cs="Arial" w:eastAsia="Arial" w:hAnsi="Arial"/>
                <w:sz w:val="22"/>
                <w:szCs w:val="22"/>
                <w:color w:val="auto"/>
              </w:rPr>
              <w:t>1.9.</w:t>
            </w:r>
          </w:p>
        </w:tc>
        <w:tc>
          <w:tcPr>
            <w:tcW w:w="7840" w:type="dxa"/>
            <w:vAlign w:val="bottom"/>
            <w:gridSpan w:val="5"/>
          </w:tcPr>
          <w:p>
            <w:pPr>
              <w:ind w:left="920"/>
              <w:spacing w:after="0"/>
              <w:rPr>
                <w:sz w:val="20"/>
                <w:szCs w:val="20"/>
                <w:color w:val="auto"/>
              </w:rPr>
            </w:pPr>
            <w:r>
              <w:rPr>
                <w:rFonts w:ascii="Arial" w:cs="Arial" w:eastAsia="Arial" w:hAnsi="Arial"/>
                <w:sz w:val="22"/>
                <w:szCs w:val="22"/>
                <w:color w:val="auto"/>
                <w:w w:val="97"/>
              </w:rPr>
              <w:t>"Continuing Directors" shall have the meaning set forth in Section 1.7(b).</w:t>
            </w:r>
          </w:p>
        </w:tc>
      </w:tr>
      <w:tr>
        <w:trPr>
          <w:trHeight w:val="20"/>
        </w:trPr>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22"/>
                <w:szCs w:val="22"/>
                <w:color w:val="auto"/>
              </w:rPr>
              <w:t>1.10.</w:t>
            </w:r>
          </w:p>
        </w:tc>
        <w:tc>
          <w:tcPr>
            <w:tcW w:w="1020" w:type="dxa"/>
            <w:vAlign w:val="bottom"/>
          </w:tcPr>
          <w:p>
            <w:pPr>
              <w:spacing w:after="0"/>
              <w:rPr>
                <w:sz w:val="24"/>
                <w:szCs w:val="24"/>
                <w:color w:val="auto"/>
              </w:rPr>
            </w:pPr>
          </w:p>
        </w:tc>
        <w:tc>
          <w:tcPr>
            <w:tcW w:w="6820" w:type="dxa"/>
            <w:vAlign w:val="bottom"/>
            <w:gridSpan w:val="4"/>
          </w:tcPr>
          <w:p>
            <w:pPr>
              <w:ind w:left="20"/>
              <w:spacing w:after="0"/>
              <w:rPr>
                <w:sz w:val="20"/>
                <w:szCs w:val="20"/>
                <w:color w:val="auto"/>
              </w:rPr>
            </w:pPr>
            <w:r>
              <w:rPr>
                <w:rFonts w:ascii="Arial" w:cs="Arial" w:eastAsia="Arial" w:hAnsi="Arial"/>
                <w:sz w:val="22"/>
                <w:szCs w:val="22"/>
                <w:color w:val="auto"/>
                <w:w w:val="86"/>
              </w:rPr>
              <w:t>"Corporate Status" shall describe the status as such of a person who is or was a</w:t>
            </w:r>
          </w:p>
        </w:tc>
      </w:tr>
      <w:tr>
        <w:trPr>
          <w:trHeight w:val="20"/>
        </w:trPr>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bl>
    <w:p>
      <w:pPr>
        <w:spacing w:after="0" w:line="6"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director, officer, trustee, general partner, managing member, fiduciary, employee or agent of the Company or of any other Enterprise which such person is or was serving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3"/>
        </w:trPr>
        <w:tc>
          <w:tcPr>
            <w:tcW w:w="3140" w:type="dxa"/>
            <w:vAlign w:val="bottom"/>
          </w:tcPr>
          <w:p>
            <w:pPr>
              <w:ind w:left="1740"/>
              <w:spacing w:after="0"/>
              <w:rPr>
                <w:sz w:val="20"/>
                <w:szCs w:val="20"/>
                <w:color w:val="auto"/>
              </w:rPr>
            </w:pPr>
            <w:r>
              <w:rPr>
                <w:rFonts w:ascii="Arial" w:cs="Arial" w:eastAsia="Arial" w:hAnsi="Arial"/>
                <w:sz w:val="22"/>
                <w:szCs w:val="22"/>
                <w:color w:val="auto"/>
              </w:rPr>
              <w:t>1.11.</w:t>
            </w:r>
          </w:p>
        </w:tc>
        <w:tc>
          <w:tcPr>
            <w:tcW w:w="8080" w:type="dxa"/>
            <w:vAlign w:val="bottom"/>
            <w:gridSpan w:val="6"/>
          </w:tcPr>
          <w:p>
            <w:pPr>
              <w:ind w:left="960"/>
              <w:spacing w:after="0"/>
              <w:rPr>
                <w:sz w:val="20"/>
                <w:szCs w:val="20"/>
                <w:color w:val="auto"/>
              </w:rPr>
            </w:pPr>
            <w:r>
              <w:rPr>
                <w:rFonts w:ascii="Arial" w:cs="Arial" w:eastAsia="Arial" w:hAnsi="Arial"/>
                <w:sz w:val="22"/>
                <w:szCs w:val="22"/>
                <w:color w:val="auto"/>
                <w:w w:val="98"/>
              </w:rPr>
              <w:t>"Corporate Transaction" shall have the meaning set forth in Section 1.7(c).</w:t>
            </w:r>
          </w:p>
        </w:tc>
      </w:tr>
      <w:tr>
        <w:trPr>
          <w:trHeight w:val="20"/>
        </w:trPr>
        <w:tc>
          <w:tcPr>
            <w:tcW w:w="31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00" w:type="dxa"/>
            <w:vAlign w:val="bottom"/>
            <w:tcBorders>
              <w:left w:val="single" w:sz="8" w:color="auto"/>
            </w:tcBorders>
          </w:tcPr>
          <w:p>
            <w:pPr>
              <w:spacing w:after="0" w:line="20" w:lineRule="exact"/>
              <w:rPr>
                <w:sz w:val="1"/>
                <w:szCs w:val="1"/>
                <w:color w:val="auto"/>
              </w:rPr>
            </w:pPr>
          </w:p>
        </w:tc>
      </w:tr>
      <w:tr>
        <w:trPr>
          <w:trHeight w:val="439"/>
        </w:trPr>
        <w:tc>
          <w:tcPr>
            <w:tcW w:w="3140" w:type="dxa"/>
            <w:vAlign w:val="bottom"/>
          </w:tcPr>
          <w:p>
            <w:pPr>
              <w:ind w:left="1740"/>
              <w:spacing w:after="0"/>
              <w:rPr>
                <w:sz w:val="20"/>
                <w:szCs w:val="20"/>
                <w:color w:val="auto"/>
              </w:rPr>
            </w:pPr>
            <w:r>
              <w:rPr>
                <w:rFonts w:ascii="Arial" w:cs="Arial" w:eastAsia="Arial" w:hAnsi="Arial"/>
                <w:sz w:val="22"/>
                <w:szCs w:val="22"/>
                <w:color w:val="auto"/>
              </w:rPr>
              <w:t>1.12.</w:t>
            </w:r>
          </w:p>
        </w:tc>
        <w:tc>
          <w:tcPr>
            <w:tcW w:w="8080" w:type="dxa"/>
            <w:vAlign w:val="bottom"/>
            <w:gridSpan w:val="6"/>
          </w:tcPr>
          <w:p>
            <w:pPr>
              <w:ind w:left="980"/>
              <w:spacing w:after="0"/>
              <w:rPr>
                <w:sz w:val="20"/>
                <w:szCs w:val="20"/>
                <w:color w:val="auto"/>
              </w:rPr>
            </w:pPr>
            <w:r>
              <w:rPr>
                <w:rFonts w:ascii="Arial" w:cs="Arial" w:eastAsia="Arial" w:hAnsi="Arial"/>
                <w:sz w:val="22"/>
                <w:szCs w:val="22"/>
                <w:color w:val="auto"/>
                <w:w w:val="94"/>
              </w:rPr>
              <w:t>"Delaware Court" shall mean the Court of Chancery of the State of Delaware.</w:t>
            </w:r>
          </w:p>
        </w:tc>
      </w:tr>
      <w:tr>
        <w:trPr>
          <w:trHeight w:val="20"/>
        </w:trPr>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39"/>
        </w:trPr>
        <w:tc>
          <w:tcPr>
            <w:tcW w:w="3140" w:type="dxa"/>
            <w:vAlign w:val="bottom"/>
          </w:tcPr>
          <w:p>
            <w:pPr>
              <w:ind w:left="1740"/>
              <w:spacing w:after="0"/>
              <w:rPr>
                <w:sz w:val="20"/>
                <w:szCs w:val="20"/>
                <w:color w:val="auto"/>
              </w:rPr>
            </w:pPr>
            <w:r>
              <w:rPr>
                <w:rFonts w:ascii="Arial" w:cs="Arial" w:eastAsia="Arial" w:hAnsi="Arial"/>
                <w:sz w:val="22"/>
                <w:szCs w:val="22"/>
                <w:color w:val="auto"/>
              </w:rPr>
              <w:t>1.13.</w:t>
            </w:r>
          </w:p>
        </w:tc>
        <w:tc>
          <w:tcPr>
            <w:tcW w:w="8080" w:type="dxa"/>
            <w:vAlign w:val="bottom"/>
            <w:gridSpan w:val="6"/>
          </w:tcPr>
          <w:p>
            <w:pPr>
              <w:ind w:left="980"/>
              <w:spacing w:after="0"/>
              <w:rPr>
                <w:sz w:val="20"/>
                <w:szCs w:val="20"/>
                <w:color w:val="auto"/>
              </w:rPr>
            </w:pPr>
            <w:r>
              <w:rPr>
                <w:rFonts w:ascii="Arial" w:cs="Arial" w:eastAsia="Arial" w:hAnsi="Arial"/>
                <w:sz w:val="22"/>
                <w:szCs w:val="22"/>
                <w:color w:val="auto"/>
              </w:rPr>
              <w:t>"DGCL" shall have the meaning set forth in the recitals.</w:t>
            </w:r>
          </w:p>
        </w:tc>
      </w:tr>
      <w:tr>
        <w:trPr>
          <w:trHeight w:val="20"/>
        </w:trPr>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39"/>
        </w:trPr>
        <w:tc>
          <w:tcPr>
            <w:tcW w:w="3140" w:type="dxa"/>
            <w:vAlign w:val="bottom"/>
          </w:tcPr>
          <w:p>
            <w:pPr>
              <w:ind w:left="1740"/>
              <w:spacing w:after="0"/>
              <w:rPr>
                <w:sz w:val="20"/>
                <w:szCs w:val="20"/>
                <w:color w:val="auto"/>
              </w:rPr>
            </w:pPr>
            <w:r>
              <w:rPr>
                <w:rFonts w:ascii="Arial" w:cs="Arial" w:eastAsia="Arial" w:hAnsi="Arial"/>
                <w:sz w:val="22"/>
                <w:szCs w:val="22"/>
                <w:color w:val="auto"/>
              </w:rPr>
              <w:t>1.14.</w:t>
            </w:r>
          </w:p>
        </w:tc>
        <w:tc>
          <w:tcPr>
            <w:tcW w:w="8080" w:type="dxa"/>
            <w:vAlign w:val="bottom"/>
            <w:gridSpan w:val="6"/>
          </w:tcPr>
          <w:p>
            <w:pPr>
              <w:ind w:left="980"/>
              <w:spacing w:after="0"/>
              <w:rPr>
                <w:sz w:val="20"/>
                <w:szCs w:val="20"/>
                <w:color w:val="auto"/>
              </w:rPr>
            </w:pPr>
            <w:r>
              <w:rPr>
                <w:rFonts w:ascii="Arial" w:cs="Arial" w:eastAsia="Arial" w:hAnsi="Arial"/>
                <w:sz w:val="22"/>
                <w:szCs w:val="22"/>
                <w:color w:val="auto"/>
                <w:w w:val="89"/>
              </w:rPr>
              <w:t>"Disinterested Director" shall mean a director of the Company who is not and was</w:t>
            </w:r>
          </w:p>
        </w:tc>
      </w:tr>
      <w:tr>
        <w:trPr>
          <w:trHeight w:val="20"/>
        </w:trPr>
        <w:tc>
          <w:tcPr>
            <w:tcW w:w="422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73"/>
        </w:trPr>
        <w:tc>
          <w:tcPr>
            <w:tcW w:w="11220" w:type="dxa"/>
            <w:vAlign w:val="bottom"/>
            <w:gridSpan w:val="7"/>
          </w:tcPr>
          <w:p>
            <w:pPr>
              <w:spacing w:after="0"/>
              <w:rPr>
                <w:sz w:val="20"/>
                <w:szCs w:val="20"/>
                <w:color w:val="auto"/>
              </w:rPr>
            </w:pPr>
            <w:r>
              <w:rPr>
                <w:rFonts w:ascii="Arial" w:cs="Arial" w:eastAsia="Arial" w:hAnsi="Arial"/>
                <w:sz w:val="22"/>
                <w:szCs w:val="22"/>
                <w:color w:val="auto"/>
              </w:rPr>
              <w:t>not a party to the Proceeding in respect of which indemnification is sought by Indemnitee.</w:t>
            </w:r>
          </w:p>
        </w:tc>
      </w:tr>
      <w:tr>
        <w:trPr>
          <w:trHeight w:val="408"/>
        </w:trPr>
        <w:tc>
          <w:tcPr>
            <w:tcW w:w="3140" w:type="dxa"/>
            <w:vAlign w:val="bottom"/>
          </w:tcPr>
          <w:p>
            <w:pPr>
              <w:ind w:left="1740"/>
              <w:spacing w:after="0"/>
              <w:rPr>
                <w:sz w:val="20"/>
                <w:szCs w:val="20"/>
                <w:color w:val="auto"/>
              </w:rPr>
            </w:pPr>
            <w:r>
              <w:rPr>
                <w:rFonts w:ascii="Arial" w:cs="Arial" w:eastAsia="Arial" w:hAnsi="Arial"/>
                <w:sz w:val="22"/>
                <w:szCs w:val="22"/>
                <w:color w:val="auto"/>
              </w:rPr>
              <w:t>1.15.</w:t>
            </w:r>
          </w:p>
        </w:tc>
        <w:tc>
          <w:tcPr>
            <w:tcW w:w="8080" w:type="dxa"/>
            <w:vAlign w:val="bottom"/>
            <w:gridSpan w:val="6"/>
          </w:tcPr>
          <w:p>
            <w:pPr>
              <w:ind w:left="980"/>
              <w:spacing w:after="0"/>
              <w:rPr>
                <w:sz w:val="20"/>
                <w:szCs w:val="20"/>
                <w:color w:val="auto"/>
              </w:rPr>
            </w:pPr>
            <w:r>
              <w:rPr>
                <w:rFonts w:ascii="Arial" w:cs="Arial" w:eastAsia="Arial" w:hAnsi="Arial"/>
                <w:sz w:val="22"/>
                <w:szCs w:val="22"/>
                <w:color w:val="auto"/>
                <w:w w:val="95"/>
              </w:rPr>
              <w:t>"Enterprise" shall mean the Company and any other corporation, constituent</w:t>
            </w:r>
          </w:p>
        </w:tc>
      </w:tr>
      <w:tr>
        <w:trPr>
          <w:trHeight w:val="20"/>
        </w:trPr>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6" w:lineRule="exact"/>
        <w:rPr>
          <w:sz w:val="20"/>
          <w:szCs w:val="20"/>
          <w:color w:val="auto"/>
        </w:rPr>
      </w:pPr>
    </w:p>
    <w:p>
      <w:pPr>
        <w:ind w:right="320"/>
        <w:spacing w:after="0" w:line="252" w:lineRule="auto"/>
        <w:rPr>
          <w:sz w:val="20"/>
          <w:szCs w:val="20"/>
          <w:color w:val="auto"/>
        </w:rPr>
      </w:pPr>
      <w:r>
        <w:rPr>
          <w:rFonts w:ascii="Arial" w:cs="Arial" w:eastAsia="Arial" w:hAnsi="Arial"/>
          <w:sz w:val="21"/>
          <w:szCs w:val="21"/>
          <w:color w:val="auto"/>
        </w:rPr>
        <w:t>corporation (including, without limitation,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45"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1.16.</w:t>
            </w:r>
          </w:p>
        </w:tc>
        <w:tc>
          <w:tcPr>
            <w:tcW w:w="8040" w:type="dxa"/>
            <w:vAlign w:val="bottom"/>
            <w:gridSpan w:val="4"/>
          </w:tcPr>
          <w:p>
            <w:pPr>
              <w:ind w:left="980"/>
              <w:spacing w:after="0"/>
              <w:rPr>
                <w:sz w:val="20"/>
                <w:szCs w:val="20"/>
                <w:color w:val="auto"/>
              </w:rPr>
            </w:pPr>
            <w:r>
              <w:rPr>
                <w:rFonts w:ascii="Arial" w:cs="Arial" w:eastAsia="Arial" w:hAnsi="Arial"/>
                <w:sz w:val="22"/>
                <w:szCs w:val="22"/>
                <w:color w:val="auto"/>
                <w:w w:val="92"/>
              </w:rPr>
              <w:t>"Exchange Act" shall mean the Securities Exchange Act of 1934, as amended.</w:t>
            </w:r>
          </w:p>
        </w:tc>
      </w:tr>
      <w:tr>
        <w:trPr>
          <w:trHeight w:val="20"/>
        </w:trPr>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439"/>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1.17.</w:t>
            </w:r>
          </w:p>
        </w:tc>
        <w:tc>
          <w:tcPr>
            <w:tcW w:w="8040" w:type="dxa"/>
            <w:vAlign w:val="bottom"/>
            <w:gridSpan w:val="4"/>
          </w:tcPr>
          <w:p>
            <w:pPr>
              <w:ind w:left="980"/>
              <w:spacing w:after="0"/>
              <w:rPr>
                <w:sz w:val="20"/>
                <w:szCs w:val="20"/>
                <w:color w:val="auto"/>
              </w:rPr>
            </w:pPr>
            <w:r>
              <w:rPr>
                <w:rFonts w:ascii="Arial" w:cs="Arial" w:eastAsia="Arial" w:hAnsi="Arial"/>
                <w:sz w:val="22"/>
                <w:szCs w:val="22"/>
                <w:color w:val="auto"/>
                <w:w w:val="87"/>
              </w:rPr>
              <w:t>"Expenses" shall include all reasonable and documented attorneys' fees, retainers,</w:t>
            </w:r>
          </w:p>
        </w:tc>
      </w:tr>
      <w:tr>
        <w:trPr>
          <w:trHeight w:val="20"/>
        </w:trPr>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settling or negotiating for the settlement of, responding to or objecting to a request to provide discovery in, or otherwise participating in, any Proceeding. Expenses also shall include Expenses incurred in connection with any appeal resulting from any Proceeding, including, without limitation, the premium, security for, and other costs relating to any cost bond, supersedeas bond, or other appeal bond or its equivalent and any federal, state, local or foreign taxes imposed on the Indemnitee as a result of the actual or deemed receipt of any payments under this Agreement. Expenses, however, shall not include amounts paid in settlement by Indemnitee or the amount of judgments, fines or penalties against Indemnitee.</w:t>
      </w:r>
    </w:p>
    <w:p>
      <w:pPr>
        <w:spacing w:after="0" w:line="129"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1.18.</w:t>
            </w:r>
          </w:p>
        </w:tc>
        <w:tc>
          <w:tcPr>
            <w:tcW w:w="8020" w:type="dxa"/>
            <w:vAlign w:val="bottom"/>
            <w:gridSpan w:val="7"/>
          </w:tcPr>
          <w:p>
            <w:pPr>
              <w:ind w:left="980"/>
              <w:spacing w:after="0"/>
              <w:rPr>
                <w:sz w:val="20"/>
                <w:szCs w:val="20"/>
                <w:color w:val="auto"/>
              </w:rPr>
            </w:pPr>
            <w:r>
              <w:rPr>
                <w:rFonts w:ascii="Arial" w:cs="Arial" w:eastAsia="Arial" w:hAnsi="Arial"/>
                <w:sz w:val="22"/>
                <w:szCs w:val="22"/>
                <w:color w:val="auto"/>
                <w:w w:val="89"/>
              </w:rPr>
              <w:t>"Indemnification Arrangements" shall have the meaning set forth in Section 15.2.</w:t>
            </w:r>
          </w:p>
        </w:tc>
      </w:tr>
      <w:tr>
        <w:trPr>
          <w:trHeight w:val="20"/>
        </w:trPr>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1.19.</w:t>
            </w:r>
          </w:p>
        </w:tc>
        <w:tc>
          <w:tcPr>
            <w:tcW w:w="8020" w:type="dxa"/>
            <w:vAlign w:val="bottom"/>
            <w:gridSpan w:val="7"/>
          </w:tcPr>
          <w:p>
            <w:pPr>
              <w:ind w:left="980"/>
              <w:spacing w:after="0"/>
              <w:rPr>
                <w:sz w:val="20"/>
                <w:szCs w:val="20"/>
                <w:color w:val="auto"/>
              </w:rPr>
            </w:pPr>
            <w:r>
              <w:rPr>
                <w:rFonts w:ascii="Arial" w:cs="Arial" w:eastAsia="Arial" w:hAnsi="Arial"/>
                <w:sz w:val="22"/>
                <w:szCs w:val="22"/>
                <w:color w:val="auto"/>
              </w:rPr>
              <w:t>"Indemnitee" shall have the meaning set forth in the preamble.</w:t>
            </w:r>
          </w:p>
        </w:tc>
      </w:tr>
      <w:tr>
        <w:trPr>
          <w:trHeight w:val="20"/>
        </w:trPr>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r>
      <w:tr>
        <w:trPr>
          <w:trHeight w:val="439"/>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1.20.</w:t>
            </w:r>
          </w:p>
        </w:tc>
        <w:tc>
          <w:tcPr>
            <w:tcW w:w="8020" w:type="dxa"/>
            <w:vAlign w:val="bottom"/>
            <w:gridSpan w:val="7"/>
          </w:tcPr>
          <w:p>
            <w:pPr>
              <w:ind w:left="980"/>
              <w:spacing w:after="0"/>
              <w:rPr>
                <w:sz w:val="20"/>
                <w:szCs w:val="20"/>
                <w:color w:val="auto"/>
              </w:rPr>
            </w:pPr>
            <w:r>
              <w:rPr>
                <w:rFonts w:ascii="Arial" w:cs="Arial" w:eastAsia="Arial" w:hAnsi="Arial"/>
                <w:sz w:val="22"/>
                <w:szCs w:val="22"/>
                <w:color w:val="auto"/>
                <w:w w:val="99"/>
              </w:rPr>
              <w:t>"Indemnitee-Related Entities" shall mean any corporation, limited liability</w:t>
            </w:r>
          </w:p>
        </w:tc>
      </w:tr>
      <w:tr>
        <w:trPr>
          <w:trHeight w:val="20"/>
        </w:trPr>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company, partnership, joint venture, trust, employee benefit plan or other enterprise (other than the Company, any other Enterprise controlled by the Company or the insurer under and pursuant to an insurance policy of the Company or any such controlled Enterprise) from whom an Indemnitee may be entitled to indemnification or advancement of expenses with respect to which, in whole or in part, the Company or any other Enterprise controlled by the Company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also have an indemnification or advancement obligation.</w:t>
      </w:r>
    </w:p>
    <w:p>
      <w:pPr>
        <w:spacing w:after="0" w:line="206" w:lineRule="exact"/>
        <w:rPr>
          <w:sz w:val="20"/>
          <w:szCs w:val="20"/>
          <w:color w:val="auto"/>
        </w:rPr>
      </w:pPr>
    </w:p>
    <w:p>
      <w:pPr>
        <w:ind w:firstLine="1727"/>
        <w:spacing w:after="0" w:line="244" w:lineRule="auto"/>
        <w:rPr>
          <w:sz w:val="20"/>
          <w:szCs w:val="20"/>
          <w:color w:val="auto"/>
        </w:rPr>
      </w:pPr>
      <w:r>
        <w:rPr>
          <w:rFonts w:ascii="Arial" w:cs="Arial" w:eastAsia="Arial" w:hAnsi="Arial"/>
          <w:sz w:val="21"/>
          <w:szCs w:val="21"/>
          <w:color w:val="auto"/>
        </w:rPr>
        <w:t>1.21. "</w:t>
      </w:r>
      <w:r>
        <w:rPr>
          <w:rFonts w:ascii="Arial" w:cs="Arial" w:eastAsia="Arial" w:hAnsi="Arial"/>
          <w:sz w:val="21"/>
          <w:szCs w:val="21"/>
          <w:u w:val="single" w:color="auto"/>
          <w:color w:val="auto"/>
        </w:rPr>
        <w:t>Independent Counsel</w:t>
      </w:r>
      <w:r>
        <w:rPr>
          <w:rFonts w:ascii="Arial" w:cs="Arial" w:eastAsia="Arial" w:hAnsi="Arial"/>
          <w:sz w:val="21"/>
          <w:szCs w:val="21"/>
          <w:color w:val="auto"/>
        </w:rPr>
        <w:t>" shall mean a law firm, or a member of a law firm, that is of outstanding reputation, experienced in matters of corporation law and neither is as of the date of selection of such firm, nor has been during the period of three years immediately preceding the date of selection of such firm, retained to represent: (a) the Company or Indemnitee in any material matter (other than with respect to matters concerning Indemnitee under this Agreement, or of other indemnitees under similar indemnification agreements); or (b)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For purposes of this definition, a "material matter" shall mean any matter for which billings exceeded or are expected to exceed $100,000.</w:t>
      </w:r>
    </w:p>
    <w:p>
      <w:pPr>
        <w:spacing w:after="0" w:line="186" w:lineRule="exact"/>
        <w:rPr>
          <w:sz w:val="20"/>
          <w:szCs w:val="20"/>
          <w:color w:val="auto"/>
        </w:rPr>
      </w:pPr>
    </w:p>
    <w:p>
      <w:pPr>
        <w:jc w:val="both"/>
        <w:ind w:right="40" w:firstLine="1727"/>
        <w:spacing w:after="0"/>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Permitted Holder</w:t>
      </w:r>
      <w:r>
        <w:rPr>
          <w:rFonts w:ascii="Arial" w:cs="Arial" w:eastAsia="Arial" w:hAnsi="Arial"/>
          <w:sz w:val="22"/>
          <w:szCs w:val="22"/>
          <w:color w:val="auto"/>
        </w:rPr>
        <w:t>" shall mean vTv Therapeutics Holdings LLC, vTvx Holdings I LLC, vTvx Holdings II LLC, M&amp;F TTP Holdings LLC, MacAndrews &amp; Forbes Incorporated, Ronald O. Perelman or any of his immediate family members, and their respective Affiliates and Related Parties.</w:t>
      </w:r>
    </w:p>
    <w:p>
      <w:pPr>
        <w:spacing w:after="0" w:line="186" w:lineRule="exact"/>
        <w:rPr>
          <w:sz w:val="20"/>
          <w:szCs w:val="20"/>
          <w:color w:val="auto"/>
        </w:rPr>
      </w:pPr>
    </w:p>
    <w:p>
      <w:pPr>
        <w:ind w:firstLine="1727"/>
        <w:spacing w:after="0" w:line="235"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u w:val="single" w:color="auto"/>
          <w:color w:val="auto"/>
        </w:rPr>
        <w:t>Person</w:t>
      </w:r>
      <w:r>
        <w:rPr>
          <w:rFonts w:ascii="Arial" w:cs="Arial" w:eastAsia="Arial" w:hAnsi="Arial"/>
          <w:sz w:val="22"/>
          <w:szCs w:val="22"/>
          <w:color w:val="auto"/>
        </w:rPr>
        <w:t xml:space="preserve">" shall have the meaning set forth in Sections 13(d) and 14(d) of the Exchange Act (as in effect on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"Person" shall exclude: (a) the Company; (b) any Subsidiaries of the Company; and (c) any employee benefit plan of the Company or a Subsidiary of the Company or any trustee or other fiduciary holding securities under an employee benefit plan of the Company or of a Subsidiary of the Company or of a corporation or other entity owned, directly or indirectly, by the stockholders of the Company in substantially the same proportions as their ownership of stock of the Company.</w:t>
      </w:r>
    </w:p>
    <w:p>
      <w:pPr>
        <w:spacing w:after="0" w:line="188" w:lineRule="exact"/>
        <w:rPr>
          <w:sz w:val="20"/>
          <w:szCs w:val="20"/>
          <w:color w:val="auto"/>
        </w:rPr>
      </w:pPr>
    </w:p>
    <w:p>
      <w:pPr>
        <w:ind w:right="120" w:firstLine="1727"/>
        <w:spacing w:after="0" w:line="244" w:lineRule="auto"/>
        <w:rPr>
          <w:sz w:val="20"/>
          <w:szCs w:val="20"/>
          <w:color w:val="auto"/>
        </w:rPr>
      </w:pPr>
      <w:r>
        <w:rPr>
          <w:rFonts w:ascii="Arial" w:cs="Arial" w:eastAsia="Arial" w:hAnsi="Arial"/>
          <w:sz w:val="21"/>
          <w:szCs w:val="21"/>
          <w:color w:val="auto"/>
        </w:rPr>
        <w:t>1.24. "</w:t>
      </w:r>
      <w:r>
        <w:rPr>
          <w:rFonts w:ascii="Arial" w:cs="Arial" w:eastAsia="Arial" w:hAnsi="Arial"/>
          <w:sz w:val="21"/>
          <w:szCs w:val="21"/>
          <w:u w:val="single" w:color="auto"/>
          <w:color w:val="auto"/>
        </w:rPr>
        <w:t>Proceeding</w:t>
      </w:r>
      <w:r>
        <w:rPr>
          <w:rFonts w:ascii="Arial" w:cs="Arial" w:eastAsia="Arial" w:hAnsi="Arial"/>
          <w:sz w:val="21"/>
          <w:szCs w:val="21"/>
          <w:color w:val="auto"/>
        </w:rPr>
        <w:t>" shall include any threatened, pending or completed action, suit, arbitration, mediation, alternate dispute resolution mechanism, investigation, inquiry, administrative hearing or any other actual, threatened or completed proceeding, including, without limitation, any and all appeals, whether brought by or in the right of the Company or otherwise and whether of a civil (including, without limitation, intentional or unintentional tort claims), criminal, administrative or investigative nature, whether formal or informal, in which Indemnitee was, is, will or might be involved as a party or otherwise by reason of the fact that Indemnitee is or was a director or officer of the Company, by reason of any action taken by or omission by Indemnitee, or of any action or omission on Indemnitee's part while acting as a director or officer of the Company, or by reason of the fact that Indemnitee is or was serving at the request of the Company as a director, officer, trustee, general partner, managing member, fiduciary, employee or agent of any other Enterprise; in each case whether or not acting or serving in such capacity at the time any liability or expense is incurred for which indemnification, reimbursement, or advancement of expenses can be provided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44" w:name="page45"/>
    <w:bookmarkEnd w:id="44"/>
    <w:p>
      <w:pPr>
        <w:ind w:right="600"/>
        <w:spacing w:after="0" w:line="328" w:lineRule="auto"/>
        <w:rPr>
          <w:sz w:val="20"/>
          <w:szCs w:val="20"/>
          <w:color w:val="auto"/>
        </w:rPr>
      </w:pPr>
      <w:r>
        <w:rPr>
          <w:rFonts w:ascii="Arial" w:cs="Arial" w:eastAsia="Arial" w:hAnsi="Arial"/>
          <w:sz w:val="19"/>
          <w:szCs w:val="19"/>
          <w:color w:val="auto"/>
        </w:rPr>
        <w:t>Agreement or Section 145 of the DGCL; including one pending on or before the date of this Agreement but excluding one initiated by Indemnitee to enforce Indemnitee's rights under this Agreement or Section 145 of the DGCL.</w:t>
      </w:r>
    </w:p>
    <w:p>
      <w:pPr>
        <w:spacing w:after="0" w:line="105" w:lineRule="exact"/>
        <w:rPr>
          <w:sz w:val="20"/>
          <w:szCs w:val="20"/>
          <w:color w:val="auto"/>
        </w:rPr>
      </w:pPr>
    </w:p>
    <w:p>
      <w:pPr>
        <w:ind w:right="20" w:firstLine="1727"/>
        <w:spacing w:after="0" w:line="235"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Related Party</w:t>
      </w:r>
      <w:r>
        <w:rPr>
          <w:rFonts w:ascii="Arial" w:cs="Arial" w:eastAsia="Arial" w:hAnsi="Arial"/>
          <w:sz w:val="22"/>
          <w:szCs w:val="22"/>
          <w:color w:val="auto"/>
        </w:rPr>
        <w:t>" shall mean, with respect to any Person, (a) any controlling stockholder, controlling member, general partner, Subsidiary, spouse or immediate family member (in the case of an individual) of such Person, (b) any estate, trust, corporation, partnership or other entity, the beneficiaries, stockholders, partners or owners of which consist solely of one or more Permitted Holders and/or such other Persons referred to in the immediately preceding clause (a), or (c) any executor, administrator, trustee, manager, director or other similar fiduciary of any Person referred to in the immediately preceding clause (b), acting solely in such capacity.</w:t>
      </w:r>
    </w:p>
    <w:p>
      <w:pPr>
        <w:spacing w:after="0" w:line="159" w:lineRule="exact"/>
        <w:rPr>
          <w:sz w:val="20"/>
          <w:szCs w:val="20"/>
          <w:color w:val="auto"/>
        </w:rPr>
      </w:pPr>
    </w:p>
    <w:tbl>
      <w:tblPr>
        <w:tblLayout w:type="fixed"/>
        <w:tblInd w:w="1740" w:type="dxa"/>
        <w:tblCellMar>
          <w:top w:w="0" w:type="dxa"/>
          <w:left w:w="0" w:type="dxa"/>
          <w:bottom w:w="0" w:type="dxa"/>
          <w:right w:w="0" w:type="dxa"/>
        </w:tblCellMar>
      </w:tblPr>
      <w:tr>
        <w:trPr>
          <w:trHeight w:val="253"/>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1.26.</w:t>
            </w:r>
          </w:p>
        </w:tc>
        <w:tc>
          <w:tcPr>
            <w:tcW w:w="7600" w:type="dxa"/>
            <w:vAlign w:val="bottom"/>
            <w:gridSpan w:val="6"/>
          </w:tcPr>
          <w:p>
            <w:pPr>
              <w:ind w:left="980"/>
              <w:spacing w:after="0"/>
              <w:rPr>
                <w:sz w:val="20"/>
                <w:szCs w:val="20"/>
                <w:color w:val="auto"/>
              </w:rPr>
            </w:pPr>
            <w:r>
              <w:rPr>
                <w:rFonts w:ascii="Arial" w:cs="Arial" w:eastAsia="Arial" w:hAnsi="Arial"/>
                <w:sz w:val="22"/>
                <w:szCs w:val="22"/>
                <w:color w:val="auto"/>
              </w:rPr>
              <w:t>"Section 409A" shall have the meaning set forth in Section 17.2.</w:t>
            </w:r>
          </w:p>
        </w:tc>
      </w:tr>
      <w:tr>
        <w:trPr>
          <w:trHeight w:val="20"/>
        </w:trPr>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9"/>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1.27.</w:t>
            </w:r>
          </w:p>
        </w:tc>
        <w:tc>
          <w:tcPr>
            <w:tcW w:w="7600" w:type="dxa"/>
            <w:vAlign w:val="bottom"/>
            <w:gridSpan w:val="6"/>
          </w:tcPr>
          <w:p>
            <w:pPr>
              <w:ind w:left="980"/>
              <w:spacing w:after="0"/>
              <w:rPr>
                <w:sz w:val="20"/>
                <w:szCs w:val="20"/>
                <w:color w:val="auto"/>
              </w:rPr>
            </w:pPr>
            <w:r>
              <w:rPr>
                <w:rFonts w:ascii="Arial" w:cs="Arial" w:eastAsia="Arial" w:hAnsi="Arial"/>
                <w:sz w:val="22"/>
                <w:szCs w:val="22"/>
                <w:color w:val="auto"/>
                <w:w w:val="88"/>
              </w:rPr>
              <w:t>"Subsidiary" with respect to any Person, shall mean any corporation or other</w:t>
            </w:r>
          </w:p>
        </w:tc>
      </w:tr>
      <w:tr>
        <w:trPr>
          <w:trHeight w:val="20"/>
        </w:trPr>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entity of which a majority of the voting power of the voting equity securities or equity interest is owned, directly or indirectly, by that Person.</w:t>
      </w:r>
    </w:p>
    <w:p>
      <w:pPr>
        <w:spacing w:after="0" w:line="175" w:lineRule="exact"/>
        <w:rPr>
          <w:sz w:val="20"/>
          <w:szCs w:val="20"/>
          <w:color w:val="auto"/>
        </w:rPr>
      </w:pPr>
    </w:p>
    <w:p>
      <w:pPr>
        <w:ind w:right="300" w:firstLine="1727"/>
        <w:spacing w:after="0" w:line="274"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u w:val="single" w:color="auto"/>
          <w:color w:val="auto"/>
        </w:rPr>
        <w:t>Voting Securities</w:t>
      </w:r>
      <w:r>
        <w:rPr>
          <w:rFonts w:ascii="Arial" w:cs="Arial" w:eastAsia="Arial" w:hAnsi="Arial"/>
          <w:sz w:val="21"/>
          <w:szCs w:val="21"/>
          <w:color w:val="auto"/>
        </w:rPr>
        <w:t>" shall mean any securities of the Company (or a surviving entity as described in the definition of a "Change in Control") that vote generally in the election of directors (or similar body).</w:t>
      </w:r>
    </w:p>
    <w:p>
      <w:pPr>
        <w:spacing w:after="0" w:line="151" w:lineRule="exact"/>
        <w:rPr>
          <w:sz w:val="20"/>
          <w:szCs w:val="20"/>
          <w:color w:val="auto"/>
        </w:rPr>
      </w:pPr>
    </w:p>
    <w:p>
      <w:pPr>
        <w:ind w:firstLine="1727"/>
        <w:spacing w:after="0" w:line="234" w:lineRule="auto"/>
        <w:rPr>
          <w:sz w:val="20"/>
          <w:szCs w:val="20"/>
          <w:color w:val="auto"/>
        </w:rPr>
      </w:pPr>
      <w:r>
        <w:rPr>
          <w:rFonts w:ascii="Arial" w:cs="Arial" w:eastAsia="Arial" w:hAnsi="Arial"/>
          <w:sz w:val="22"/>
          <w:szCs w:val="22"/>
          <w:color w:val="auto"/>
        </w:rPr>
        <w:t>1.29. References to "</w:t>
      </w:r>
      <w:r>
        <w:rPr>
          <w:rFonts w:ascii="Arial" w:cs="Arial" w:eastAsia="Arial" w:hAnsi="Arial"/>
          <w:sz w:val="22"/>
          <w:szCs w:val="22"/>
          <w:u w:val="single" w:color="auto"/>
          <w:color w:val="auto"/>
        </w:rPr>
        <w:t>fines</w:t>
      </w:r>
      <w:r>
        <w:rPr>
          <w:rFonts w:ascii="Arial" w:cs="Arial" w:eastAsia="Arial" w:hAnsi="Arial"/>
          <w:sz w:val="22"/>
          <w:szCs w:val="22"/>
          <w:color w:val="auto"/>
        </w:rPr>
        <w:t>" shall include any excise tax or penalty assessed on Indemnitee with respect to any employee benefit plan; references to "</w:t>
      </w:r>
      <w:r>
        <w:rPr>
          <w:rFonts w:ascii="Arial" w:cs="Arial" w:eastAsia="Arial" w:hAnsi="Arial"/>
          <w:sz w:val="22"/>
          <w:szCs w:val="22"/>
          <w:u w:val="single" w:color="auto"/>
          <w:color w:val="auto"/>
        </w:rPr>
        <w:t>other enterprise</w:t>
      </w:r>
      <w:r>
        <w:rPr>
          <w:rFonts w:ascii="Arial" w:cs="Arial" w:eastAsia="Arial" w:hAnsi="Arial"/>
          <w:sz w:val="22"/>
          <w:szCs w:val="22"/>
          <w:color w:val="auto"/>
        </w:rPr>
        <w:t>" shall include employee benefit plans; references to "</w:t>
      </w:r>
      <w:r>
        <w:rPr>
          <w:rFonts w:ascii="Arial" w:cs="Arial" w:eastAsia="Arial" w:hAnsi="Arial"/>
          <w:sz w:val="22"/>
          <w:szCs w:val="22"/>
          <w:u w:val="single" w:color="auto"/>
          <w:color w:val="auto"/>
        </w:rPr>
        <w:t>serving at the request of the Company</w:t>
      </w:r>
      <w:r>
        <w:rPr>
          <w:rFonts w:ascii="Arial" w:cs="Arial" w:eastAsia="Arial" w:hAnsi="Arial"/>
          <w:sz w:val="22"/>
          <w:szCs w:val="22"/>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22"/>
          <w:szCs w:val="22"/>
          <w:u w:val="single" w:color="auto"/>
          <w:color w:val="auto"/>
        </w:rPr>
        <w:t>not opposed to the best interests of the Company</w:t>
      </w:r>
      <w:r>
        <w:rPr>
          <w:rFonts w:ascii="Arial" w:cs="Arial" w:eastAsia="Arial" w:hAnsi="Arial"/>
          <w:sz w:val="22"/>
          <w:szCs w:val="22"/>
          <w:color w:val="auto"/>
        </w:rPr>
        <w:t>" as referred to in this Agreement.</w:t>
      </w:r>
    </w:p>
    <w:p>
      <w:pPr>
        <w:spacing w:after="0" w:line="187" w:lineRule="exact"/>
        <w:rPr>
          <w:sz w:val="20"/>
          <w:szCs w:val="20"/>
          <w:color w:val="auto"/>
        </w:rPr>
      </w:pPr>
    </w:p>
    <w:p>
      <w:pPr>
        <w:ind w:left="1740"/>
        <w:spacing w:after="0"/>
        <w:tabs>
          <w:tab w:leader="none" w:pos="410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The phrase "</w:t>
      </w:r>
      <w:r>
        <w:rPr>
          <w:rFonts w:ascii="Arial" w:cs="Arial" w:eastAsia="Arial" w:hAnsi="Arial"/>
          <w:sz w:val="19"/>
          <w:szCs w:val="19"/>
          <w:u w:val="single" w:color="auto"/>
          <w:color w:val="auto"/>
        </w:rPr>
        <w:t>to the fullest extent not prohibited by (and not merely to the extent</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u w:val="single" w:color="auto"/>
          <w:color w:val="auto"/>
        </w:rPr>
        <w:t>affirmatively permitted by) applicable law</w:t>
      </w:r>
      <w:r>
        <w:rPr>
          <w:rFonts w:ascii="Arial" w:cs="Arial" w:eastAsia="Arial" w:hAnsi="Arial"/>
          <w:sz w:val="22"/>
          <w:szCs w:val="22"/>
          <w:color w:val="auto"/>
        </w:rPr>
        <w:t>" shall include, but not be limited to: (a) to the fullest extent authorized or permitted by the provision of the DGCL that authorizes or contemplates additional indemnification by agreement, or the corresponding provision of any amendment to or replacement of the DGCL, and (b) to the fullest extent authorized or permitted by any amendments to or replacements of the DGCL adopted after the date of this Agreement that increase the extent to which a corporation may indemnify its officers and directors.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INDEMNITY IN THIRD-PARTY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45" w:name="page46"/>
    <w:bookmarkEnd w:id="45"/>
    <w:p>
      <w:pPr>
        <w:jc w:val="both"/>
        <w:ind w:right="220" w:firstLine="1727"/>
        <w:spacing w:after="0" w:line="27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the Company shall indemnify, hold harmless and exonerate Indemnitee in accordance with the provisions of this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if Indemnitee is, was or is threatened to be made a party to or a participant (as a witness or otherwise) in any Proceeding, other than a Proceeding by or in the right of the Company to procure a judgment in its favor.</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to the fullest extent not prohibited by (and not merely to the extent affirmatively permitted by) applicable law, Indemnitee shall be indemnified against all Expenses, judgments, fines, penalties and, subject to </w:t>
      </w:r>
      <w:r>
        <w:rPr>
          <w:rFonts w:ascii="Arial" w:cs="Arial" w:eastAsia="Arial" w:hAnsi="Arial"/>
          <w:sz w:val="22"/>
          <w:szCs w:val="22"/>
          <w:u w:val="single" w:color="auto"/>
          <w:color w:val="auto"/>
        </w:rPr>
        <w:t>Section 10.3</w:t>
      </w:r>
      <w:r>
        <w:rPr>
          <w:rFonts w:ascii="Arial" w:cs="Arial" w:eastAsia="Arial" w:hAnsi="Arial"/>
          <w:sz w:val="22"/>
          <w:szCs w:val="22"/>
          <w:color w:val="auto"/>
        </w:rPr>
        <w:t>,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such conduct was unlawful.</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INDEMNITY IN PROCEEDINGS BY OR IN THE RIGHT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1727"/>
        <w:spacing w:after="0" w:line="27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the Company shall indemnify, hold harmless and exonerate Indemnitee in accordance with the provisions of this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if Indemnitee is, was or is threatened to be made a party to or a participant in any Proceeding by or in the right of the Company to procure a judgment in its favor. Subject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to the fullest extent not prohibited by (and not merely to the extent affirmatively permitted by) applicable law,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for Expenses shall be made under this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in respect of any claim, issue or matter as to which Indemnitee shall have been finally adjudged (and not subject to further appeal) by a court of competent jurisdiction to be liable to the Company, except to the extent that the Delaware Court or any court in which the Proceeding was brought shall determine upon application that, despite the adjudication of liability but in view of all the circumstances of the case, Indemnitee is fairly and reasonably entitled to indemnification.</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INDEMNIFICATION FOR EXPENSES OF A PARTY WHO IS WHOLLY OR PARTLY SUCCESSFUL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1727"/>
        <w:spacing w:after="0" w:line="236" w:lineRule="auto"/>
        <w:rPr>
          <w:sz w:val="20"/>
          <w:szCs w:val="20"/>
          <w:color w:val="auto"/>
        </w:rPr>
      </w:pPr>
      <w:r>
        <w:rPr>
          <w:rFonts w:ascii="Arial" w:cs="Arial" w:eastAsia="Arial" w:hAnsi="Arial"/>
          <w:sz w:val="22"/>
          <w:szCs w:val="22"/>
          <w:color w:val="auto"/>
        </w:rPr>
        <w:t>Notwithstanding any other provisions of this Agreement, to the extent that Indemnitee is a party to (or a participant in) and is successful, on the merits or otherwise, in any Proceeding or in defense of any claim, issue or matter therein, in whole or in part, the Company shall indemnify, hold harmless and exonerate Indemnitee against all Expenses actually and reasonably incurred by Indemnitee or on Indemnitee's behalf in connection therewith. For the avoidance of doubt, if Indemnitee is not wholly successful in such Proceeding but is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46" w:name="page47"/>
    <w:bookmarkEnd w:id="46"/>
    <w:p>
      <w:pPr>
        <w:ind w:right="100"/>
        <w:spacing w:after="0" w:line="245" w:lineRule="auto"/>
        <w:rPr>
          <w:sz w:val="20"/>
          <w:szCs w:val="20"/>
          <w:color w:val="auto"/>
        </w:rPr>
      </w:pPr>
      <w:r>
        <w:rPr>
          <w:rFonts w:ascii="Arial" w:cs="Arial" w:eastAsia="Arial" w:hAnsi="Arial"/>
          <w:sz w:val="21"/>
          <w:szCs w:val="21"/>
          <w:color w:val="auto"/>
        </w:rPr>
        <w:t xml:space="preserve">on the merits or otherwise, as to one or more but less than all claims, issues or matters in such Proceeding, then the Company shall indemnify, hold harmless and exonerate Indemnitee against all Expenses actually and reasonably incurred by Indemnitee or on Indemnitee's behalf in connection with each resolved claim, issue or matter, whether or not Indemnitee was wholly or partly successful;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Indemnitee shall only be entitled to indemnification for Expenses with respect to unsuccessful claims under 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to the extent Indemnitee acted in good faith and in a manner Indemnitee reasonably believed to be in or not opposed to the best interests of the Company and, in the case of a criminal Proceeding, had no reasonable cause to believe that such conduct was unlawful. For purposes of 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and without limitation, the termination of any claim, issue or matter in such a Proceeding by dismissal, with or without prejudice, or by settlement, shall be deemed to be a successful result as to such claim, issue or matter.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 FOR EXPENSES OF A WITNESS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1727"/>
        <w:spacing w:after="0" w:line="238" w:lineRule="auto"/>
        <w:rPr>
          <w:sz w:val="20"/>
          <w:szCs w:val="20"/>
          <w:color w:val="auto"/>
        </w:rPr>
      </w:pPr>
      <w:r>
        <w:rPr>
          <w:rFonts w:ascii="Arial" w:cs="Arial" w:eastAsia="Arial" w:hAnsi="Arial"/>
          <w:sz w:val="22"/>
          <w:szCs w:val="22"/>
          <w:color w:val="auto"/>
        </w:rPr>
        <w:t>Notwithstanding any other provision of this Agreement, to the extent that Indemnitee is, by reason of Indemnitee's Corporate Status, a witness in any Proceeding to which Indemnitee is not a party, Indemnitee shall be indemnified, held harmless and exonerated against all Expenses actually and reasonably incurred by Indemnitee or on Indemnitee's behalf in connection therewith.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ADDITIONAL INDEMNIFICATION, HOLD HARMLESS AND EXONERATION RIGHTS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1727"/>
        <w:spacing w:after="0" w:line="245" w:lineRule="auto"/>
        <w:rPr>
          <w:sz w:val="20"/>
          <w:szCs w:val="20"/>
          <w:color w:val="auto"/>
        </w:rPr>
      </w:pPr>
      <w:r>
        <w:rPr>
          <w:rFonts w:ascii="Arial" w:cs="Arial" w:eastAsia="Arial" w:hAnsi="Arial"/>
          <w:sz w:val="21"/>
          <w:szCs w:val="21"/>
          <w:color w:val="auto"/>
        </w:rPr>
        <w:t xml:space="preserve">In addition to and notwithstanding any limitations in </w:t>
      </w:r>
      <w:r>
        <w:rPr>
          <w:rFonts w:ascii="Arial" w:cs="Arial" w:eastAsia="Arial" w:hAnsi="Arial"/>
          <w:sz w:val="21"/>
          <w:szCs w:val="21"/>
          <w:u w:val="single" w:color="auto"/>
          <w:color w:val="auto"/>
        </w:rPr>
        <w:t>Articles 2</w:t>
      </w:r>
      <w:r>
        <w:rPr>
          <w:rFonts w:ascii="Arial" w:cs="Arial" w:eastAsia="Arial" w:hAnsi="Arial"/>
          <w:sz w:val="21"/>
          <w:szCs w:val="21"/>
          <w:color w:val="auto"/>
        </w:rPr>
        <w:t xml:space="preserve">, </w:t>
      </w:r>
      <w:r>
        <w:rPr>
          <w:rFonts w:ascii="Arial" w:cs="Arial" w:eastAsia="Arial" w:hAnsi="Arial"/>
          <w:sz w:val="21"/>
          <w:szCs w:val="21"/>
          <w:u w:val="single" w:color="auto"/>
          <w:color w:val="auto"/>
        </w:rPr>
        <w:t>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w:t>
      </w:r>
      <w:r>
        <w:rPr>
          <w:rFonts w:ascii="Arial" w:cs="Arial" w:eastAsia="Arial" w:hAnsi="Arial"/>
          <w:sz w:val="21"/>
          <w:szCs w:val="21"/>
          <w:color w:val="auto"/>
        </w:rPr>
        <w:t xml:space="preserve">, but subject to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the Company shall indemnify, hold harmless and exonerate Indemnitee to the fullest extent not prohibited by (and not merely to the extent affirmatively permitted by) law if Indemnitee is, was or is threatened to be made a party to or a participant in, any Proceeding (including a Proceeding by or in the right of the Company to procure a judgment in its favor) against all Expenses, judgments, fines, penalties and, subject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penalties and amounts paid in settlement (including all interest, assessments and other charges paid or payable in connection with or in respect of such Expenses, judgments, fines, penalties and amounts paid in settlement) actually and reasonably incurred by Indemnitee or on Indemnitee's behalf in connection with the Proceeding. No indemnity shall be available under this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on account of Indemnitee's conduct that constitutes a breach of Indemnitee's duty of loyalty to the Company or its stockholders or is an act or omission not in good faith or that involves intentional misconduct or a knowing violation of the law.</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CONTRIBUTION IN THE EVENT OF JOINT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7" w:name="page48"/>
    <w:bookmarkEnd w:id="47"/>
    <w:p>
      <w:pPr>
        <w:ind w:right="60" w:firstLine="1727"/>
        <w:spacing w:after="0" w:line="248" w:lineRule="auto"/>
        <w:rPr>
          <w:sz w:val="20"/>
          <w:szCs w:val="20"/>
          <w:color w:val="auto"/>
        </w:rPr>
      </w:pPr>
      <w:r>
        <w:rPr>
          <w:rFonts w:ascii="Arial" w:cs="Arial" w:eastAsia="Arial" w:hAnsi="Arial"/>
          <w:sz w:val="21"/>
          <w:szCs w:val="21"/>
          <w:color w:val="auto"/>
        </w:rPr>
        <w:t>7.1. To the fullest extent not prohibited by (and not merely to the extent affirmatively permitted by) law, if the indemnification rights provided for in this Agreement are unavailable to Indemnitee in whole or in part for any reason whatsoever, the Company, in lieu of indemnifying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7" w:lineRule="exact"/>
        <w:rPr>
          <w:sz w:val="20"/>
          <w:szCs w:val="20"/>
          <w:color w:val="auto"/>
        </w:rPr>
      </w:pPr>
    </w:p>
    <w:p>
      <w:pPr>
        <w:jc w:val="both"/>
        <w:ind w:right="160" w:firstLine="1727"/>
        <w:spacing w:after="0"/>
        <w:rPr>
          <w:sz w:val="20"/>
          <w:szCs w:val="20"/>
          <w:color w:val="auto"/>
        </w:rPr>
      </w:pPr>
      <w:r>
        <w:rPr>
          <w:rFonts w:ascii="Arial" w:cs="Arial" w:eastAsia="Arial" w:hAnsi="Arial"/>
          <w:sz w:val="22"/>
          <w:szCs w:val="22"/>
          <w:color w:val="auto"/>
        </w:rPr>
        <w:t>7.2.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86" w:lineRule="exact"/>
        <w:rPr>
          <w:sz w:val="20"/>
          <w:szCs w:val="20"/>
          <w:color w:val="auto"/>
        </w:rPr>
      </w:pPr>
    </w:p>
    <w:p>
      <w:pPr>
        <w:ind w:right="200" w:firstLine="1727"/>
        <w:spacing w:after="0"/>
        <w:rPr>
          <w:sz w:val="20"/>
          <w:szCs w:val="20"/>
          <w:color w:val="auto"/>
        </w:rPr>
      </w:pPr>
      <w:r>
        <w:rPr>
          <w:rFonts w:ascii="Arial" w:cs="Arial" w:eastAsia="Arial" w:hAnsi="Arial"/>
          <w:sz w:val="22"/>
          <w:szCs w:val="22"/>
          <w:color w:val="auto"/>
        </w:rPr>
        <w:t>7.3. 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80" w:lineRule="exact"/>
        <w:rPr>
          <w:sz w:val="20"/>
          <w:szCs w:val="20"/>
          <w:color w:val="auto"/>
        </w:rPr>
      </w:pPr>
    </w:p>
    <w:tbl>
      <w:tblPr>
        <w:tblLayout w:type="fixed"/>
        <w:tblInd w:w="1740" w:type="dxa"/>
        <w:tblCellMar>
          <w:top w:w="0" w:type="dxa"/>
          <w:left w:w="0" w:type="dxa"/>
          <w:bottom w:w="0" w:type="dxa"/>
          <w:right w:w="0" w:type="dxa"/>
        </w:tblCellMar>
      </w:tblPr>
      <w:tr>
        <w:trPr>
          <w:trHeight w:val="280"/>
        </w:trPr>
        <w:tc>
          <w:tcPr>
            <w:tcW w:w="1300" w:type="dxa"/>
            <w:vAlign w:val="bottom"/>
          </w:tcPr>
          <w:p>
            <w:pPr>
              <w:spacing w:after="0"/>
              <w:rPr>
                <w:sz w:val="24"/>
                <w:szCs w:val="24"/>
                <w:color w:val="auto"/>
              </w:rPr>
            </w:pPr>
          </w:p>
        </w:tc>
        <w:tc>
          <w:tcPr>
            <w:tcW w:w="7560" w:type="dxa"/>
            <w:vAlign w:val="bottom"/>
          </w:tcPr>
          <w:p>
            <w:pPr>
              <w:jc w:val="center"/>
              <w:ind w:right="2272"/>
              <w:spacing w:after="0"/>
              <w:rPr>
                <w:sz w:val="20"/>
                <w:szCs w:val="20"/>
                <w:color w:val="auto"/>
              </w:rPr>
            </w:pPr>
            <w:r>
              <w:rPr>
                <w:rFonts w:ascii="Arial" w:cs="Arial" w:eastAsia="Arial" w:hAnsi="Arial"/>
                <w:sz w:val="22"/>
                <w:szCs w:val="22"/>
                <w:b w:val="1"/>
                <w:bCs w:val="1"/>
                <w:color w:val="auto"/>
              </w:rPr>
              <w:t>ARTICLE 8</w:t>
            </w:r>
          </w:p>
        </w:tc>
      </w:tr>
      <w:tr>
        <w:trPr>
          <w:trHeight w:val="486"/>
        </w:trPr>
        <w:tc>
          <w:tcPr>
            <w:tcW w:w="1300" w:type="dxa"/>
            <w:vAlign w:val="bottom"/>
          </w:tcPr>
          <w:p>
            <w:pPr>
              <w:spacing w:after="0"/>
              <w:rPr>
                <w:sz w:val="24"/>
                <w:szCs w:val="24"/>
                <w:color w:val="auto"/>
              </w:rPr>
            </w:pPr>
          </w:p>
        </w:tc>
        <w:tc>
          <w:tcPr>
            <w:tcW w:w="7560" w:type="dxa"/>
            <w:vAlign w:val="bottom"/>
          </w:tcPr>
          <w:p>
            <w:pPr>
              <w:jc w:val="center"/>
              <w:ind w:right="2292"/>
              <w:spacing w:after="0"/>
              <w:rPr>
                <w:sz w:val="20"/>
                <w:szCs w:val="20"/>
                <w:color w:val="auto"/>
              </w:rPr>
            </w:pPr>
            <w:r>
              <w:rPr>
                <w:rFonts w:ascii="Arial" w:cs="Arial" w:eastAsia="Arial" w:hAnsi="Arial"/>
                <w:sz w:val="22"/>
                <w:szCs w:val="22"/>
                <w:b w:val="1"/>
                <w:bCs w:val="1"/>
                <w:color w:val="auto"/>
                <w:w w:val="97"/>
              </w:rPr>
              <w:t>EXCLUSIONS</w:t>
            </w:r>
          </w:p>
        </w:tc>
      </w:tr>
      <w:tr>
        <w:trPr>
          <w:trHeight w:val="905"/>
        </w:trPr>
        <w:tc>
          <w:tcPr>
            <w:tcW w:w="1300" w:type="dxa"/>
            <w:vAlign w:val="bottom"/>
          </w:tcPr>
          <w:p>
            <w:pPr>
              <w:jc w:val="right"/>
              <w:ind w:right="872"/>
              <w:spacing w:after="0"/>
              <w:rPr>
                <w:sz w:val="20"/>
                <w:szCs w:val="20"/>
                <w:color w:val="auto"/>
              </w:rPr>
            </w:pPr>
            <w:r>
              <w:rPr>
                <w:rFonts w:ascii="Arial" w:cs="Arial" w:eastAsia="Arial" w:hAnsi="Arial"/>
                <w:sz w:val="22"/>
                <w:szCs w:val="22"/>
                <w:color w:val="auto"/>
                <w:w w:val="81"/>
              </w:rPr>
              <w:t>8.1.</w:t>
            </w:r>
          </w:p>
        </w:tc>
        <w:tc>
          <w:tcPr>
            <w:tcW w:w="7560" w:type="dxa"/>
            <w:vAlign w:val="bottom"/>
          </w:tcPr>
          <w:p>
            <w:pPr>
              <w:ind w:left="960"/>
              <w:spacing w:after="0"/>
              <w:rPr>
                <w:sz w:val="20"/>
                <w:szCs w:val="20"/>
                <w:color w:val="auto"/>
              </w:rPr>
            </w:pPr>
            <w:r>
              <w:rPr>
                <w:rFonts w:ascii="Arial" w:cs="Arial" w:eastAsia="Arial" w:hAnsi="Arial"/>
                <w:sz w:val="22"/>
                <w:szCs w:val="22"/>
                <w:color w:val="auto"/>
                <w:w w:val="89"/>
              </w:rPr>
              <w:t>Notwithstanding any provision in this Agreement, the Company shall not be</w:t>
            </w:r>
          </w:p>
        </w:tc>
      </w:tr>
    </w:tbl>
    <w:p>
      <w:pPr>
        <w:ind w:right="100"/>
        <w:spacing w:after="0" w:line="236" w:lineRule="auto"/>
        <w:rPr>
          <w:sz w:val="20"/>
          <w:szCs w:val="20"/>
          <w:color w:val="auto"/>
        </w:rPr>
      </w:pPr>
      <w:r>
        <w:rPr>
          <w:rFonts w:ascii="Arial" w:cs="Arial" w:eastAsia="Arial" w:hAnsi="Arial"/>
          <w:sz w:val="22"/>
          <w:szCs w:val="22"/>
          <w:color w:val="auto"/>
        </w:rPr>
        <w:t>obligated under this Agreement to make any indemnity, contribution or advancement of Expenses in connection with any claim made against Indemnitee:</w:t>
      </w:r>
    </w:p>
    <w:p>
      <w:pPr>
        <w:spacing w:after="0" w:line="187" w:lineRule="exact"/>
        <w:rPr>
          <w:sz w:val="20"/>
          <w:szCs w:val="20"/>
          <w:color w:val="auto"/>
        </w:rPr>
      </w:pPr>
    </w:p>
    <w:p>
      <w:pPr>
        <w:ind w:right="280" w:firstLine="2592"/>
        <w:spacing w:after="0" w:line="238" w:lineRule="auto"/>
        <w:rPr>
          <w:sz w:val="20"/>
          <w:szCs w:val="20"/>
          <w:color w:val="auto"/>
        </w:rPr>
      </w:pPr>
      <w:r>
        <w:rPr>
          <w:rFonts w:ascii="Arial" w:cs="Arial" w:eastAsia="Arial" w:hAnsi="Arial"/>
          <w:sz w:val="22"/>
          <w:szCs w:val="22"/>
          <w:color w:val="auto"/>
        </w:rPr>
        <w:t xml:space="preserve">(a) except as provided in </w:t>
      </w:r>
      <w:r>
        <w:rPr>
          <w:rFonts w:ascii="Arial" w:cs="Arial" w:eastAsia="Arial" w:hAnsi="Arial"/>
          <w:sz w:val="22"/>
          <w:szCs w:val="22"/>
          <w:u w:val="single" w:color="auto"/>
          <w:color w:val="auto"/>
        </w:rPr>
        <w:t>Section 15.4</w:t>
      </w:r>
      <w:r>
        <w:rPr>
          <w:rFonts w:ascii="Arial" w:cs="Arial" w:eastAsia="Arial" w:hAnsi="Arial"/>
          <w:sz w:val="22"/>
          <w:szCs w:val="22"/>
          <w:color w:val="auto"/>
        </w:rPr>
        <w:t>, for which payment has actually been made to or on behalf of Indemnitee under any insurance policy of the Company or its Subsidiaries or other indemnity provision of the Company or its Subsidiaries, except with respect to any excess beyond the amount paid under any insurance policy, contract, agreement, other indemnity provision or otherwise; or</w:t>
      </w:r>
    </w:p>
    <w:p>
      <w:pPr>
        <w:spacing w:after="0" w:line="185" w:lineRule="exact"/>
        <w:rPr>
          <w:sz w:val="20"/>
          <w:szCs w:val="20"/>
          <w:color w:val="auto"/>
        </w:rPr>
      </w:pPr>
    </w:p>
    <w:p>
      <w:pPr>
        <w:ind w:right="60" w:firstLine="2592"/>
        <w:spacing w:after="0"/>
        <w:rPr>
          <w:sz w:val="20"/>
          <w:szCs w:val="20"/>
          <w:color w:val="auto"/>
        </w:rPr>
      </w:pPr>
      <w:r>
        <w:rPr>
          <w:rFonts w:ascii="Arial" w:cs="Arial" w:eastAsia="Arial" w:hAnsi="Arial"/>
          <w:sz w:val="22"/>
          <w:szCs w:val="22"/>
          <w:color w:val="auto"/>
        </w:rPr>
        <w:t>(b) for an accounting of profits made from the purchase and sale (or sale and purchase) by Indemnitee of securities of the Company within the meaning of Section 16(b) of the Exchange Act (or any similar successor statute) or similar provisions of state statutory law or common law; or</w:t>
      </w:r>
    </w:p>
    <w:p>
      <w:pPr>
        <w:spacing w:after="0" w:line="186" w:lineRule="exact"/>
        <w:rPr>
          <w:sz w:val="20"/>
          <w:szCs w:val="20"/>
          <w:color w:val="auto"/>
        </w:rPr>
      </w:pPr>
    </w:p>
    <w:p>
      <w:pPr>
        <w:ind w:firstLine="2592"/>
        <w:spacing w:after="0" w:line="235" w:lineRule="auto"/>
        <w:rPr>
          <w:sz w:val="20"/>
          <w:szCs w:val="20"/>
          <w:color w:val="auto"/>
        </w:rPr>
      </w:pPr>
      <w:r>
        <w:rPr>
          <w:rFonts w:ascii="Arial" w:cs="Arial" w:eastAsia="Arial" w:hAnsi="Arial"/>
          <w:sz w:val="22"/>
          <w:szCs w:val="22"/>
          <w:color w:val="auto"/>
        </w:rPr>
        <w:t>(c) in connection with any Proceeding (or any part of any Proceeding) initiated or brought voluntarily by Indemnitee, including, without limitation, any Proceeding (or any part of any Proceeding) initiated by Indemnitee against the Company or its directors, officers, employees or other indemnitees, other than a Proceeding initiated by Indemnitee to enforce its rights under this Agreement, unless (i) the Board authorized the Proceeding (or any part of any Proceeding) or (ii) the Company provides the indemnification payment, in its sole discretion, pursuant to the powers vested in the Company under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law; or</w:t>
      </w:r>
    </w:p>
    <w:p>
      <w:pPr>
        <w:spacing w:after="0" w:line="206" w:lineRule="exact"/>
        <w:rPr>
          <w:sz w:val="20"/>
          <w:szCs w:val="20"/>
          <w:color w:val="auto"/>
        </w:rPr>
      </w:pPr>
    </w:p>
    <w:p>
      <w:pPr>
        <w:ind w:right="300" w:firstLine="2592"/>
        <w:spacing w:after="0" w:line="250" w:lineRule="auto"/>
        <w:rPr>
          <w:sz w:val="20"/>
          <w:szCs w:val="20"/>
          <w:color w:val="auto"/>
        </w:rPr>
      </w:pPr>
      <w:r>
        <w:rPr>
          <w:rFonts w:ascii="Arial" w:cs="Arial" w:eastAsia="Arial" w:hAnsi="Arial"/>
          <w:sz w:val="22"/>
          <w:szCs w:val="22"/>
          <w:color w:val="auto"/>
        </w:rPr>
        <w:t>(d) for the payment of amounts required to be reimbursed to the Company pursuant to Section 304 of the Sarbanes-Oxley Act of 2002, as amended, or any similar successor statute; or</w:t>
      </w:r>
    </w:p>
    <w:p>
      <w:pPr>
        <w:spacing w:after="0" w:line="175" w:lineRule="exact"/>
        <w:rPr>
          <w:sz w:val="20"/>
          <w:szCs w:val="20"/>
          <w:color w:val="auto"/>
        </w:rPr>
      </w:pPr>
    </w:p>
    <w:p>
      <w:pPr>
        <w:ind w:left="2600"/>
        <w:spacing w:after="0"/>
        <w:tabs>
          <w:tab w:leader="none" w:pos="56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for any payment to Indemnitee that is determined to be</w:t>
      </w:r>
    </w:p>
    <w:p>
      <w:pPr>
        <w:spacing w:after="0" w:line="8"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unlawful by a final judgment or other adjudication of a court or arbitration, arbitral or administrative body of competent jurisdiction as to which there is no further right or option of appeal or the time within which an appeal must be filed has expired without such filing and under the procedures and subject to the presumptions of this Agreement; or</w:t>
      </w:r>
    </w:p>
    <w:p>
      <w:pPr>
        <w:spacing w:after="0" w:line="178" w:lineRule="exact"/>
        <w:rPr>
          <w:sz w:val="20"/>
          <w:szCs w:val="20"/>
          <w:color w:val="auto"/>
        </w:rPr>
      </w:pPr>
    </w:p>
    <w:p>
      <w:pPr>
        <w:jc w:val="both"/>
        <w:ind w:right="180" w:firstLine="2592"/>
        <w:spacing w:after="0"/>
        <w:rPr>
          <w:sz w:val="20"/>
          <w:szCs w:val="20"/>
          <w:color w:val="auto"/>
        </w:rPr>
      </w:pPr>
      <w:r>
        <w:rPr>
          <w:rFonts w:ascii="Arial" w:cs="Arial" w:eastAsia="Arial" w:hAnsi="Arial"/>
          <w:sz w:val="22"/>
          <w:szCs w:val="22"/>
          <w:color w:val="auto"/>
        </w:rPr>
        <w:t>(f) in connection with any Proceeding initiated by Indemnitee to enforce its rights under this Agreement if a court of competent jurisdiction determines by final judicial decision that each of the material assertions made by Indemnitee in such Proceeding was not made in good faith or was frivolous.</w:t>
      </w:r>
    </w:p>
    <w:p>
      <w:pPr>
        <w:spacing w:after="0" w:line="186" w:lineRule="exact"/>
        <w:rPr>
          <w:sz w:val="20"/>
          <w:szCs w:val="20"/>
          <w:color w:val="auto"/>
        </w:rPr>
      </w:pPr>
    </w:p>
    <w:p>
      <w:pPr>
        <w:ind w:right="880" w:firstLine="1727"/>
        <w:spacing w:after="0" w:line="250" w:lineRule="auto"/>
        <w:rPr>
          <w:sz w:val="20"/>
          <w:szCs w:val="20"/>
          <w:color w:val="auto"/>
        </w:rPr>
      </w:pPr>
      <w:r>
        <w:rPr>
          <w:rFonts w:ascii="Arial" w:cs="Arial" w:eastAsia="Arial" w:hAnsi="Arial"/>
          <w:sz w:val="22"/>
          <w:szCs w:val="22"/>
          <w:color w:val="auto"/>
        </w:rPr>
        <w:t xml:space="preserve">The exclusion in </w:t>
      </w:r>
      <w:r>
        <w:rPr>
          <w:rFonts w:ascii="Arial" w:cs="Arial" w:eastAsia="Arial" w:hAnsi="Arial"/>
          <w:sz w:val="22"/>
          <w:szCs w:val="22"/>
          <w:u w:val="single" w:color="auto"/>
          <w:color w:val="auto"/>
        </w:rPr>
        <w:t>Section 8.1(c)</w:t>
      </w:r>
      <w:r>
        <w:rPr>
          <w:rFonts w:ascii="Arial" w:cs="Arial" w:eastAsia="Arial" w:hAnsi="Arial"/>
          <w:sz w:val="22"/>
          <w:szCs w:val="22"/>
          <w:color w:val="auto"/>
        </w:rPr>
        <w:t xml:space="preserve"> shall not apply to counterclaims or affirmative defenses asserted by Indemnitee in an action brought against Indemnitee.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ADVANCES OF EXPENSES; SELECTION OF LAW FIRM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1727"/>
        <w:spacing w:after="0" w:line="273" w:lineRule="auto"/>
        <w:rPr>
          <w:sz w:val="20"/>
          <w:szCs w:val="20"/>
          <w:color w:val="auto"/>
        </w:rPr>
      </w:pPr>
      <w:r>
        <w:rPr>
          <w:rFonts w:ascii="Arial" w:cs="Arial" w:eastAsia="Arial" w:hAnsi="Arial"/>
          <w:sz w:val="19"/>
          <w:szCs w:val="19"/>
          <w:color w:val="auto"/>
        </w:rPr>
        <w:t xml:space="preserve">9.1. Subject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the Company shall, unless prohibited by applicable law, advance the Expenses incurred by or on behalf of Indemnitee in connection with any Proceeding within ten business days after the receipt by the Company of a statement or statements requesting such advances, together with a reasonably detailed written explanation of the basis therefor and an itemization of legal fees and disbursements in reasonable detail, from time to time, whether prior to or after final disposition of any Proceeding. Advances shall be unsecured and interest free. Indemnitee shall qualify for advances, to the fullest extent permitted by this Agreement, solely upon the execution and delivery to the Company of an undertaking providing that Indemnitee undertakes to repay the advance to the extent that it is ultimately determined, by final judicial decision of a court of competent jurisdiction from which there is no further right to appeal, that Indemnitee is not entitled to be indemnified by the Company under the provisions of this Agreement or pursuant to applicable law.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shall not apply to any claim made by Indemnitee for which an indemnification payment is excluded pursuant to </w:t>
      </w:r>
      <w:r>
        <w:rPr>
          <w:rFonts w:ascii="Arial" w:cs="Arial" w:eastAsia="Arial" w:hAnsi="Arial"/>
          <w:sz w:val="19"/>
          <w:szCs w:val="19"/>
          <w:u w:val="single" w:color="auto"/>
          <w:color w:val="auto"/>
        </w:rPr>
        <w:t>Article 8</w:t>
      </w:r>
      <w:r>
        <w:rPr>
          <w:rFonts w:ascii="Arial" w:cs="Arial" w:eastAsia="Arial" w:hAnsi="Arial"/>
          <w:sz w:val="19"/>
          <w:szCs w:val="19"/>
          <w:color w:val="auto"/>
        </w:rPr>
        <w:t>.</w:t>
      </w:r>
    </w:p>
    <w:p>
      <w:pPr>
        <w:spacing w:after="0" w:line="161" w:lineRule="exact"/>
        <w:rPr>
          <w:sz w:val="20"/>
          <w:szCs w:val="20"/>
          <w:color w:val="auto"/>
        </w:rPr>
      </w:pPr>
    </w:p>
    <w:p>
      <w:pPr>
        <w:ind w:right="20" w:firstLine="1727"/>
        <w:spacing w:after="0" w:line="249" w:lineRule="auto"/>
        <w:rPr>
          <w:sz w:val="20"/>
          <w:szCs w:val="20"/>
          <w:color w:val="auto"/>
        </w:rPr>
      </w:pPr>
      <w:r>
        <w:rPr>
          <w:rFonts w:ascii="Arial" w:cs="Arial" w:eastAsia="Arial" w:hAnsi="Arial"/>
          <w:sz w:val="21"/>
          <w:szCs w:val="21"/>
          <w:color w:val="auto"/>
        </w:rPr>
        <w:t xml:space="preserve">9.2. If the Company shall be obligated under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hereof to pay the Expenses of any Proceeding against Indemnitee, then the Company shall be entitled to assume the defense of such Proceeding upon the delivery to Indemnitee of written notice of its election to do so. If the Company elects to assume the defense of such Proceeding, then unless the plaintiff or plaintiffs in such Proceeding include one or more Persons holding, together with his, her or its Affiliates, in the aggregate, a majority of the combined voting power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9"/>
          <w:szCs w:val="19"/>
          <w:color w:val="auto"/>
        </w:rPr>
        <w:t xml:space="preserve">then outstanding Voting Securities, the Company shall assume such defense using a single law firm (in addition to local counsel) selected by the Company representing Indemnitee and other present and former directors or officers of the Company. The retention of such law firm by the Company shall be subject to prior written approval by Indemnitee, which approval shall not be unreasonably withheld, delayed or conditioned. If the Company elects to assume the defense of such Proceeding and the plaintiff or plaintiffs in such Proceeding include one or more Persons holding, together with his, her or its Affiliates, in the aggregate, a majority of the combined voting power of the Company's then outstanding Voting Securities, then the Company shall assume such defense using a single law firm (in addition to local counsel) selected by Indemnitee and any other present or former directors or officers of the Company who are parties to such Proceeding. After (x) in the case of retention of any such law firm selected by the Company, delivery of the required notice to Indemnitee, approval of such law firm by Indemnitee and the retention of such law firm by the Company, or (y) in the case of retention of any such law firm selected by Indemnitee, the completion of such retention, the Company will not be liable to Indemnitee under this Agreement for any Expenses of any other law firm incurred by Indemnitee after the date that such first law firm is retained by the Company with respect to the same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retention of any such law firm selected by the Company (a) Indemnitee shall have the right to retain a separate law firm in any such Proceeding at Indemnitee's sole expense; and (b) if (i) the retention of a law firm by Indemnitee has been previously authorized by the Company in writing, (ii) Indemnitee shall have reasonably concluded that (1) there may be a conflict of interest between either (x) the Company and Indemnitee or (y) Indemnitee and another present or former director or officer of the Company also represented by such law firm in the conduct of any such defense or (2) there may be defenses available to Indemnitee that are incompatible or inconsistent with those available to the Company or another present or former director represented by such law firm in the conduct of such defense, or (iii) the Company shall not, in fact, have retained a law firm to prosecute the defense of such Proceeding within thirty days, then the reasonable Expenses of a single law firm retained by Indemnitee shall be at the expense of the Company. Notwithstanding anything else to the contrary in this </w:t>
      </w:r>
      <w:r>
        <w:rPr>
          <w:rFonts w:ascii="Arial" w:cs="Arial" w:eastAsia="Arial" w:hAnsi="Arial"/>
          <w:sz w:val="19"/>
          <w:szCs w:val="19"/>
          <w:u w:val="single" w:color="auto"/>
          <w:color w:val="auto"/>
        </w:rPr>
        <w:t>Section 9.2</w:t>
      </w:r>
      <w:r>
        <w:rPr>
          <w:rFonts w:ascii="Arial" w:cs="Arial" w:eastAsia="Arial" w:hAnsi="Arial"/>
          <w:sz w:val="19"/>
          <w:szCs w:val="19"/>
          <w:color w:val="auto"/>
        </w:rPr>
        <w:t>, the Company will not be entitled without the written consent of the Indemnitee to assume the defense of any Proceeding brought by or in the right of the Company.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PROCEDURE FOR NOTIFICATION; DEFENSE OF CLAIM; SETTLEMENT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1727"/>
        <w:spacing w:after="0" w:line="277" w:lineRule="auto"/>
        <w:rPr>
          <w:sz w:val="20"/>
          <w:szCs w:val="20"/>
          <w:color w:val="auto"/>
        </w:rPr>
      </w:pPr>
      <w:r>
        <w:rPr>
          <w:rFonts w:ascii="Arial" w:cs="Arial" w:eastAsia="Arial" w:hAnsi="Arial"/>
          <w:sz w:val="19"/>
          <w:szCs w:val="19"/>
          <w:color w:val="auto"/>
        </w:rPr>
        <w:t xml:space="preserve">10.1. Indemnitee shall, as a condition precedent to Indemnitee's right to be indemnified under this Agreement, give the Company notice in writing promptly of any claim made against Indemnitee for which indemnification will or could be sought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delay in giving such notice shall not deprive Indemnitee of any right to be indemnified under this Agreement unless, and then only to the extent that, such delay is materially prejudicial to the defense of such claim. The omission or delay to notify the Company will not relieve the Company from any liability for indemnification which it may have to Indemnitee otherwise than under this Agreement. The Secretary of the Company shall, promptly upon receipt of such a request for indemnification, advise the Board in writing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74"/>
        </w:trPr>
        <w:tc>
          <w:tcPr>
            <w:tcW w:w="3900" w:type="dxa"/>
            <w:vAlign w:val="bottom"/>
          </w:tcPr>
          <w:p>
            <w:pPr>
              <w:jc w:val="right"/>
              <w:ind w:right="112"/>
              <w:spacing w:after="0"/>
              <w:rPr>
                <w:sz w:val="20"/>
                <w:szCs w:val="20"/>
                <w:color w:val="auto"/>
              </w:rPr>
            </w:pPr>
            <w:r>
              <w:rPr>
                <w:rFonts w:ascii="Arial" w:cs="Arial" w:eastAsia="Arial" w:hAnsi="Arial"/>
                <w:sz w:val="22"/>
                <w:szCs w:val="22"/>
                <w:color w:val="auto"/>
                <w:w w:val="88"/>
              </w:rPr>
              <w:t>Indemnitee has requested indemnification.</w:t>
            </w:r>
          </w:p>
        </w:tc>
        <w:tc>
          <w:tcPr>
            <w:tcW w:w="7240" w:type="dxa"/>
            <w:vAlign w:val="bottom"/>
          </w:tcPr>
          <w:p>
            <w:pPr>
              <w:spacing w:after="0"/>
              <w:rPr>
                <w:sz w:val="23"/>
                <w:szCs w:val="23"/>
                <w:color w:val="auto"/>
              </w:rPr>
            </w:pPr>
          </w:p>
        </w:tc>
      </w:tr>
      <w:tr>
        <w:trPr>
          <w:trHeight w:val="459"/>
        </w:trPr>
        <w:tc>
          <w:tcPr>
            <w:tcW w:w="3900" w:type="dxa"/>
            <w:vAlign w:val="bottom"/>
          </w:tcPr>
          <w:p>
            <w:pPr>
              <w:jc w:val="right"/>
              <w:ind w:right="1632"/>
              <w:spacing w:after="0"/>
              <w:rPr>
                <w:sz w:val="20"/>
                <w:szCs w:val="20"/>
                <w:color w:val="auto"/>
              </w:rPr>
            </w:pPr>
            <w:r>
              <w:rPr>
                <w:rFonts w:ascii="Arial" w:cs="Arial" w:eastAsia="Arial" w:hAnsi="Arial"/>
                <w:sz w:val="22"/>
                <w:szCs w:val="22"/>
                <w:color w:val="auto"/>
              </w:rPr>
              <w:t>10.2.</w:t>
            </w:r>
          </w:p>
        </w:tc>
        <w:tc>
          <w:tcPr>
            <w:tcW w:w="7240" w:type="dxa"/>
            <w:vAlign w:val="bottom"/>
          </w:tcPr>
          <w:p>
            <w:pPr>
              <w:ind w:left="220"/>
              <w:spacing w:after="0"/>
              <w:rPr>
                <w:sz w:val="20"/>
                <w:szCs w:val="20"/>
                <w:color w:val="auto"/>
              </w:rPr>
            </w:pPr>
            <w:r>
              <w:rPr>
                <w:rFonts w:ascii="Arial" w:cs="Arial" w:eastAsia="Arial" w:hAnsi="Arial"/>
                <w:sz w:val="22"/>
                <w:szCs w:val="22"/>
                <w:color w:val="auto"/>
                <w:w w:val="89"/>
              </w:rPr>
              <w:t>The Company will be entitled to participate in the Proceeding at its own expense.</w:t>
            </w:r>
          </w:p>
        </w:tc>
      </w:tr>
      <w:tr>
        <w:trPr>
          <w:trHeight w:val="446"/>
        </w:trPr>
        <w:tc>
          <w:tcPr>
            <w:tcW w:w="3900" w:type="dxa"/>
            <w:vAlign w:val="bottom"/>
          </w:tcPr>
          <w:p>
            <w:pPr>
              <w:jc w:val="right"/>
              <w:ind w:right="1632"/>
              <w:spacing w:after="0"/>
              <w:rPr>
                <w:sz w:val="20"/>
                <w:szCs w:val="20"/>
                <w:color w:val="auto"/>
              </w:rPr>
            </w:pPr>
            <w:r>
              <w:rPr>
                <w:rFonts w:ascii="Arial" w:cs="Arial" w:eastAsia="Arial" w:hAnsi="Arial"/>
                <w:sz w:val="22"/>
                <w:szCs w:val="22"/>
                <w:color w:val="auto"/>
              </w:rPr>
              <w:t>10.3.</w:t>
            </w:r>
          </w:p>
        </w:tc>
        <w:tc>
          <w:tcPr>
            <w:tcW w:w="7240" w:type="dxa"/>
            <w:vAlign w:val="bottom"/>
          </w:tcPr>
          <w:p>
            <w:pPr>
              <w:ind w:left="220"/>
              <w:spacing w:after="0"/>
              <w:rPr>
                <w:sz w:val="20"/>
                <w:szCs w:val="20"/>
                <w:color w:val="auto"/>
              </w:rPr>
            </w:pPr>
            <w:r>
              <w:rPr>
                <w:rFonts w:ascii="Arial" w:cs="Arial" w:eastAsia="Arial" w:hAnsi="Arial"/>
                <w:sz w:val="22"/>
                <w:szCs w:val="22"/>
                <w:color w:val="auto"/>
                <w:w w:val="97"/>
              </w:rPr>
              <w:t>The Company shall have no obligation to indemnify Indemnitee under this</w:t>
            </w:r>
          </w:p>
        </w:tc>
      </w:tr>
    </w:tbl>
    <w:p>
      <w:pPr>
        <w:ind w:right="20"/>
        <w:spacing w:after="0" w:line="244" w:lineRule="auto"/>
        <w:rPr>
          <w:sz w:val="20"/>
          <w:szCs w:val="20"/>
          <w:color w:val="auto"/>
        </w:rPr>
      </w:pPr>
      <w:r>
        <w:rPr>
          <w:rFonts w:ascii="Arial" w:cs="Arial" w:eastAsia="Arial" w:hAnsi="Arial"/>
          <w:sz w:val="21"/>
          <w:szCs w:val="21"/>
          <w:color w:val="auto"/>
        </w:rPr>
        <w:t>Agreement for any amounts paid in settlement of any claim effected without the Company's prior written consent, provided the Company has not breached its obligations hereunder. The Company shall not settle any claim, including, without limitation, any claim in which it takes the position that Indemnitee is not entitled to indemnification in connection with such settlement, nor shall the Company settle any claim which would impose any fine or obligation on Indemnitee or attribute to Indemnitee any admission of liability, without Indemnitee's prior written consent. Neither the Company nor Indemnitee shall unreasonably withhold, delay or condition their consent to any proposed settlement.</w:t>
      </w:r>
    </w:p>
    <w:p>
      <w:pPr>
        <w:spacing w:after="0" w:line="177" w:lineRule="exact"/>
        <w:rPr>
          <w:sz w:val="20"/>
          <w:szCs w:val="20"/>
          <w:color w:val="auto"/>
        </w:rPr>
      </w:pPr>
    </w:p>
    <w:tbl>
      <w:tblPr>
        <w:tblLayout w:type="fixed"/>
        <w:tblInd w:w="1740" w:type="dxa"/>
        <w:tblCellMar>
          <w:top w:w="0" w:type="dxa"/>
          <w:left w:w="0" w:type="dxa"/>
          <w:bottom w:w="0" w:type="dxa"/>
          <w:right w:w="0" w:type="dxa"/>
        </w:tblCellMar>
      </w:tblPr>
      <w:tr>
        <w:trPr>
          <w:trHeight w:val="280"/>
        </w:trPr>
        <w:tc>
          <w:tcPr>
            <w:tcW w:w="600" w:type="dxa"/>
            <w:vAlign w:val="bottom"/>
          </w:tcPr>
          <w:p>
            <w:pPr>
              <w:spacing w:after="0"/>
              <w:rPr>
                <w:sz w:val="24"/>
                <w:szCs w:val="24"/>
                <w:color w:val="auto"/>
              </w:rPr>
            </w:pPr>
          </w:p>
        </w:tc>
        <w:tc>
          <w:tcPr>
            <w:tcW w:w="8360" w:type="dxa"/>
            <w:vAlign w:val="bottom"/>
          </w:tcPr>
          <w:p>
            <w:pPr>
              <w:jc w:val="center"/>
              <w:ind w:right="1692"/>
              <w:spacing w:after="0"/>
              <w:rPr>
                <w:sz w:val="20"/>
                <w:szCs w:val="20"/>
                <w:color w:val="auto"/>
              </w:rPr>
            </w:pPr>
            <w:r>
              <w:rPr>
                <w:rFonts w:ascii="Arial" w:cs="Arial" w:eastAsia="Arial" w:hAnsi="Arial"/>
                <w:sz w:val="22"/>
                <w:szCs w:val="22"/>
                <w:b w:val="1"/>
                <w:bCs w:val="1"/>
                <w:color w:val="auto"/>
                <w:w w:val="98"/>
              </w:rPr>
              <w:t>ARTICLE 11</w:t>
            </w:r>
          </w:p>
        </w:tc>
      </w:tr>
      <w:tr>
        <w:trPr>
          <w:trHeight w:val="486"/>
        </w:trPr>
        <w:tc>
          <w:tcPr>
            <w:tcW w:w="600" w:type="dxa"/>
            <w:vAlign w:val="bottom"/>
          </w:tcPr>
          <w:p>
            <w:pPr>
              <w:spacing w:after="0"/>
              <w:rPr>
                <w:sz w:val="24"/>
                <w:szCs w:val="24"/>
                <w:color w:val="auto"/>
              </w:rPr>
            </w:pPr>
          </w:p>
        </w:tc>
        <w:tc>
          <w:tcPr>
            <w:tcW w:w="8360" w:type="dxa"/>
            <w:vAlign w:val="bottom"/>
          </w:tcPr>
          <w:p>
            <w:pPr>
              <w:jc w:val="center"/>
              <w:ind w:right="1692"/>
              <w:spacing w:after="0"/>
              <w:rPr>
                <w:sz w:val="20"/>
                <w:szCs w:val="20"/>
                <w:color w:val="auto"/>
              </w:rPr>
            </w:pPr>
            <w:r>
              <w:rPr>
                <w:rFonts w:ascii="Arial" w:cs="Arial" w:eastAsia="Arial" w:hAnsi="Arial"/>
                <w:sz w:val="22"/>
                <w:szCs w:val="22"/>
                <w:b w:val="1"/>
                <w:bCs w:val="1"/>
                <w:color w:val="auto"/>
                <w:w w:val="99"/>
              </w:rPr>
              <w:t>PROCEDURE UPON APPLICATION FOR INDEMNIFICATION</w:t>
            </w:r>
          </w:p>
        </w:tc>
      </w:tr>
      <w:tr>
        <w:trPr>
          <w:trHeight w:val="905"/>
        </w:trPr>
        <w:tc>
          <w:tcPr>
            <w:tcW w:w="600" w:type="dxa"/>
            <w:vAlign w:val="bottom"/>
          </w:tcPr>
          <w:p>
            <w:pPr>
              <w:jc w:val="right"/>
              <w:ind w:right="72"/>
              <w:spacing w:after="0"/>
              <w:rPr>
                <w:sz w:val="20"/>
                <w:szCs w:val="20"/>
                <w:color w:val="auto"/>
              </w:rPr>
            </w:pPr>
            <w:r>
              <w:rPr>
                <w:rFonts w:ascii="Arial" w:cs="Arial" w:eastAsia="Arial" w:hAnsi="Arial"/>
                <w:sz w:val="22"/>
                <w:szCs w:val="22"/>
                <w:color w:val="auto"/>
                <w:w w:val="81"/>
              </w:rPr>
              <w:t>11.1.</w:t>
            </w:r>
          </w:p>
        </w:tc>
        <w:tc>
          <w:tcPr>
            <w:tcW w:w="8360" w:type="dxa"/>
            <w:vAlign w:val="bottom"/>
          </w:tcPr>
          <w:p>
            <w:pPr>
              <w:ind w:left="1760"/>
              <w:spacing w:after="0"/>
              <w:rPr>
                <w:sz w:val="20"/>
                <w:szCs w:val="20"/>
                <w:color w:val="auto"/>
              </w:rPr>
            </w:pPr>
            <w:r>
              <w:rPr>
                <w:rFonts w:ascii="Arial" w:cs="Arial" w:eastAsia="Arial" w:hAnsi="Arial"/>
                <w:sz w:val="22"/>
                <w:szCs w:val="22"/>
                <w:color w:val="auto"/>
                <w:w w:val="90"/>
              </w:rPr>
              <w:t>Upon written request by Indemnitee for indemnification pursuant to the first</w:t>
            </w:r>
          </w:p>
        </w:tc>
      </w:tr>
    </w:tbl>
    <w:p>
      <w:pPr>
        <w:spacing w:after="0" w:line="269" w:lineRule="auto"/>
        <w:rPr>
          <w:sz w:val="20"/>
          <w:szCs w:val="20"/>
          <w:color w:val="auto"/>
        </w:rPr>
      </w:pPr>
      <w:r>
        <w:rPr>
          <w:rFonts w:ascii="Arial" w:cs="Arial" w:eastAsia="Arial" w:hAnsi="Arial"/>
          <w:sz w:val="19"/>
          <w:szCs w:val="19"/>
          <w:color w:val="auto"/>
        </w:rPr>
        <w:t xml:space="preserve">sentence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 determination, if required by applicable law, with respect to Indemnitee's entitlement thereto shall be made in the specific case: (a) if a Change in Control shall have occurred, by Independent Counsel in a written opinion to the Board, a copy of which shall be delivered to Indemnitee; or (b) if a Change in Control shall not have occurred, (i) by a majority vote of the Disinterested Directors (provided there is a minimum of three Disinterested Directors), even though less than a quorum of the Board, (ii) by a committee of Disinterested Directors designated by a majority vote of the Disinterested Directors (provided there is a minimum of three Disinterested Directors), even though less than a quorum of the Board, or (iii) if there are less than three Disinterested Directors or, if such Disinterested Directors so direct, by Independent Counsel in a written opinion to the Board, a copy of which shall be delivered to Indemnitee, and, if it is so determined that Indemnitee is entitled to indemnification, payment to Indemnitee shall be made within ten business days after such determination and any future amounts due to Indemnitiee shall be paid in accordance with this Agreement. Indemnitee shall cooperate with the Person making such determination with respect to Indemnitee's entitlement to indemnification, including, without limitation, providing to such Person upon reasonable advance request any documentation or information which is not privileged or otherwise protected from disclosure and which is reasonably available to Indemnitee and reasonably necessary to such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nothing contained in this Agreement shall require Indemnitee to waive any privilege Indemnitee may have. Any costs or expenses (including, without limitation, reasonable attorneys' fees and disbursements) incurred by Indemnitee in so cooperating with the Person making such determination shall be borne by the Company (irrespective of the determination as to Indemnitee's entitlement to indemnification) and the Company hereby indemnifies and agrees to hold Indemnitee harmless therefrom.</w:t>
      </w:r>
    </w:p>
    <w:p>
      <w:pPr>
        <w:spacing w:after="0" w:line="166" w:lineRule="exact"/>
        <w:rPr>
          <w:sz w:val="20"/>
          <w:szCs w:val="20"/>
          <w:color w:val="auto"/>
        </w:rPr>
      </w:pPr>
    </w:p>
    <w:p>
      <w:pPr>
        <w:ind w:left="1740"/>
        <w:spacing w:after="0"/>
        <w:tabs>
          <w:tab w:leader="none" w:pos="40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If the determination of entitlement to indemnification is to be 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 xml:space="preserve">Independent Counsel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hereof, the Independent Counsel shall be selected as provided in this </w:t>
      </w:r>
      <w:r>
        <w:rPr>
          <w:rFonts w:ascii="Arial" w:cs="Arial" w:eastAsia="Arial" w:hAnsi="Arial"/>
          <w:sz w:val="19"/>
          <w:szCs w:val="19"/>
          <w:u w:val="single" w:color="auto"/>
          <w:color w:val="auto"/>
        </w:rPr>
        <w:t>Section</w:t>
      </w:r>
    </w:p>
    <w:p>
      <w:pPr>
        <w:spacing w:after="0" w:line="43" w:lineRule="exact"/>
        <w:rPr>
          <w:sz w:val="20"/>
          <w:szCs w:val="20"/>
          <w:color w:val="auto"/>
        </w:rPr>
      </w:pPr>
    </w:p>
    <w:p>
      <w:pPr>
        <w:spacing w:after="0" w:line="268" w:lineRule="auto"/>
        <w:rPr>
          <w:sz w:val="20"/>
          <w:szCs w:val="20"/>
          <w:color w:val="auto"/>
        </w:rPr>
      </w:pPr>
      <w:r>
        <w:rPr>
          <w:rFonts w:ascii="Arial" w:cs="Arial" w:eastAsia="Arial" w:hAnsi="Arial"/>
          <w:sz w:val="19"/>
          <w:szCs w:val="19"/>
          <w:u w:val="single" w:color="auto"/>
          <w:color w:val="auto"/>
        </w:rPr>
        <w:t>11.2</w:t>
      </w:r>
      <w:r>
        <w:rPr>
          <w:rFonts w:ascii="Arial" w:cs="Arial" w:eastAsia="Arial" w:hAnsi="Arial"/>
          <w:sz w:val="19"/>
          <w:szCs w:val="19"/>
          <w:color w:val="auto"/>
        </w:rPr>
        <w:t xml:space="preserve">. If a Change in Control shall not have occurred, the Independent Counsel shall be selected by the Board, and the Company shall give written notice to Indemnitee advising Indemnitee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business days after such written notice of selection shall have been given, deliver to the Company or to Indemnitee, as the case may be, a written objection to such selection;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or arbitrator has determined that such objection is without merit. If, within twenty days after submission by Indemnitee of a written request for indemnification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hereof, no Independent Counsel shall have been selected and not objected to, either the Company or Indemnitee may seek arbitration for resolution of any objection which shall have been made by the Company or Indemnitee to the other's selection of Independent Counsel and/or for the appointment as Independent Counsel of a person selected by the arbitrator or by such other person as the arbitrator shall designate, and the person with respect to whom all objections are so resolved or the person so appointed shall act as Independent Counsel under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hereof. Such arbitration referred to in the previous sentence shall be conducted by a single arbitrator pursuant to the Commercial Arbitration Rules of the American Arbitration Association, and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hereof shall apply in respect of such arbitration and the Company and Indemnitee. Upon the due commencement of any judicial proceeding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PRESUMPTIONS AND EFFECT OF CERTAIN PROCEEDINGS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1727"/>
        <w:spacing w:after="0" w:line="277" w:lineRule="auto"/>
        <w:rPr>
          <w:sz w:val="20"/>
          <w:szCs w:val="20"/>
          <w:color w:val="auto"/>
        </w:rPr>
      </w:pPr>
      <w:r>
        <w:rPr>
          <w:rFonts w:ascii="Arial" w:cs="Arial" w:eastAsia="Arial" w:hAnsi="Arial"/>
          <w:sz w:val="19"/>
          <w:szCs w:val="19"/>
          <w:color w:val="auto"/>
        </w:rPr>
        <w:t xml:space="preserve">12.1. In making a determination with respect to entitlement to indemnification hereunder, the Person making such determination shall presume that Indemnitee is entitled to indemnification under this Agreement if Indemnitee has submitted a request for indemnification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this Agreement. Anyone seeking to overcome this presumption shall have the burden of proof and the burden of persuasion by clear and convincing evidence. Neither the failure of the Company (including by its Board, its Independent Counsel and its stockholders) to have made a determination prior to the commencement of any action pursuant to this Agreement that indemnification or advancement of expenses is proper in the circumstances because Indemnitee has met the applicable standard of conduct, nor an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determination by the Company (including by its Board, its Independent Counsel and its stockholders) that Indemnitee has not met such applicable standard of conduct, shall be a defense to the action or create a presumption that Indemnitee has not met the applicable standard of conduct.</w:t>
      </w:r>
    </w:p>
    <w:p>
      <w:pPr>
        <w:spacing w:after="0" w:line="186" w:lineRule="exact"/>
        <w:rPr>
          <w:sz w:val="20"/>
          <w:szCs w:val="20"/>
          <w:color w:val="auto"/>
        </w:rPr>
      </w:pPr>
    </w:p>
    <w:p>
      <w:pPr>
        <w:ind w:right="60" w:firstLine="1727"/>
        <w:spacing w:after="0" w:line="274" w:lineRule="auto"/>
        <w:rPr>
          <w:sz w:val="20"/>
          <w:szCs w:val="20"/>
          <w:color w:val="auto"/>
        </w:rPr>
      </w:pPr>
      <w:r>
        <w:rPr>
          <w:rFonts w:ascii="Arial" w:cs="Arial" w:eastAsia="Arial" w:hAnsi="Arial"/>
          <w:sz w:val="19"/>
          <w:szCs w:val="19"/>
          <w:color w:val="auto"/>
        </w:rPr>
        <w:t xml:space="preserve">12.2. If the Person empowered or selected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of this Agreement to determine whether Indemnitee is entitled to indemnification shall not have made a determination within thirty days after receipt by the Company of the request therefor, the requisite determination of entitlement to indemnification shall be deemed to have been made and Indemnitee shall be entitled to such indemnification, absent (a) an intentional misstatement by Indemnitee of a material fact, or an intentional omission of a material fact necessary to make Indemnitee's statement not materially misleading, in connection with the request for indemnification, or (b) a final judicial determination that any or all such indemnification is expressly prohibited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thirty-day period may be extended for a reasonable time, not to exceed an additional fifteen days, if the Person making the determination with respect to entitlement to indemnification in good faith requires such additional time for the obtaining or evaluating of documentation and/or information relating thereto.</w:t>
      </w:r>
    </w:p>
    <w:p>
      <w:pPr>
        <w:spacing w:after="0" w:line="158" w:lineRule="exact"/>
        <w:rPr>
          <w:sz w:val="20"/>
          <w:szCs w:val="20"/>
          <w:color w:val="auto"/>
        </w:rPr>
      </w:pPr>
    </w:p>
    <w:p>
      <w:pPr>
        <w:ind w:right="40" w:firstLine="1727"/>
        <w:spacing w:after="0" w:line="248" w:lineRule="auto"/>
        <w:rPr>
          <w:sz w:val="20"/>
          <w:szCs w:val="20"/>
          <w:color w:val="auto"/>
        </w:rPr>
      </w:pPr>
      <w:r>
        <w:rPr>
          <w:rFonts w:ascii="Arial" w:cs="Arial" w:eastAsia="Arial" w:hAnsi="Arial"/>
          <w:sz w:val="21"/>
          <w:szCs w:val="21"/>
          <w:color w:val="auto"/>
        </w:rPr>
        <w:t xml:space="preserve">12.3. The termination of any Proceeding or of any claim, issue or matter therein, by judgment, order, settlement (with or without court approval), conviction, or upon a plea of </w:t>
      </w:r>
      <w:r>
        <w:rPr>
          <w:rFonts w:ascii="Arial" w:cs="Arial" w:eastAsia="Arial" w:hAnsi="Arial"/>
          <w:sz w:val="21"/>
          <w:szCs w:val="21"/>
          <w:u w:val="single" w:color="auto"/>
          <w:color w:val="auto"/>
        </w:rPr>
        <w:t>nolo contendere</w:t>
      </w:r>
      <w:r>
        <w:rPr>
          <w:rFonts w:ascii="Arial" w:cs="Arial" w:eastAsia="Arial" w:hAnsi="Arial"/>
          <w:sz w:val="21"/>
          <w:szCs w:val="21"/>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77" w:lineRule="exact"/>
        <w:rPr>
          <w:sz w:val="20"/>
          <w:szCs w:val="20"/>
          <w:color w:val="auto"/>
        </w:rPr>
      </w:pPr>
    </w:p>
    <w:p>
      <w:pPr>
        <w:ind w:right="40" w:firstLine="1727"/>
        <w:spacing w:after="0" w:line="272" w:lineRule="auto"/>
        <w:rPr>
          <w:sz w:val="20"/>
          <w:szCs w:val="20"/>
          <w:color w:val="auto"/>
        </w:rPr>
      </w:pPr>
      <w:r>
        <w:rPr>
          <w:rFonts w:ascii="Arial" w:cs="Arial" w:eastAsia="Arial" w:hAnsi="Arial"/>
          <w:sz w:val="19"/>
          <w:szCs w:val="19"/>
          <w:color w:val="auto"/>
        </w:rPr>
        <w:t xml:space="preserve">12.4. For purposes of any determination of good faith pursuant to this Agreement, Indemnitee shall be deemed to have acted in good faith if, among other things,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its board of directors, any committee of the board of directors or any director, or on information or records given or reports made to the Enterprise, its board of directors, any committee of the board of directors or any director, by an independent certified public accountant or by an appraiser or other expert selected with reasonable care by the Enterprise, its board of directors, any committee of the board of directors or any director. The provisions of this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shall not be deemed to be exclusive or to limit in any way the other circumstances in which Indemnitee may be deemed or found to have met the applicable standard of conduct set forth in this Agreement. In any event, it shall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3" w:name="page54"/>
    <w:bookmarkEnd w:id="53"/>
    <w:p>
      <w:pPr>
        <w:ind w:right="480" w:firstLine="1727"/>
        <w:spacing w:after="0"/>
        <w:rPr>
          <w:sz w:val="20"/>
          <w:szCs w:val="20"/>
          <w:color w:val="auto"/>
        </w:rPr>
      </w:pPr>
      <w:r>
        <w:rPr>
          <w:rFonts w:ascii="Arial" w:cs="Arial" w:eastAsia="Arial" w:hAnsi="Arial"/>
          <w:sz w:val="22"/>
          <w:szCs w:val="22"/>
          <w:color w:val="auto"/>
        </w:rPr>
        <w:t>12.5. 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86" w:lineRule="exact"/>
        <w:rPr>
          <w:sz w:val="20"/>
          <w:szCs w:val="20"/>
          <w:color w:val="auto"/>
        </w:rPr>
      </w:pPr>
    </w:p>
    <w:p>
      <w:pPr>
        <w:ind w:right="60" w:firstLine="1727"/>
        <w:spacing w:after="0" w:line="234" w:lineRule="auto"/>
        <w:rPr>
          <w:sz w:val="20"/>
          <w:szCs w:val="20"/>
          <w:color w:val="auto"/>
        </w:rPr>
      </w:pPr>
      <w:r>
        <w:rPr>
          <w:rFonts w:ascii="Arial" w:cs="Arial" w:eastAsia="Arial" w:hAnsi="Arial"/>
          <w:sz w:val="22"/>
          <w:szCs w:val="22"/>
          <w:color w:val="auto"/>
        </w:rPr>
        <w:t>12.6.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85" w:lineRule="exact"/>
        <w:rPr>
          <w:sz w:val="20"/>
          <w:szCs w:val="20"/>
          <w:color w:val="auto"/>
        </w:rPr>
      </w:pPr>
    </w:p>
    <w:tbl>
      <w:tblPr>
        <w:tblLayout w:type="fixed"/>
        <w:tblInd w:w="1740" w:type="dxa"/>
        <w:tblCellMar>
          <w:top w:w="0" w:type="dxa"/>
          <w:left w:w="0" w:type="dxa"/>
          <w:bottom w:w="0" w:type="dxa"/>
          <w:right w:w="0" w:type="dxa"/>
        </w:tblCellMar>
      </w:tblPr>
      <w:tr>
        <w:trPr>
          <w:trHeight w:val="280"/>
        </w:trPr>
        <w:tc>
          <w:tcPr>
            <w:tcW w:w="1400" w:type="dxa"/>
            <w:vAlign w:val="bottom"/>
          </w:tcPr>
          <w:p>
            <w:pPr>
              <w:spacing w:after="0"/>
              <w:rPr>
                <w:sz w:val="24"/>
                <w:szCs w:val="24"/>
                <w:color w:val="auto"/>
              </w:rPr>
            </w:pPr>
          </w:p>
        </w:tc>
        <w:tc>
          <w:tcPr>
            <w:tcW w:w="7320" w:type="dxa"/>
            <w:vAlign w:val="bottom"/>
          </w:tcPr>
          <w:p>
            <w:pPr>
              <w:ind w:left="1860"/>
              <w:spacing w:after="0"/>
              <w:rPr>
                <w:sz w:val="20"/>
                <w:szCs w:val="20"/>
                <w:color w:val="auto"/>
              </w:rPr>
            </w:pPr>
            <w:r>
              <w:rPr>
                <w:rFonts w:ascii="Arial" w:cs="Arial" w:eastAsia="Arial" w:hAnsi="Arial"/>
                <w:sz w:val="22"/>
                <w:szCs w:val="22"/>
                <w:b w:val="1"/>
                <w:bCs w:val="1"/>
                <w:color w:val="auto"/>
              </w:rPr>
              <w:t>ARTICLE 13</w:t>
            </w:r>
          </w:p>
        </w:tc>
      </w:tr>
      <w:tr>
        <w:trPr>
          <w:trHeight w:val="486"/>
        </w:trPr>
        <w:tc>
          <w:tcPr>
            <w:tcW w:w="1400" w:type="dxa"/>
            <w:vAlign w:val="bottom"/>
          </w:tcPr>
          <w:p>
            <w:pPr>
              <w:spacing w:after="0"/>
              <w:rPr>
                <w:sz w:val="24"/>
                <w:szCs w:val="24"/>
                <w:color w:val="auto"/>
              </w:rPr>
            </w:pPr>
          </w:p>
        </w:tc>
        <w:tc>
          <w:tcPr>
            <w:tcW w:w="7320" w:type="dxa"/>
            <w:vAlign w:val="bottom"/>
          </w:tcPr>
          <w:p>
            <w:pPr>
              <w:ind w:left="1000"/>
              <w:spacing w:after="0"/>
              <w:rPr>
                <w:sz w:val="20"/>
                <w:szCs w:val="20"/>
                <w:color w:val="auto"/>
              </w:rPr>
            </w:pPr>
            <w:r>
              <w:rPr>
                <w:rFonts w:ascii="Arial" w:cs="Arial" w:eastAsia="Arial" w:hAnsi="Arial"/>
                <w:sz w:val="22"/>
                <w:szCs w:val="22"/>
                <w:b w:val="1"/>
                <w:bCs w:val="1"/>
                <w:color w:val="auto"/>
              </w:rPr>
              <w:t>REMEDIES OF INDEMNITEE</w:t>
            </w:r>
          </w:p>
        </w:tc>
      </w:tr>
      <w:tr>
        <w:trPr>
          <w:trHeight w:val="905"/>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13.1.</w:t>
            </w:r>
          </w:p>
        </w:tc>
        <w:tc>
          <w:tcPr>
            <w:tcW w:w="7320" w:type="dxa"/>
            <w:vAlign w:val="bottom"/>
          </w:tcPr>
          <w:p>
            <w:pPr>
              <w:ind w:left="980"/>
              <w:spacing w:after="0"/>
              <w:rPr>
                <w:sz w:val="20"/>
                <w:szCs w:val="20"/>
                <w:color w:val="auto"/>
              </w:rPr>
            </w:pPr>
            <w:r>
              <w:rPr>
                <w:rFonts w:ascii="Arial" w:cs="Arial" w:eastAsia="Arial" w:hAnsi="Arial"/>
                <w:sz w:val="22"/>
                <w:szCs w:val="22"/>
                <w:color w:val="auto"/>
                <w:w w:val="88"/>
              </w:rPr>
              <w:t xml:space="preserve">In the event that (a) a determination is made pursuant to </w:t>
            </w:r>
            <w:r>
              <w:rPr>
                <w:rFonts w:ascii="Arial" w:cs="Arial" w:eastAsia="Arial" w:hAnsi="Arial"/>
                <w:sz w:val="22"/>
                <w:szCs w:val="22"/>
                <w:u w:val="single" w:color="auto"/>
                <w:color w:val="auto"/>
                <w:w w:val="88"/>
              </w:rPr>
              <w:t>Article 11</w:t>
            </w:r>
            <w:r>
              <w:rPr>
                <w:rFonts w:ascii="Arial" w:cs="Arial" w:eastAsia="Arial" w:hAnsi="Arial"/>
                <w:sz w:val="22"/>
                <w:szCs w:val="22"/>
                <w:color w:val="auto"/>
                <w:w w:val="88"/>
              </w:rPr>
              <w:t xml:space="preserve"> of this</w:t>
            </w:r>
          </w:p>
        </w:tc>
      </w:tr>
    </w:tbl>
    <w:p>
      <w:pPr>
        <w:spacing w:after="0" w:line="269" w:lineRule="auto"/>
        <w:rPr>
          <w:sz w:val="20"/>
          <w:szCs w:val="20"/>
          <w:color w:val="auto"/>
        </w:rPr>
      </w:pPr>
      <w:r>
        <w:rPr>
          <w:rFonts w:ascii="Arial" w:cs="Arial" w:eastAsia="Arial" w:hAnsi="Arial"/>
          <w:sz w:val="19"/>
          <w:szCs w:val="19"/>
          <w:color w:val="auto"/>
        </w:rPr>
        <w:t xml:space="preserve">Agreement that Indemnitee is not entitled to indemnification under this Agreement, (b) advancement of Expenses, to the fullest extent permitted by applicable law, is not timely made pursuant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of this Agreement, (c) no determination of entitlement to indemnification shall have been made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Agreement within thirty days after receipt by the Company of the request for indemnification and of reasonable documentation and information which Indemnitee may be called upon to provide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(d) payment of indemnification is not made pursuant to </w:t>
      </w:r>
      <w:r>
        <w:rPr>
          <w:rFonts w:ascii="Arial" w:cs="Arial" w:eastAsia="Arial" w:hAnsi="Arial"/>
          <w:sz w:val="19"/>
          <w:szCs w:val="19"/>
          <w:u w:val="single" w:color="auto"/>
          <w:color w:val="auto"/>
        </w:rPr>
        <w:t>Articles 4</w:t>
      </w:r>
      <w:r>
        <w:rPr>
          <w:rFonts w:ascii="Arial" w:cs="Arial" w:eastAsia="Arial" w:hAnsi="Arial"/>
          <w:sz w:val="19"/>
          <w:szCs w:val="19"/>
          <w:color w:val="auto"/>
        </w:rPr>
        <w:t xml:space="preserve">, </w:t>
      </w:r>
      <w:r>
        <w:rPr>
          <w:rFonts w:ascii="Arial" w:cs="Arial" w:eastAsia="Arial" w:hAnsi="Arial"/>
          <w:sz w:val="19"/>
          <w:szCs w:val="19"/>
          <w:u w:val="single" w:color="auto"/>
          <w:color w:val="auto"/>
        </w:rPr>
        <w:t>5</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or the last sentence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Agreement within ten business days after receipt by the Company of a written request therefor, (e) a contribution payment is not made in a timely manner pursuant to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of this Agreement, (f) payment of indemnification pursuant to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w:t>
      </w:r>
      <w:r>
        <w:rPr>
          <w:rFonts w:ascii="Arial" w:cs="Arial" w:eastAsia="Arial" w:hAnsi="Arial"/>
          <w:sz w:val="19"/>
          <w:szCs w:val="19"/>
          <w:color w:val="auto"/>
        </w:rPr>
        <w:t xml:space="preserve"> of this Agreement is not made within ten business days after a determination has been made that Indemnitee is entitled to indemnification or (g) the Company or any representative thereof takes or threatens to take any action to declare this Agreement void or unenforceable, or institutes any Proceeding designed to deny, or to recover from, Indemnitee the benefits provided or intended to be provided to Indemnitee hereunder, Indemnitee shall be entitled to an adjudication by a court of competent jurisdiction of Indemnitee's entitlement to such indemnification, contribution or advancement of Expenses.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The award rendered by such arbitration will be final and binding upon the parties hereto, and final judgment on the arbitration award may be entered in any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4" w:name="page55"/>
    <w:bookmarkEnd w:id="54"/>
    <w:p>
      <w:pPr>
        <w:ind w:firstLine="1727"/>
        <w:spacing w:after="0" w:line="273" w:lineRule="auto"/>
        <w:rPr>
          <w:sz w:val="20"/>
          <w:szCs w:val="20"/>
          <w:color w:val="auto"/>
        </w:rPr>
      </w:pPr>
      <w:r>
        <w:rPr>
          <w:rFonts w:ascii="Arial" w:cs="Arial" w:eastAsia="Arial" w:hAnsi="Arial"/>
          <w:sz w:val="19"/>
          <w:szCs w:val="19"/>
          <w:color w:val="auto"/>
        </w:rPr>
        <w:t xml:space="preserve">13.2. In the event that a determination shall have been made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Agreement that Indemnitee is not entitled to indemnification, any judicial proceeding or arbitration commenced pursuant to this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shall be conducted in all respects as a de novo trial, or arbitration, on the merits and Indemnitee shall not be prejudiced by reason of that adverse determination. In any judicial proceeding or arbitration commenced pursuant to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Indemnitee shall be presumed to be entitled to receive advances of Expenses under this Agreement and the Company shall have the burden of proving Indemnitee is not entitled to indemnification or advancement of Expenses, as the case may be, and the Company may not refer to or introduce into evidence any determination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this Agreement adverse to Indemnitee for any purpose. If Indemnitee commences a judicial proceeding or arbitration pursuant to this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Indemnitee shall not be required to reimburse the Company for any advances pursuant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until a final determination is made with respect to Indemnitee's entitlement to indemnification (as to which all rights of appeal shall have been exhausted or lapsed).</w:t>
      </w:r>
    </w:p>
    <w:p>
      <w:pPr>
        <w:spacing w:after="0" w:line="161" w:lineRule="exact"/>
        <w:rPr>
          <w:sz w:val="20"/>
          <w:szCs w:val="20"/>
          <w:color w:val="auto"/>
        </w:rPr>
      </w:pPr>
    </w:p>
    <w:p>
      <w:pPr>
        <w:ind w:right="60" w:firstLine="1727"/>
        <w:spacing w:after="0" w:line="249" w:lineRule="auto"/>
        <w:rPr>
          <w:sz w:val="20"/>
          <w:szCs w:val="20"/>
          <w:color w:val="auto"/>
        </w:rPr>
      </w:pPr>
      <w:r>
        <w:rPr>
          <w:rFonts w:ascii="Arial" w:cs="Arial" w:eastAsia="Arial" w:hAnsi="Arial"/>
          <w:sz w:val="21"/>
          <w:szCs w:val="21"/>
          <w:color w:val="auto"/>
        </w:rPr>
        <w:t xml:space="preserve">13.3. If a determination shall have been made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21"/>
          <w:szCs w:val="21"/>
          <w:u w:val="single" w:color="auto"/>
          <w:color w:val="auto"/>
        </w:rPr>
        <w:t>Article 13</w:t>
      </w:r>
      <w:r>
        <w:rPr>
          <w:rFonts w:ascii="Arial" w:cs="Arial" w:eastAsia="Arial" w:hAnsi="Arial"/>
          <w:sz w:val="21"/>
          <w:szCs w:val="21"/>
          <w:color w:val="auto"/>
        </w:rPr>
        <w:t>, absent (a) an intentional misstatement by Indemnitee of a material fact, or an intentional omission of a material fact necessary to make Indemnitee's statement not materially misleading, in connection with the request for indemnification, or (b) a prohibition of such indemnification under applicable law.</w:t>
      </w:r>
    </w:p>
    <w:p>
      <w:pPr>
        <w:spacing w:after="0" w:line="178" w:lineRule="exact"/>
        <w:rPr>
          <w:sz w:val="20"/>
          <w:szCs w:val="20"/>
          <w:color w:val="auto"/>
        </w:rPr>
      </w:pPr>
    </w:p>
    <w:p>
      <w:pPr>
        <w:ind w:firstLine="1727"/>
        <w:spacing w:after="0" w:line="238" w:lineRule="auto"/>
        <w:rPr>
          <w:sz w:val="20"/>
          <w:szCs w:val="20"/>
          <w:color w:val="auto"/>
        </w:rPr>
      </w:pPr>
      <w:r>
        <w:rPr>
          <w:rFonts w:ascii="Arial" w:cs="Arial" w:eastAsia="Arial" w:hAnsi="Arial"/>
          <w:sz w:val="22"/>
          <w:szCs w:val="22"/>
          <w:color w:val="auto"/>
        </w:rPr>
        <w:t xml:space="preserve">13.4. The Company shall be precluded from asserting in any judicial proceeding or arbitration commenced pursuant to this </w:t>
      </w: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5" w:lineRule="exact"/>
        <w:rPr>
          <w:sz w:val="20"/>
          <w:szCs w:val="20"/>
          <w:color w:val="auto"/>
        </w:rPr>
      </w:pPr>
    </w:p>
    <w:p>
      <w:pPr>
        <w:ind w:firstLine="1727"/>
        <w:spacing w:after="0" w:line="274" w:lineRule="auto"/>
        <w:rPr>
          <w:sz w:val="20"/>
          <w:szCs w:val="20"/>
          <w:color w:val="auto"/>
        </w:rPr>
      </w:pPr>
      <w:r>
        <w:rPr>
          <w:rFonts w:ascii="Arial" w:cs="Arial" w:eastAsia="Arial" w:hAnsi="Arial"/>
          <w:sz w:val="19"/>
          <w:szCs w:val="19"/>
          <w:color w:val="auto"/>
        </w:rPr>
        <w:t>13.5. The Company shall indemnify and hold harmless Indemnitee to the fullest extent permitted by law against all Expenses and, if requested by Indemnitee, shall (within ten days after the Company's receipt of such written request) pay to Indemnitee, to the fullest extent permitted by applicable law, such Expenses which are incurred by Indemnitee in connection with any judicial proceeding or arbitration brought by Indemnitee (a) to enforce his rights under, or to recover damages for breach of, this Agreement or any other indemnification, advancement or contribution agreement or provision of the Certificate of Incorporation, or the By-Laws now or hereafter in effect; or (b) for recovery or advances under any insurance policy maintained by any person for the benefit of Indemnitee, regardless of the outcome and whether Indemnitee ultimately is determined to be entitled to such indemnification, advancement, contribution or insurance recovery, as the case may be (unless such judicial proceeding or arbitration was not brought by Indemnitee in good faith).</w:t>
      </w:r>
    </w:p>
    <w:p>
      <w:pPr>
        <w:spacing w:after="0" w:line="158" w:lineRule="exact"/>
        <w:rPr>
          <w:sz w:val="20"/>
          <w:szCs w:val="20"/>
          <w:color w:val="auto"/>
        </w:rPr>
      </w:pPr>
    </w:p>
    <w:p>
      <w:pPr>
        <w:ind w:right="120" w:firstLine="1727"/>
        <w:spacing w:after="0" w:line="238" w:lineRule="auto"/>
        <w:rPr>
          <w:sz w:val="20"/>
          <w:szCs w:val="20"/>
          <w:color w:val="auto"/>
        </w:rPr>
      </w:pPr>
      <w:r>
        <w:rPr>
          <w:rFonts w:ascii="Arial" w:cs="Arial" w:eastAsia="Arial" w:hAnsi="Arial"/>
          <w:sz w:val="22"/>
          <w:szCs w:val="22"/>
          <w:color w:val="auto"/>
        </w:rPr>
        <w:t>13.6. Interest shall be paid by the Company to Indemnitee at the legal rate under Delaware law for amounts which the Company indemnifies, or is obliged to indemnify, for the period commencing with the date on which Indemnitee requests indemnification, contribution, reimbursement or advancement of any Expenses and ending with the date on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payment is made to Indemnitee by the Company.</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14</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SECURITY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1727"/>
        <w:spacing w:after="0" w:line="252" w:lineRule="auto"/>
        <w:rPr>
          <w:sz w:val="20"/>
          <w:szCs w:val="20"/>
          <w:color w:val="auto"/>
        </w:rPr>
      </w:pPr>
      <w:r>
        <w:rPr>
          <w:rFonts w:ascii="Arial" w:cs="Arial" w:eastAsia="Arial" w:hAnsi="Arial"/>
          <w:sz w:val="21"/>
          <w:szCs w:val="21"/>
          <w:color w:val="auto"/>
        </w:rPr>
        <w:t>Notwithstanding anything herein to the contrary,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15</w:t>
      </w:r>
    </w:p>
    <w:p>
      <w:pPr>
        <w:spacing w:after="0" w:line="233" w:lineRule="exact"/>
        <w:rPr>
          <w:sz w:val="20"/>
          <w:szCs w:val="20"/>
          <w:color w:val="auto"/>
        </w:rPr>
      </w:pPr>
    </w:p>
    <w:p>
      <w:pPr>
        <w:jc w:val="center"/>
        <w:ind w:left="380" w:right="760"/>
        <w:spacing w:after="0" w:line="256" w:lineRule="auto"/>
        <w:rPr>
          <w:sz w:val="20"/>
          <w:szCs w:val="20"/>
          <w:color w:val="auto"/>
        </w:rPr>
      </w:pPr>
      <w:r>
        <w:rPr>
          <w:rFonts w:ascii="Arial" w:cs="Arial" w:eastAsia="Arial" w:hAnsi="Arial"/>
          <w:sz w:val="22"/>
          <w:szCs w:val="22"/>
          <w:b w:val="1"/>
          <w:bCs w:val="1"/>
          <w:color w:val="auto"/>
        </w:rPr>
        <w:t>NON-EXCLUSIVITY; SURVIVAL OF RIGHTS; INSURANCE; PRIMACY OF INDEMNIFICATION; SUBROGATION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1727"/>
        <w:spacing w:after="0" w:line="245" w:lineRule="auto"/>
        <w:rPr>
          <w:sz w:val="20"/>
          <w:szCs w:val="20"/>
          <w:color w:val="auto"/>
        </w:rPr>
      </w:pPr>
      <w:r>
        <w:rPr>
          <w:rFonts w:ascii="Arial" w:cs="Arial" w:eastAsia="Arial" w:hAnsi="Arial"/>
          <w:sz w:val="21"/>
          <w:szCs w:val="21"/>
          <w:color w:val="auto"/>
        </w:rPr>
        <w:t>15.1. The rights of Indemnitee as provided by this Agreement shall not be deemed exclusive of any other rights to which Indemnitee may at any time be entitled under applicable law, the Certificate of Incorporation, the By-Laws, any agreement, a vote of stockholders or a resolution of directors, or otherwise. To the extent that a change in applicable law, whether by statute or judicial decision, permits greater indemnification or advancement of Expenses than would be afforded currently under the Certificate of Incorporation,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1" w:lineRule="exact"/>
        <w:rPr>
          <w:sz w:val="20"/>
          <w:szCs w:val="20"/>
          <w:color w:val="auto"/>
        </w:rPr>
      </w:pPr>
    </w:p>
    <w:p>
      <w:pPr>
        <w:ind w:right="20" w:firstLine="1727"/>
        <w:spacing w:after="0" w:line="273" w:lineRule="auto"/>
        <w:rPr>
          <w:sz w:val="20"/>
          <w:szCs w:val="20"/>
          <w:color w:val="auto"/>
        </w:rPr>
      </w:pPr>
      <w:r>
        <w:rPr>
          <w:rFonts w:ascii="Arial" w:cs="Arial" w:eastAsia="Arial" w:hAnsi="Arial"/>
          <w:sz w:val="19"/>
          <w:szCs w:val="19"/>
          <w:color w:val="auto"/>
        </w:rPr>
        <w:t>15.2. The DGCL and the Certificate of Incorporation permit the Company to purchase and maintain insurance or furnish similar protection or make other arrangements, including, but not limited to, providing a trust fund, letter of credit, or surety bond ("</w:t>
      </w:r>
      <w:r>
        <w:rPr>
          <w:rFonts w:ascii="Arial" w:cs="Arial" w:eastAsia="Arial" w:hAnsi="Arial"/>
          <w:sz w:val="19"/>
          <w:szCs w:val="19"/>
          <w:u w:val="single" w:color="auto"/>
          <w:color w:val="auto"/>
        </w:rPr>
        <w:t>Indemnification Arrangements</w:t>
      </w:r>
      <w:r>
        <w:rPr>
          <w:rFonts w:ascii="Arial" w:cs="Arial" w:eastAsia="Arial" w:hAnsi="Arial"/>
          <w:sz w:val="19"/>
          <w:szCs w:val="19"/>
          <w:color w:val="auto"/>
        </w:rPr>
        <w:t>") on behalf of Indemnitee against any liability asserted against Indemnitee or incurred by or on behalf of Indemnitee or in such capacity as a director, officer, employee or agent of the Company, or arising out of his or her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56" w:name="page57"/>
    <w:bookmarkEnd w:id="56"/>
    <w:p>
      <w:pPr>
        <w:ind w:firstLine="1727"/>
        <w:spacing w:after="0" w:line="273" w:lineRule="auto"/>
        <w:rPr>
          <w:sz w:val="20"/>
          <w:szCs w:val="20"/>
          <w:color w:val="auto"/>
        </w:rPr>
      </w:pPr>
      <w:r>
        <w:rPr>
          <w:rFonts w:ascii="Arial" w:cs="Arial" w:eastAsia="Arial" w:hAnsi="Arial"/>
          <w:sz w:val="19"/>
          <w:szCs w:val="19"/>
          <w:color w:val="auto"/>
        </w:rPr>
        <w:t>15.3. To the extent that the Company maintains an insurance policy or policies providing liability insurance for directors, officers, trustees, partners,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1" w:lineRule="exact"/>
        <w:rPr>
          <w:sz w:val="20"/>
          <w:szCs w:val="20"/>
          <w:color w:val="auto"/>
        </w:rPr>
      </w:pPr>
    </w:p>
    <w:p>
      <w:pPr>
        <w:ind w:firstLine="1727"/>
        <w:spacing w:after="0" w:line="269" w:lineRule="auto"/>
        <w:rPr>
          <w:sz w:val="20"/>
          <w:szCs w:val="20"/>
          <w:color w:val="auto"/>
        </w:rPr>
      </w:pPr>
      <w:r>
        <w:rPr>
          <w:rFonts w:ascii="Arial" w:cs="Arial" w:eastAsia="Arial" w:hAnsi="Arial"/>
          <w:sz w:val="19"/>
          <w:szCs w:val="19"/>
          <w:color w:val="auto"/>
        </w:rPr>
        <w:t xml:space="preserve">15.4. The Company hereby acknowledges that Indemnitee has certain rights to indemnification, advancement of Expenses and/or insurance provided by the Indemnitee-Related Entities. The Company hereby agrees (i) that it is the indemnitor of first resort (i.e., its obligations to Indemnitee are primary and any obligation of the Indemnitee-Related Entities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not prohibited by (and not merely to the extent affirmatively permitted by) applicable law and as required by the terms of this Agreement and the Certificate of Incorporation or the By-Laws (or any other agreement between the Company and Indemnitee), without regard to any rights Indemnitee may have against the Indemnitee-Related Entities, and (iii) that it irrevocably waives, relinquishes and releases the Indemnitee-Related Entities from any and all claims against the Indemnitee-Related Entities for contribution, subrogation or any other recovery of any kind in respect thereof. The Company further agrees that no advancement or payment by the Indemnitee-Related Entities on behalf of Indemnitee with respect to any claim for which Indemnitee has sought indemnification from the Company shall reduce or otherwise alter the rights of Indemnitee or the obligations of the Company hereunder. Under no circumstance shall the Company be entitled to any right of subrogation or contribution by the Indemnitee-Related Entities. In the event that any of the Indemnitee-Related Entities shall make any advancement or payment on behalf of Indemnitee with respect to any claim for which Indemnitee has sought indemnification from the Company, the Indemnitee-Related Entity making such payment shall have a right of contribution and/or be subrogated to the extent of such advancement or payment to all of the rights of recovery of Indemnitee against the Company, and Indemnitee shall execute all papers reasonably required and take all action reasonably necessary to secure such rights, including, without limitation, execution of such documents as are necessary to enable the Indemnitee-Related Entities to bring suit to enforce such rights. The Company and Indemnitee agree that the Indemnitee-Related Entities are express third party beneficiaries of the terms of this </w:t>
      </w:r>
      <w:r>
        <w:rPr>
          <w:rFonts w:ascii="Arial" w:cs="Arial" w:eastAsia="Arial" w:hAnsi="Arial"/>
          <w:sz w:val="19"/>
          <w:szCs w:val="19"/>
          <w:u w:val="single" w:color="auto"/>
          <w:color w:val="auto"/>
        </w:rPr>
        <w:t>Section 15.4</w:t>
      </w:r>
      <w:r>
        <w:rPr>
          <w:rFonts w:ascii="Arial" w:cs="Arial" w:eastAsia="Arial" w:hAnsi="Arial"/>
          <w:sz w:val="19"/>
          <w:szCs w:val="19"/>
          <w:color w:val="auto"/>
        </w:rPr>
        <w:t xml:space="preserve">, entitled to enforce this </w:t>
      </w:r>
      <w:r>
        <w:rPr>
          <w:rFonts w:ascii="Arial" w:cs="Arial" w:eastAsia="Arial" w:hAnsi="Arial"/>
          <w:sz w:val="19"/>
          <w:szCs w:val="19"/>
          <w:u w:val="single" w:color="auto"/>
          <w:color w:val="auto"/>
        </w:rPr>
        <w:t>Section 15.4</w:t>
      </w:r>
      <w:r>
        <w:rPr>
          <w:rFonts w:ascii="Arial" w:cs="Arial" w:eastAsia="Arial" w:hAnsi="Arial"/>
          <w:sz w:val="19"/>
          <w:szCs w:val="19"/>
          <w:color w:val="auto"/>
        </w:rPr>
        <w:t xml:space="preserve"> as though each of the Indemnitee-Related Entities were a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7" w:name="page58"/>
    <w:bookmarkEnd w:id="57"/>
    <w:p>
      <w:pPr>
        <w:ind w:right="220" w:firstLine="1727"/>
        <w:spacing w:after="0" w:line="236" w:lineRule="auto"/>
        <w:rPr>
          <w:sz w:val="20"/>
          <w:szCs w:val="20"/>
          <w:color w:val="auto"/>
        </w:rPr>
      </w:pPr>
      <w:r>
        <w:rPr>
          <w:rFonts w:ascii="Arial" w:cs="Arial" w:eastAsia="Arial" w:hAnsi="Arial"/>
          <w:sz w:val="22"/>
          <w:szCs w:val="22"/>
          <w:color w:val="auto"/>
        </w:rPr>
        <w:t xml:space="preserve">15.5. Except as provided in </w:t>
      </w:r>
      <w:r>
        <w:rPr>
          <w:rFonts w:ascii="Arial" w:cs="Arial" w:eastAsia="Arial" w:hAnsi="Arial"/>
          <w:sz w:val="22"/>
          <w:szCs w:val="22"/>
          <w:u w:val="single" w:color="auto"/>
          <w:color w:val="auto"/>
        </w:rPr>
        <w:t>Section 15.4</w:t>
      </w:r>
      <w:r>
        <w:rPr>
          <w:rFonts w:ascii="Arial" w:cs="Arial" w:eastAsia="Arial" w:hAnsi="Arial"/>
          <w:sz w:val="22"/>
          <w:szCs w:val="22"/>
          <w:color w:val="auto"/>
        </w:rPr>
        <w:t>, in the event of any payment under this Agreement, the Company shall be subrogated to the extent of such payment to all of the rights of recovery of Indemnitee (other than against the Indemnitee-Related Entities), who shall execute all papers reasonably required and take all action reasonably necessary to secure such rights, including, without limitation, execution of such documents as are necessary to enable the Company to bring suit to enforce such rights.</w:t>
      </w:r>
    </w:p>
    <w:p>
      <w:pPr>
        <w:spacing w:after="0" w:line="187" w:lineRule="exact"/>
        <w:rPr>
          <w:sz w:val="20"/>
          <w:szCs w:val="20"/>
          <w:color w:val="auto"/>
        </w:rPr>
      </w:pPr>
    </w:p>
    <w:p>
      <w:pPr>
        <w:ind w:right="360" w:firstLine="1727"/>
        <w:spacing w:after="0" w:line="238" w:lineRule="auto"/>
        <w:rPr>
          <w:sz w:val="20"/>
          <w:szCs w:val="20"/>
          <w:color w:val="auto"/>
        </w:rPr>
      </w:pPr>
      <w:r>
        <w:rPr>
          <w:rFonts w:ascii="Arial" w:cs="Arial" w:eastAsia="Arial" w:hAnsi="Arial"/>
          <w:sz w:val="22"/>
          <w:szCs w:val="22"/>
          <w:color w:val="auto"/>
        </w:rPr>
        <w:t xml:space="preserve">15.6. Except as provided in </w:t>
      </w:r>
      <w:r>
        <w:rPr>
          <w:rFonts w:ascii="Arial" w:cs="Arial" w:eastAsia="Arial" w:hAnsi="Arial"/>
          <w:sz w:val="22"/>
          <w:szCs w:val="22"/>
          <w:u w:val="single" w:color="auto"/>
          <w:color w:val="auto"/>
        </w:rPr>
        <w:t>Section 15.4</w:t>
      </w:r>
      <w:r>
        <w:rPr>
          <w:rFonts w:ascii="Arial" w:cs="Arial" w:eastAsia="Arial" w:hAnsi="Arial"/>
          <w:sz w:val="22"/>
          <w:szCs w:val="22"/>
          <w:color w:val="auto"/>
        </w:rPr>
        <w:t>, 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pacing w:after="0" w:line="185" w:lineRule="exact"/>
        <w:rPr>
          <w:sz w:val="20"/>
          <w:szCs w:val="20"/>
          <w:color w:val="auto"/>
        </w:rPr>
      </w:pPr>
    </w:p>
    <w:p>
      <w:pPr>
        <w:ind w:right="40" w:firstLine="1727"/>
        <w:spacing w:after="0" w:line="245" w:lineRule="auto"/>
        <w:rPr>
          <w:sz w:val="20"/>
          <w:szCs w:val="20"/>
          <w:color w:val="auto"/>
        </w:rPr>
      </w:pPr>
      <w:r>
        <w:rPr>
          <w:rFonts w:ascii="Arial" w:cs="Arial" w:eastAsia="Arial" w:hAnsi="Arial"/>
          <w:sz w:val="21"/>
          <w:szCs w:val="21"/>
          <w:color w:val="auto"/>
        </w:rPr>
        <w:t xml:space="preserve">15.7. Except as provided in </w:t>
      </w:r>
      <w:r>
        <w:rPr>
          <w:rFonts w:ascii="Arial" w:cs="Arial" w:eastAsia="Arial" w:hAnsi="Arial"/>
          <w:sz w:val="21"/>
          <w:szCs w:val="21"/>
          <w:u w:val="single" w:color="auto"/>
          <w:color w:val="auto"/>
        </w:rPr>
        <w:t>Section 15.4</w:t>
      </w:r>
      <w:r>
        <w:rPr>
          <w:rFonts w:ascii="Arial" w:cs="Arial" w:eastAsia="Arial" w:hAnsi="Arial"/>
          <w:sz w:val="21"/>
          <w:szCs w:val="21"/>
          <w:color w:val="auto"/>
        </w:rPr>
        <w:t>, the Company's obligation to indemnify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payments or advancement of Expenses from such Enterprise. Notwithstanding any other provision of this Agreement to the contrary, (a) Indemnitee shall have no obligation to reduce, offset, allocate, pursue or apportion any indemnification advancement, contribution or insurance coverage among multiple parties possessing such duties to Indemnitee prior to the Company's satisfaction and performance of all its obligations under this Agreement, and (b) the Company shall perform fully its obligations under this Agreement without regard to whether Indemnitee holds, may pursue or has pursued any indemnification, advancement, contribution or insurance coverage rights against any person or entity other than the Company.</w:t>
      </w:r>
    </w:p>
    <w:p>
      <w:pPr>
        <w:spacing w:after="0" w:line="175" w:lineRule="exact"/>
        <w:rPr>
          <w:sz w:val="20"/>
          <w:szCs w:val="20"/>
          <w:color w:val="auto"/>
        </w:rPr>
      </w:pPr>
    </w:p>
    <w:tbl>
      <w:tblPr>
        <w:tblLayout w:type="fixed"/>
        <w:tblInd w:w="1740" w:type="dxa"/>
        <w:tblCellMar>
          <w:top w:w="0" w:type="dxa"/>
          <w:left w:w="0" w:type="dxa"/>
          <w:bottom w:w="0" w:type="dxa"/>
          <w:right w:w="0" w:type="dxa"/>
        </w:tblCellMar>
      </w:tblPr>
      <w:tr>
        <w:trPr>
          <w:trHeight w:val="280"/>
        </w:trPr>
        <w:tc>
          <w:tcPr>
            <w:tcW w:w="1120" w:type="dxa"/>
            <w:vAlign w:val="bottom"/>
          </w:tcPr>
          <w:p>
            <w:pPr>
              <w:spacing w:after="0"/>
              <w:rPr>
                <w:sz w:val="24"/>
                <w:szCs w:val="24"/>
                <w:color w:val="auto"/>
              </w:rPr>
            </w:pPr>
          </w:p>
        </w:tc>
        <w:tc>
          <w:tcPr>
            <w:tcW w:w="7480" w:type="dxa"/>
            <w:vAlign w:val="bottom"/>
          </w:tcPr>
          <w:p>
            <w:pPr>
              <w:jc w:val="center"/>
              <w:ind w:right="1852"/>
              <w:spacing w:after="0"/>
              <w:rPr>
                <w:sz w:val="20"/>
                <w:szCs w:val="20"/>
                <w:color w:val="auto"/>
              </w:rPr>
            </w:pPr>
            <w:r>
              <w:rPr>
                <w:rFonts w:ascii="Arial" w:cs="Arial" w:eastAsia="Arial" w:hAnsi="Arial"/>
                <w:sz w:val="22"/>
                <w:szCs w:val="22"/>
                <w:b w:val="1"/>
                <w:bCs w:val="1"/>
                <w:color w:val="auto"/>
                <w:w w:val="98"/>
              </w:rPr>
              <w:t>ARTICLE 16</w:t>
            </w:r>
          </w:p>
        </w:tc>
      </w:tr>
      <w:tr>
        <w:trPr>
          <w:trHeight w:val="486"/>
        </w:trPr>
        <w:tc>
          <w:tcPr>
            <w:tcW w:w="1120" w:type="dxa"/>
            <w:vAlign w:val="bottom"/>
          </w:tcPr>
          <w:p>
            <w:pPr>
              <w:spacing w:after="0"/>
              <w:rPr>
                <w:sz w:val="24"/>
                <w:szCs w:val="24"/>
                <w:color w:val="auto"/>
              </w:rPr>
            </w:pPr>
          </w:p>
        </w:tc>
        <w:tc>
          <w:tcPr>
            <w:tcW w:w="7480" w:type="dxa"/>
            <w:vAlign w:val="bottom"/>
          </w:tcPr>
          <w:p>
            <w:pPr>
              <w:jc w:val="center"/>
              <w:ind w:right="1832"/>
              <w:spacing w:after="0"/>
              <w:rPr>
                <w:sz w:val="20"/>
                <w:szCs w:val="20"/>
                <w:color w:val="auto"/>
              </w:rPr>
            </w:pPr>
            <w:r>
              <w:rPr>
                <w:rFonts w:ascii="Arial" w:cs="Arial" w:eastAsia="Arial" w:hAnsi="Arial"/>
                <w:sz w:val="22"/>
                <w:szCs w:val="22"/>
                <w:b w:val="1"/>
                <w:bCs w:val="1"/>
                <w:color w:val="auto"/>
                <w:w w:val="99"/>
              </w:rPr>
              <w:t>ENFORCEMENT AND BINDING EFFECT</w:t>
            </w:r>
          </w:p>
        </w:tc>
      </w:tr>
      <w:tr>
        <w:trPr>
          <w:trHeight w:val="905"/>
        </w:trPr>
        <w:tc>
          <w:tcPr>
            <w:tcW w:w="1120" w:type="dxa"/>
            <w:vAlign w:val="bottom"/>
          </w:tcPr>
          <w:p>
            <w:pPr>
              <w:jc w:val="right"/>
              <w:ind w:right="592"/>
              <w:spacing w:after="0"/>
              <w:rPr>
                <w:sz w:val="20"/>
                <w:szCs w:val="20"/>
                <w:color w:val="auto"/>
              </w:rPr>
            </w:pPr>
            <w:r>
              <w:rPr>
                <w:rFonts w:ascii="Arial" w:cs="Arial" w:eastAsia="Arial" w:hAnsi="Arial"/>
                <w:sz w:val="22"/>
                <w:szCs w:val="22"/>
                <w:color w:val="auto"/>
                <w:w w:val="81"/>
              </w:rPr>
              <w:t>16.1.</w:t>
            </w:r>
          </w:p>
        </w:tc>
        <w:tc>
          <w:tcPr>
            <w:tcW w:w="7480" w:type="dxa"/>
            <w:vAlign w:val="bottom"/>
          </w:tcPr>
          <w:p>
            <w:pPr>
              <w:ind w:left="1260"/>
              <w:spacing w:after="0"/>
              <w:rPr>
                <w:sz w:val="20"/>
                <w:szCs w:val="20"/>
                <w:color w:val="auto"/>
              </w:rPr>
            </w:pPr>
            <w:r>
              <w:rPr>
                <w:rFonts w:ascii="Arial" w:cs="Arial" w:eastAsia="Arial" w:hAnsi="Arial"/>
                <w:sz w:val="22"/>
                <w:szCs w:val="22"/>
                <w:color w:val="auto"/>
                <w:w w:val="87"/>
              </w:rPr>
              <w:t>The Company expressly confirms and agrees that it has entered into this</w:t>
            </w:r>
          </w:p>
        </w:tc>
      </w:tr>
    </w:tbl>
    <w:p>
      <w:pPr>
        <w:ind w:right="420"/>
        <w:spacing w:after="0" w:line="248" w:lineRule="auto"/>
        <w:rPr>
          <w:sz w:val="20"/>
          <w:szCs w:val="20"/>
          <w:color w:val="auto"/>
        </w:rPr>
      </w:pPr>
      <w:r>
        <w:rPr>
          <w:rFonts w:ascii="Arial" w:cs="Arial" w:eastAsia="Arial" w:hAnsi="Arial"/>
          <w:sz w:val="21"/>
          <w:szCs w:val="21"/>
          <w:color w:val="auto"/>
        </w:rPr>
        <w:t>Agreement and assumed the obligations imposed on it hereby in order to induce Indemnitee to serve or continue to serve as a director, officer or key employee of the Company, and the Company acknowledges that Indemnitee is relying upon this Agreement in serving or continuing to serve as a director, officer or key employee of the Company.</w:t>
      </w:r>
    </w:p>
    <w:p>
      <w:pPr>
        <w:spacing w:after="0" w:line="178" w:lineRule="exact"/>
        <w:rPr>
          <w:sz w:val="20"/>
          <w:szCs w:val="20"/>
          <w:color w:val="auto"/>
        </w:rPr>
      </w:pPr>
    </w:p>
    <w:p>
      <w:pPr>
        <w:ind w:firstLine="1727"/>
        <w:spacing w:after="0" w:line="236" w:lineRule="auto"/>
        <w:rPr>
          <w:sz w:val="20"/>
          <w:szCs w:val="20"/>
          <w:color w:val="auto"/>
        </w:rPr>
      </w:pPr>
      <w:r>
        <w:rPr>
          <w:rFonts w:ascii="Arial" w:cs="Arial" w:eastAsia="Arial" w:hAnsi="Arial"/>
          <w:sz w:val="22"/>
          <w:szCs w:val="22"/>
          <w:color w:val="auto"/>
        </w:rPr>
        <w:t>16.2. This Agreement shall be effective as of the date set forth on the first page and may apply to acts or omissions of Indemnitee which occurred prior to such date if Indemnitee was an officer, director, employee or other agent of the Company, or was serving at the request of the Company as a director, officer, trustee, general partner, managing member, fiduciary, employee or agent of another corporation, limited liability company, partnership, joint venture, trust or other enterprise, at the time such act or omission occurred.</w:t>
      </w:r>
    </w:p>
    <w:p>
      <w:pPr>
        <w:spacing w:after="0" w:line="187" w:lineRule="exact"/>
        <w:rPr>
          <w:sz w:val="20"/>
          <w:szCs w:val="20"/>
          <w:color w:val="auto"/>
        </w:rPr>
      </w:pPr>
    </w:p>
    <w:p>
      <w:pPr>
        <w:ind w:right="120" w:firstLine="1727"/>
        <w:spacing w:after="0"/>
        <w:rPr>
          <w:sz w:val="20"/>
          <w:szCs w:val="20"/>
          <w:color w:val="auto"/>
        </w:rPr>
      </w:pPr>
      <w:r>
        <w:rPr>
          <w:rFonts w:ascii="Arial" w:cs="Arial" w:eastAsia="Arial" w:hAnsi="Arial"/>
          <w:sz w:val="22"/>
          <w:szCs w:val="22"/>
          <w:color w:val="auto"/>
        </w:rPr>
        <w:t>16.3. The Company and Indemnitee agree herein that a monetary remedy for breach of this Agreement, at some later date, may be inadequate, impracticable and difficult to prove, and further agree that such breach may cause Indemnitee irreparable harm.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ind w:right="100"/>
        <w:spacing w:after="0" w:line="246" w:lineRule="auto"/>
        <w:rPr>
          <w:sz w:val="20"/>
          <w:szCs w:val="20"/>
          <w:color w:val="auto"/>
        </w:rPr>
      </w:pPr>
      <w:r>
        <w:rPr>
          <w:rFonts w:ascii="Arial" w:cs="Arial" w:eastAsia="Arial" w:hAnsi="Arial"/>
          <w:sz w:val="21"/>
          <w:szCs w:val="21"/>
          <w:color w:val="auto"/>
        </w:rPr>
        <w:t>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without limitation,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280"/>
        </w:trPr>
        <w:tc>
          <w:tcPr>
            <w:tcW w:w="1400" w:type="dxa"/>
            <w:vAlign w:val="bottom"/>
          </w:tcPr>
          <w:p>
            <w:pPr>
              <w:spacing w:after="0"/>
              <w:rPr>
                <w:sz w:val="24"/>
                <w:szCs w:val="24"/>
                <w:color w:val="auto"/>
              </w:rPr>
            </w:pPr>
          </w:p>
        </w:tc>
        <w:tc>
          <w:tcPr>
            <w:tcW w:w="8080" w:type="dxa"/>
            <w:vAlign w:val="bottom"/>
          </w:tcPr>
          <w:p>
            <w:pPr>
              <w:jc w:val="center"/>
              <w:ind w:right="3012"/>
              <w:spacing w:after="0"/>
              <w:rPr>
                <w:sz w:val="20"/>
                <w:szCs w:val="20"/>
                <w:color w:val="auto"/>
              </w:rPr>
            </w:pPr>
            <w:r>
              <w:rPr>
                <w:rFonts w:ascii="Arial" w:cs="Arial" w:eastAsia="Arial" w:hAnsi="Arial"/>
                <w:sz w:val="22"/>
                <w:szCs w:val="22"/>
                <w:b w:val="1"/>
                <w:bCs w:val="1"/>
                <w:color w:val="auto"/>
                <w:w w:val="98"/>
              </w:rPr>
              <w:t>ARTICLE 17</w:t>
            </w:r>
          </w:p>
        </w:tc>
      </w:tr>
      <w:tr>
        <w:trPr>
          <w:trHeight w:val="486"/>
        </w:trPr>
        <w:tc>
          <w:tcPr>
            <w:tcW w:w="1400" w:type="dxa"/>
            <w:vAlign w:val="bottom"/>
          </w:tcPr>
          <w:p>
            <w:pPr>
              <w:spacing w:after="0"/>
              <w:rPr>
                <w:sz w:val="24"/>
                <w:szCs w:val="24"/>
                <w:color w:val="auto"/>
              </w:rPr>
            </w:pPr>
          </w:p>
        </w:tc>
        <w:tc>
          <w:tcPr>
            <w:tcW w:w="8080" w:type="dxa"/>
            <w:vAlign w:val="bottom"/>
          </w:tcPr>
          <w:p>
            <w:pPr>
              <w:jc w:val="center"/>
              <w:ind w:right="2992"/>
              <w:spacing w:after="0"/>
              <w:rPr>
                <w:sz w:val="20"/>
                <w:szCs w:val="20"/>
                <w:color w:val="auto"/>
              </w:rPr>
            </w:pPr>
            <w:r>
              <w:rPr>
                <w:rFonts w:ascii="Arial" w:cs="Arial" w:eastAsia="Arial" w:hAnsi="Arial"/>
                <w:sz w:val="22"/>
                <w:szCs w:val="22"/>
                <w:b w:val="1"/>
                <w:bCs w:val="1"/>
                <w:color w:val="auto"/>
                <w:w w:val="99"/>
              </w:rPr>
              <w:t>MISCELLANEOUS</w:t>
            </w:r>
          </w:p>
        </w:tc>
      </w:tr>
      <w:tr>
        <w:trPr>
          <w:trHeight w:val="905"/>
        </w:trPr>
        <w:tc>
          <w:tcPr>
            <w:tcW w:w="1400" w:type="dxa"/>
            <w:vAlign w:val="bottom"/>
          </w:tcPr>
          <w:p>
            <w:pPr>
              <w:jc w:val="right"/>
              <w:ind w:right="872"/>
              <w:spacing w:after="0"/>
              <w:rPr>
                <w:sz w:val="20"/>
                <w:szCs w:val="20"/>
                <w:color w:val="auto"/>
              </w:rPr>
            </w:pPr>
            <w:r>
              <w:rPr>
                <w:rFonts w:ascii="Arial" w:cs="Arial" w:eastAsia="Arial" w:hAnsi="Arial"/>
                <w:sz w:val="22"/>
                <w:szCs w:val="22"/>
                <w:color w:val="auto"/>
                <w:w w:val="81"/>
              </w:rPr>
              <w:t>17.1.</w:t>
            </w:r>
          </w:p>
        </w:tc>
        <w:tc>
          <w:tcPr>
            <w:tcW w:w="8080" w:type="dxa"/>
            <w:vAlign w:val="bottom"/>
          </w:tcPr>
          <w:p>
            <w:pPr>
              <w:ind w:left="980"/>
              <w:spacing w:after="0"/>
              <w:rPr>
                <w:sz w:val="20"/>
                <w:szCs w:val="20"/>
                <w:color w:val="auto"/>
              </w:rPr>
            </w:pPr>
            <w:r>
              <w:rPr>
                <w:rFonts w:ascii="Arial" w:cs="Arial" w:eastAsia="Arial" w:hAnsi="Arial"/>
                <w:sz w:val="22"/>
                <w:szCs w:val="22"/>
                <w:u w:val="single" w:color="auto"/>
                <w:color w:val="auto"/>
                <w:w w:val="88"/>
              </w:rPr>
              <w:t>Successors and Assigns</w:t>
            </w:r>
            <w:r>
              <w:rPr>
                <w:rFonts w:ascii="Arial" w:cs="Arial" w:eastAsia="Arial" w:hAnsi="Arial"/>
                <w:sz w:val="22"/>
                <w:szCs w:val="22"/>
                <w:color w:val="auto"/>
                <w:w w:val="88"/>
              </w:rPr>
              <w:t>. This Agreement shall be binding upon the Company and</w:t>
            </w:r>
          </w:p>
        </w:tc>
      </w:tr>
    </w:tbl>
    <w:p>
      <w:pPr>
        <w:ind w:right="160"/>
        <w:spacing w:after="0" w:line="277" w:lineRule="auto"/>
        <w:rPr>
          <w:sz w:val="20"/>
          <w:szCs w:val="20"/>
          <w:color w:val="auto"/>
        </w:rPr>
      </w:pPr>
      <w:r>
        <w:rPr>
          <w:rFonts w:ascii="Arial" w:cs="Arial" w:eastAsia="Arial" w:hAnsi="Arial"/>
          <w:sz w:val="19"/>
          <w:szCs w:val="19"/>
          <w:color w:val="auto"/>
        </w:rPr>
        <w:t>its successors and assigns and shall inure to the benefit of Indemnitee and Indemnitee's assigns, heirs, executors and administrators. The Company shall require and cause any successor (whether direct or indirect successor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52" w:lineRule="exact"/>
        <w:rPr>
          <w:sz w:val="20"/>
          <w:szCs w:val="20"/>
          <w:color w:val="auto"/>
        </w:rPr>
      </w:pPr>
    </w:p>
    <w:p>
      <w:pPr>
        <w:ind w:firstLine="1727"/>
        <w:spacing w:after="0" w:line="274"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Section 409A</w:t>
      </w:r>
      <w:r>
        <w:rPr>
          <w:rFonts w:ascii="Arial" w:cs="Arial" w:eastAsia="Arial" w:hAnsi="Arial"/>
          <w:sz w:val="19"/>
          <w:szCs w:val="19"/>
          <w:color w:val="auto"/>
        </w:rPr>
        <w:t>. It is intended that any indemnification payment or advancement of Expenses made hereunder shall be exempt from Section 409A of the Internal Revenue Code of 1986, as amended, and the guidance issued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pursuant to Treasury Regulation Section 1.409A-1(b)(10). Notwithstanding the foregoing, if any indemnification payment or advancement of Expenses made hereunder shall be determined to be "nonqualified deferred compensation" within the meaning of Section 409A, then (i) the amount of the indemnification payment or advancement of Expenses during one taxable year shall not affect the amount of the indemnification payments or advancement of Expenses during any other taxable year, (ii) the indemnification payments or advancement of Expenses must be made on or before the last day of the Indemnitee's taxable year following the year in which the expense was incurred, and (iii) the right to indemnification payments or advancement of Expenses hereunder is not subject to liquidation or exchange for another benefit.</w:t>
      </w:r>
    </w:p>
    <w:p>
      <w:pPr>
        <w:spacing w:after="0" w:line="158" w:lineRule="exact"/>
        <w:rPr>
          <w:sz w:val="20"/>
          <w:szCs w:val="20"/>
          <w:color w:val="auto"/>
        </w:rPr>
      </w:pPr>
    </w:p>
    <w:p>
      <w:pPr>
        <w:ind w:right="20" w:firstLine="1727"/>
        <w:spacing w:after="0" w:line="282" w:lineRule="auto"/>
        <w:rPr>
          <w:sz w:val="20"/>
          <w:szCs w:val="20"/>
          <w:color w:val="auto"/>
        </w:rPr>
      </w:pPr>
      <w:r>
        <w:rPr>
          <w:rFonts w:ascii="Arial" w:cs="Arial" w:eastAsia="Arial" w:hAnsi="Arial"/>
          <w:sz w:val="19"/>
          <w:szCs w:val="19"/>
          <w:color w:val="auto"/>
        </w:rPr>
        <w:t xml:space="preserve">17.3.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provision of this Agreement is determined by a court to require the Company to do or to fail to do an act which is in violation of applicable law, such provision (including, without limitation, any provision within a single Article, Section, paragraph or sentence) shall be limited or modified in its application to the minimum extent necessary to avoid a violation of law, and, as so limited or modified, such provision and the balance of this Agreement shall be enforceable in accordance with their terms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9" w:name="page60"/>
    <w:bookmarkEnd w:id="59"/>
    <w:p>
      <w:pPr>
        <w:ind w:right="100" w:firstLine="1727"/>
        <w:spacing w:after="0" w:line="238" w:lineRule="auto"/>
        <w:rPr>
          <w:sz w:val="20"/>
          <w:szCs w:val="20"/>
          <w:color w:val="auto"/>
        </w:rPr>
      </w:pPr>
      <w:r>
        <w:rPr>
          <w:rFonts w:ascii="Arial" w:cs="Arial" w:eastAsia="Arial" w:hAnsi="Arial"/>
          <w:sz w:val="22"/>
          <w:szCs w:val="22"/>
          <w:color w:val="auto"/>
        </w:rPr>
        <w:t xml:space="preserve">17.4. </w:t>
      </w:r>
      <w:r>
        <w:rPr>
          <w:rFonts w:ascii="Arial" w:cs="Arial" w:eastAsia="Arial" w:hAnsi="Arial"/>
          <w:sz w:val="22"/>
          <w:szCs w:val="22"/>
          <w:u w:val="single" w:color="auto"/>
          <w:color w:val="auto"/>
        </w:rPr>
        <w:t>Entire Agreement</w:t>
      </w:r>
      <w:r>
        <w:rPr>
          <w:rFonts w:ascii="Arial" w:cs="Arial" w:eastAsia="Arial" w:hAnsi="Arial"/>
          <w:sz w:val="22"/>
          <w:szCs w:val="22"/>
          <w:color w:val="auto"/>
        </w:rPr>
        <w:t>. Without limiting any of the rights of Indemnitee under the Certificate of Incorporation or By-Laws,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5" w:lineRule="exact"/>
        <w:rPr>
          <w:sz w:val="20"/>
          <w:szCs w:val="20"/>
          <w:color w:val="auto"/>
        </w:rPr>
      </w:pPr>
    </w:p>
    <w:p>
      <w:pPr>
        <w:ind w:left="1740"/>
        <w:spacing w:after="0"/>
        <w:tabs>
          <w:tab w:leader="none" w:pos="410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u w:val="single" w:color="auto"/>
          <w:color w:val="auto"/>
        </w:rPr>
        <w:t>Modification, Waiver and Termination</w:t>
      </w:r>
      <w:r>
        <w:rPr>
          <w:rFonts w:ascii="Arial" w:cs="Arial" w:eastAsia="Arial" w:hAnsi="Arial"/>
          <w:sz w:val="19"/>
          <w:szCs w:val="19"/>
          <w:color w:val="auto"/>
        </w:rPr>
        <w:t>. No supplement, modification,</w:t>
      </w:r>
    </w:p>
    <w:p>
      <w:pPr>
        <w:spacing w:after="0" w:line="8"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termination, cancellation or amendment of this Agreement shall be binding unless executed in writing by the parties hereto.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No waiver of any of the provisions of this Agreement shall be deemed or shall constitute a waiver of any other provisions of this Agreement nor shall any waiver constitute a continuing waiver.</w:t>
      </w:r>
    </w:p>
    <w:p>
      <w:pPr>
        <w:spacing w:after="0" w:line="152" w:lineRule="exact"/>
        <w:rPr>
          <w:sz w:val="20"/>
          <w:szCs w:val="20"/>
          <w:color w:val="auto"/>
        </w:rPr>
      </w:pPr>
    </w:p>
    <w:p>
      <w:pPr>
        <w:ind w:right="20" w:firstLine="1727"/>
        <w:spacing w:after="0" w:line="238" w:lineRule="auto"/>
        <w:rPr>
          <w:sz w:val="20"/>
          <w:szCs w:val="20"/>
          <w:color w:val="auto"/>
        </w:rPr>
      </w:pPr>
      <w:r>
        <w:rPr>
          <w:rFonts w:ascii="Arial" w:cs="Arial" w:eastAsia="Arial" w:hAnsi="Arial"/>
          <w:sz w:val="22"/>
          <w:szCs w:val="22"/>
          <w:color w:val="auto"/>
        </w:rPr>
        <w:t xml:space="preserve">17.6.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under this Agreement shall be in writing and shall be deemed to have been duly given (a) if delivered by hand and receipted for by the party to whom said notice or other communication shall have been directed, or (b) mailed by certified or registered mail with postage prepaid, on the third business day after the date on which it is so mailed:</w:t>
      </w:r>
    </w:p>
    <w:p>
      <w:pPr>
        <w:spacing w:after="0" w:line="185" w:lineRule="exact"/>
        <w:rPr>
          <w:sz w:val="20"/>
          <w:szCs w:val="20"/>
          <w:color w:val="auto"/>
        </w:rPr>
      </w:pPr>
    </w:p>
    <w:p>
      <w:pPr>
        <w:ind w:firstLine="2600"/>
        <w:spacing w:after="0" w:line="250" w:lineRule="auto"/>
        <w:tabs>
          <w:tab w:leader="none" w:pos="34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to Indemnitee, at the address indicated on the signature page of this Agreement, or such other address as Indemnitee shall provide in writing to the Company.</w:t>
      </w:r>
    </w:p>
    <w:p>
      <w:pPr>
        <w:spacing w:after="0" w:line="174" w:lineRule="exact"/>
        <w:rPr>
          <w:rFonts w:ascii="Arial" w:cs="Arial" w:eastAsia="Arial" w:hAnsi="Arial"/>
          <w:sz w:val="22"/>
          <w:szCs w:val="22"/>
          <w:color w:val="auto"/>
        </w:rPr>
      </w:pPr>
    </w:p>
    <w:p>
      <w:pPr>
        <w:ind w:left="3520" w:hanging="920"/>
        <w:spacing w:after="0"/>
        <w:tabs>
          <w:tab w:leader="none" w:pos="35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vTv Therapeutics Inc.</w:t>
      </w:r>
    </w:p>
    <w:p>
      <w:pPr>
        <w:ind w:left="3460"/>
        <w:spacing w:after="0" w:line="238" w:lineRule="auto"/>
        <w:rPr>
          <w:sz w:val="20"/>
          <w:szCs w:val="20"/>
          <w:color w:val="auto"/>
        </w:rPr>
      </w:pPr>
      <w:r>
        <w:rPr>
          <w:rFonts w:ascii="Arial" w:cs="Arial" w:eastAsia="Arial" w:hAnsi="Arial"/>
          <w:sz w:val="22"/>
          <w:szCs w:val="22"/>
          <w:color w:val="auto"/>
        </w:rPr>
        <w:t>4170 Mendenhall Oaks Pkwy</w:t>
      </w:r>
    </w:p>
    <w:p>
      <w:pPr>
        <w:ind w:left="3460"/>
        <w:spacing w:after="0" w:line="230" w:lineRule="auto"/>
        <w:rPr>
          <w:sz w:val="20"/>
          <w:szCs w:val="20"/>
          <w:color w:val="auto"/>
        </w:rPr>
      </w:pPr>
      <w:r>
        <w:rPr>
          <w:rFonts w:ascii="Arial" w:cs="Arial" w:eastAsia="Arial" w:hAnsi="Arial"/>
          <w:sz w:val="22"/>
          <w:szCs w:val="22"/>
          <w:color w:val="auto"/>
        </w:rPr>
        <w:t>High Point, NC 27265</w:t>
      </w:r>
    </w:p>
    <w:p>
      <w:pPr>
        <w:ind w:left="3460"/>
        <w:spacing w:after="0" w:line="231" w:lineRule="auto"/>
        <w:rPr>
          <w:sz w:val="20"/>
          <w:szCs w:val="20"/>
          <w:color w:val="auto"/>
        </w:rPr>
      </w:pPr>
      <w:r>
        <w:rPr>
          <w:rFonts w:ascii="Arial" w:cs="Arial" w:eastAsia="Arial" w:hAnsi="Arial"/>
          <w:sz w:val="22"/>
          <w:szCs w:val="22"/>
          <w:color w:val="auto"/>
        </w:rPr>
        <w:t>Attn: Chief Financial Officer</w:t>
      </w:r>
    </w:p>
    <w:p>
      <w:pPr>
        <w:ind w:left="3460"/>
        <w:spacing w:after="0" w:line="230" w:lineRule="auto"/>
        <w:tabs>
          <w:tab w:leader="none" w:pos="812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22"/>
          <w:szCs w:val="22"/>
          <w:color w:val="auto"/>
        </w:rPr>
        <w:t>(336)-841-0300</w:t>
      </w:r>
    </w:p>
    <w:p>
      <w:pPr>
        <w:spacing w:after="0" w:line="231" w:lineRule="auto"/>
        <w:rPr>
          <w:sz w:val="20"/>
          <w:szCs w:val="20"/>
          <w:color w:val="auto"/>
        </w:rPr>
      </w:pPr>
      <w:r>
        <w:rPr>
          <w:rFonts w:ascii="Arial" w:cs="Arial" w:eastAsia="Arial" w:hAnsi="Arial"/>
          <w:sz w:val="22"/>
          <w:szCs w:val="22"/>
          <w:color w:val="auto"/>
        </w:rPr>
        <w:t>or to any other address as may have been furnished to Indemnitee in writing by the Company.</w:t>
      </w:r>
    </w:p>
    <w:p>
      <w:pPr>
        <w:ind w:right="140" w:firstLine="1727"/>
        <w:spacing w:after="0" w:line="244" w:lineRule="auto"/>
        <w:rPr>
          <w:sz w:val="20"/>
          <w:szCs w:val="20"/>
          <w:color w:val="auto"/>
        </w:rPr>
      </w:pPr>
      <w:r>
        <w:rPr>
          <w:rFonts w:ascii="Arial" w:cs="Arial" w:eastAsia="Arial" w:hAnsi="Arial"/>
          <w:sz w:val="21"/>
          <w:szCs w:val="21"/>
          <w:color w:val="auto"/>
        </w:rPr>
        <w:t xml:space="preserve">17.7. </w:t>
      </w:r>
      <w:r>
        <w:rPr>
          <w:rFonts w:ascii="Arial" w:cs="Arial" w:eastAsia="Arial" w:hAnsi="Arial"/>
          <w:sz w:val="21"/>
          <w:szCs w:val="21"/>
          <w:u w:val="single" w:color="auto"/>
          <w:color w:val="auto"/>
        </w:rPr>
        <w:t>Applicable Law</w:t>
      </w:r>
      <w:r>
        <w:rPr>
          <w:rFonts w:ascii="Arial" w:cs="Arial" w:eastAsia="Arial" w:hAnsi="Arial"/>
          <w:sz w:val="21"/>
          <w:szCs w:val="21"/>
          <w:color w:val="auto"/>
        </w:rPr>
        <w:t>. This Agreement and the legal relations among the parties shall be governed by, and construed and enforced in accordance with, the laws of the State of Delaware, without regard to its conflict of laws rules. If, notwithstanding the foregoing sentence, a 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83" w:lineRule="exact"/>
        <w:rPr>
          <w:sz w:val="20"/>
          <w:szCs w:val="20"/>
          <w:color w:val="auto"/>
        </w:rPr>
      </w:pPr>
    </w:p>
    <w:p>
      <w:pPr>
        <w:ind w:right="800" w:firstLine="1727"/>
        <w:spacing w:after="0" w:line="250" w:lineRule="auto"/>
        <w:rPr>
          <w:sz w:val="20"/>
          <w:szCs w:val="20"/>
          <w:color w:val="auto"/>
        </w:rPr>
      </w:pPr>
      <w:r>
        <w:rPr>
          <w:rFonts w:ascii="Arial" w:cs="Arial" w:eastAsia="Arial" w:hAnsi="Arial"/>
          <w:sz w:val="22"/>
          <w:szCs w:val="22"/>
          <w:color w:val="auto"/>
        </w:rPr>
        <w:t xml:space="preserve">17.8.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This Agreement may be executed in one or more counterparts, each of which shall for all purposes be deemed to be an original but all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0" w:name="page61"/>
    <w:bookmarkEnd w:id="60"/>
    <w:p>
      <w:pPr>
        <w:ind w:right="1200"/>
        <w:spacing w:after="0" w:line="274" w:lineRule="auto"/>
        <w:rPr>
          <w:sz w:val="20"/>
          <w:szCs w:val="20"/>
          <w:color w:val="auto"/>
        </w:rPr>
      </w:pPr>
      <w:r>
        <w:rPr>
          <w:rFonts w:ascii="Arial" w:cs="Arial" w:eastAsia="Arial" w:hAnsi="Arial"/>
          <w:sz w:val="21"/>
          <w:szCs w:val="21"/>
          <w:color w:val="auto"/>
        </w:rPr>
        <w:t>together shall constitute one and the same Agreement. Only one such counterpart signed by the party against whom enforceability is sought needs to be produced to evidence the existence of this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tcPr>
          <w:p>
            <w:pPr>
              <w:ind w:left="1740"/>
              <w:spacing w:after="0"/>
              <w:rPr>
                <w:sz w:val="20"/>
                <w:szCs w:val="20"/>
                <w:color w:val="auto"/>
              </w:rPr>
            </w:pPr>
            <w:r>
              <w:rPr>
                <w:rFonts w:ascii="Arial" w:cs="Arial" w:eastAsia="Arial" w:hAnsi="Arial"/>
                <w:sz w:val="22"/>
                <w:szCs w:val="22"/>
                <w:color w:val="auto"/>
              </w:rPr>
              <w:t>17.9.</w:t>
            </w:r>
          </w:p>
        </w:tc>
        <w:tc>
          <w:tcPr>
            <w:tcW w:w="7040" w:type="dxa"/>
            <w:vAlign w:val="bottom"/>
            <w:gridSpan w:val="4"/>
          </w:tcPr>
          <w:p>
            <w:pPr>
              <w:spacing w:after="0"/>
              <w:rPr>
                <w:sz w:val="20"/>
                <w:szCs w:val="20"/>
                <w:color w:val="auto"/>
              </w:rPr>
            </w:pPr>
            <w:r>
              <w:rPr>
                <w:rFonts w:ascii="Arial" w:cs="Arial" w:eastAsia="Arial" w:hAnsi="Arial"/>
                <w:sz w:val="22"/>
                <w:szCs w:val="22"/>
                <w:color w:val="auto"/>
                <w:w w:val="93"/>
              </w:rPr>
              <w:t>Headings. The headings of the paragraphs of this Agreement are inserted for</w:t>
            </w:r>
          </w:p>
        </w:tc>
      </w:tr>
      <w:tr>
        <w:trPr>
          <w:trHeight w:val="20"/>
        </w:trPr>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74"/>
        </w:trPr>
        <w:tc>
          <w:tcPr>
            <w:tcW w:w="11160" w:type="dxa"/>
            <w:vAlign w:val="bottom"/>
            <w:gridSpan w:val="5"/>
          </w:tcPr>
          <w:p>
            <w:pPr>
              <w:spacing w:after="0"/>
              <w:rPr>
                <w:sz w:val="20"/>
                <w:szCs w:val="20"/>
                <w:color w:val="auto"/>
              </w:rPr>
            </w:pPr>
            <w:r>
              <w:rPr>
                <w:rFonts w:ascii="Arial" w:cs="Arial" w:eastAsia="Arial" w:hAnsi="Arial"/>
                <w:sz w:val="22"/>
                <w:szCs w:val="22"/>
                <w:color w:val="auto"/>
                <w:w w:val="99"/>
              </w:rPr>
              <w:t>convenience only and shall not be deemed to constitute part of this Agreement or to affect the construction thereof.</w:t>
            </w:r>
          </w:p>
        </w:tc>
      </w:tr>
      <w:tr>
        <w:trPr>
          <w:trHeight w:val="408"/>
        </w:trPr>
        <w:tc>
          <w:tcPr>
            <w:tcW w:w="4120" w:type="dxa"/>
            <w:vAlign w:val="bottom"/>
          </w:tcPr>
          <w:p>
            <w:pPr>
              <w:ind w:left="1740"/>
              <w:spacing w:after="0"/>
              <w:rPr>
                <w:sz w:val="20"/>
                <w:szCs w:val="20"/>
                <w:color w:val="auto"/>
              </w:rPr>
            </w:pPr>
            <w:r>
              <w:rPr>
                <w:rFonts w:ascii="Arial" w:cs="Arial" w:eastAsia="Arial" w:hAnsi="Arial"/>
                <w:sz w:val="22"/>
                <w:szCs w:val="22"/>
                <w:color w:val="auto"/>
              </w:rPr>
              <w:t>17.10.</w:t>
            </w:r>
          </w:p>
        </w:tc>
        <w:tc>
          <w:tcPr>
            <w:tcW w:w="100" w:type="dxa"/>
            <w:vAlign w:val="bottom"/>
          </w:tcPr>
          <w:p>
            <w:pPr>
              <w:spacing w:after="0"/>
              <w:rPr>
                <w:sz w:val="24"/>
                <w:szCs w:val="24"/>
                <w:color w:val="auto"/>
              </w:rPr>
            </w:pPr>
          </w:p>
        </w:tc>
        <w:tc>
          <w:tcPr>
            <w:tcW w:w="6940" w:type="dxa"/>
            <w:vAlign w:val="bottom"/>
            <w:gridSpan w:val="3"/>
          </w:tcPr>
          <w:p>
            <w:pPr>
              <w:spacing w:after="0"/>
              <w:rPr>
                <w:sz w:val="20"/>
                <w:szCs w:val="20"/>
                <w:color w:val="auto"/>
              </w:rPr>
            </w:pPr>
            <w:r>
              <w:rPr>
                <w:rFonts w:ascii="Arial" w:cs="Arial" w:eastAsia="Arial" w:hAnsi="Arial"/>
                <w:sz w:val="22"/>
                <w:szCs w:val="22"/>
                <w:color w:val="auto"/>
                <w:w w:val="87"/>
              </w:rPr>
              <w:t>Representation by Counsel. Each of the parties has been represented by and has</w:t>
            </w: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had an opportunity to consult legal counsel in connection with the negotiation and execution of this Agreement. No provision of this Agreement shall be construed against or interpreted to the disadvantage of any party by any court or arbitrator or any governmental authority by reason of such party having drafted or being deemed to have drafted such provision.</w:t>
      </w:r>
    </w:p>
    <w:p>
      <w:pPr>
        <w:spacing w:after="0" w:line="134" w:lineRule="exact"/>
        <w:rPr>
          <w:sz w:val="20"/>
          <w:szCs w:val="20"/>
          <w:color w:val="auto"/>
        </w:rPr>
      </w:pPr>
    </w:p>
    <w:p>
      <w:pPr>
        <w:ind w:firstLine="1727"/>
        <w:spacing w:after="0" w:line="235" w:lineRule="auto"/>
        <w:rPr>
          <w:sz w:val="20"/>
          <w:szCs w:val="20"/>
          <w:color w:val="auto"/>
        </w:rPr>
      </w:pPr>
      <w:r>
        <w:rPr>
          <w:rFonts w:ascii="Arial" w:cs="Arial" w:eastAsia="Arial" w:hAnsi="Arial"/>
          <w:sz w:val="22"/>
          <w:szCs w:val="22"/>
          <w:color w:val="auto"/>
        </w:rPr>
        <w:t xml:space="preserve">17.11. </w:t>
      </w:r>
      <w:r>
        <w:rPr>
          <w:rFonts w:ascii="Arial" w:cs="Arial" w:eastAsia="Arial" w:hAnsi="Arial"/>
          <w:sz w:val="22"/>
          <w:szCs w:val="22"/>
          <w:u w:val="single" w:color="auto"/>
          <w:color w:val="auto"/>
        </w:rPr>
        <w:t>Period of Limitations</w:t>
      </w:r>
      <w:r>
        <w:rPr>
          <w:rFonts w:ascii="Arial" w:cs="Arial" w:eastAsia="Arial" w:hAnsi="Arial"/>
          <w:sz w:val="22"/>
          <w:szCs w:val="22"/>
          <w:color w:val="auto"/>
        </w:rPr>
        <w:t xml:space="preserve">.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shorter period of limitations is otherwise applicable to any such cause of action such shorter period shall govern.</w:t>
      </w:r>
    </w:p>
    <w:p>
      <w:pPr>
        <w:spacing w:after="0" w:line="188" w:lineRule="exact"/>
        <w:rPr>
          <w:sz w:val="20"/>
          <w:szCs w:val="20"/>
          <w:color w:val="auto"/>
        </w:rPr>
      </w:pPr>
    </w:p>
    <w:p>
      <w:pPr>
        <w:ind w:right="40" w:firstLine="1727"/>
        <w:spacing w:after="0" w:line="238" w:lineRule="auto"/>
        <w:rPr>
          <w:sz w:val="20"/>
          <w:szCs w:val="20"/>
          <w:color w:val="auto"/>
        </w:rPr>
      </w:pPr>
      <w:r>
        <w:rPr>
          <w:rFonts w:ascii="Arial" w:cs="Arial" w:eastAsia="Arial" w:hAnsi="Arial"/>
          <w:sz w:val="22"/>
          <w:szCs w:val="22"/>
          <w:color w:val="auto"/>
        </w:rPr>
        <w:t xml:space="preserve">17.12. </w:t>
      </w:r>
      <w:r>
        <w:rPr>
          <w:rFonts w:ascii="Arial" w:cs="Arial" w:eastAsia="Arial" w:hAnsi="Arial"/>
          <w:sz w:val="22"/>
          <w:szCs w:val="22"/>
          <w:u w:val="single" w:color="auto"/>
          <w:color w:val="auto"/>
        </w:rPr>
        <w:t>Additional Acts</w:t>
      </w:r>
      <w:r>
        <w:rPr>
          <w:rFonts w:ascii="Arial" w:cs="Arial" w:eastAsia="Arial" w:hAnsi="Arial"/>
          <w:sz w:val="22"/>
          <w:szCs w:val="22"/>
          <w:color w:val="auto"/>
        </w:rPr>
        <w:t>. If for the validation of any of the provisions in this Agreement any act, resolution, approval or other procedure is required, the Company undertakes to cause such act, resolution, approval or other procedure to be affected or adopted in a manner that will enable the Company to fulfill its obligations under this Agreement.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860425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61" w:name="page62"/>
    <w:bookmarkEnd w:id="61"/>
    <w:p>
      <w:pPr>
        <w:ind w:firstLine="1727"/>
        <w:spacing w:after="0" w:line="250" w:lineRule="auto"/>
        <w:rPr>
          <w:sz w:val="20"/>
          <w:szCs w:val="20"/>
          <w:color w:val="auto"/>
        </w:rPr>
      </w:pPr>
      <w:r>
        <w:rPr>
          <w:rFonts w:ascii="Arial" w:cs="Arial" w:eastAsia="Arial" w:hAnsi="Arial"/>
          <w:sz w:val="22"/>
          <w:szCs w:val="22"/>
          <w:color w:val="auto"/>
        </w:rPr>
        <w:t>IN WITNESS WHEREOF, the parties hereto have caused this Indemnification Agreement to be signed as of the day and year first above written.</w:t>
      </w:r>
    </w:p>
    <w:p>
      <w:pPr>
        <w:spacing w:after="0" w:line="200" w:lineRule="exact"/>
        <w:rPr>
          <w:sz w:val="20"/>
          <w:szCs w:val="20"/>
          <w:color w:val="auto"/>
        </w:rPr>
      </w:pPr>
    </w:p>
    <w:p>
      <w:pPr>
        <w:spacing w:after="0" w:line="360"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COMPANY:</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VTV THERAPEUTICS INC.</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Richard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6985</wp:posOffset>
            </wp:positionV>
            <wp:extent cx="33343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22"/>
          <w:szCs w:val="22"/>
          <w:color w:val="auto"/>
        </w:rPr>
        <w:t>Name: Richard Nelson</w:t>
      </w:r>
    </w:p>
    <w:p>
      <w:pPr>
        <w:ind w:left="5980"/>
        <w:spacing w:after="0"/>
        <w:rPr>
          <w:sz w:val="20"/>
          <w:szCs w:val="20"/>
          <w:color w:val="auto"/>
        </w:rPr>
      </w:pPr>
      <w:r>
        <w:rPr>
          <w:rFonts w:ascii="Arial" w:cs="Arial" w:eastAsia="Arial" w:hAnsi="Arial"/>
          <w:sz w:val="22"/>
          <w:szCs w:val="22"/>
          <w:color w:val="auto"/>
        </w:rPr>
        <w:t>Title: Acting Chief Executive Officer</w:t>
      </w:r>
    </w:p>
    <w:p>
      <w:pPr>
        <w:spacing w:after="0" w:line="182"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INDEMNITEE:</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Deepa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6985</wp:posOffset>
            </wp:positionV>
            <wp:extent cx="33343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Deepa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22"/>
          <w:szCs w:val="22"/>
          <w:u w:val="single" w:color="auto"/>
          <w:color w:val="auto"/>
        </w:rPr>
        <w:t>MUTUAL RELEASE</w:t>
      </w:r>
    </w:p>
    <w:p>
      <w:pPr>
        <w:spacing w:after="0" w:line="8" w:lineRule="exact"/>
        <w:rPr>
          <w:sz w:val="20"/>
          <w:szCs w:val="20"/>
          <w:color w:val="auto"/>
        </w:rPr>
      </w:pPr>
    </w:p>
    <w:p>
      <w:pPr>
        <w:ind w:right="160" w:firstLine="864"/>
        <w:spacing w:after="0" w:line="266" w:lineRule="auto"/>
        <w:rPr>
          <w:sz w:val="20"/>
          <w:szCs w:val="20"/>
          <w:color w:val="auto"/>
        </w:rPr>
      </w:pPr>
      <w:r>
        <w:rPr>
          <w:rFonts w:ascii="Arial" w:cs="Arial" w:eastAsia="Arial" w:hAnsi="Arial"/>
          <w:sz w:val="19"/>
          <w:szCs w:val="19"/>
          <w:color w:val="auto"/>
        </w:rPr>
        <w:t>THIS MUTUAL RELEASE (the “</w:t>
      </w:r>
      <w:r>
        <w:rPr>
          <w:rFonts w:ascii="Arial" w:cs="Arial" w:eastAsia="Arial" w:hAnsi="Arial"/>
          <w:sz w:val="19"/>
          <w:szCs w:val="19"/>
          <w:u w:val="single" w:color="auto"/>
          <w:color w:val="auto"/>
        </w:rPr>
        <w:t>Release</w:t>
      </w:r>
      <w:r>
        <w:rPr>
          <w:rFonts w:ascii="Arial" w:cs="Arial" w:eastAsia="Arial" w:hAnsi="Arial"/>
          <w:sz w:val="19"/>
          <w:szCs w:val="19"/>
          <w:color w:val="auto"/>
        </w:rPr>
        <w:t>”) is made and entered into as of March 4, 2022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vTv Therapeutics Inc., a Delaware corporation, and vTv Therapeutics LLC, a Delaware limited liability company, for themselves and their respective officers, directors, partners, agents, employees, affiliates (including for the avoidance of doubt, MacAndrews &amp; Forbes Incorporated, and its direct and indirect shareholders, and its officers, directors, partners, agents, employees and affiliates), successors and assigns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 and Deepa Prasad (the “</w:t>
      </w:r>
      <w:r>
        <w:rPr>
          <w:rFonts w:ascii="Arial" w:cs="Arial" w:eastAsia="Arial" w:hAnsi="Arial"/>
          <w:sz w:val="19"/>
          <w:szCs w:val="19"/>
          <w:u w:val="single" w:color="auto"/>
          <w:color w:val="auto"/>
        </w:rPr>
        <w:t>Executive</w:t>
      </w:r>
      <w:r>
        <w:rPr>
          <w:rFonts w:ascii="Arial" w:cs="Arial" w:eastAsia="Arial" w:hAnsi="Arial"/>
          <w:sz w:val="19"/>
          <w:szCs w:val="19"/>
          <w:color w:val="auto"/>
        </w:rPr>
        <w:t>”), for good and valuable consideration, the receipt of which is hereby acknowledged.</w:t>
      </w:r>
    </w:p>
    <w:p>
      <w:pPr>
        <w:spacing w:after="0" w:line="5" w:lineRule="exact"/>
        <w:rPr>
          <w:sz w:val="20"/>
          <w:szCs w:val="20"/>
          <w:color w:val="auto"/>
        </w:rPr>
      </w:pPr>
    </w:p>
    <w:p>
      <w:pPr>
        <w:ind w:firstLine="872"/>
        <w:spacing w:after="0" w:line="266" w:lineRule="auto"/>
        <w:tabs>
          <w:tab w:leader="none" w:pos="167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Release by the Company</w:t>
      </w:r>
      <w:r>
        <w:rPr>
          <w:rFonts w:ascii="Arial" w:cs="Arial" w:eastAsia="Arial" w:hAnsi="Arial"/>
          <w:sz w:val="19"/>
          <w:szCs w:val="19"/>
          <w:color w:val="auto"/>
        </w:rPr>
        <w:t>. Upon execution of this Release, the Company does hereby relinquish, waive, release, acquit and forever discharge the Executive, from and against any and all claims, disputes, actions, charges, contractual obligations, controversies, complaints, causes of action, rights, demands, suits, debts, damages, judgments or accountings of whatever nature, at law or in equity, known or unknown, asserted or not asserted, which the Company ever had, now has, or hereafter can, shall or may have against the Executive, arising from or related to or in connection with the Executive’s employment by the Company or services rendered in her capacity as President and Chief Executive Officer or ceasing to serve as President, Chief Executive Officer or employee or as a Director of the Company or otherwise prior to and including the Effective Date. Notwithstanding the above, this provision shall not apply to (a) any claims arising after the Effective Date, including any claim for breach of this Release, or (b) any claims that cannot be legally waived or released as a matter of law.</w:t>
      </w:r>
    </w:p>
    <w:p>
      <w:pPr>
        <w:spacing w:after="0" w:line="7" w:lineRule="exact"/>
        <w:rPr>
          <w:rFonts w:ascii="Arial" w:cs="Arial" w:eastAsia="Arial" w:hAnsi="Arial"/>
          <w:sz w:val="19"/>
          <w:szCs w:val="19"/>
          <w:color w:val="auto"/>
        </w:rPr>
      </w:pPr>
    </w:p>
    <w:p>
      <w:pPr>
        <w:ind w:right="480" w:firstLine="872"/>
        <w:spacing w:after="0" w:line="236" w:lineRule="auto"/>
        <w:tabs>
          <w:tab w:leader="none" w:pos="167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Release by the Executive</w:t>
      </w:r>
      <w:r>
        <w:rPr>
          <w:rFonts w:ascii="Arial" w:cs="Arial" w:eastAsia="Arial" w:hAnsi="Arial"/>
          <w:sz w:val="22"/>
          <w:szCs w:val="22"/>
          <w:color w:val="auto"/>
        </w:rPr>
        <w:t>. Upon execution of this Release, the Executive does hereby relinquish, waive, release, acquit and forever discharge the Company, from and against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64" w:name="page65"/>
    <w:bookmarkEnd w:id="64"/>
    <w:p>
      <w:pPr>
        <w:spacing w:after="0" w:line="271" w:lineRule="auto"/>
        <w:rPr>
          <w:sz w:val="20"/>
          <w:szCs w:val="20"/>
          <w:color w:val="auto"/>
        </w:rPr>
      </w:pPr>
      <w:r>
        <w:rPr>
          <w:rFonts w:ascii="Arial" w:cs="Arial" w:eastAsia="Arial" w:hAnsi="Arial"/>
          <w:sz w:val="19"/>
          <w:szCs w:val="19"/>
          <w:color w:val="auto"/>
        </w:rPr>
        <w:t>any and all claims, disputes, actions, charges, contractual obligations, controversies, complaints, causes of action, rights, demands, suits, debts, damages, judgments or accountings of whatever nature, at law or in equity, known or unknown, asserted or not asserted, which the Executive ever had, now has, or hereafter can, shall or may have against the Company, arising from or related to or in connection with the Executive's employment by the Company or services rendered in her capacity as President and Chief Executive Officer or ceasing to serve as President, Chief Executive Officer or employee or as a Director of the Company or otherwise prior to and including the Effective Date. Notwithstanding the above, this provision shall not apply to (a) any claims arising after the Effective Date, including any claim for breach of this Release; (b) any claims that cannot be legally waived or released as a matter of law; or (c) any claims for indemnification arising under any indemnification agreement between the parties, or based on the Company's certificate of incorporation, by-laws, or the law of the State of Delaware as it pertains to indemnification of corporate officers and directors from the beginning of the Executive's employment with the Company on October 19, 2021 through and including the Effective Date, including but not limited to any claims for indemnification, costs or attorneys' fees relating to the Executive's employment by the Company or her service as President and Chief Executive Officer or as a Director of the Company.</w:t>
      </w:r>
    </w:p>
    <w:p>
      <w:pPr>
        <w:spacing w:after="0" w:line="217" w:lineRule="exact"/>
        <w:rPr>
          <w:sz w:val="20"/>
          <w:szCs w:val="20"/>
          <w:color w:val="auto"/>
        </w:rPr>
      </w:pPr>
    </w:p>
    <w:p>
      <w:pPr>
        <w:jc w:val="both"/>
        <w:ind w:right="80" w:firstLine="872"/>
        <w:spacing w:after="0" w:line="266" w:lineRule="auto"/>
        <w:tabs>
          <w:tab w:leader="none" w:pos="167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General Release</w:t>
      </w:r>
      <w:r>
        <w:rPr>
          <w:rFonts w:ascii="Arial" w:cs="Arial" w:eastAsia="Arial" w:hAnsi="Arial"/>
          <w:sz w:val="19"/>
          <w:szCs w:val="19"/>
          <w:color w:val="auto"/>
        </w:rPr>
        <w:t>. This Release is intended to be effective as a general release of and bar to all claims as stated in this Section. Accordingly, each party specifically waives all rights under California Civil Code Section 1542, which states, "A</w:t>
      </w:r>
    </w:p>
    <w:p>
      <w:pPr>
        <w:spacing w:after="0" w:line="1" w:lineRule="exact"/>
        <w:rPr>
          <w:rFonts w:ascii="Arial" w:cs="Arial" w:eastAsia="Arial" w:hAnsi="Arial"/>
          <w:sz w:val="19"/>
          <w:szCs w:val="19"/>
          <w:color w:val="auto"/>
        </w:rPr>
      </w:pPr>
    </w:p>
    <w:p>
      <w:pPr>
        <w:ind w:right="300"/>
        <w:spacing w:after="0" w:line="236" w:lineRule="auto"/>
        <w:rPr>
          <w:rFonts w:ascii="Arial" w:cs="Arial" w:eastAsia="Arial" w:hAnsi="Arial"/>
          <w:sz w:val="19"/>
          <w:szCs w:val="19"/>
          <w:color w:val="auto"/>
        </w:rPr>
      </w:pPr>
      <w:r>
        <w:rPr>
          <w:rFonts w:ascii="Arial" w:cs="Arial" w:eastAsia="Arial" w:hAnsi="Arial"/>
          <w:sz w:val="22"/>
          <w:szCs w:val="22"/>
          <w:color w:val="auto"/>
        </w:rPr>
        <w:t>GENERAL RELEASE DOES NOT EXTEND TO CLAIMS THAT THE CREDITOR OR RELEASING PARTY DOES NOT KNOW OR SUSPECT TO EXIST IN HIS OR HER FAVOR AT THE TIME OF EXECUTING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5" w:name="page66"/>
    <w:bookmarkEnd w:id="65"/>
    <w:p>
      <w:pPr>
        <w:ind w:right="80"/>
        <w:spacing w:after="0" w:line="233" w:lineRule="auto"/>
        <w:rPr>
          <w:sz w:val="20"/>
          <w:szCs w:val="20"/>
          <w:color w:val="auto"/>
        </w:rPr>
      </w:pPr>
      <w:r>
        <w:rPr>
          <w:rFonts w:ascii="Arial" w:cs="Arial" w:eastAsia="Arial" w:hAnsi="Arial"/>
          <w:sz w:val="22"/>
          <w:szCs w:val="22"/>
          <w:color w:val="auto"/>
        </w:rPr>
        <w:t>THE RELEASE AND THAT, IF KNOWN BY HIM OR HER, WOULD HAVE MATERIALLY AFFECTED HIS OR HER SETTLEMENT WITH THE DEBTOR OR RELEASED PARTY," or under any provision of Delaware law with similar effect. Each party acknowledges that it may later discover claims or facts in addition to or different from those which it now knows or believes to exist with regards to the subject matter of this Release, and which, if known or suspected at the time of executing this Release, may have materially affected its terms. Nevertheless, each party waives any and all claims that might arise as a result of such different or additional claims or facts.</w:t>
      </w:r>
    </w:p>
    <w:p>
      <w:pPr>
        <w:spacing w:after="0" w:line="2" w:lineRule="exact"/>
        <w:rPr>
          <w:sz w:val="20"/>
          <w:szCs w:val="20"/>
          <w:color w:val="auto"/>
        </w:rPr>
      </w:pPr>
    </w:p>
    <w:p>
      <w:pPr>
        <w:ind w:firstLine="872"/>
        <w:spacing w:after="0" w:line="266" w:lineRule="auto"/>
        <w:tabs>
          <w:tab w:leader="none" w:pos="1674"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Protected Rights</w:t>
      </w:r>
      <w:r>
        <w:rPr>
          <w:rFonts w:ascii="Arial" w:cs="Arial" w:eastAsia="Arial" w:hAnsi="Arial"/>
          <w:sz w:val="19"/>
          <w:szCs w:val="19"/>
          <w:color w:val="auto"/>
        </w:rPr>
        <w:t>. Notwithstanding any other provision in this Release or any other agreement that the Executive may have entered into with the Company (collectively, the "</w:t>
      </w:r>
      <w:r>
        <w:rPr>
          <w:rFonts w:ascii="Arial" w:cs="Arial" w:eastAsia="Arial" w:hAnsi="Arial"/>
          <w:sz w:val="19"/>
          <w:szCs w:val="19"/>
          <w:u w:val="single" w:color="auto"/>
          <w:color w:val="auto"/>
        </w:rPr>
        <w:t>Agreements</w:t>
      </w:r>
      <w:r>
        <w:rPr>
          <w:rFonts w:ascii="Arial" w:cs="Arial" w:eastAsia="Arial" w:hAnsi="Arial"/>
          <w:sz w:val="19"/>
          <w:szCs w:val="19"/>
          <w:color w:val="auto"/>
        </w:rPr>
        <w:t>"), nothing contained in any of the Agreements</w:t>
      </w:r>
    </w:p>
    <w:p>
      <w:pPr>
        <w:spacing w:after="0" w:line="1" w:lineRule="exact"/>
        <w:rPr>
          <w:rFonts w:ascii="Arial" w:cs="Arial" w:eastAsia="Arial" w:hAnsi="Arial"/>
          <w:sz w:val="19"/>
          <w:szCs w:val="19"/>
          <w:color w:val="auto"/>
        </w:rPr>
      </w:pPr>
    </w:p>
    <w:p>
      <w:pPr>
        <w:ind w:right="80" w:firstLine="8"/>
        <w:spacing w:after="0" w:line="272" w:lineRule="auto"/>
        <w:tabs>
          <w:tab w:leader="none" w:pos="258" w:val="left"/>
        </w:tabs>
        <w:numPr>
          <w:ilvl w:val="0"/>
          <w:numId w:val="26"/>
        </w:numPr>
        <w:rPr>
          <w:rFonts w:ascii="Arial" w:cs="Arial" w:eastAsia="Arial" w:hAnsi="Arial"/>
          <w:sz w:val="19"/>
          <w:szCs w:val="19"/>
          <w:color w:val="auto"/>
        </w:rPr>
      </w:pPr>
      <w:r>
        <w:rPr>
          <w:rFonts w:ascii="Arial" w:cs="Arial" w:eastAsia="Arial" w:hAnsi="Arial"/>
          <w:sz w:val="19"/>
          <w:szCs w:val="19"/>
          <w:color w:val="auto"/>
        </w:rPr>
        <w:t>prohibit the Executive from reporting to the staff of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possible violations of any law or regulation of the SEC, (ii) prohibit the Executive from making other disclosures to the staff of the SEC that are protected under the whistleblower provisions of any federal securities laws or regulations, or (iii) limit the Executive's right to receive an award for information provided to the SEC staff in accordance with the foregoing. Please note that the Executive does not need the prior authorizations of the Company to engage in such reports, communications or disclosures and the Executive is not required to notify the Company if the Executive engages in any such reports, communications or disclosures. For the avoidance of doubt, nothing in the Agreements prohibits the Company from reporting any matters to the SEC or other applicable governmental or regulatory authority or complying with any applicable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6" w:name="page67"/>
    <w:bookmarkEnd w:id="66"/>
    <w:p>
      <w:pPr>
        <w:ind w:left="-872" w:right="20" w:firstLine="872"/>
        <w:spacing w:after="0" w:line="269" w:lineRule="auto"/>
        <w:tabs>
          <w:tab w:leader="none" w:pos="80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Release shall be construed in accordance with and governed by the substantive laws of the State of Delaware, without reference to conflict of laws principles. Each party irrevocably agrees for the exclusive benefit of the other that any and all suits, actions or proceedings relating to this Release (a "</w:t>
      </w:r>
      <w:r>
        <w:rPr>
          <w:rFonts w:ascii="Arial" w:cs="Arial" w:eastAsia="Arial" w:hAnsi="Arial"/>
          <w:sz w:val="19"/>
          <w:szCs w:val="19"/>
          <w:u w:val="single" w:color="auto"/>
          <w:color w:val="auto"/>
        </w:rPr>
        <w:t>Proceeding</w:t>
      </w:r>
      <w:r>
        <w:rPr>
          <w:rFonts w:ascii="Arial" w:cs="Arial" w:eastAsia="Arial" w:hAnsi="Arial"/>
          <w:sz w:val="19"/>
          <w:szCs w:val="19"/>
          <w:color w:val="auto"/>
        </w:rPr>
        <w:t>") shall be maintained in either the courts of the State of Delaware or the federal District Courts sitting in Wilmington, Delaware (collectively, the "</w:t>
      </w:r>
      <w:r>
        <w:rPr>
          <w:rFonts w:ascii="Arial" w:cs="Arial" w:eastAsia="Arial" w:hAnsi="Arial"/>
          <w:sz w:val="19"/>
          <w:szCs w:val="19"/>
          <w:u w:val="single" w:color="auto"/>
          <w:color w:val="auto"/>
        </w:rPr>
        <w:t>Chosen Courts</w:t>
      </w:r>
      <w:r>
        <w:rPr>
          <w:rFonts w:ascii="Arial" w:cs="Arial" w:eastAsia="Arial" w:hAnsi="Arial"/>
          <w:sz w:val="19"/>
          <w:szCs w:val="19"/>
          <w:color w:val="auto"/>
        </w:rPr>
        <w:t>") and that the Chosen Courts shall have exclusive jurisdiction to hear and determine or settle any such Proceeding and that any such Proceedings shall only be brought in the Chosen Courts. Each party irrevocably waives any objection that it may have now or hereafter to the laying of the venue of any Proceedings in the Chosen Courts and any claim that any Proceedings have been brought in an inconvenient forum and further irrevocably agrees that a judgment in any Proceeding brought in the Chosen Courts shall be conclusive and binding upon it and may be enforced in the courts of any other jurisdiction.</w:t>
      </w:r>
    </w:p>
    <w:p>
      <w:pPr>
        <w:spacing w:after="0" w:line="1" w:lineRule="exact"/>
        <w:rPr>
          <w:rFonts w:ascii="Arial" w:cs="Arial" w:eastAsia="Arial" w:hAnsi="Arial"/>
          <w:sz w:val="19"/>
          <w:szCs w:val="19"/>
          <w:color w:val="auto"/>
        </w:rPr>
      </w:pPr>
    </w:p>
    <w:p>
      <w:pPr>
        <w:jc w:val="both"/>
        <w:ind w:left="-872" w:right="120" w:firstLine="872"/>
        <w:spacing w:after="0" w:line="230" w:lineRule="auto"/>
        <w:tabs>
          <w:tab w:leader="none" w:pos="80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Acknowledgements</w:t>
      </w:r>
      <w:r>
        <w:rPr>
          <w:rFonts w:ascii="Arial" w:cs="Arial" w:eastAsia="Arial" w:hAnsi="Arial"/>
          <w:sz w:val="22"/>
          <w:szCs w:val="22"/>
          <w:color w:val="auto"/>
        </w:rPr>
        <w:t>. The Executive acknowledges and agrees that the Executive was represented by counsel and agrees to all the provisions in this Release. Neither this Release nor the furnishing of the consideration for this Release shall be deemed or construed at any time for any purpose as an admission by any party of wrongdoing or evidence of any liability or unlawful conduct of any kind.</w:t>
      </w:r>
    </w:p>
    <w:p>
      <w:pPr>
        <w:spacing w:after="0" w:line="2" w:lineRule="exact"/>
        <w:rPr>
          <w:rFonts w:ascii="Arial" w:cs="Arial" w:eastAsia="Arial" w:hAnsi="Arial"/>
          <w:sz w:val="22"/>
          <w:szCs w:val="22"/>
          <w:color w:val="auto"/>
        </w:rPr>
      </w:pPr>
    </w:p>
    <w:p>
      <w:pPr>
        <w:ind w:left="-872" w:firstLine="872"/>
        <w:spacing w:after="0" w:line="280" w:lineRule="auto"/>
        <w:tabs>
          <w:tab w:leader="none" w:pos="80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Release may be executed in counterparts, and when each party has signed and delivered at least one such counterpart to the other party, each counterpart shall be deemed an original, and all counterparts taken together shall constitute one and the same agreement, which shall be binding and effective as to all parties. This Release may be executed via facsimile or e-mail signatures, which shall have the same force and effect as if they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533400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8"/>
          </w:cols>
          <w:pgMar w:left="1192" w:top="334" w:right="37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original signatures.</w:t>
      </w:r>
    </w:p>
    <w:p>
      <w:pPr>
        <w:spacing w:after="0" w:line="8" w:lineRule="exact"/>
        <w:rPr>
          <w:sz w:val="20"/>
          <w:szCs w:val="20"/>
          <w:color w:val="auto"/>
        </w:rPr>
      </w:pPr>
    </w:p>
    <w:p>
      <w:pPr>
        <w:ind w:right="260" w:firstLine="872"/>
        <w:spacing w:after="0" w:line="230" w:lineRule="auto"/>
        <w:tabs>
          <w:tab w:leader="none" w:pos="167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Whenever the text hereof requires, the use of gender or singular number shall include the appropriate gender or plural number as the text of the within instrument may require.</w:t>
      </w:r>
    </w:p>
    <w:p>
      <w:pPr>
        <w:spacing w:after="0" w:line="1" w:lineRule="exact"/>
        <w:rPr>
          <w:rFonts w:ascii="Arial" w:cs="Arial" w:eastAsia="Arial" w:hAnsi="Arial"/>
          <w:sz w:val="22"/>
          <w:szCs w:val="22"/>
          <w:color w:val="auto"/>
        </w:rPr>
      </w:pPr>
    </w:p>
    <w:p>
      <w:pPr>
        <w:ind w:right="500" w:firstLine="872"/>
        <w:spacing w:after="0" w:line="236" w:lineRule="auto"/>
        <w:tabs>
          <w:tab w:leader="none" w:pos="167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This Release may not be altered, modified or changed in any manner, nor may any of the conditions herein be waived, except by a writing duly executed by the parties hereto.</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IN WITNESS WHEREOF, the parties have executed this Release as of the date first written above.</w:t>
      </w:r>
    </w:p>
    <w:p>
      <w:pPr>
        <w:spacing w:after="0" w:line="20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VTV THERAPEUTICS INC.</w:t>
      </w:r>
    </w:p>
    <w:p>
      <w:pPr>
        <w:spacing w:after="0" w:line="206" w:lineRule="exact"/>
        <w:rPr>
          <w:sz w:val="20"/>
          <w:szCs w:val="20"/>
          <w:color w:val="auto"/>
        </w:rPr>
      </w:pPr>
    </w:p>
    <w:tbl>
      <w:tblPr>
        <w:tblLayout w:type="fixed"/>
        <w:tblInd w:w="5420" w:type="dxa"/>
        <w:tblCellMar>
          <w:top w:w="0" w:type="dxa"/>
          <w:left w:w="0" w:type="dxa"/>
          <w:bottom w:w="0" w:type="dxa"/>
          <w:right w:w="0" w:type="dxa"/>
        </w:tblCellMar>
      </w:tblPr>
      <w:tr>
        <w:trPr>
          <w:trHeight w:val="264"/>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Richard Nelson</w:t>
            </w:r>
          </w:p>
        </w:tc>
      </w:tr>
      <w:tr>
        <w:trPr>
          <w:trHeight w:val="215"/>
        </w:trPr>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060" w:type="dxa"/>
            <w:vAlign w:val="bottom"/>
          </w:tcPr>
          <w:p>
            <w:pPr>
              <w:spacing w:after="0" w:line="216" w:lineRule="exact"/>
              <w:rPr>
                <w:sz w:val="20"/>
                <w:szCs w:val="20"/>
                <w:color w:val="auto"/>
              </w:rPr>
            </w:pPr>
            <w:r>
              <w:rPr>
                <w:rFonts w:ascii="Arial" w:cs="Arial" w:eastAsia="Arial" w:hAnsi="Arial"/>
                <w:sz w:val="22"/>
                <w:szCs w:val="22"/>
                <w:color w:val="auto"/>
              </w:rPr>
              <w:t>Richard Nelson</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5060" w:type="dxa"/>
            <w:vAlign w:val="bottom"/>
          </w:tcPr>
          <w:p>
            <w:pPr>
              <w:spacing w:after="0"/>
              <w:rPr>
                <w:sz w:val="20"/>
                <w:szCs w:val="20"/>
                <w:color w:val="auto"/>
              </w:rPr>
            </w:pPr>
            <w:r>
              <w:rPr>
                <w:rFonts w:ascii="Arial" w:cs="Arial" w:eastAsia="Arial" w:hAnsi="Arial"/>
                <w:sz w:val="22"/>
                <w:szCs w:val="22"/>
                <w:color w:val="auto"/>
              </w:rPr>
              <w:t>Acting Chief Executive Officer</w:t>
            </w:r>
          </w:p>
        </w:tc>
      </w:tr>
      <w:tr>
        <w:trPr>
          <w:trHeight w:val="459"/>
        </w:trPr>
        <w:tc>
          <w:tcPr>
            <w:tcW w:w="5820" w:type="dxa"/>
            <w:vAlign w:val="bottom"/>
            <w:gridSpan w:val="2"/>
          </w:tcPr>
          <w:p>
            <w:pPr>
              <w:spacing w:after="0"/>
              <w:rPr>
                <w:sz w:val="20"/>
                <w:szCs w:val="20"/>
                <w:color w:val="auto"/>
              </w:rPr>
            </w:pPr>
            <w:r>
              <w:rPr>
                <w:rFonts w:ascii="Arial" w:cs="Arial" w:eastAsia="Arial" w:hAnsi="Arial"/>
                <w:sz w:val="22"/>
                <w:szCs w:val="22"/>
                <w:color w:val="auto"/>
              </w:rPr>
              <w:t>VTV THERAPEUTICS LLC</w:t>
            </w:r>
          </w:p>
        </w:tc>
      </w:tr>
      <w:tr>
        <w:trPr>
          <w:trHeight w:val="449"/>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Richard Nelson</w:t>
            </w:r>
          </w:p>
        </w:tc>
      </w:tr>
      <w:tr>
        <w:trPr>
          <w:trHeight w:val="215"/>
        </w:trPr>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060" w:type="dxa"/>
            <w:vAlign w:val="bottom"/>
          </w:tcPr>
          <w:p>
            <w:pPr>
              <w:spacing w:after="0" w:line="216" w:lineRule="exact"/>
              <w:rPr>
                <w:sz w:val="20"/>
                <w:szCs w:val="20"/>
                <w:color w:val="auto"/>
              </w:rPr>
            </w:pPr>
            <w:r>
              <w:rPr>
                <w:rFonts w:ascii="Arial" w:cs="Arial" w:eastAsia="Arial" w:hAnsi="Arial"/>
                <w:sz w:val="22"/>
                <w:szCs w:val="22"/>
                <w:color w:val="auto"/>
              </w:rPr>
              <w:t>Richard Nelson</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5060" w:type="dxa"/>
            <w:vAlign w:val="bottom"/>
          </w:tcPr>
          <w:p>
            <w:pPr>
              <w:spacing w:after="0"/>
              <w:rPr>
                <w:sz w:val="20"/>
                <w:szCs w:val="20"/>
                <w:color w:val="auto"/>
              </w:rPr>
            </w:pPr>
            <w:r>
              <w:rPr>
                <w:rFonts w:ascii="Arial" w:cs="Arial" w:eastAsia="Arial" w:hAnsi="Arial"/>
                <w:sz w:val="22"/>
                <w:szCs w:val="22"/>
                <w:color w:val="auto"/>
              </w:rPr>
              <w:t>Acting Chief Executive Officer</w:t>
            </w:r>
          </w:p>
        </w:tc>
      </w:tr>
    </w:tbl>
    <w:p>
      <w:pPr>
        <w:spacing w:after="0" w:line="200" w:lineRule="exact"/>
        <w:rPr>
          <w:sz w:val="20"/>
          <w:szCs w:val="20"/>
          <w:color w:val="auto"/>
        </w:rPr>
      </w:pPr>
    </w:p>
    <w:p>
      <w:pPr>
        <w:spacing w:after="0" w:line="20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 Deepa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6985</wp:posOffset>
            </wp:positionV>
            <wp:extent cx="3694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Deepa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2"/>
          <w:szCs w:val="22"/>
          <w:b w:val="1"/>
          <w:bCs w:val="1"/>
          <w:color w:val="auto"/>
        </w:rPr>
        <w:t>vTv Therapeutics Announces CEO Transition</w:t>
      </w:r>
    </w:p>
    <w:p>
      <w:pPr>
        <w:spacing w:after="0" w:line="212"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 xml:space="preserve">HIGH POINT, N.C., March 03, 2022 -- </w:t>
      </w:r>
      <w:r>
        <w:rPr>
          <w:rFonts w:ascii="Arial" w:cs="Arial" w:eastAsia="Arial" w:hAnsi="Arial"/>
          <w:sz w:val="22"/>
          <w:szCs w:val="22"/>
          <w:u w:val="single" w:color="auto"/>
          <w:color w:val="auto"/>
        </w:rPr>
        <w:t>vTv Therapeutics Inc.</w:t>
      </w:r>
      <w:r>
        <w:rPr>
          <w:rFonts w:ascii="Arial" w:cs="Arial" w:eastAsia="Arial" w:hAnsi="Arial"/>
          <w:sz w:val="22"/>
          <w:szCs w:val="22"/>
          <w:color w:val="auto"/>
        </w:rPr>
        <w:t xml:space="preserve"> (Nasdaq: VTVT) a clinical-stage biopharmaceutical company focused on the development of orally administered treatments for type 1 diabetes, today announced that the Company has appointed Rich Nelson as Acting Chief Executive Officer. Mr. Nelson joined the vTv Board of Directors in 2020, and currently serves as Executive Vice President Corporate &amp; Business Development of Vericast, and Executive Vice President Corporate Development for MacAndrews &amp; Forbes. He brings more than 25 years of business and legal experience in mergers &amp; acquisitions and corporate development.</w:t>
      </w:r>
    </w:p>
    <w:p>
      <w:pPr>
        <w:spacing w:after="0" w:line="188"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Deepa Prasad, who has been serving as the Company's Chief Executive Officer and a member of the Board of Directors, has informed the Company that she will be resigning. Ms. Prasad helped to streamline company operations to focus on TTP399, its promising, lead drug in development, and will serve as a Strategic Advisor to the Company for the next six-months. The Company values Ms. Prasad's experience and appreciates her willingness to advise Rich Nelson on the transition.</w:t>
      </w:r>
    </w:p>
    <w:p>
      <w:pPr>
        <w:spacing w:after="0" w:line="143"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Mr. Nelson will work closely with the Company's Board of Directors as vTv continues to progress in the development of its pipeline of novel therapeutics, particularly TTP339, an orally administered treatments for diabetes.</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"I am dedicated to the long-term growth and development of the Company and look forward to working with vTv's talented employees, scientists, and partners during this exciting time," Mr. Nelson said. The positive Phase 2 study results and FDA Breakthrough Therapy Designation for TTP339 are very promising milestones in the development of a novel treatment for such a serious issue impacting the lives of millions of patients and their families worldwide."</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TTP399 is a novel, oral, liver-selective glucokinase activator that showed ~40% reduction in hypoglycemic episodes compared to placebo in its Phase 2 study and was granted Breakthrough Therapy Designation by the FDA. In October, the Company announced positive results of its mechanistic study showing no increased risk of ketoacidosis. Additionally, zero hypoglycemic episodes occurred in the TTP399 arm while four occurred on placebo. The Company looks forward to launching pivotal trials in 2022.</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vTv Therapeutics</w:t>
      </w:r>
    </w:p>
    <w:p>
      <w:pPr>
        <w:spacing w:after="0" w:line="14"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vTv Therapeutics Inc. is a clinical-stage biopharmaceutical company focused on developing oral, small molecule drug candidates. vTv has a pipeline of clinical drug candidates led by programs for the treatment of type 1 diabetes and psoriasis. vTv's development partners are pursuing additional indications in type 2 diabetes, chronic obstructive pulmonary disease, renal disease, primary mitochondrial myopathy, and pancreatic cancer. For more information, please visit www.vtvtherapeutics.com or follow us on Twitter: @vTvTherapeutics.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This release contains forward-looking statements, which involve risks and uncertainties. These forward-looking statements can be identified by the use of forward-looking terminology,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0" w:name="page71"/>
    <w:bookmarkEnd w:id="70"/>
    <w:p>
      <w:pPr>
        <w:spacing w:after="0" w:line="270" w:lineRule="auto"/>
        <w:rPr>
          <w:sz w:val="20"/>
          <w:szCs w:val="20"/>
          <w:color w:val="auto"/>
        </w:rPr>
      </w:pPr>
      <w:r>
        <w:rPr>
          <w:rFonts w:ascii="Arial" w:cs="Arial" w:eastAsia="Arial" w:hAnsi="Arial"/>
          <w:sz w:val="19"/>
          <w:szCs w:val="19"/>
          <w:color w:val="auto"/>
        </w:rPr>
        <w:t>including the terms "anticipate," "believe," "could," "estimate," "expect," "intend," "may," "plan," "potential," "predict," "project," "should," "target," "will," "would" and, in each case, their negative or other various or comparable terminology. All statements other than statements of historical facts contained in this release, including statements regarding the timing of our clinical trials,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those described under the heading "Risk Factors" in our Annual Report on Form 10-K and our other filings with the SEC. These forward-looking statements reflect our views with respect to future events as of the date of this release and are based on assumptions and subject to risks and uncertainties. Given these uncertainties, you should not place undue reliance on these forward-looking statements. These forward-looking statements represent our estimates and assumptions only as of the date of this release and, except as required by law, we undertake no obligation to update or review publicly any forward-looking statements, whether as a result of new information, future events or otherwise after the date of this release. We anticipate that subsequent events and developments will cause our views to change.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40"/>
          </w:cols>
          <w:pgMar w:left="320" w:top="334" w:right="439" w:bottom="1440" w:gutter="0" w:footer="0" w:header="0"/>
        </w:sectPr>
      </w:pPr>
    </w:p>
    <w:bookmarkStart w:id="71" w:name="page72"/>
    <w:bookmarkEnd w:id="71"/>
    <w:p>
      <w:pPr>
        <w:jc w:val="right"/>
        <w:ind w:right="20"/>
        <w:spacing w:after="0"/>
        <w:rPr>
          <w:sz w:val="20"/>
          <w:szCs w:val="20"/>
          <w:color w:val="auto"/>
        </w:rPr>
      </w:pPr>
      <w:r>
        <w:rPr>
          <w:rFonts w:ascii="Arial" w:cs="Arial" w:eastAsia="Arial" w:hAnsi="Arial"/>
          <w:sz w:val="18"/>
          <w:szCs w:val="18"/>
          <w:b w:val="1"/>
          <w:bCs w:val="1"/>
          <w:color w:val="auto"/>
        </w:rPr>
        <w:t>Exhibit 10.2</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EMPLOYMENT AGREEMENT</w:t>
      </w:r>
    </w:p>
    <w:p>
      <w:pPr>
        <w:spacing w:after="0" w:line="260" w:lineRule="exact"/>
        <w:rPr>
          <w:sz w:val="20"/>
          <w:szCs w:val="20"/>
          <w:color w:val="auto"/>
        </w:rPr>
      </w:pPr>
    </w:p>
    <w:p>
      <w:pPr>
        <w:ind w:left="180" w:right="660" w:firstLine="1632"/>
        <w:spacing w:after="0" w:line="297" w:lineRule="auto"/>
        <w:rPr>
          <w:sz w:val="20"/>
          <w:szCs w:val="20"/>
          <w:color w:val="auto"/>
        </w:rPr>
      </w:pPr>
      <w:r>
        <w:rPr>
          <w:rFonts w:ascii="Arial" w:cs="Arial" w:eastAsia="Arial" w:hAnsi="Arial"/>
          <w:sz w:val="19"/>
          <w:szCs w:val="19"/>
          <w:color w:val="auto"/>
        </w:rPr>
        <w:t>THIS EMPLOYMENT AGREEMENT, dated as of March 1, 2022, by and between vTv Therapeutics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Richard S. Nelson (the “</w:t>
      </w:r>
      <w:r>
        <w:rPr>
          <w:rFonts w:ascii="Arial" w:cs="Arial" w:eastAsia="Arial" w:hAnsi="Arial"/>
          <w:sz w:val="19"/>
          <w:szCs w:val="19"/>
          <w:u w:val="single" w:color="auto"/>
          <w:color w:val="auto"/>
        </w:rPr>
        <w:t>Executive</w:t>
      </w:r>
      <w:r>
        <w:rPr>
          <w:rFonts w:ascii="Arial" w:cs="Arial" w:eastAsia="Arial" w:hAnsi="Arial"/>
          <w:sz w:val="19"/>
          <w:szCs w:val="19"/>
          <w:color w:val="auto"/>
        </w:rPr>
        <w:t>”), and for certain purposes specified herein, only, vTv Therapeutics Inc., a Delaware corporation (“</w:t>
      </w:r>
      <w:r>
        <w:rPr>
          <w:rFonts w:ascii="Arial" w:cs="Arial" w:eastAsia="Arial" w:hAnsi="Arial"/>
          <w:sz w:val="19"/>
          <w:szCs w:val="19"/>
          <w:u w:val="single" w:color="auto"/>
          <w:color w:val="auto"/>
        </w:rPr>
        <w:t>vTv</w:t>
      </w:r>
      <w:r>
        <w:rPr>
          <w:rFonts w:ascii="Arial" w:cs="Arial" w:eastAsia="Arial" w:hAnsi="Arial"/>
          <w:sz w:val="19"/>
          <w:szCs w:val="19"/>
          <w:color w:val="auto"/>
        </w:rPr>
        <w:t>”).</w:t>
      </w:r>
    </w:p>
    <w:p>
      <w:pPr>
        <w:spacing w:after="0" w:line="188" w:lineRule="exact"/>
        <w:rPr>
          <w:sz w:val="20"/>
          <w:szCs w:val="20"/>
          <w:color w:val="auto"/>
        </w:rPr>
      </w:pPr>
    </w:p>
    <w:p>
      <w:pPr>
        <w:ind w:left="180" w:right="800" w:firstLine="1632"/>
        <w:spacing w:after="0" w:line="328" w:lineRule="auto"/>
        <w:rPr>
          <w:sz w:val="20"/>
          <w:szCs w:val="20"/>
          <w:color w:val="auto"/>
        </w:rPr>
      </w:pPr>
      <w:r>
        <w:rPr>
          <w:rFonts w:ascii="Arial" w:cs="Arial" w:eastAsia="Arial" w:hAnsi="Arial"/>
          <w:sz w:val="19"/>
          <w:szCs w:val="19"/>
          <w:color w:val="auto"/>
        </w:rPr>
        <w:t>WHEREAS, the Company desires to employ the Executive on an interim basis, and the Executive is willing to serve the Company for the period and upon such other terms and conditions of this Agreement.</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NOW, THEREFORE, the Company and the Executive hereby agree as follows:</w:t>
      </w:r>
    </w:p>
    <w:p>
      <w:pPr>
        <w:spacing w:after="0" w:line="260" w:lineRule="exact"/>
        <w:rPr>
          <w:sz w:val="20"/>
          <w:szCs w:val="20"/>
          <w:color w:val="auto"/>
        </w:rPr>
      </w:pPr>
    </w:p>
    <w:p>
      <w:pPr>
        <w:ind w:left="560" w:hanging="417"/>
        <w:spacing w:after="0"/>
        <w:tabs>
          <w:tab w:leader="none" w:pos="5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Employment, Duties and Acceptance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220" w:hanging="500"/>
        <w:spacing w:after="0" w:line="246" w:lineRule="auto"/>
        <w:rPr>
          <w:rFonts w:ascii="Arial" w:cs="Arial" w:eastAsia="Arial" w:hAnsi="Arial"/>
          <w:sz w:val="22"/>
          <w:szCs w:val="22"/>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Employment, Duties</w:t>
      </w:r>
      <w:r>
        <w:rPr>
          <w:rFonts w:ascii="Arial" w:cs="Arial" w:eastAsia="Arial" w:hAnsi="Arial"/>
          <w:sz w:val="21"/>
          <w:szCs w:val="21"/>
          <w:color w:val="auto"/>
        </w:rPr>
        <w:t>. The Company hereby employs the Executive for the Term (as defined in Section 2.1), to render services to the Company as the Interim Chief Executive Officer of the Company and vTv, on an interim basis, and to perform such other duties consistent with such position as may be assigned to the Executive by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Notwithstanding the preceding sentence during the period commencing March 1, 2022, until March 29, 2022, Executive shall serve as the Acting Chief Executive Officer. Executive shall be identified as the “Interim Chief Executive Officer” in all statements, required disclosures, and/or any other communications regarding Executive and/or Executive’s employment with the Company. During the Term, the Executive shall report solely to the Board.</w:t>
      </w:r>
    </w:p>
    <w:p>
      <w:pPr>
        <w:spacing w:after="0" w:line="233" w:lineRule="exact"/>
        <w:rPr>
          <w:rFonts w:ascii="Arial" w:cs="Arial" w:eastAsia="Arial" w:hAnsi="Arial"/>
          <w:sz w:val="22"/>
          <w:szCs w:val="22"/>
          <w:color w:val="auto"/>
        </w:rPr>
      </w:pPr>
    </w:p>
    <w:p>
      <w:pPr>
        <w:ind w:left="1060" w:right="220" w:hanging="500"/>
        <w:spacing w:after="0" w:line="271" w:lineRule="auto"/>
        <w:rPr>
          <w:rFonts w:ascii="Arial" w:cs="Arial" w:eastAsia="Arial" w:hAnsi="Arial"/>
          <w:sz w:val="22"/>
          <w:szCs w:val="22"/>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Acceptance</w:t>
      </w:r>
      <w:r>
        <w:rPr>
          <w:rFonts w:ascii="Arial" w:cs="Arial" w:eastAsia="Arial" w:hAnsi="Arial"/>
          <w:sz w:val="19"/>
          <w:szCs w:val="19"/>
          <w:color w:val="auto"/>
        </w:rPr>
        <w:t xml:space="preserve">. The Executive hereby accepts such employment and agrees to render the services described above. During the Term, the Executive agrees to serve the Company faithfully and to the best of the Executive’s ability, to devote the necessary business time, energy, and skill to such employment, and to use the Executive’s commercially reasonable efforts, skill, and ability to promote the Company’s interests. The Executive further agrees to accept election, and to serve during all or any part of the Term, as an officer or director of the Company and of any Subsidiary or Affiliate of the Company, without any compensation therefor other than that specified in this Agreement, if elected to any such position by the shareholders or by the Board of any Subsidiary or Affiliate, as the case may be. The Executive shall not engage in any other conflicting business activity, or serve in any industry, trade, professional, governmental, or academic position during the Term, except as may be expressly approved in advance by the Board in writing or has been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Executive shall be permitted to serve on the board of an entity that does not compete with the Company, subject to the advance written approval by the Board and the Executive shall also be permitted to engage in charitable, community or personal investment activities;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activities and investments do not conflict with or interfere with the Executive’s obligations under this Agreement and that such investments are in compliance with the Company’s policies and procedures.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1</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2" w:name="page73"/>
    <w:bookmarkEnd w:id="72"/>
    <w:p>
      <w:pPr>
        <w:jc w:val="both"/>
        <w:ind w:left="1060" w:right="640" w:hanging="499"/>
        <w:spacing w:after="0"/>
        <w:tabs>
          <w:tab w:leader="none" w:pos="10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u w:val="single" w:color="auto"/>
          <w:color w:val="auto"/>
        </w:rPr>
        <w:t>Location</w:t>
      </w:r>
      <w:r>
        <w:rPr>
          <w:rFonts w:ascii="Arial" w:cs="Arial" w:eastAsia="Arial" w:hAnsi="Arial"/>
          <w:sz w:val="22"/>
          <w:szCs w:val="22"/>
          <w:color w:val="auto"/>
        </w:rPr>
        <w:t>. It is anticipated that the Executive shall be permitted to work remotely, subject to travel as required</w:t>
      </w:r>
      <w:r>
        <w:rPr>
          <w:rFonts w:ascii="Arial" w:cs="Arial" w:eastAsia="Arial" w:hAnsi="Arial"/>
          <w:sz w:val="22"/>
          <w:szCs w:val="22"/>
          <w:u w:val="single" w:color="auto"/>
          <w:color w:val="auto"/>
        </w:rPr>
        <w:t xml:space="preserve"> </w:t>
      </w:r>
      <w:r>
        <w:rPr>
          <w:rFonts w:ascii="Arial" w:cs="Arial" w:eastAsia="Arial" w:hAnsi="Arial"/>
          <w:sz w:val="22"/>
          <w:szCs w:val="22"/>
          <w:color w:val="auto"/>
        </w:rPr>
        <w:t>by the Company in order to full his responsibilities under this Agreement on behalf of the Company (including but not limited to travel to the Company’s headquarters).</w:t>
      </w:r>
    </w:p>
    <w:p>
      <w:pPr>
        <w:spacing w:after="0" w:line="240" w:lineRule="exact"/>
        <w:rPr>
          <w:sz w:val="20"/>
          <w:szCs w:val="20"/>
          <w:color w:val="auto"/>
        </w:rPr>
      </w:pPr>
    </w:p>
    <w:p>
      <w:pPr>
        <w:ind w:left="560" w:hanging="417"/>
        <w:spacing w:after="0"/>
        <w:tabs>
          <w:tab w:leader="none" w:pos="5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Term of Employment; Certain Post-Term Benefits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760" w:hanging="500"/>
        <w:spacing w:after="0"/>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The Term</w:t>
      </w:r>
      <w:r>
        <w:rPr>
          <w:rFonts w:ascii="Arial" w:cs="Arial" w:eastAsia="Arial" w:hAnsi="Arial"/>
          <w:sz w:val="22"/>
          <w:szCs w:val="22"/>
          <w:color w:val="auto"/>
        </w:rPr>
        <w:t>. This Agreement and the term of the Executive’s employment under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shall become effective as of March 1, 2022 (the “Effective Date”) and will continue until terminated pursuant to Section 4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w:t>
      </w:r>
    </w:p>
    <w:p>
      <w:pPr>
        <w:spacing w:after="0" w:line="240" w:lineRule="exact"/>
        <w:rPr>
          <w:rFonts w:ascii="Arial" w:cs="Arial" w:eastAsia="Arial" w:hAnsi="Arial"/>
          <w:sz w:val="22"/>
          <w:szCs w:val="22"/>
          <w:color w:val="auto"/>
        </w:rPr>
      </w:pPr>
    </w:p>
    <w:p>
      <w:pPr>
        <w:ind w:left="560" w:hanging="417"/>
        <w:spacing w:after="0"/>
        <w:tabs>
          <w:tab w:leader="none" w:pos="5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Compensation; Benefits; Equity</w:t>
      </w:r>
      <w:r>
        <w:rPr>
          <w:rFonts w:ascii="Arial" w:cs="Arial" w:eastAsia="Arial" w:hAnsi="Arial"/>
          <w:sz w:val="22"/>
          <w:szCs w:val="22"/>
          <w:color w:val="auto"/>
        </w:rPr>
        <w:t>.</w:t>
      </w:r>
    </w:p>
    <w:p>
      <w:pPr>
        <w:spacing w:after="0" w:line="260" w:lineRule="exact"/>
        <w:rPr>
          <w:sz w:val="20"/>
          <w:szCs w:val="20"/>
          <w:color w:val="auto"/>
        </w:rPr>
      </w:pPr>
    </w:p>
    <w:p>
      <w:pPr>
        <w:ind w:left="980" w:right="400" w:hanging="499"/>
        <w:spacing w:after="0" w:line="248" w:lineRule="auto"/>
        <w:tabs>
          <w:tab w:leader="none" w:pos="9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Salary</w:t>
      </w:r>
      <w:r>
        <w:rPr>
          <w:rFonts w:ascii="Arial" w:cs="Arial" w:eastAsia="Arial" w:hAnsi="Arial"/>
          <w:sz w:val="21"/>
          <w:szCs w:val="21"/>
          <w:color w:val="auto"/>
        </w:rPr>
        <w:t>. As compensation for all services to be rendered pursuant to this Agreement, during the Term,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Company agrees to pay the Executive a base salary, payable in accordance with the Company’s normal payroll practices, at the annual rate of not less than $200,000 less such deductions or amounts to be withheld as required by applicable law and regulations (the “</w:t>
      </w:r>
      <w:r>
        <w:rPr>
          <w:rFonts w:ascii="Arial" w:cs="Arial" w:eastAsia="Arial" w:hAnsi="Arial"/>
          <w:sz w:val="21"/>
          <w:szCs w:val="21"/>
          <w:u w:val="single" w:color="auto"/>
          <w:color w:val="auto"/>
        </w:rPr>
        <w:t>Base Salary</w:t>
      </w:r>
      <w:r>
        <w:rPr>
          <w:rFonts w:ascii="Arial" w:cs="Arial" w:eastAsia="Arial" w:hAnsi="Arial"/>
          <w:sz w:val="21"/>
          <w:szCs w:val="21"/>
          <w:color w:val="auto"/>
        </w:rPr>
        <w:t>”). In the event that the Board, from time to time, increases the Base Salary, such increased amount shall, from and after the effective date of the increase, constitute “Base Salary” for purposes of this Agreement.</w:t>
      </w:r>
    </w:p>
    <w:p>
      <w:pPr>
        <w:spacing w:after="0" w:line="231"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Incentive Compensation.</w:t>
      </w:r>
    </w:p>
    <w:p>
      <w:pPr>
        <w:spacing w:after="0" w:line="8" w:lineRule="exact"/>
        <w:rPr>
          <w:sz w:val="20"/>
          <w:szCs w:val="20"/>
          <w:color w:val="auto"/>
        </w:rPr>
      </w:pPr>
    </w:p>
    <w:p>
      <w:pPr>
        <w:ind w:left="1560" w:right="140" w:hanging="579"/>
        <w:spacing w:after="0" w:line="270"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Annual Cash Bonus</w:t>
      </w:r>
      <w:r>
        <w:rPr>
          <w:rFonts w:ascii="Arial" w:cs="Arial" w:eastAsia="Arial" w:hAnsi="Arial"/>
          <w:sz w:val="19"/>
          <w:szCs w:val="19"/>
          <w:color w:val="auto"/>
        </w:rPr>
        <w:t>. Commencing with the 2022 fiscal year, the Executive shall be eligible to receive, to the extent earned based on individual and corporate performance as determined by the compensation committee of vTv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an annual cash performance bonus (a “</w:t>
      </w:r>
      <w:r>
        <w:rPr>
          <w:rFonts w:ascii="Arial" w:cs="Arial" w:eastAsia="Arial" w:hAnsi="Arial"/>
          <w:sz w:val="19"/>
          <w:szCs w:val="19"/>
          <w:u w:val="single" w:color="auto"/>
          <w:color w:val="auto"/>
        </w:rPr>
        <w:t>Cash Bonus</w:t>
      </w:r>
      <w:r>
        <w:rPr>
          <w:rFonts w:ascii="Arial" w:cs="Arial" w:eastAsia="Arial" w:hAnsi="Arial"/>
          <w:sz w:val="19"/>
          <w:szCs w:val="19"/>
          <w:color w:val="auto"/>
        </w:rPr>
        <w:t>”) in respect of each fiscal year that ends during the Term. Executive’s Cash Bonus for each such fiscal year shall equal up to 100% of his Base Salary in effect at the time such performance is evaluated (the “</w:t>
      </w:r>
      <w:r>
        <w:rPr>
          <w:rFonts w:ascii="Arial" w:cs="Arial" w:eastAsia="Arial" w:hAnsi="Arial"/>
          <w:sz w:val="19"/>
          <w:szCs w:val="19"/>
          <w:u w:val="single" w:color="auto"/>
          <w:color w:val="auto"/>
        </w:rPr>
        <w:t>Target Cash Bonus</w:t>
      </w:r>
      <w:r>
        <w:rPr>
          <w:rFonts w:ascii="Arial" w:cs="Arial" w:eastAsia="Arial" w:hAnsi="Arial"/>
          <w:sz w:val="19"/>
          <w:szCs w:val="19"/>
          <w:color w:val="auto"/>
        </w:rPr>
        <w:t>”), with greater or lesser amounts (including zero) paid based upon individual and corporate performance as determined by the Compensation Committee. Subject to the Executive’s continued employment at the end of each applicable fiscal year, the amount earned in respect of any Target Cash Bonus shall be determined by the Compensation Committee after the end of the fiscal year for which such Target Cash Bonus is granted and shall be paid to the Executive on or prior to March 15</w:t>
      </w:r>
      <w:r>
        <w:rPr>
          <w:rFonts w:ascii="Arial" w:cs="Arial" w:eastAsia="Arial" w:hAnsi="Arial"/>
          <w:sz w:val="16"/>
          <w:szCs w:val="16"/>
          <w:color w:val="auto"/>
        </w:rPr>
        <w:t>th</w:t>
      </w:r>
      <w:r>
        <w:rPr>
          <w:rFonts w:ascii="Arial" w:cs="Arial" w:eastAsia="Arial" w:hAnsi="Arial"/>
          <w:sz w:val="19"/>
          <w:szCs w:val="19"/>
          <w:color w:val="auto"/>
        </w:rPr>
        <w:t xml:space="preserve"> of the following calendar year; provided that the Executive shall be required to be employed on the payment date. Notwithstanding anything in this Agreement to the contrary, it is acknowledged and agreed that no Cash Bonus shall be required to be paid to Executive, if the Compensation Committee determines that the Company does not have sufficient cash liquidity to pay cash bonuses (after taking into account the Company’s current and projected future liabilities).</w:t>
      </w:r>
    </w:p>
    <w:p>
      <w:pPr>
        <w:spacing w:after="0" w:line="213" w:lineRule="exact"/>
        <w:rPr>
          <w:sz w:val="20"/>
          <w:szCs w:val="20"/>
          <w:color w:val="auto"/>
        </w:rPr>
      </w:pPr>
    </w:p>
    <w:p>
      <w:pPr>
        <w:ind w:left="1560" w:right="440" w:hanging="579"/>
        <w:spacing w:after="0"/>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Equity Bonus</w:t>
      </w:r>
      <w:r>
        <w:rPr>
          <w:rFonts w:ascii="Arial" w:cs="Arial" w:eastAsia="Arial" w:hAnsi="Arial"/>
          <w:sz w:val="22"/>
          <w:szCs w:val="22"/>
          <w:color w:val="auto"/>
        </w:rPr>
        <w:t>. On or within ten days after the Effective Date the Executive shall receive an equity performance bonus (an “</w:t>
      </w:r>
      <w:r>
        <w:rPr>
          <w:rFonts w:ascii="Arial" w:cs="Arial" w:eastAsia="Arial" w:hAnsi="Arial"/>
          <w:sz w:val="22"/>
          <w:szCs w:val="22"/>
          <w:u w:val="single" w:color="auto"/>
          <w:color w:val="auto"/>
        </w:rPr>
        <w:t>Equity Bonus</w:t>
      </w:r>
      <w:r>
        <w:rPr>
          <w:rFonts w:ascii="Arial" w:cs="Arial" w:eastAsia="Arial" w:hAnsi="Arial"/>
          <w:sz w:val="22"/>
          <w:szCs w:val="22"/>
          <w:color w:val="auto"/>
        </w:rPr>
        <w:t>”) equal to an option to purchase 500,000 shares of Class A common stock, par value $0.01 per share of</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2</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73" w:name="page74"/>
    <w:bookmarkEnd w:id="73"/>
    <w:p>
      <w:pPr>
        <w:ind w:left="1580" w:right="180"/>
        <w:spacing w:after="0" w:line="273" w:lineRule="auto"/>
        <w:rPr>
          <w:sz w:val="20"/>
          <w:szCs w:val="20"/>
          <w:color w:val="auto"/>
        </w:rPr>
      </w:pPr>
      <w:r>
        <w:rPr>
          <w:rFonts w:ascii="Arial" w:cs="Arial" w:eastAsia="Arial" w:hAnsi="Arial"/>
          <w:sz w:val="19"/>
          <w:szCs w:val="19"/>
          <w:color w:val="auto"/>
        </w:rPr>
        <w:t>vTv (such stock, the “</w:t>
      </w:r>
      <w:r>
        <w:rPr>
          <w:rFonts w:ascii="Arial" w:cs="Arial" w:eastAsia="Arial" w:hAnsi="Arial"/>
          <w:sz w:val="19"/>
          <w:szCs w:val="19"/>
          <w:u w:val="single" w:color="auto"/>
          <w:color w:val="auto"/>
        </w:rPr>
        <w:t>Common Stock</w:t>
      </w:r>
      <w:r>
        <w:rPr>
          <w:rFonts w:ascii="Arial" w:cs="Arial" w:eastAsia="Arial" w:hAnsi="Arial"/>
          <w:sz w:val="19"/>
          <w:szCs w:val="19"/>
          <w:color w:val="auto"/>
        </w:rPr>
        <w:t>”) under the vTv 2015 Omnibus Incentive Plan , as the same shall be in effect from time to time (the “</w:t>
      </w:r>
      <w:r>
        <w:rPr>
          <w:rFonts w:ascii="Arial" w:cs="Arial" w:eastAsia="Arial" w:hAnsi="Arial"/>
          <w:sz w:val="19"/>
          <w:szCs w:val="19"/>
          <w:u w:val="single" w:color="auto"/>
          <w:color w:val="auto"/>
        </w:rPr>
        <w:t>vTv Plan</w:t>
      </w:r>
      <w:r>
        <w:rPr>
          <w:rFonts w:ascii="Arial" w:cs="Arial" w:eastAsia="Arial" w:hAnsi="Arial"/>
          <w:sz w:val="19"/>
          <w:szCs w:val="19"/>
          <w:color w:val="auto"/>
        </w:rPr>
        <w:t>”), 125,000 of which shall be vested on the date of grant. Subject to the Executive’s continued services hereunder, the remaining 375,000 options of such grant will vest and, if applicable, become exercisable with respect to 8.33% of the shares of Common Stock subject thereto on each of the three month anniversary following the Effective Date (such that the Equity Bonus shall be fully vested on the third anniversary of the Effective Date), and the award will have other customary terms and conditions as are consistent with the vTv Plan and vTv’s form of agreement and with applicable law, including providing that the options issued as part of the Equity Bonus will continue to vest so long as Executive is associated with the Company or vTv, whether as Interim Chief Executive Officer or any other officer or director position and that such options will be exercisable for the original ten (10) year period.</w:t>
      </w:r>
    </w:p>
    <w:p>
      <w:pPr>
        <w:spacing w:after="0" w:line="215" w:lineRule="exact"/>
        <w:rPr>
          <w:sz w:val="20"/>
          <w:szCs w:val="20"/>
          <w:color w:val="auto"/>
        </w:rPr>
      </w:pPr>
    </w:p>
    <w:p>
      <w:pPr>
        <w:ind w:left="1560" w:right="300" w:hanging="579"/>
        <w:spacing w:after="0" w:line="279" w:lineRule="auto"/>
        <w:rPr>
          <w:sz w:val="20"/>
          <w:szCs w:val="20"/>
          <w:color w:val="auto"/>
        </w:rPr>
      </w:pPr>
      <w:r>
        <w:rPr>
          <w:rFonts w:ascii="Arial" w:cs="Arial" w:eastAsia="Arial" w:hAnsi="Arial"/>
          <w:sz w:val="19"/>
          <w:szCs w:val="19"/>
          <w:color w:val="auto"/>
        </w:rPr>
        <w:t xml:space="preserve">3.2.3. </w:t>
      </w:r>
      <w:r>
        <w:rPr>
          <w:rFonts w:ascii="Arial" w:cs="Arial" w:eastAsia="Arial" w:hAnsi="Arial"/>
          <w:sz w:val="19"/>
          <w:szCs w:val="19"/>
          <w:u w:val="single" w:color="auto"/>
          <w:color w:val="auto"/>
        </w:rPr>
        <w:t>Business Expenses</w:t>
      </w:r>
      <w:r>
        <w:rPr>
          <w:rFonts w:ascii="Arial" w:cs="Arial" w:eastAsia="Arial" w:hAnsi="Arial"/>
          <w:sz w:val="19"/>
          <w:szCs w:val="19"/>
          <w:color w:val="auto"/>
        </w:rPr>
        <w:t xml:space="preserve">. The Company shall pay or reimburse the Executive for all reasonable expenses actually incurred or paid by the Executive during the Term (including expenses related to business travel on behalf of the Company) in the performance of the Executive’s services under this Agreement, upon presentation of expense statements or vouchers or such other supporting information as the Company customarily may require of its officers;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maximum amount available for such expenses during any period may be fixed in advance by the Board.</w:t>
      </w:r>
    </w:p>
    <w:p>
      <w:pPr>
        <w:spacing w:after="0" w:line="204" w:lineRule="exact"/>
        <w:rPr>
          <w:sz w:val="20"/>
          <w:szCs w:val="20"/>
          <w:color w:val="auto"/>
        </w:rPr>
      </w:pPr>
    </w:p>
    <w:p>
      <w:pPr>
        <w:jc w:val="both"/>
        <w:ind w:left="1560" w:right="460" w:hanging="579"/>
        <w:spacing w:after="0"/>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the Executive shall be entitled to a vacation period or periods of four (4) weeks during any calendar year, pro-rated for partial years of employment taken in accordance with the vacation policy of the Company during each year of the Term.</w:t>
      </w:r>
    </w:p>
    <w:p>
      <w:pPr>
        <w:spacing w:after="0" w:line="240" w:lineRule="exact"/>
        <w:rPr>
          <w:sz w:val="20"/>
          <w:szCs w:val="20"/>
          <w:color w:val="auto"/>
        </w:rPr>
      </w:pPr>
    </w:p>
    <w:p>
      <w:pPr>
        <w:ind w:left="1560" w:right="540" w:hanging="579"/>
        <w:spacing w:after="0" w:line="252" w:lineRule="auto"/>
        <w:rPr>
          <w:sz w:val="20"/>
          <w:szCs w:val="20"/>
          <w:color w:val="auto"/>
        </w:rPr>
      </w:pPr>
      <w:r>
        <w:rPr>
          <w:rFonts w:ascii="Arial" w:cs="Arial" w:eastAsia="Arial" w:hAnsi="Arial"/>
          <w:sz w:val="21"/>
          <w:szCs w:val="21"/>
          <w:color w:val="auto"/>
        </w:rPr>
        <w:t xml:space="preserve">3.2.5. </w:t>
      </w:r>
      <w:r>
        <w:rPr>
          <w:rFonts w:ascii="Arial" w:cs="Arial" w:eastAsia="Arial" w:hAnsi="Arial"/>
          <w:sz w:val="21"/>
          <w:szCs w:val="21"/>
          <w:u w:val="single" w:color="auto"/>
          <w:color w:val="auto"/>
        </w:rPr>
        <w:t>Fringe Benefits</w:t>
      </w:r>
      <w:r>
        <w:rPr>
          <w:rFonts w:ascii="Arial" w:cs="Arial" w:eastAsia="Arial" w:hAnsi="Arial"/>
          <w:sz w:val="21"/>
          <w:szCs w:val="21"/>
          <w:color w:val="auto"/>
        </w:rPr>
        <w:t>. During the Term, the Executive shall be entitled to all benefits for which the Executive shall be eligible under any qualified pension plan, 401(k) plan, group insurance or other so-called “fringe” benefit plan which the Company provides to its executive employees generally, which benefits may be amended, modified, or terminated in the Company’s sole discretion.</w:t>
      </w:r>
    </w:p>
    <w:p>
      <w:pPr>
        <w:spacing w:after="0" w:line="228" w:lineRule="exact"/>
        <w:rPr>
          <w:sz w:val="20"/>
          <w:szCs w:val="20"/>
          <w:color w:val="auto"/>
        </w:rPr>
      </w:pPr>
    </w:p>
    <w:p>
      <w:pPr>
        <w:ind w:left="560" w:hanging="417"/>
        <w:spacing w:after="0"/>
        <w:tabs>
          <w:tab w:leader="none" w:pos="5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300" w:hanging="500"/>
        <w:spacing w:after="0" w:line="275" w:lineRule="auto"/>
        <w:rPr>
          <w:rFonts w:ascii="Arial" w:cs="Arial" w:eastAsia="Arial" w:hAnsi="Arial"/>
          <w:sz w:val="22"/>
          <w:szCs w:val="22"/>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Death</w:t>
      </w:r>
      <w:r>
        <w:rPr>
          <w:rFonts w:ascii="Arial" w:cs="Arial" w:eastAsia="Arial" w:hAnsi="Arial"/>
          <w:sz w:val="19"/>
          <w:szCs w:val="19"/>
          <w:color w:val="auto"/>
        </w:rPr>
        <w:t>. If the Executive dies during the Term, the Term shall terminate forthwith upon the Executive’s death. The Company shall pay to the Executive’s estate: (i) any Base Salary earned but not paid; (ii) a Pro Rata Cash Bonus (defined below), payable at the time and in the manner that Cash Bonuses are paid to other executives receiving such bonus payment; and (iii) Cash Bonus for the year prior to the year in which the Executive dies if at the time of death, the Executive has earned a Cash Bonus payment for such prior year and has not yet been paid such Cash Bonus, which prior year Cash Bonus will be paid at the time and in the manner such prior year Cash Bonus is paid to other executives receiving such prior year Cash Bonus. The Executive shall have no further rights to any compensation or any other benefits under this Agreement, except to</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3</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74" w:name="page75"/>
    <w:bookmarkEnd w:id="74"/>
    <w:p>
      <w:pPr>
        <w:ind w:left="1080" w:right="260"/>
        <w:spacing w:after="0" w:line="279" w:lineRule="auto"/>
        <w:rPr>
          <w:sz w:val="20"/>
          <w:szCs w:val="20"/>
          <w:color w:val="auto"/>
        </w:rPr>
      </w:pPr>
      <w:r>
        <w:rPr>
          <w:rFonts w:ascii="Arial" w:cs="Arial" w:eastAsia="Arial" w:hAnsi="Arial"/>
          <w:sz w:val="19"/>
          <w:szCs w:val="19"/>
          <w:color w:val="auto"/>
        </w:rPr>
        <w:t>the extent already earned and vested as of the day immediately prior to his death, or as is earned, vested, or accrued by virtue of his death. “</w:t>
      </w:r>
      <w:r>
        <w:rPr>
          <w:rFonts w:ascii="Arial" w:cs="Arial" w:eastAsia="Arial" w:hAnsi="Arial"/>
          <w:sz w:val="19"/>
          <w:szCs w:val="19"/>
          <w:u w:val="single" w:color="auto"/>
          <w:color w:val="auto"/>
        </w:rPr>
        <w:t>Pro Rata Cash Bonus</w:t>
      </w:r>
      <w:r>
        <w:rPr>
          <w:rFonts w:ascii="Arial" w:cs="Arial" w:eastAsia="Arial" w:hAnsi="Arial"/>
          <w:sz w:val="19"/>
          <w:szCs w:val="19"/>
          <w:color w:val="auto"/>
        </w:rPr>
        <w:t>” shall mean a pro-rata portion of the Cash Bonus granted to the Executive for the year in which the date of termination occurs equal to a fraction, the numerator of which is the number of calendar days during such year through (and including) the date of termination and the denominator of which is 365, with such pro-rata portion earned in an amount based on the degree to which the applicable performance goals are achieved for the entire year in which the date of termination occurs.</w:t>
      </w:r>
    </w:p>
    <w:p>
      <w:pPr>
        <w:spacing w:after="0" w:line="204" w:lineRule="exact"/>
        <w:rPr>
          <w:sz w:val="20"/>
          <w:szCs w:val="20"/>
          <w:color w:val="auto"/>
        </w:rPr>
      </w:pPr>
    </w:p>
    <w:p>
      <w:pPr>
        <w:ind w:left="1060" w:right="340" w:hanging="499"/>
        <w:spacing w:after="0" w:line="232" w:lineRule="auto"/>
        <w:tabs>
          <w:tab w:leader="none" w:pos="10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u w:val="single" w:color="auto"/>
          <w:color w:val="auto"/>
        </w:rPr>
        <w:t>Disability</w:t>
      </w:r>
      <w:r>
        <w:rPr>
          <w:rFonts w:ascii="Arial" w:cs="Arial" w:eastAsia="Arial" w:hAnsi="Arial"/>
          <w:sz w:val="22"/>
          <w:szCs w:val="22"/>
          <w:color w:val="auto"/>
        </w:rPr>
        <w:t>. If, during the Term the Executive is unable to perform his duties hereunder due to a physical or mental</w:t>
      </w:r>
      <w:r>
        <w:rPr>
          <w:rFonts w:ascii="Arial" w:cs="Arial" w:eastAsia="Arial" w:hAnsi="Arial"/>
          <w:sz w:val="22"/>
          <w:szCs w:val="22"/>
          <w:u w:val="single" w:color="auto"/>
          <w:color w:val="auto"/>
        </w:rPr>
        <w:t xml:space="preserve"> </w:t>
      </w:r>
      <w:r>
        <w:rPr>
          <w:rFonts w:ascii="Arial" w:cs="Arial" w:eastAsia="Arial" w:hAnsi="Arial"/>
          <w:sz w:val="22"/>
          <w:szCs w:val="22"/>
          <w:color w:val="auto"/>
        </w:rPr>
        <w:t>incapacity for a period of 60 days within any 12-month period (hereinafter a “</w:t>
      </w:r>
      <w:r>
        <w:rPr>
          <w:rFonts w:ascii="Arial" w:cs="Arial" w:eastAsia="Arial" w:hAnsi="Arial"/>
          <w:sz w:val="22"/>
          <w:szCs w:val="22"/>
          <w:u w:val="single" w:color="auto"/>
          <w:color w:val="auto"/>
        </w:rPr>
        <w:t>Disability</w:t>
      </w:r>
      <w:r>
        <w:rPr>
          <w:rFonts w:ascii="Arial" w:cs="Arial" w:eastAsia="Arial" w:hAnsi="Arial"/>
          <w:sz w:val="22"/>
          <w:szCs w:val="22"/>
          <w:color w:val="auto"/>
        </w:rPr>
        <w:t>”), the Company shall have the right at any time thereafter to terminate the Term upon sending written notice of termination to the Executive. If the Company elects to terminate the Term by reason of Disability, the Company shall pay to the Executive promptly after the notice of termination: (i) any Base Salary earned but not paid; (ii) a Pro Rata Cash Bonus paid at the time and in the manner such Cash Bonus is paid to other executives receiving such bonus payment; and</w:t>
      </w:r>
    </w:p>
    <w:p>
      <w:pPr>
        <w:spacing w:after="0" w:line="7" w:lineRule="exact"/>
        <w:rPr>
          <w:sz w:val="20"/>
          <w:szCs w:val="20"/>
          <w:color w:val="auto"/>
        </w:rPr>
      </w:pPr>
    </w:p>
    <w:p>
      <w:pPr>
        <w:ind w:left="1080" w:right="240" w:hanging="6"/>
        <w:spacing w:after="0" w:line="272" w:lineRule="auto"/>
        <w:tabs>
          <w:tab w:leader="none" w:pos="1454"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Cash Bonus for the year prior to the year in which the Executive is terminated if at the time of termination the Executive has earned a Cash Bonus payment for such prior year and has not yet been paid such Cash Bonus, which prior year Cash Bonus will be paid at the time and in the manner such prior year Cash Bonus is paid to other executives receiving such prior year Annual Cash Bonus, in each case less any other benefits payable to the Executive under any disability plan provided for hereunder or otherwise furnished to the Executive by the Company. The Executive shall have no further rights to any compensation or any other benefits under this Agreement except to the extent already earned and vested as of the day immediately prior to his termination by reason of Disability, or as earned, vested, or accrued by virtue of his Disability.</w:t>
      </w:r>
    </w:p>
    <w:p>
      <w:pPr>
        <w:spacing w:after="0" w:line="215" w:lineRule="exact"/>
        <w:rPr>
          <w:sz w:val="20"/>
          <w:szCs w:val="20"/>
          <w:color w:val="auto"/>
        </w:rPr>
      </w:pPr>
    </w:p>
    <w:p>
      <w:pPr>
        <w:ind w:left="1060" w:right="420" w:hanging="499"/>
        <w:spacing w:after="0" w:line="271" w:lineRule="auto"/>
        <w:tabs>
          <w:tab w:leader="none" w:pos="10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Cause</w:t>
      </w:r>
      <w:r>
        <w:rPr>
          <w:rFonts w:ascii="Arial" w:cs="Arial" w:eastAsia="Arial" w:hAnsi="Arial"/>
          <w:sz w:val="19"/>
          <w:szCs w:val="19"/>
          <w:color w:val="auto"/>
        </w:rPr>
        <w:t>. The Company may at any time by written notice to the Executive terminate the Term for “Cause” (as</w:t>
      </w:r>
      <w:r>
        <w:rPr>
          <w:rFonts w:ascii="Arial" w:cs="Arial" w:eastAsia="Arial" w:hAnsi="Arial"/>
          <w:sz w:val="19"/>
          <w:szCs w:val="19"/>
          <w:u w:val="single" w:color="auto"/>
          <w:color w:val="auto"/>
        </w:rPr>
        <w:t xml:space="preserve"> </w:t>
      </w:r>
      <w:r>
        <w:rPr>
          <w:rFonts w:ascii="Arial" w:cs="Arial" w:eastAsia="Arial" w:hAnsi="Arial"/>
          <w:sz w:val="19"/>
          <w:szCs w:val="19"/>
          <w:color w:val="auto"/>
        </w:rPr>
        <w:t>defined below) and, upon such termination, this Agreement shall terminate, and the Executive shall be entitled to receive no further amounts or benefits hereunder, except for any Base Salary earned but not paid prior to such termination. For the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means: (i) Executive’s failure or refusal to perform Executive’s duties under this Agreement (other than as a result of total or partial incapacity due to physical or mental illness); (ii) any act by or omission of Executive constituting gross negligence or willful misconduct in connection with the performance of Executive’s duties that could reasonably be expected to materially injure the reputation, business or business relationships of the Company or any of its affiliates; (iii) perpetration of an intentional and knowing fraud against or affecting the Company or any of its affiliates or any customer, client, agent, or employee thereof; (iv) the commission by or indictment of Executive for (A) a felony or (B) any misdemeanor involving moral turpitude, deceit, dishonesty or fraud (“indictment,” for these purposes, meaning a United States-based indictment, probable cause hearing or any other procedure pursuant to which an initial determination of probable or reasonable cause with respect to such offense is made); (v) a material breach of the Company’s policies that results in financial or reputational harm to the Company; or (v) the breach of a</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4</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75" w:name="page76"/>
    <w:bookmarkEnd w:id="75"/>
    <w:p>
      <w:pPr>
        <w:ind w:left="1080" w:right="240"/>
        <w:spacing w:after="0" w:line="282" w:lineRule="auto"/>
        <w:rPr>
          <w:sz w:val="20"/>
          <w:szCs w:val="20"/>
          <w:color w:val="auto"/>
        </w:rPr>
      </w:pPr>
      <w:r>
        <w:rPr>
          <w:rFonts w:ascii="Arial" w:cs="Arial" w:eastAsia="Arial" w:hAnsi="Arial"/>
          <w:sz w:val="19"/>
          <w:szCs w:val="19"/>
          <w:color w:val="auto"/>
        </w:rPr>
        <w:t xml:space="preserve">covenant set forth in this Agreement. A termination for Cause by the Company of any of the events described in this Section 4.3 shall only be effective on 15 days advance written notification to the Executive, providing the Executive the opportunity to cure, if reasonably capable of cure within said 15-day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notification is required if the Cause event is not reasonably capable of cure or the Board determines that its fiduciary obligation requires it to effect a termination of the Executive for Cause immediately.</w:t>
      </w:r>
    </w:p>
    <w:p>
      <w:pPr>
        <w:spacing w:after="0" w:line="174" w:lineRule="exact"/>
        <w:rPr>
          <w:sz w:val="20"/>
          <w:szCs w:val="20"/>
          <w:color w:val="auto"/>
        </w:rPr>
      </w:pPr>
    </w:p>
    <w:p>
      <w:pPr>
        <w:ind w:left="1060" w:right="220" w:hanging="499"/>
        <w:spacing w:after="0" w:line="270" w:lineRule="auto"/>
        <w:tabs>
          <w:tab w:leader="none" w:pos="10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Termination by Company without Cause or by the Executive for Good Reason</w:t>
      </w:r>
      <w:r>
        <w:rPr>
          <w:rFonts w:ascii="Arial" w:cs="Arial" w:eastAsia="Arial" w:hAnsi="Arial"/>
          <w:sz w:val="19"/>
          <w:szCs w:val="19"/>
          <w:color w:val="auto"/>
        </w:rPr>
        <w:t>. If the Executive’s employment is</w:t>
      </w:r>
      <w:r>
        <w:rPr>
          <w:rFonts w:ascii="Arial" w:cs="Arial" w:eastAsia="Arial" w:hAnsi="Arial"/>
          <w:sz w:val="19"/>
          <w:szCs w:val="19"/>
          <w:u w:val="single" w:color="auto"/>
          <w:color w:val="auto"/>
        </w:rPr>
        <w:t xml:space="preserve"> </w:t>
      </w:r>
      <w:r>
        <w:rPr>
          <w:rFonts w:ascii="Arial" w:cs="Arial" w:eastAsia="Arial" w:hAnsi="Arial"/>
          <w:sz w:val="19"/>
          <w:szCs w:val="19"/>
          <w:color w:val="auto"/>
        </w:rPr>
        <w:t>terminated by the Company without Cause (other than by reason of death or Disability) or by the Executive for Good Reason (as defined below), the Term shall terminate, and the Executive shall receive: (i) as severance pay, an amount equal to six months of the Base Salary payable in installments in accordance with the Company’s normal payroll practices, (ii) a Pro Rata Cash Bonus, and (iii) the Equity Bonus shall be treated as set forth in the underlying equity award and per the terms of Section 3.2.2 hereof as relates to Executives continued service to the Company or vTv. The Executive shall have no further rights to any compensation or any other benefits under this Agreement.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means, without the advance written consent of the Executive: (i) a reduction in Base Salary </w:t>
      </w:r>
      <w:r>
        <w:rPr>
          <w:rFonts w:ascii="Arial" w:cs="Arial" w:eastAsia="Arial" w:hAnsi="Arial"/>
          <w:sz w:val="19"/>
          <w:szCs w:val="19"/>
          <w:u w:val="single" w:color="auto"/>
          <w:color w:val="auto"/>
        </w:rPr>
        <w:t>provided</w:t>
      </w:r>
      <w:r>
        <w:rPr>
          <w:rFonts w:ascii="Arial" w:cs="Arial" w:eastAsia="Arial" w:hAnsi="Arial"/>
          <w:sz w:val="19"/>
          <w:szCs w:val="19"/>
          <w:color w:val="auto"/>
        </w:rPr>
        <w:t>, that, a termination by the Executive for Good Reason under clauses shall be effective only if the Executive provides the Company with written notice specifying the event which constitutes Good Reason within thirty (30) days following the occurrence of such event or date the Executive became aware or should have become aware of such event and the Company fails to cure the circumstances giving rise to Good Reason within 30 days after such notice. If Executive’s employment is terminated for Cause, then Executive shall be deemed to, and shall, resign (i) from any board or other governing body to which he has been appointed or nominated by or on behalf of Company, vTv and any of their Affiliates and (ii) from any position with Company vTv and any of their Affiliates and Executive will execute any documents reasonably required to effectuate the foregoing and failure to do so shall result in a termination for Cause.</w:t>
      </w:r>
    </w:p>
    <w:p>
      <w:pPr>
        <w:spacing w:after="0" w:line="222" w:lineRule="exact"/>
        <w:rPr>
          <w:sz w:val="20"/>
          <w:szCs w:val="20"/>
          <w:color w:val="auto"/>
        </w:rPr>
      </w:pPr>
    </w:p>
    <w:p>
      <w:pPr>
        <w:ind w:left="1060" w:right="260" w:hanging="499"/>
        <w:spacing w:after="0" w:line="246" w:lineRule="auto"/>
        <w:tabs>
          <w:tab w:leader="none" w:pos="10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u w:val="single" w:color="auto"/>
          <w:color w:val="auto"/>
        </w:rPr>
        <w:t>Termination by the Executive other than for Good Reason</w:t>
      </w:r>
      <w:r>
        <w:rPr>
          <w:rFonts w:ascii="Arial" w:cs="Arial" w:eastAsia="Arial" w:hAnsi="Arial"/>
          <w:sz w:val="21"/>
          <w:szCs w:val="21"/>
          <w:color w:val="auto"/>
        </w:rPr>
        <w:t>. Unless otherwise agreed to by the Company or vTv and</w:t>
      </w:r>
      <w:r>
        <w:rPr>
          <w:rFonts w:ascii="Arial" w:cs="Arial" w:eastAsia="Arial" w:hAnsi="Arial"/>
          <w:sz w:val="21"/>
          <w:szCs w:val="21"/>
          <w:u w:val="single" w:color="auto"/>
          <w:color w:val="auto"/>
        </w:rPr>
        <w:t xml:space="preserve"> </w:t>
      </w:r>
      <w:r>
        <w:rPr>
          <w:rFonts w:ascii="Arial" w:cs="Arial" w:eastAsia="Arial" w:hAnsi="Arial"/>
          <w:sz w:val="21"/>
          <w:szCs w:val="21"/>
          <w:color w:val="auto"/>
        </w:rPr>
        <w:t>the Executive, the Executive is required to provide the Company with 30 days’ prior written notice of termination to the Company. Subject to Section 4.4, upon termination of employment by the Executive, the Term shall terminate, and the Executive shall receive any Base Salary earned but not paid prior to such termination and shall have no further rights to any compensation (including any Base Salary or Cash Bonus) or any other benefits under this Agreement, except to the extent already earned and vested as of the day immediately prior to such termination and except, as relates to the options issued under the Equity Bonus, for continued vesting pursuant to Section 3.2.2 hereof and the equity award.</w:t>
      </w:r>
    </w:p>
    <w:p>
      <w:pPr>
        <w:spacing w:after="0" w:line="234" w:lineRule="exact"/>
        <w:rPr>
          <w:sz w:val="20"/>
          <w:szCs w:val="20"/>
          <w:color w:val="auto"/>
        </w:rPr>
      </w:pPr>
    </w:p>
    <w:p>
      <w:pPr>
        <w:jc w:val="both"/>
        <w:ind w:left="1060" w:right="680" w:hanging="499"/>
        <w:spacing w:after="0"/>
        <w:tabs>
          <w:tab w:leader="none" w:pos="10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u w:val="single" w:color="auto"/>
          <w:color w:val="auto"/>
        </w:rPr>
        <w:t>Release</w:t>
      </w:r>
      <w:r>
        <w:rPr>
          <w:rFonts w:ascii="Arial" w:cs="Arial" w:eastAsia="Arial" w:hAnsi="Arial"/>
          <w:sz w:val="22"/>
          <w:szCs w:val="22"/>
          <w:color w:val="auto"/>
        </w:rPr>
        <w:t>. Notwithstanding any other provision of this Agreement to the contrary, the Executive acknowledges</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agrees that any and all payments, other than continued vesting of options and payment of any accrued and unpaid Base Salary to which the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5</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76" w:name="page77"/>
    <w:bookmarkEnd w:id="76"/>
    <w:p>
      <w:pPr>
        <w:ind w:left="1080" w:right="260"/>
        <w:spacing w:after="0" w:line="272" w:lineRule="auto"/>
        <w:rPr>
          <w:sz w:val="20"/>
          <w:szCs w:val="20"/>
          <w:color w:val="auto"/>
        </w:rPr>
      </w:pPr>
      <w:r>
        <w:rPr>
          <w:rFonts w:ascii="Arial" w:cs="Arial" w:eastAsia="Arial" w:hAnsi="Arial"/>
          <w:sz w:val="19"/>
          <w:szCs w:val="19"/>
          <w:color w:val="auto"/>
        </w:rPr>
        <w:t>Executive is entitled under this Section 4 are conditioned upon and subject to the Executive’s execution of a general waiver and release (for the avoidance of doubt, Sections 5 through 13 of this Agreement (the “</w:t>
      </w:r>
      <w:r>
        <w:rPr>
          <w:rFonts w:ascii="Arial" w:cs="Arial" w:eastAsia="Arial" w:hAnsi="Arial"/>
          <w:sz w:val="19"/>
          <w:szCs w:val="19"/>
          <w:u w:val="single" w:color="auto"/>
          <w:color w:val="auto"/>
        </w:rPr>
        <w:t>Restrictive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Covenants</w:t>
      </w:r>
      <w:r>
        <w:rPr>
          <w:rFonts w:ascii="Arial" w:cs="Arial" w:eastAsia="Arial" w:hAnsi="Arial"/>
          <w:sz w:val="19"/>
          <w:szCs w:val="19"/>
          <w:color w:val="auto"/>
        </w:rPr>
        <w:t>”) shall survive the termination of this Agreement), in such form as may be prepared by the Company of all claims, except for such matters covered by provisions of this Agreement which expressly survive the termination of this Agreement. Notwithstanding anything to the contrary, the severance payments and benefits are conditioned on the Executive’s execution, delivery and nonrevocation of the general waiver and release of claims within fifty-five (55) days following the Executive’s termination of employment (the “</w:t>
      </w:r>
      <w:r>
        <w:rPr>
          <w:rFonts w:ascii="Arial" w:cs="Arial" w:eastAsia="Arial" w:hAnsi="Arial"/>
          <w:sz w:val="19"/>
          <w:szCs w:val="19"/>
          <w:u w:val="single" w:color="auto"/>
          <w:color w:val="auto"/>
        </w:rPr>
        <w:t>Release Condition</w:t>
      </w:r>
      <w:r>
        <w:rPr>
          <w:rFonts w:ascii="Arial" w:cs="Arial" w:eastAsia="Arial" w:hAnsi="Arial"/>
          <w:sz w:val="19"/>
          <w:szCs w:val="19"/>
          <w:color w:val="auto"/>
        </w:rPr>
        <w:t>”). Payments and benefits of amounts which do not constitute nonqualified deferred compensation and are not subject to Section 409A (as defined below) shall commence five (5) days after the Release Condition is satisfied and payments and benefits which are subject to Section 409A shall commence on the 60th day after termination of employment (subject to further delay, if required pursuant to Section 4.7.2 below) provided that the Release Condition is satisfied.</w:t>
      </w:r>
    </w:p>
    <w:p>
      <w:pPr>
        <w:spacing w:after="0" w:line="200" w:lineRule="exact"/>
        <w:rPr>
          <w:sz w:val="20"/>
          <w:szCs w:val="20"/>
          <w:color w:val="auto"/>
        </w:rPr>
      </w:pPr>
    </w:p>
    <w:p>
      <w:pPr>
        <w:spacing w:after="0" w:line="262"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Section 409A.</w:t>
      </w:r>
    </w:p>
    <w:p>
      <w:pPr>
        <w:spacing w:after="0" w:line="260" w:lineRule="exact"/>
        <w:rPr>
          <w:sz w:val="20"/>
          <w:szCs w:val="20"/>
          <w:color w:val="auto"/>
        </w:rPr>
      </w:pPr>
    </w:p>
    <w:p>
      <w:pPr>
        <w:ind w:left="1560" w:right="260" w:hanging="579"/>
        <w:spacing w:after="0" w:line="273" w:lineRule="auto"/>
        <w:rPr>
          <w:sz w:val="20"/>
          <w:szCs w:val="20"/>
          <w:color w:val="auto"/>
        </w:rPr>
      </w:pPr>
      <w:r>
        <w:rPr>
          <w:rFonts w:ascii="Arial" w:cs="Arial" w:eastAsia="Arial" w:hAnsi="Arial"/>
          <w:sz w:val="19"/>
          <w:szCs w:val="19"/>
          <w:color w:val="auto"/>
        </w:rPr>
        <w:t>4.7.1. This Agreement is intended to satisfy the requirements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such section, “</w:t>
      </w:r>
      <w:r>
        <w:rPr>
          <w:rFonts w:ascii="Arial" w:cs="Arial" w:eastAsia="Arial" w:hAnsi="Arial"/>
          <w:sz w:val="19"/>
          <w:szCs w:val="19"/>
          <w:u w:val="single" w:color="auto"/>
          <w:color w:val="auto"/>
        </w:rPr>
        <w:t>Section 409A</w:t>
      </w:r>
      <w:r>
        <w:rPr>
          <w:rFonts w:ascii="Arial" w:cs="Arial" w:eastAsia="Arial" w:hAnsi="Arial"/>
          <w:sz w:val="19"/>
          <w:szCs w:val="19"/>
          <w:color w:val="auto"/>
        </w:rPr>
        <w:t>”) with respect to amounts, if any, subject thereto and shall be interpreted and construed and shall be performed by the parties consistent with such intent. If either party notifies the other in writing that one or more provisions of this Agreement contravenes any Treasury Regulations or guidance promulgated under Section 409A or causes any amounts to be subject to interest, additional tax or penalties under Section 409A, the parties shall agree to negotiate in good faith to make amendments to this Agreement as the parties mutually agree, reasonably and in good faith are necessary or desirable, to (i) maintain to the maximum extent reasonably practicable the original intent of the applicable provisions without violating the provisions of Section 409A or increasing the costs to the Company of providing the applicable benefit or payment and (ii) to the extent possible, to avoid the imposition of any interest, additional tax or other penalties under Section 409A upon the parties.</w:t>
      </w:r>
    </w:p>
    <w:p>
      <w:pPr>
        <w:spacing w:after="0" w:line="209" w:lineRule="exact"/>
        <w:rPr>
          <w:sz w:val="20"/>
          <w:szCs w:val="20"/>
          <w:color w:val="auto"/>
        </w:rPr>
      </w:pPr>
    </w:p>
    <w:p>
      <w:pPr>
        <w:ind w:left="1560" w:right="220" w:hanging="579"/>
        <w:spacing w:after="0" w:line="277" w:lineRule="auto"/>
        <w:rPr>
          <w:sz w:val="20"/>
          <w:szCs w:val="20"/>
          <w:color w:val="auto"/>
        </w:rPr>
      </w:pPr>
      <w:r>
        <w:rPr>
          <w:rFonts w:ascii="Arial" w:cs="Arial" w:eastAsia="Arial" w:hAnsi="Arial"/>
          <w:sz w:val="19"/>
          <w:szCs w:val="19"/>
          <w:color w:val="auto"/>
        </w:rPr>
        <w:t>4.7.2. To the extent the Executive would otherwise be entitled to any payment or benefit under this Agreement, or any plan or arrangement of the Company or its Affiliates, that constitutes a “deferral of compensation” subject to Section 409A and that, if paid during the six (6) months beginning on the date of termination of the Executive’s employment, would be subject to the Section 409A additional tax because the Executive is a “specified employee” (within the meaning of Section 409A and as determined by the Company), the payment or benefit will be paid or provided to the Executive on the earlier of the first day following the six (6) month anniversary of the Executive’s termination of employment or death.</w:t>
      </w:r>
    </w:p>
    <w:p>
      <w:pPr>
        <w:spacing w:after="0" w:line="206" w:lineRule="exact"/>
        <w:rPr>
          <w:sz w:val="20"/>
          <w:szCs w:val="20"/>
          <w:color w:val="auto"/>
        </w:rPr>
      </w:pPr>
    </w:p>
    <w:p>
      <w:pPr>
        <w:ind w:left="1560" w:right="600" w:hanging="579"/>
        <w:spacing w:after="0" w:line="250" w:lineRule="auto"/>
        <w:rPr>
          <w:sz w:val="20"/>
          <w:szCs w:val="20"/>
          <w:color w:val="auto"/>
        </w:rPr>
      </w:pPr>
      <w:r>
        <w:rPr>
          <w:rFonts w:ascii="Arial" w:cs="Arial" w:eastAsia="Arial" w:hAnsi="Arial"/>
          <w:sz w:val="22"/>
          <w:szCs w:val="22"/>
          <w:color w:val="auto"/>
        </w:rPr>
        <w:t>4.7.3. Any payment or benefit due upon a termination of the Executive’s employment that represents a “deferral of compensation” within the meaning of Section 409A</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6</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77" w:name="page78"/>
    <w:bookmarkEnd w:id="77"/>
    <w:p>
      <w:pPr>
        <w:ind w:left="1580" w:right="380"/>
        <w:spacing w:after="0" w:line="279" w:lineRule="auto"/>
        <w:rPr>
          <w:sz w:val="20"/>
          <w:szCs w:val="20"/>
          <w:color w:val="auto"/>
        </w:rPr>
      </w:pPr>
      <w:r>
        <w:rPr>
          <w:rFonts w:ascii="Arial" w:cs="Arial" w:eastAsia="Arial" w:hAnsi="Arial"/>
          <w:sz w:val="19"/>
          <w:szCs w:val="19"/>
          <w:color w:val="auto"/>
        </w:rPr>
        <w:t>shall be paid or provided to the Executive only upon a “separation from service” as defined in Treas. Reg. § 1.409A- 1(h). Each payment made under this Agreement shall be deemed to be a separate payment for purposes of Section 409A. Amounts payable under this Agreement shall be deemed not to be a “deferral of compensation” subject to Section 409A to the extent provided in the exceptions in Treasury Regulation §§ 1.409A-1(b)(4) (“short- term deferrals”) and (b)(9) (“separation pay plans,” including the exception under subparagraph (iii)) and other applicable provisions of Treasury Regulation § 1.409A- 1 through A-6.</w:t>
      </w:r>
    </w:p>
    <w:p>
      <w:pPr>
        <w:spacing w:after="0" w:line="204" w:lineRule="exact"/>
        <w:rPr>
          <w:sz w:val="20"/>
          <w:szCs w:val="20"/>
          <w:color w:val="auto"/>
        </w:rPr>
      </w:pPr>
    </w:p>
    <w:p>
      <w:pPr>
        <w:ind w:left="1560" w:right="140" w:hanging="579"/>
        <w:spacing w:after="0" w:line="271" w:lineRule="auto"/>
        <w:rPr>
          <w:sz w:val="20"/>
          <w:szCs w:val="20"/>
          <w:color w:val="auto"/>
        </w:rPr>
      </w:pPr>
      <w:r>
        <w:rPr>
          <w:rFonts w:ascii="Arial" w:cs="Arial" w:eastAsia="Arial" w:hAnsi="Arial"/>
          <w:sz w:val="19"/>
          <w:szCs w:val="19"/>
          <w:color w:val="auto"/>
        </w:rPr>
        <w:t>4.7.4. Notwithstanding anything to the contrary in this Agreement, any payment or benefit under this Agreement or otherwise that is exempt from Section 409A pursuant to Treasury Regulation § 1.409A-1(b)(9)(v)(A) or (C) (relating to certain reimbursements and in-kind benefits) shall be paid or provided to the Executive only to the extent that the expenses are not incurred, or the benefits are not provided, beyond the last day of the second calendar year following the calendar year in which the Executive’s “separation from service” occurs; and provided further that such expenses are reimbursed no later than the last day of the third calendar year following the calendar year in which the Executive’s “separation from service” occurs. To the extent any expense reimbursement or the provision of any in-kind benefit is determined to be subject to Section 409A (and not exempt pursuant to the prior sentence or otherwise), the amount of any such expenses eligible for reimbursement, or the provision of any in-kind benefit, in one calendar year shall not affect provision of in-kind benefits or expenses eligible for reimbursement in any other calendar year (except for any life-time or other aggregate limitation applicable to medical expenses), and in no event shall any expenses be reimbursed after the last day of the calendar year following the calendar year in which the Executive incurred such expenses, and in no event shall any right to reimbursement or the provision of any in-kind benefit be subject to liquidation or exchange for another benefit.</w:t>
      </w:r>
    </w:p>
    <w:p>
      <w:pPr>
        <w:spacing w:after="0" w:line="214" w:lineRule="exact"/>
        <w:rPr>
          <w:sz w:val="20"/>
          <w:szCs w:val="20"/>
          <w:color w:val="auto"/>
        </w:rPr>
      </w:pPr>
    </w:p>
    <w:p>
      <w:pPr>
        <w:ind w:left="560" w:hanging="417"/>
        <w:spacing w:after="0"/>
        <w:tabs>
          <w:tab w:leader="none" w:pos="5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Restrictive Covenant Acknowledgments; Reasonableness</w:t>
      </w:r>
      <w:r>
        <w:rPr>
          <w:rFonts w:ascii="Arial" w:cs="Arial" w:eastAsia="Arial" w:hAnsi="Arial"/>
          <w:sz w:val="22"/>
          <w:szCs w:val="22"/>
          <w:color w:val="auto"/>
        </w:rPr>
        <w:t>.</w:t>
      </w:r>
    </w:p>
    <w:p>
      <w:pPr>
        <w:spacing w:after="0" w:line="260" w:lineRule="exact"/>
        <w:rPr>
          <w:sz w:val="20"/>
          <w:szCs w:val="20"/>
          <w:color w:val="auto"/>
        </w:rPr>
      </w:pPr>
    </w:p>
    <w:p>
      <w:pPr>
        <w:ind w:left="560" w:right="280" w:firstLine="983"/>
        <w:spacing w:after="0" w:line="273" w:lineRule="auto"/>
        <w:rPr>
          <w:sz w:val="20"/>
          <w:szCs w:val="20"/>
          <w:color w:val="auto"/>
        </w:rPr>
      </w:pPr>
      <w:r>
        <w:rPr>
          <w:rFonts w:ascii="Arial" w:cs="Arial" w:eastAsia="Arial" w:hAnsi="Arial"/>
          <w:sz w:val="19"/>
          <w:szCs w:val="19"/>
          <w:color w:val="auto"/>
        </w:rPr>
        <w:t>The Executive acknowledges that (i) his employment and job duties for the Company, including under this Agreement, have resulted and will continue to result in the Executive’s access and exposure to, and familiarity with, Confidential Information (as such term is defined in Section 9 of this Agreement) and that the disclosure or unauthorized use of such Confidential Information by the Executive will injure the Company’s business; (ii) the Company’s business would suffer great competitive harm if its Confidential Information should be disclosed to its competitors or to the general public, and the Company would also suffer great harm if the Executive were to exploit the relationships which have been established with the Company’s customers for the benefit of a competitor; (iii) the Company is entering into this Agreement in order to prevent the disclosure of trade secrets and other competitively sensitive information relating to the Company’s business, and in order to facilitate and induce the disclosure of Confidential Information among employees of the Company with the assurance that such information will not be used in unfair competition against the Company; (iv) he has had the opportunity to be represented by counsel in the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7</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78" w:name="page79"/>
    <w:bookmarkEnd w:id="78"/>
    <w:p>
      <w:pPr>
        <w:ind w:left="560" w:right="300"/>
        <w:spacing w:after="0" w:line="245" w:lineRule="auto"/>
        <w:rPr>
          <w:sz w:val="20"/>
          <w:szCs w:val="20"/>
          <w:color w:val="auto"/>
        </w:rPr>
      </w:pPr>
      <w:r>
        <w:rPr>
          <w:rFonts w:ascii="Arial" w:cs="Arial" w:eastAsia="Arial" w:hAnsi="Arial"/>
          <w:sz w:val="21"/>
          <w:szCs w:val="21"/>
          <w:color w:val="auto"/>
        </w:rPr>
        <w:t>negotiation and execution of this Agreement; and (v) that the covenants set forth in Sections 6 through 13 of this Agreement are reasonable in terms of duration, scope and area restrictions and are necessary for the protection of the legitimate business interests of the Company and its Affiliates. If, at the time of enforcement of such covenants, a court shall hold that the duration, scope, or area restrictions stated therein are unreasonable under circumstances then existing, the Executive and the Company agree that the maximum duration, scope, or area reasonable under such circumstances shall be substituted for the stated duration, scope or area and that the court shall be allowed and directed to revise the covenants to cover the maximum period, scope and area permitted by applicable law. For purposes of Sections 5 through 10, 12, and 13 of this Agreement, the term “Company” shall include the Company, its Subsidiaries and its Affiliates.</w:t>
      </w:r>
    </w:p>
    <w:p>
      <w:pPr>
        <w:spacing w:after="0" w:line="238" w:lineRule="exact"/>
        <w:rPr>
          <w:sz w:val="20"/>
          <w:szCs w:val="20"/>
          <w:color w:val="auto"/>
        </w:rPr>
      </w:pPr>
    </w:p>
    <w:p>
      <w:pPr>
        <w:ind w:left="560" w:hanging="417"/>
        <w:spacing w:after="0"/>
        <w:tabs>
          <w:tab w:leader="none" w:pos="5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Covenants Relating to Ownership of Notes, Records and Documents</w:t>
      </w:r>
      <w:r>
        <w:rPr>
          <w:rFonts w:ascii="Arial" w:cs="Arial" w:eastAsia="Arial" w:hAnsi="Arial"/>
          <w:sz w:val="22"/>
          <w:szCs w:val="22"/>
          <w:color w:val="auto"/>
        </w:rPr>
        <w:t>.</w:t>
      </w:r>
    </w:p>
    <w:p>
      <w:pPr>
        <w:spacing w:after="0" w:line="260" w:lineRule="exact"/>
        <w:rPr>
          <w:sz w:val="20"/>
          <w:szCs w:val="20"/>
          <w:color w:val="auto"/>
        </w:rPr>
      </w:pPr>
    </w:p>
    <w:p>
      <w:pPr>
        <w:ind w:left="560" w:right="340" w:firstLine="977"/>
        <w:spacing w:after="0" w:line="275" w:lineRule="auto"/>
        <w:rPr>
          <w:sz w:val="20"/>
          <w:szCs w:val="20"/>
          <w:color w:val="auto"/>
        </w:rPr>
      </w:pPr>
      <w:r>
        <w:rPr>
          <w:rFonts w:ascii="Arial" w:cs="Arial" w:eastAsia="Arial" w:hAnsi="Arial"/>
          <w:sz w:val="19"/>
          <w:szCs w:val="19"/>
          <w:color w:val="auto"/>
        </w:rPr>
        <w:t>All memoranda, notes, records and other documents (and copies thereof), whether in hard copy or electronic format, made or compiled by the Executive or made available to the Executive during his employment concerning the business of the Company, including, without limitation, all technical or scientific data, ideas, intellectual property, records, notes, experiment books, bidding data and other technical material of the Company shall be the Company’s property; provided, that, the Executive shall be entitled to keep a copy of this Agreement and compensation and benefit plans to which the Executive is entitled to receive benefits thereunder. All such property shall be delivered to Company on the date of termination of the Executive’s employment or upon request at any time by the Company, regardless of whether such property contains Confidential Information.</w:t>
      </w:r>
    </w:p>
    <w:p>
      <w:pPr>
        <w:spacing w:after="0" w:line="211" w:lineRule="exact"/>
        <w:rPr>
          <w:sz w:val="20"/>
          <w:szCs w:val="20"/>
          <w:color w:val="auto"/>
        </w:rPr>
      </w:pPr>
    </w:p>
    <w:p>
      <w:pPr>
        <w:ind w:left="560" w:hanging="417"/>
        <w:spacing w:after="0"/>
        <w:tabs>
          <w:tab w:leader="none" w:pos="5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Non-Solicitation Covenants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560"/>
        <w:spacing w:after="0"/>
        <w:rPr>
          <w:rFonts w:ascii="Arial" w:cs="Arial" w:eastAsia="Arial" w:hAnsi="Arial"/>
          <w:sz w:val="22"/>
          <w:szCs w:val="22"/>
          <w:color w:val="auto"/>
        </w:rPr>
      </w:pPr>
      <w:r>
        <w:rPr>
          <w:rFonts w:ascii="Arial" w:cs="Arial" w:eastAsia="Arial" w:hAnsi="Arial"/>
          <w:sz w:val="22"/>
          <w:szCs w:val="22"/>
          <w:color w:val="auto"/>
        </w:rPr>
        <w:t>7.1.  During (i) the Executive’s employment with the Company and (ii) for a period of one</w:t>
      </w:r>
    </w:p>
    <w:p>
      <w:pPr>
        <w:spacing w:after="0" w:line="8" w:lineRule="exact"/>
        <w:rPr>
          <w:rFonts w:ascii="Arial" w:cs="Arial" w:eastAsia="Arial" w:hAnsi="Arial"/>
          <w:sz w:val="22"/>
          <w:szCs w:val="22"/>
          <w:color w:val="auto"/>
        </w:rPr>
      </w:pPr>
    </w:p>
    <w:p>
      <w:pPr>
        <w:ind w:left="1080" w:right="220" w:hanging="6"/>
        <w:spacing w:after="0" w:line="233" w:lineRule="auto"/>
        <w:tabs>
          <w:tab w:leader="none" w:pos="1386" w:val="left"/>
        </w:tabs>
        <w:numPr>
          <w:ilvl w:val="1"/>
          <w:numId w:val="35"/>
        </w:numPr>
        <w:rPr>
          <w:rFonts w:ascii="Arial" w:cs="Arial" w:eastAsia="Arial" w:hAnsi="Arial"/>
          <w:sz w:val="22"/>
          <w:szCs w:val="22"/>
          <w:color w:val="auto"/>
        </w:rPr>
      </w:pPr>
      <w:r>
        <w:rPr>
          <w:rFonts w:ascii="Arial" w:cs="Arial" w:eastAsia="Arial" w:hAnsi="Arial"/>
          <w:sz w:val="22"/>
          <w:szCs w:val="22"/>
          <w:color w:val="auto"/>
        </w:rPr>
        <w:t>year following termination of the Executive’s employment for any reason (the “</w:t>
      </w:r>
      <w:r>
        <w:rPr>
          <w:rFonts w:ascii="Arial" w:cs="Arial" w:eastAsia="Arial" w:hAnsi="Arial"/>
          <w:sz w:val="22"/>
          <w:szCs w:val="22"/>
          <w:u w:val="single" w:color="auto"/>
          <w:color w:val="auto"/>
        </w:rPr>
        <w:t>NS Restricted Period</w:t>
      </w:r>
      <w:r>
        <w:rPr>
          <w:rFonts w:ascii="Arial" w:cs="Arial" w:eastAsia="Arial" w:hAnsi="Arial"/>
          <w:sz w:val="22"/>
          <w:szCs w:val="22"/>
          <w:color w:val="auto"/>
        </w:rPr>
        <w:t>”), the Executive shall not, directly or indirectly, solicit, divert, or take away (or attempt to solicit, divert, or take away) the business of any client, customer or supplier of the Company (each such party, a “</w:t>
      </w:r>
      <w:r>
        <w:rPr>
          <w:rFonts w:ascii="Arial" w:cs="Arial" w:eastAsia="Arial" w:hAnsi="Arial"/>
          <w:sz w:val="22"/>
          <w:szCs w:val="22"/>
          <w:u w:val="single" w:color="auto"/>
          <w:color w:val="auto"/>
        </w:rPr>
        <w:t>Restricted Party</w:t>
      </w:r>
      <w:r>
        <w:rPr>
          <w:rFonts w:ascii="Arial" w:cs="Arial" w:eastAsia="Arial" w:hAnsi="Arial"/>
          <w:sz w:val="22"/>
          <w:szCs w:val="22"/>
          <w:color w:val="auto"/>
        </w:rPr>
        <w:t>”) or encourage any Restricted Party to cease doing business with the Company or to reduce the amount of business such Restricted Party does with the Company.</w:t>
      </w:r>
    </w:p>
    <w:p>
      <w:pPr>
        <w:spacing w:after="0" w:line="239" w:lineRule="exact"/>
        <w:rPr>
          <w:sz w:val="20"/>
          <w:szCs w:val="20"/>
          <w:color w:val="auto"/>
        </w:rPr>
      </w:pPr>
    </w:p>
    <w:p>
      <w:pPr>
        <w:ind w:left="1060" w:right="720" w:hanging="499"/>
        <w:spacing w:after="0" w:line="287" w:lineRule="auto"/>
        <w:tabs>
          <w:tab w:leader="none" w:pos="10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Executive shall not, for the duration of the NS Restricted Period, directly or indirectly, solicit or encourage (or cause to be solicited or encouraged) any person who (i) is an employee of, or consultant then under contract with, the Company or (ii) who was an employee of, or consultant with, the Company within the six-month period preceding such solicitation, to cease employment with, or the provision of services to, the Company.</w:t>
      </w:r>
    </w:p>
    <w:p>
      <w:pPr>
        <w:spacing w:after="0" w:line="197" w:lineRule="exact"/>
        <w:rPr>
          <w:sz w:val="20"/>
          <w:szCs w:val="20"/>
          <w:color w:val="auto"/>
        </w:rPr>
      </w:pPr>
    </w:p>
    <w:p>
      <w:pPr>
        <w:ind w:left="560" w:hanging="417"/>
        <w:spacing w:after="0"/>
        <w:tabs>
          <w:tab w:leader="none" w:pos="5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Noncompetition Covenant</w:t>
      </w:r>
      <w:r>
        <w:rPr>
          <w:rFonts w:ascii="Arial" w:cs="Arial" w:eastAsia="Arial" w:hAnsi="Arial"/>
          <w:sz w:val="22"/>
          <w:szCs w:val="22"/>
          <w:color w:val="auto"/>
        </w:rPr>
        <w:t>.</w:t>
      </w:r>
    </w:p>
    <w:p>
      <w:pPr>
        <w:spacing w:after="0" w:line="260" w:lineRule="exact"/>
        <w:rPr>
          <w:sz w:val="20"/>
          <w:szCs w:val="20"/>
          <w:color w:val="auto"/>
        </w:rPr>
      </w:pPr>
    </w:p>
    <w:p>
      <w:pPr>
        <w:ind w:left="560" w:right="720" w:firstLine="983"/>
        <w:spacing w:after="0" w:line="250" w:lineRule="auto"/>
        <w:rPr>
          <w:sz w:val="20"/>
          <w:szCs w:val="20"/>
          <w:color w:val="auto"/>
        </w:rPr>
      </w:pPr>
      <w:r>
        <w:rPr>
          <w:rFonts w:ascii="Arial" w:cs="Arial" w:eastAsia="Arial" w:hAnsi="Arial"/>
          <w:sz w:val="22"/>
          <w:szCs w:val="22"/>
          <w:color w:val="auto"/>
        </w:rPr>
        <w:t>In support of the Executive’s commitment to maintain the confidentiality of the Company’s Confidential Information, (i) during the Executive’s employment with the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8</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79" w:name="page80"/>
    <w:bookmarkEnd w:id="79"/>
    <w:p>
      <w:pPr>
        <w:ind w:left="560" w:right="140"/>
        <w:spacing w:after="0" w:line="268" w:lineRule="auto"/>
        <w:rPr>
          <w:sz w:val="20"/>
          <w:szCs w:val="20"/>
          <w:color w:val="auto"/>
        </w:rPr>
      </w:pPr>
      <w:r>
        <w:rPr>
          <w:rFonts w:ascii="Arial" w:cs="Arial" w:eastAsia="Arial" w:hAnsi="Arial"/>
          <w:sz w:val="19"/>
          <w:szCs w:val="19"/>
          <w:color w:val="auto"/>
        </w:rPr>
        <w:t>Company and (ii) for a period of one (1) year following termination of the Executive’s employment for any reason (the “NC Restricted Period”), the Executive shall not, directly or indirectly, (a) enter the employ of or render services to (including as a salesperson, consultant or in strategic planning role), any “Competing Business” within the “Territory” (as such terms are defined below), (b) engage in any Competing Business within the Territory for his own account, or (c) become interested in a Competing Business within the Territory as a partner, shareholder (whether or not a controlling shareholder), director, officer, principal, agent, trustee, or in any other relationship or capacity. For purposes of this Agreement, “Competing Business” shall be defined as any business that engages in clinical research in drug development primarily for diabetes; provided, however, that this definition shall only apply to clinical research and development activities which involve products and services similar to those provided by the Company during the Term or which during the Term, the Company anticipates providing: provided, that, as applied to conduct by the Executive following the Term, a Competing Business shall only include such activities that the Company was engaged in, or that the Company anticipated engaging in, as of the last day of the Term. For purposes of this Agreement, “Territory” shall be defined as each and all of the geographic areas and locations where (x) the Company carries on or transacts its business,</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(y) the Company sells or markets its products or services, or (z) the Company’s customers are located.</w:t>
      </w:r>
    </w:p>
    <w:p>
      <w:pPr>
        <w:spacing w:after="0" w:line="242" w:lineRule="exact"/>
        <w:rPr>
          <w:sz w:val="20"/>
          <w:szCs w:val="20"/>
          <w:color w:val="auto"/>
        </w:rPr>
      </w:pPr>
    </w:p>
    <w:p>
      <w:pPr>
        <w:ind w:left="560" w:hanging="417"/>
        <w:spacing w:after="0"/>
        <w:tabs>
          <w:tab w:leader="none" w:pos="5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Covenant Not to Disclose Confidential Information</w:t>
      </w:r>
      <w:r>
        <w:rPr>
          <w:rFonts w:ascii="Arial" w:cs="Arial" w:eastAsia="Arial" w:hAnsi="Arial"/>
          <w:sz w:val="22"/>
          <w:szCs w:val="22"/>
          <w:color w:val="auto"/>
        </w:rPr>
        <w:t>.</w:t>
      </w:r>
    </w:p>
    <w:p>
      <w:pPr>
        <w:spacing w:after="0" w:line="260" w:lineRule="exact"/>
        <w:rPr>
          <w:sz w:val="20"/>
          <w:szCs w:val="20"/>
          <w:color w:val="auto"/>
        </w:rPr>
      </w:pPr>
    </w:p>
    <w:p>
      <w:pPr>
        <w:ind w:left="1560"/>
        <w:spacing w:after="0"/>
        <w:rPr>
          <w:sz w:val="20"/>
          <w:szCs w:val="20"/>
          <w:color w:val="auto"/>
        </w:rPr>
      </w:pPr>
      <w:r>
        <w:rPr>
          <w:rFonts w:ascii="Arial" w:cs="Arial" w:eastAsia="Arial" w:hAnsi="Arial"/>
          <w:sz w:val="19"/>
          <w:szCs w:val="19"/>
          <w:color w:val="auto"/>
        </w:rPr>
        <w:t>The Executive agrees that he has not and shall not, at any time during or after the Term, use, reveal or divulge</w:t>
      </w:r>
    </w:p>
    <w:p>
      <w:pPr>
        <w:spacing w:after="0" w:line="43" w:lineRule="exact"/>
        <w:rPr>
          <w:sz w:val="20"/>
          <w:szCs w:val="20"/>
          <w:color w:val="auto"/>
        </w:rPr>
      </w:pPr>
    </w:p>
    <w:p>
      <w:pPr>
        <w:ind w:left="560" w:right="260"/>
        <w:spacing w:after="0" w:line="243" w:lineRule="auto"/>
        <w:rPr>
          <w:sz w:val="20"/>
          <w:szCs w:val="20"/>
          <w:color w:val="auto"/>
        </w:rPr>
      </w:pPr>
      <w:r>
        <w:rPr>
          <w:rFonts w:ascii="Arial" w:cs="Arial" w:eastAsia="Arial" w:hAnsi="Arial"/>
          <w:sz w:val="21"/>
          <w:szCs w:val="21"/>
          <w:color w:val="auto"/>
        </w:rPr>
        <w:t>(i) any trade secrets (as defined under applicable state law), (ii) any other confidential information, including business plans, customer information, formulae, financial information, pricing information, technical scientific data, technical processes, clinical or pre-clinical data, protocols, research projects, results, information technology programs or processes, database, or other information which the Company deems to be confidential or commercially sensitive, or (iii) any material confidential information whatsoever concerning any director, officer, employee, shareholder, partner, customer or agent of the Company or their respective family members learned by the Executive heretofore or hereafter (clauses (i) through (iii), collectively,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p>
    <w:p>
      <w:pPr>
        <w:spacing w:after="0" w:line="241" w:lineRule="exact"/>
        <w:rPr>
          <w:sz w:val="20"/>
          <w:szCs w:val="20"/>
          <w:color w:val="auto"/>
        </w:rPr>
      </w:pPr>
    </w:p>
    <w:p>
      <w:pPr>
        <w:ind w:left="560" w:hanging="417"/>
        <w:spacing w:after="0"/>
        <w:tabs>
          <w:tab w:leader="none" w:pos="5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Non-disparagement Covenant</w:t>
      </w:r>
      <w:r>
        <w:rPr>
          <w:rFonts w:ascii="Arial" w:cs="Arial" w:eastAsia="Arial" w:hAnsi="Arial"/>
          <w:sz w:val="22"/>
          <w:szCs w:val="22"/>
          <w:color w:val="auto"/>
        </w:rPr>
        <w:t>.</w:t>
      </w:r>
    </w:p>
    <w:p>
      <w:pPr>
        <w:spacing w:after="0" w:line="260" w:lineRule="exact"/>
        <w:rPr>
          <w:sz w:val="20"/>
          <w:szCs w:val="20"/>
          <w:color w:val="auto"/>
        </w:rPr>
      </w:pPr>
    </w:p>
    <w:p>
      <w:pPr>
        <w:ind w:left="560" w:right="220" w:firstLine="988"/>
        <w:spacing w:after="0" w:line="236" w:lineRule="auto"/>
        <w:rPr>
          <w:sz w:val="20"/>
          <w:szCs w:val="20"/>
          <w:color w:val="auto"/>
        </w:rPr>
      </w:pPr>
      <w:r>
        <w:rPr>
          <w:rFonts w:ascii="Arial" w:cs="Arial" w:eastAsia="Arial" w:hAnsi="Arial"/>
          <w:sz w:val="22"/>
          <w:szCs w:val="22"/>
          <w:color w:val="auto"/>
        </w:rPr>
        <w:t>Executive agrees that, during the Executive’s employment with the Company and at all times thereafter, the Executive shall not issue, circulate, publish or utter any false or disparaging statements, remarks or rumors about the Company or the customers, employees, directors, managers, officers, products, partners, shareholders or services of the Company; provided, that, nothing herein shall prohibit the Executive from providing truthful testimony if such testimony is required by law.</w:t>
      </w:r>
    </w:p>
    <w:p>
      <w:pPr>
        <w:spacing w:after="0" w:line="241" w:lineRule="exact"/>
        <w:rPr>
          <w:sz w:val="20"/>
          <w:szCs w:val="20"/>
          <w:color w:val="auto"/>
        </w:rPr>
      </w:pPr>
    </w:p>
    <w:p>
      <w:pPr>
        <w:ind w:left="560" w:hanging="417"/>
        <w:spacing w:after="0"/>
        <w:tabs>
          <w:tab w:leader="none" w:pos="5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Inventions Covenant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680" w:hanging="500"/>
        <w:spacing w:after="0" w:line="250" w:lineRule="auto"/>
        <w:rPr>
          <w:rFonts w:ascii="Arial" w:cs="Arial" w:eastAsia="Arial" w:hAnsi="Arial"/>
          <w:sz w:val="22"/>
          <w:szCs w:val="22"/>
          <w:color w:val="auto"/>
        </w:rPr>
      </w:pPr>
      <w:r>
        <w:rPr>
          <w:rFonts w:ascii="Arial" w:cs="Arial" w:eastAsia="Arial" w:hAnsi="Arial"/>
          <w:sz w:val="22"/>
          <w:szCs w:val="22"/>
          <w:color w:val="auto"/>
        </w:rPr>
        <w:t>11.1. During the course of employment, the Executive agrees to promptly disclose in confidence to the Company all inventions, improvements, designs, original works of</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40" w:type="dxa"/>
            <w:vAlign w:val="bottom"/>
          </w:tcPr>
          <w:p>
            <w:pPr>
              <w:jc w:val="right"/>
              <w:ind w:right="5470"/>
              <w:spacing w:after="0"/>
              <w:rPr>
                <w:sz w:val="20"/>
                <w:szCs w:val="20"/>
                <w:color w:val="auto"/>
              </w:rPr>
            </w:pPr>
            <w:r>
              <w:rPr>
                <w:rFonts w:ascii="Arial" w:cs="Arial" w:eastAsia="Arial" w:hAnsi="Arial"/>
                <w:sz w:val="18"/>
                <w:szCs w:val="18"/>
                <w:color w:val="auto"/>
              </w:rPr>
              <w:t>9</w:t>
            </w:r>
          </w:p>
        </w:tc>
      </w:tr>
      <w:tr>
        <w:trPr>
          <w:trHeight w:val="236"/>
        </w:trPr>
        <w:tc>
          <w:tcPr>
            <w:tcW w:w="3420" w:type="dxa"/>
            <w:vAlign w:val="bottom"/>
            <w:tcBorders>
              <w:bottom w:val="single" w:sz="8" w:color="9A9A9A"/>
            </w:tcBorders>
          </w:tcPr>
          <w:p>
            <w:pPr>
              <w:spacing w:after="0"/>
              <w:rPr>
                <w:sz w:val="20"/>
                <w:szCs w:val="20"/>
                <w:color w:val="auto"/>
              </w:rPr>
            </w:pPr>
          </w:p>
        </w:tc>
        <w:tc>
          <w:tcPr>
            <w:tcW w:w="78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0" w:name="page81"/>
    <w:bookmarkEnd w:id="80"/>
    <w:p>
      <w:pPr>
        <w:ind w:left="1080" w:right="220"/>
        <w:spacing w:after="0" w:line="287" w:lineRule="auto"/>
        <w:rPr>
          <w:sz w:val="20"/>
          <w:szCs w:val="20"/>
          <w:color w:val="auto"/>
        </w:rPr>
      </w:pPr>
      <w:r>
        <w:rPr>
          <w:rFonts w:ascii="Arial" w:cs="Arial" w:eastAsia="Arial" w:hAnsi="Arial"/>
          <w:sz w:val="19"/>
          <w:szCs w:val="19"/>
          <w:color w:val="auto"/>
        </w:rPr>
        <w:t>authorship, formulae, processes, algorithms, compositions of matter, computer software programs, databases, mask works, and trade secrets (“</w:t>
      </w:r>
      <w:r>
        <w:rPr>
          <w:rFonts w:ascii="Arial" w:cs="Arial" w:eastAsia="Arial" w:hAnsi="Arial"/>
          <w:sz w:val="19"/>
          <w:szCs w:val="19"/>
          <w:u w:val="single" w:color="auto"/>
          <w:color w:val="auto"/>
        </w:rPr>
        <w:t>Inventions</w:t>
      </w:r>
      <w:r>
        <w:rPr>
          <w:rFonts w:ascii="Arial" w:cs="Arial" w:eastAsia="Arial" w:hAnsi="Arial"/>
          <w:sz w:val="19"/>
          <w:szCs w:val="19"/>
          <w:color w:val="auto"/>
        </w:rPr>
        <w:t>”) that the Executive makes or conceives or first reduces to practice or creates, either alone or jointly with others, whether or not in the course of his employment, and whether or not such Inventions are patentable, copyrightable, or protectable as trade secrets.</w:t>
      </w:r>
    </w:p>
    <w:p>
      <w:pPr>
        <w:spacing w:after="0" w:line="197" w:lineRule="exact"/>
        <w:rPr>
          <w:sz w:val="20"/>
          <w:szCs w:val="20"/>
          <w:color w:val="auto"/>
        </w:rPr>
      </w:pPr>
    </w:p>
    <w:p>
      <w:pPr>
        <w:ind w:left="1060" w:right="400" w:hanging="499"/>
        <w:spacing w:after="0"/>
        <w:rPr>
          <w:sz w:val="20"/>
          <w:szCs w:val="20"/>
          <w:color w:val="auto"/>
        </w:rPr>
      </w:pPr>
      <w:r>
        <w:rPr>
          <w:rFonts w:ascii="Arial" w:cs="Arial" w:eastAsia="Arial" w:hAnsi="Arial"/>
          <w:sz w:val="22"/>
          <w:szCs w:val="22"/>
          <w:color w:val="auto"/>
        </w:rPr>
        <w:t>11.2. The Executive understands that, under copyright laws, any copyrightable works prepared by the Executive within the course and scope of his employment is “works for hire.” Consequently, the Company will be considered the author and owner of such works.</w:t>
      </w:r>
    </w:p>
    <w:p>
      <w:pPr>
        <w:spacing w:after="0" w:line="240" w:lineRule="exact"/>
        <w:rPr>
          <w:sz w:val="20"/>
          <w:szCs w:val="20"/>
          <w:color w:val="auto"/>
        </w:rPr>
      </w:pPr>
    </w:p>
    <w:p>
      <w:pPr>
        <w:ind w:left="1060" w:right="300" w:hanging="499"/>
        <w:spacing w:after="0" w:line="248" w:lineRule="auto"/>
        <w:rPr>
          <w:sz w:val="20"/>
          <w:szCs w:val="20"/>
          <w:color w:val="auto"/>
        </w:rPr>
      </w:pPr>
      <w:r>
        <w:rPr>
          <w:rFonts w:ascii="Arial" w:cs="Arial" w:eastAsia="Arial" w:hAnsi="Arial"/>
          <w:sz w:val="21"/>
          <w:szCs w:val="21"/>
          <w:color w:val="auto"/>
        </w:rPr>
        <w:t>11.3. The Executive agrees that all Inventions that (a) are developed using equipment, supplies, facilities, or trade secrets of the Company, (b) result from work performed by the Executive for the Company, or (c) relate to the Company’s business or current or anticipated research and development, will be the sole and exclusive property of the Company. The Executive hereby assigns and agrees to transfer to the Company any and all intellectual property, including all intellectual property rights, registrations, trade secrets rights as well as worldwide rights in any intellectual property or other forms of protection.</w:t>
      </w:r>
    </w:p>
    <w:p>
      <w:pPr>
        <w:spacing w:after="0" w:line="231" w:lineRule="exact"/>
        <w:rPr>
          <w:sz w:val="20"/>
          <w:szCs w:val="20"/>
          <w:color w:val="auto"/>
        </w:rPr>
      </w:pPr>
    </w:p>
    <w:p>
      <w:pPr>
        <w:ind w:left="1060" w:right="300" w:hanging="499"/>
        <w:spacing w:after="0" w:line="236" w:lineRule="auto"/>
        <w:rPr>
          <w:sz w:val="20"/>
          <w:szCs w:val="20"/>
          <w:color w:val="auto"/>
        </w:rPr>
      </w:pPr>
      <w:r>
        <w:rPr>
          <w:rFonts w:ascii="Arial" w:cs="Arial" w:eastAsia="Arial" w:hAnsi="Arial"/>
          <w:sz w:val="22"/>
          <w:szCs w:val="22"/>
          <w:color w:val="auto"/>
        </w:rPr>
        <w:t>11.4. The Executive also waives and agrees never to assert any “Moral Rights” the Executive might have in or with respect to any Invention even after the Executive leaves the Company. “Moral Rights” means any right (or similar right existing under the judicial or statutory law of any country or treaty) to claim authorship of any Invention, to object or prevent modification of any Invention, or to withdraw from circulation or to control the publication distribution of any Invention.</w:t>
      </w:r>
    </w:p>
    <w:p>
      <w:pPr>
        <w:spacing w:after="0" w:line="241" w:lineRule="exact"/>
        <w:rPr>
          <w:sz w:val="20"/>
          <w:szCs w:val="20"/>
          <w:color w:val="auto"/>
        </w:rPr>
      </w:pPr>
    </w:p>
    <w:p>
      <w:pPr>
        <w:ind w:left="1060" w:right="300" w:hanging="499"/>
        <w:spacing w:after="0" w:line="246" w:lineRule="auto"/>
        <w:rPr>
          <w:sz w:val="20"/>
          <w:szCs w:val="20"/>
          <w:color w:val="auto"/>
        </w:rPr>
      </w:pPr>
      <w:r>
        <w:rPr>
          <w:rFonts w:ascii="Arial" w:cs="Arial" w:eastAsia="Arial" w:hAnsi="Arial"/>
          <w:sz w:val="21"/>
          <w:szCs w:val="21"/>
          <w:color w:val="auto"/>
        </w:rPr>
        <w:t>11.5. The Executive agrees to execute, acknowledge, make and deliver to Company or its attorneys, without additional compensation, but without expense to the Executive, any and all instruments, including, without limitation, United States and foreign patent applications, trademark and copyright applications, applications for securing, protecting or registering any property rights embraced within this Agreement, powers of attorney, assignments, oaths or affirmations, supplemental oaths and sworn statements, and to do any and all lawful acts that, in the judgment of the Company or its attorneys, may be necessary or desirable to vest in or secure for, or maintain for the benefit of, the Company, adequate patent and other property rights in the United States and all foreign countries with respect to any and all such Inventions.</w:t>
      </w:r>
    </w:p>
    <w:p>
      <w:pPr>
        <w:spacing w:after="0" w:line="234" w:lineRule="exact"/>
        <w:rPr>
          <w:sz w:val="20"/>
          <w:szCs w:val="20"/>
          <w:color w:val="auto"/>
        </w:rPr>
      </w:pPr>
    </w:p>
    <w:p>
      <w:pPr>
        <w:ind w:left="1060" w:right="280" w:hanging="499"/>
        <w:spacing w:after="0" w:line="234" w:lineRule="auto"/>
        <w:rPr>
          <w:sz w:val="20"/>
          <w:szCs w:val="20"/>
          <w:color w:val="auto"/>
        </w:rPr>
      </w:pPr>
      <w:r>
        <w:rPr>
          <w:rFonts w:ascii="Arial" w:cs="Arial" w:eastAsia="Arial" w:hAnsi="Arial"/>
          <w:sz w:val="22"/>
          <w:szCs w:val="22"/>
          <w:color w:val="auto"/>
        </w:rPr>
        <w:t>11.6. The Executive has attached hereto a list describing all inventions, original works of authorship, developments, improvements, and trade secrets which were made by the Executive prior to employment with the Company (collectively referred to as “</w:t>
      </w:r>
      <w:r>
        <w:rPr>
          <w:rFonts w:ascii="Arial" w:cs="Arial" w:eastAsia="Arial" w:hAnsi="Arial"/>
          <w:sz w:val="22"/>
          <w:szCs w:val="22"/>
          <w:u w:val="single" w:color="auto"/>
          <w:color w:val="auto"/>
        </w:rPr>
        <w:t>Prior Inventions</w:t>
      </w:r>
      <w:r>
        <w:rPr>
          <w:rFonts w:ascii="Arial" w:cs="Arial" w:eastAsia="Arial" w:hAnsi="Arial"/>
          <w:sz w:val="22"/>
          <w:szCs w:val="22"/>
          <w:color w:val="auto"/>
        </w:rPr>
        <w:t>”), which belong to the Executive, which relate to the Company’s proposed business, products or research and development, and which are not assigned to the Company hereunder; or, if no such list is attached, the Executive represents that there are no such Prior Inventions. The Executive agrees that he will not incorporate, or permit to be incorporated, any Prior Invention owned by the Executive or in which he has an</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60" w:type="dxa"/>
            <w:vAlign w:val="bottom"/>
          </w:tcPr>
          <w:p>
            <w:pPr>
              <w:jc w:val="right"/>
              <w:ind w:right="5430"/>
              <w:spacing w:after="0"/>
              <w:rPr>
                <w:sz w:val="20"/>
                <w:szCs w:val="20"/>
                <w:color w:val="auto"/>
              </w:rPr>
            </w:pPr>
            <w:r>
              <w:rPr>
                <w:rFonts w:ascii="Arial" w:cs="Arial" w:eastAsia="Arial" w:hAnsi="Arial"/>
                <w:sz w:val="18"/>
                <w:szCs w:val="18"/>
                <w:color w:val="auto"/>
              </w:rPr>
              <w:t>10</w:t>
            </w:r>
          </w:p>
        </w:tc>
      </w:tr>
      <w:tr>
        <w:trPr>
          <w:trHeight w:val="236"/>
        </w:trPr>
        <w:tc>
          <w:tcPr>
            <w:tcW w:w="3400" w:type="dxa"/>
            <w:vAlign w:val="bottom"/>
            <w:tcBorders>
              <w:bottom w:val="single" w:sz="8" w:color="9A9A9A"/>
            </w:tcBorders>
          </w:tcPr>
          <w:p>
            <w:pPr>
              <w:spacing w:after="0"/>
              <w:rPr>
                <w:sz w:val="20"/>
                <w:szCs w:val="20"/>
                <w:color w:val="auto"/>
              </w:rPr>
            </w:pPr>
          </w:p>
        </w:tc>
        <w:tc>
          <w:tcPr>
            <w:tcW w:w="7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1" w:name="page82"/>
    <w:bookmarkEnd w:id="81"/>
    <w:p>
      <w:pPr>
        <w:ind w:left="1080" w:right="240"/>
        <w:spacing w:after="0" w:line="282" w:lineRule="auto"/>
        <w:rPr>
          <w:sz w:val="20"/>
          <w:szCs w:val="20"/>
          <w:color w:val="auto"/>
        </w:rPr>
      </w:pPr>
      <w:r>
        <w:rPr>
          <w:rFonts w:ascii="Arial" w:cs="Arial" w:eastAsia="Arial" w:hAnsi="Arial"/>
          <w:sz w:val="19"/>
          <w:szCs w:val="19"/>
          <w:color w:val="auto"/>
        </w:rPr>
        <w:t>interest into a Company product or process without the Company’s prior written consent. Notwithstanding the foregoing sentence, if, in the course of the Executive’s employment, the Executive incorporates into a Company product or process a Prior Invention owned by the Executive or in which he has an interest, the Company is hereby granted and shall have a nonexclusive, royalty-free, irrevocable, perpetual, worldwide license to make, have made, modify, use and sell such Prior Invention as part of or in connection with such product or process.</w:t>
      </w:r>
    </w:p>
    <w:p>
      <w:pPr>
        <w:spacing w:after="0" w:line="201" w:lineRule="exact"/>
        <w:rPr>
          <w:sz w:val="20"/>
          <w:szCs w:val="20"/>
          <w:color w:val="auto"/>
        </w:rPr>
      </w:pPr>
    </w:p>
    <w:p>
      <w:pPr>
        <w:ind w:left="560" w:hanging="417"/>
        <w:spacing w:after="0"/>
        <w:tabs>
          <w:tab w:leader="none" w:pos="5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Property of the Company</w:t>
      </w:r>
      <w:r>
        <w:rPr>
          <w:rFonts w:ascii="Arial" w:cs="Arial" w:eastAsia="Arial" w:hAnsi="Arial"/>
          <w:sz w:val="22"/>
          <w:szCs w:val="22"/>
          <w:color w:val="auto"/>
        </w:rPr>
        <w:t>.</w:t>
      </w:r>
    </w:p>
    <w:p>
      <w:pPr>
        <w:spacing w:after="0" w:line="260" w:lineRule="exact"/>
        <w:rPr>
          <w:sz w:val="20"/>
          <w:szCs w:val="20"/>
          <w:color w:val="auto"/>
        </w:rPr>
      </w:pPr>
    </w:p>
    <w:p>
      <w:pPr>
        <w:ind w:left="560" w:right="100" w:firstLine="994"/>
        <w:spacing w:after="0" w:line="273" w:lineRule="auto"/>
        <w:rPr>
          <w:sz w:val="20"/>
          <w:szCs w:val="20"/>
          <w:color w:val="auto"/>
        </w:rPr>
      </w:pPr>
      <w:r>
        <w:rPr>
          <w:rFonts w:ascii="Arial" w:cs="Arial" w:eastAsia="Arial" w:hAnsi="Arial"/>
          <w:sz w:val="19"/>
          <w:szCs w:val="19"/>
          <w:color w:val="auto"/>
        </w:rPr>
        <w:t>The Executive acknowledges that from time to time in the course of providing services pursuant to this Agreement he shall have the opportunity to inspect and use certain property, both tangible and intangible, of the Company, and the Executive hereby agrees that said property shall remain the exclusive property of the Company, and the Executive shall have no right or proprietary interest in such property, whether tangible or intangible, including, without limitation, the Company’s customer and supplier lists, contract forms, books of account, computer programs and similar property. The Executive acknowledges and agrees that he has no expectation of privacy with respect to the Company’s telecommunications, networking, or information processing systems (including, without limitation, files, e-mail messages and voice messages) and that the Executive’s activity and any files or messages on or using any of those systems may be monitored at any time without notice. The Executive further agrees that any property situated on the Company’s premises and owned by the Company, including disks and other storage media, filing cabinets or other work areas, is subject to inspection by Company personnel without notice.</w:t>
      </w:r>
    </w:p>
    <w:p>
      <w:pPr>
        <w:spacing w:after="0" w:line="209" w:lineRule="exact"/>
        <w:rPr>
          <w:sz w:val="20"/>
          <w:szCs w:val="20"/>
          <w:color w:val="auto"/>
        </w:rPr>
      </w:pPr>
    </w:p>
    <w:p>
      <w:pPr>
        <w:ind w:left="560" w:right="160" w:hanging="417"/>
        <w:spacing w:after="0" w:line="244" w:lineRule="auto"/>
        <w:tabs>
          <w:tab w:leader="none" w:pos="56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The Executive agrees that during and after his employment with the Company, the Executive will assist the Company in the defense of any claims or potential claims that may be made or threatened to be made against the Company in any action, suit, or proceeding, whether civil, criminal, administrative, investigative, or otherwise (each, an “</w:t>
      </w:r>
      <w:r>
        <w:rPr>
          <w:rFonts w:ascii="Arial" w:cs="Arial" w:eastAsia="Arial" w:hAnsi="Arial"/>
          <w:sz w:val="21"/>
          <w:szCs w:val="21"/>
          <w:u w:val="single" w:color="auto"/>
          <w:color w:val="auto"/>
        </w:rPr>
        <w:t>Action</w:t>
      </w:r>
      <w:r>
        <w:rPr>
          <w:rFonts w:ascii="Arial" w:cs="Arial" w:eastAsia="Arial" w:hAnsi="Arial"/>
          <w:sz w:val="21"/>
          <w:szCs w:val="21"/>
          <w:color w:val="auto"/>
        </w:rPr>
        <w:t>”), and will assist the Company in the prosecution of any claims that may be made by the Company in any Action, to the extent that such claims may relate to the Executive’s employment or the period of the Executive’s employment by the Company. The Executive agrees, unless precluded by law, to promptly inform the Company if the Executive is asked to participate (or otherwise become involved) in any such Action. The Executive also agrees, unless precluded by law, to promptly inform the Company if the Executive is asked to assist in any investigation (whether governmental or otherwise) of the Company or any of its Affiliates (or their actions) to the extent that such investigation may relate to the Executive’s employment or the period of the Executive’s employment by the Company, regardless of whether a lawsuit has then been filed against the Company with respect to such investigation. The Company shall reimburse the Executive for the Executive’s reasonable out-of-pocket expenses associated with such cooperation following his termination of employment.</w:t>
      </w:r>
    </w:p>
    <w:p>
      <w:pPr>
        <w:spacing w:after="0" w:line="237" w:lineRule="exact"/>
        <w:rPr>
          <w:rFonts w:ascii="Arial" w:cs="Arial" w:eastAsia="Arial" w:hAnsi="Arial"/>
          <w:sz w:val="21"/>
          <w:szCs w:val="21"/>
          <w:color w:val="auto"/>
        </w:rPr>
      </w:pPr>
    </w:p>
    <w:p>
      <w:pPr>
        <w:ind w:left="560" w:hanging="417"/>
        <w:spacing w:after="0"/>
        <w:tabs>
          <w:tab w:leader="none" w:pos="5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1540" w:hanging="500"/>
        <w:spacing w:after="0" w:line="250" w:lineRule="auto"/>
        <w:rPr>
          <w:rFonts w:ascii="Arial" w:cs="Arial" w:eastAsia="Arial" w:hAnsi="Arial"/>
          <w:sz w:val="22"/>
          <w:szCs w:val="22"/>
          <w:color w:val="auto"/>
        </w:rPr>
      </w:pPr>
      <w:r>
        <w:rPr>
          <w:rFonts w:ascii="Arial" w:cs="Arial" w:eastAsia="Arial" w:hAnsi="Arial"/>
          <w:sz w:val="22"/>
          <w:szCs w:val="22"/>
          <w:color w:val="auto"/>
        </w:rPr>
        <w:t>14.1. The Executive and the Company agree and acknowledge that any breach or threatened breach of this Agreement by the Executive would result in continuing</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60" w:type="dxa"/>
            <w:vAlign w:val="bottom"/>
          </w:tcPr>
          <w:p>
            <w:pPr>
              <w:jc w:val="right"/>
              <w:ind w:right="5430"/>
              <w:spacing w:after="0"/>
              <w:rPr>
                <w:sz w:val="20"/>
                <w:szCs w:val="20"/>
                <w:color w:val="auto"/>
              </w:rPr>
            </w:pPr>
            <w:r>
              <w:rPr>
                <w:rFonts w:ascii="Arial" w:cs="Arial" w:eastAsia="Arial" w:hAnsi="Arial"/>
                <w:sz w:val="18"/>
                <w:szCs w:val="18"/>
                <w:color w:val="auto"/>
              </w:rPr>
              <w:t>11</w:t>
            </w:r>
          </w:p>
        </w:tc>
      </w:tr>
      <w:tr>
        <w:trPr>
          <w:trHeight w:val="236"/>
        </w:trPr>
        <w:tc>
          <w:tcPr>
            <w:tcW w:w="3400" w:type="dxa"/>
            <w:vAlign w:val="bottom"/>
            <w:tcBorders>
              <w:bottom w:val="single" w:sz="8" w:color="9A9A9A"/>
            </w:tcBorders>
          </w:tcPr>
          <w:p>
            <w:pPr>
              <w:spacing w:after="0"/>
              <w:rPr>
                <w:sz w:val="20"/>
                <w:szCs w:val="20"/>
                <w:color w:val="auto"/>
              </w:rPr>
            </w:pPr>
          </w:p>
        </w:tc>
        <w:tc>
          <w:tcPr>
            <w:tcW w:w="7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2" w:name="page83"/>
    <w:bookmarkEnd w:id="82"/>
    <w:p>
      <w:pPr>
        <w:ind w:left="1080" w:right="200"/>
        <w:spacing w:after="0" w:line="245" w:lineRule="auto"/>
        <w:rPr>
          <w:sz w:val="20"/>
          <w:szCs w:val="20"/>
          <w:color w:val="auto"/>
        </w:rPr>
      </w:pPr>
      <w:r>
        <w:rPr>
          <w:rFonts w:ascii="Arial" w:cs="Arial" w:eastAsia="Arial" w:hAnsi="Arial"/>
          <w:sz w:val="21"/>
          <w:szCs w:val="21"/>
          <w:color w:val="auto"/>
        </w:rPr>
        <w:t>material and irreparable harm and injury to the Company and/or its Affiliates, and because either (i) money damages will not provide an adequate remedy to the Company or (ii) it would be difficult or impossible to establish the full monetary value of such damages, the Company shall be entitled to equitable relief (including, without limitation, specific performance, account for profits, or injunctive relief) in the event of the Executive’s breach or threatened breach of this Agreement. Any equitable relief is in addition to any other available remedy, including, damages. In connection with the bringing of any legal or equitable action for the enforcement of this Agreement, the Company shall be entitled to recover, regardless of whether the Company seeks equitable relief, and regardless of the nature of the relief afforded, such reasonable attorneys’ fees and expenses as the Company may incur in such legal action.</w:t>
      </w:r>
    </w:p>
    <w:p>
      <w:pPr>
        <w:spacing w:after="0" w:line="238" w:lineRule="exact"/>
        <w:rPr>
          <w:sz w:val="20"/>
          <w:szCs w:val="20"/>
          <w:color w:val="auto"/>
        </w:rPr>
      </w:pPr>
    </w:p>
    <w:p>
      <w:pPr>
        <w:ind w:left="1060" w:right="260" w:hanging="499"/>
        <w:spacing w:after="0" w:line="262" w:lineRule="auto"/>
        <w:rPr>
          <w:sz w:val="20"/>
          <w:szCs w:val="20"/>
          <w:color w:val="auto"/>
        </w:rPr>
      </w:pPr>
      <w:r>
        <w:rPr>
          <w:rFonts w:ascii="Arial" w:cs="Arial" w:eastAsia="Arial" w:hAnsi="Arial"/>
          <w:sz w:val="21"/>
          <w:szCs w:val="21"/>
          <w:color w:val="auto"/>
        </w:rPr>
        <w:t xml:space="preserve">14.2. In addition to any other remedy which may be available (i) at law or in equity or </w:t>
      </w:r>
      <w:r>
        <w:rPr>
          <w:rFonts w:ascii="Arial" w:cs="Arial" w:eastAsia="Arial" w:hAnsi="Arial"/>
          <w:sz w:val="18"/>
          <w:szCs w:val="18"/>
          <w:color w:val="auto"/>
        </w:rPr>
        <w:t>(ii) pursuant to any other provision</w:t>
      </w:r>
      <w:r>
        <w:rPr>
          <w:rFonts w:ascii="Arial" w:cs="Arial" w:eastAsia="Arial" w:hAnsi="Arial"/>
          <w:sz w:val="21"/>
          <w:szCs w:val="21"/>
          <w:color w:val="auto"/>
        </w:rPr>
        <w:t xml:space="preserve"> </w:t>
      </w:r>
      <w:r>
        <w:rPr>
          <w:rFonts w:ascii="Arial" w:cs="Arial" w:eastAsia="Arial" w:hAnsi="Arial"/>
          <w:sz w:val="18"/>
          <w:szCs w:val="18"/>
          <w:color w:val="auto"/>
        </w:rPr>
        <w:t>of this Agreement, the continued payments by the Company of Base Salary will cease as of the date on which such violation first occurs. In addition, if the Executive breaches any of the Restrictive Covenants and the Company obtains injunctive relief with respect thereto (that is not later reversed or otherwise terminated or vacated by judicial order), the period during which the Executive is required to comply with that particular covenant shall be extended by the same period that the Executive was in breach of such covenant prior to the effective date of such injunctive relief.</w:t>
      </w:r>
    </w:p>
    <w:p>
      <w:pPr>
        <w:spacing w:after="0" w:line="229" w:lineRule="exact"/>
        <w:rPr>
          <w:sz w:val="20"/>
          <w:szCs w:val="20"/>
          <w:color w:val="auto"/>
        </w:rPr>
      </w:pPr>
    </w:p>
    <w:p>
      <w:pPr>
        <w:ind w:left="1060" w:right="340" w:hanging="499"/>
        <w:spacing w:after="0" w:line="246" w:lineRule="auto"/>
        <w:rPr>
          <w:sz w:val="20"/>
          <w:szCs w:val="20"/>
          <w:color w:val="auto"/>
        </w:rPr>
      </w:pPr>
      <w:r>
        <w:rPr>
          <w:rFonts w:ascii="Arial" w:cs="Arial" w:eastAsia="Arial" w:hAnsi="Arial"/>
          <w:sz w:val="21"/>
          <w:szCs w:val="21"/>
          <w:color w:val="auto"/>
        </w:rPr>
        <w:t>14.3. Notwithstanding anything to the contrary contained herein, nothing in this Agreement shall prohibit Executive from reporting possible violations of federal law or regulation to or otherwise cooperating with or providing information requested by any governmental agency or entity, including, but not limited to, the Department of Justice, the Securities and Exchange Commission, the United States Congress, any state legislative and executive agency, and any agency Inspector General, or making other disclosures that are protected under the whistleblower provisions of federal law or regulation. Executive does not need the prior authorization of the Company to make any such reports or disclosures and Executive is not required to notify the Company that Executive has made such reports or disclosures.</w:t>
      </w:r>
    </w:p>
    <w:p>
      <w:pPr>
        <w:spacing w:after="0" w:line="234" w:lineRule="exact"/>
        <w:rPr>
          <w:sz w:val="20"/>
          <w:szCs w:val="20"/>
          <w:color w:val="auto"/>
        </w:rPr>
      </w:pPr>
    </w:p>
    <w:p>
      <w:pPr>
        <w:ind w:left="560" w:hanging="417"/>
        <w:spacing w:after="0"/>
        <w:tabs>
          <w:tab w:leader="none" w:pos="5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Executive Representation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260" w:hanging="500"/>
        <w:spacing w:after="0" w:line="274" w:lineRule="auto"/>
        <w:rPr>
          <w:rFonts w:ascii="Arial" w:cs="Arial" w:eastAsia="Arial" w:hAnsi="Arial"/>
          <w:sz w:val="22"/>
          <w:szCs w:val="22"/>
          <w:color w:val="auto"/>
        </w:rPr>
      </w:pPr>
      <w:r>
        <w:rPr>
          <w:rFonts w:ascii="Arial" w:cs="Arial" w:eastAsia="Arial" w:hAnsi="Arial"/>
          <w:sz w:val="19"/>
          <w:szCs w:val="19"/>
          <w:color w:val="auto"/>
        </w:rPr>
        <w:t>15.1. The Executive hereby represents and warrants that (i) the execution, delivery, and performance of this Agreement by the Executive does not and will not conflict with, breach, violate, or cause a default under any agreement, contract, or instrument to which the Executive is a party or any judgment, order, or decree to which the Executive is subject, (ii) the Executive is not a party or bound by any other employment agreement, noncompetition agreement, or confidentiality agreement with any other person or entity, other than the Company, (iii) Executive is lawfully permitted to work in the United States on and after the Effective Date and (iv) Executive’s employment is contingent upon the completion of a background investigation and reference check satisfactory to the Company in its discretion. Executive covenants that he will not disclose or use on behalf of the Company any proprietary information of a third party without such party’s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60" w:type="dxa"/>
            <w:vAlign w:val="bottom"/>
          </w:tcPr>
          <w:p>
            <w:pPr>
              <w:jc w:val="right"/>
              <w:ind w:right="5430"/>
              <w:spacing w:after="0"/>
              <w:rPr>
                <w:sz w:val="20"/>
                <w:szCs w:val="20"/>
                <w:color w:val="auto"/>
              </w:rPr>
            </w:pPr>
            <w:r>
              <w:rPr>
                <w:rFonts w:ascii="Arial" w:cs="Arial" w:eastAsia="Arial" w:hAnsi="Arial"/>
                <w:sz w:val="18"/>
                <w:szCs w:val="18"/>
                <w:color w:val="auto"/>
              </w:rPr>
              <w:t>12</w:t>
            </w:r>
          </w:p>
        </w:tc>
      </w:tr>
      <w:tr>
        <w:trPr>
          <w:trHeight w:val="236"/>
        </w:trPr>
        <w:tc>
          <w:tcPr>
            <w:tcW w:w="3400" w:type="dxa"/>
            <w:vAlign w:val="bottom"/>
            <w:tcBorders>
              <w:bottom w:val="single" w:sz="8" w:color="9A9A9A"/>
            </w:tcBorders>
          </w:tcPr>
          <w:p>
            <w:pPr>
              <w:spacing w:after="0"/>
              <w:rPr>
                <w:sz w:val="20"/>
                <w:szCs w:val="20"/>
                <w:color w:val="auto"/>
              </w:rPr>
            </w:pPr>
          </w:p>
        </w:tc>
        <w:tc>
          <w:tcPr>
            <w:tcW w:w="7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3" w:name="page84"/>
    <w:bookmarkEnd w:id="83"/>
    <w:p>
      <w:pPr>
        <w:ind w:left="1080" w:right="320"/>
        <w:spacing w:after="0" w:line="238" w:lineRule="auto"/>
        <w:rPr>
          <w:sz w:val="20"/>
          <w:szCs w:val="20"/>
          <w:color w:val="auto"/>
        </w:rPr>
      </w:pPr>
      <w:r>
        <w:rPr>
          <w:rFonts w:ascii="Arial" w:cs="Arial" w:eastAsia="Arial" w:hAnsi="Arial"/>
          <w:sz w:val="22"/>
          <w:szCs w:val="22"/>
          <w:color w:val="auto"/>
        </w:rPr>
        <w:t>consent. Any breach of this Section 15 shall constitute Cause. Executive further represents that he shall provide a copy of this Agreement to any new employer during the Term and for one (1) year thereafter and that the Company shall have a right to provide a copy of this Agreement to any new employer of the Executive during such period.</w:t>
      </w:r>
    </w:p>
    <w:p>
      <w:pPr>
        <w:spacing w:after="0" w:line="239" w:lineRule="exact"/>
        <w:rPr>
          <w:sz w:val="20"/>
          <w:szCs w:val="20"/>
          <w:color w:val="auto"/>
        </w:rPr>
      </w:pPr>
    </w:p>
    <w:p>
      <w:pPr>
        <w:ind w:left="1060" w:right="240" w:hanging="499"/>
        <w:spacing w:after="0" w:line="273" w:lineRule="auto"/>
        <w:rPr>
          <w:sz w:val="20"/>
          <w:szCs w:val="20"/>
          <w:color w:val="auto"/>
        </w:rPr>
      </w:pPr>
      <w:r>
        <w:rPr>
          <w:rFonts w:ascii="Arial" w:cs="Arial" w:eastAsia="Arial" w:hAnsi="Arial"/>
          <w:sz w:val="19"/>
          <w:szCs w:val="19"/>
          <w:color w:val="auto"/>
        </w:rPr>
        <w:t>15.2.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and has in fact consulted with counsel. The Executive further represents that in entering into this Agreement, the Executive is not relying on any statements or representations made by any of the Company’s directors, officers, employees, or agents which are not expressly set forth herein, and that the Executive is relying only upon the Executive’s own judgment and any advice provided by the Executive’s attorney. The Executive acknowledge and agrees that he was represented by counsel and expressly agrees to all the provisions in this Agreement, including, without limitation, the governing law, venue, and forum in Section 17.</w:t>
      </w:r>
    </w:p>
    <w:p>
      <w:pPr>
        <w:spacing w:after="0" w:line="215" w:lineRule="exact"/>
        <w:rPr>
          <w:sz w:val="20"/>
          <w:szCs w:val="20"/>
          <w:color w:val="auto"/>
        </w:rPr>
      </w:pPr>
    </w:p>
    <w:p>
      <w:pPr>
        <w:ind w:left="560" w:hanging="417"/>
        <w:spacing w:after="0"/>
        <w:tabs>
          <w:tab w:leader="none" w:pos="5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60" w:lineRule="exact"/>
        <w:rPr>
          <w:sz w:val="20"/>
          <w:szCs w:val="20"/>
          <w:color w:val="auto"/>
        </w:rPr>
      </w:pPr>
    </w:p>
    <w:p>
      <w:pPr>
        <w:ind w:left="560" w:right="220" w:firstLine="983"/>
        <w:spacing w:after="0" w:line="236" w:lineRule="auto"/>
        <w:rPr>
          <w:sz w:val="20"/>
          <w:szCs w:val="20"/>
          <w:color w:val="auto"/>
        </w:rPr>
      </w:pPr>
      <w:r>
        <w:rPr>
          <w:rFonts w:ascii="Arial" w:cs="Arial" w:eastAsia="Arial" w:hAnsi="Arial"/>
          <w:sz w:val="22"/>
          <w:szCs w:val="22"/>
          <w:color w:val="auto"/>
        </w:rPr>
        <w:t>All notices, requests, consents, and other communications required or permitted to be given hereunder shall be in writing and shall be deemed to have been duly given if delivered personally, sent by overnight courier or mailed first class, postage prepaid, by registered or certified mail (notices mailed shall be deemed to have been given on the date mailed), with a copy sent by electronic mail as follows (or to such other address as either party shall designate by notice in writing to the other in accordance herewith):</w:t>
      </w:r>
    </w:p>
    <w:p>
      <w:pPr>
        <w:spacing w:after="0" w:line="24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the Company, to:</w:t>
      </w:r>
    </w:p>
    <w:p>
      <w:pPr>
        <w:spacing w:after="0" w:line="26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vTv Therapeutics LLC</w:t>
      </w:r>
    </w:p>
    <w:p>
      <w:pPr>
        <w:ind w:left="1620"/>
        <w:spacing w:after="0" w:line="238" w:lineRule="auto"/>
        <w:rPr>
          <w:sz w:val="20"/>
          <w:szCs w:val="20"/>
          <w:color w:val="auto"/>
        </w:rPr>
      </w:pPr>
      <w:r>
        <w:rPr>
          <w:rFonts w:ascii="Arial" w:cs="Arial" w:eastAsia="Arial" w:hAnsi="Arial"/>
          <w:sz w:val="22"/>
          <w:szCs w:val="22"/>
          <w:color w:val="auto"/>
        </w:rPr>
        <w:t>3980 Premier Drive, Suite 310 High Point,</w:t>
      </w:r>
    </w:p>
    <w:p>
      <w:pPr>
        <w:ind w:left="1620"/>
        <w:spacing w:after="0" w:line="230" w:lineRule="auto"/>
        <w:rPr>
          <w:sz w:val="20"/>
          <w:szCs w:val="20"/>
          <w:color w:val="auto"/>
        </w:rPr>
      </w:pPr>
      <w:r>
        <w:rPr>
          <w:rFonts w:ascii="Arial" w:cs="Arial" w:eastAsia="Arial" w:hAnsi="Arial"/>
          <w:sz w:val="22"/>
          <w:szCs w:val="22"/>
          <w:color w:val="auto"/>
        </w:rPr>
        <w:t>NC 27265</w:t>
      </w:r>
    </w:p>
    <w:p>
      <w:pPr>
        <w:ind w:left="1620"/>
        <w:spacing w:after="0" w:line="231" w:lineRule="auto"/>
        <w:rPr>
          <w:sz w:val="20"/>
          <w:szCs w:val="20"/>
          <w:color w:val="auto"/>
        </w:rPr>
      </w:pPr>
      <w:r>
        <w:rPr>
          <w:rFonts w:ascii="Arial" w:cs="Arial" w:eastAsia="Arial" w:hAnsi="Arial"/>
          <w:sz w:val="22"/>
          <w:szCs w:val="22"/>
          <w:color w:val="auto"/>
        </w:rPr>
        <w:t>Attention: Lead independent Director, Board of Directors If to vTv, to:</w:t>
      </w:r>
    </w:p>
    <w:p>
      <w:pPr>
        <w:ind w:left="1620"/>
        <w:spacing w:after="0" w:line="230" w:lineRule="auto"/>
        <w:rPr>
          <w:sz w:val="20"/>
          <w:szCs w:val="20"/>
          <w:color w:val="auto"/>
        </w:rPr>
      </w:pPr>
      <w:r>
        <w:rPr>
          <w:rFonts w:ascii="Arial" w:cs="Arial" w:eastAsia="Arial" w:hAnsi="Arial"/>
          <w:sz w:val="22"/>
          <w:szCs w:val="22"/>
          <w:color w:val="auto"/>
        </w:rPr>
        <w:t>vTv Therapeutics Inc.</w:t>
      </w:r>
    </w:p>
    <w:p>
      <w:pPr>
        <w:ind w:left="1620"/>
        <w:spacing w:after="0" w:line="231" w:lineRule="auto"/>
        <w:rPr>
          <w:sz w:val="20"/>
          <w:szCs w:val="20"/>
          <w:color w:val="auto"/>
        </w:rPr>
      </w:pPr>
      <w:r>
        <w:rPr>
          <w:rFonts w:ascii="Arial" w:cs="Arial" w:eastAsia="Arial" w:hAnsi="Arial"/>
          <w:sz w:val="22"/>
          <w:szCs w:val="22"/>
          <w:color w:val="auto"/>
        </w:rPr>
        <w:t>3980 Premier Drive, Suite 310 High Point,</w:t>
      </w:r>
    </w:p>
    <w:p>
      <w:pPr>
        <w:ind w:left="1620"/>
        <w:spacing w:after="0" w:line="230" w:lineRule="auto"/>
        <w:rPr>
          <w:sz w:val="20"/>
          <w:szCs w:val="20"/>
          <w:color w:val="auto"/>
        </w:rPr>
      </w:pPr>
      <w:r>
        <w:rPr>
          <w:rFonts w:ascii="Arial" w:cs="Arial" w:eastAsia="Arial" w:hAnsi="Arial"/>
          <w:sz w:val="22"/>
          <w:szCs w:val="22"/>
          <w:color w:val="auto"/>
        </w:rPr>
        <w:t>NC 27265</w:t>
      </w:r>
    </w:p>
    <w:p>
      <w:pPr>
        <w:ind w:left="1620"/>
        <w:spacing w:after="0" w:line="231" w:lineRule="auto"/>
        <w:rPr>
          <w:sz w:val="20"/>
          <w:szCs w:val="20"/>
          <w:color w:val="auto"/>
        </w:rPr>
      </w:pPr>
      <w:r>
        <w:rPr>
          <w:rFonts w:ascii="Arial" w:cs="Arial" w:eastAsia="Arial" w:hAnsi="Arial"/>
          <w:sz w:val="22"/>
          <w:szCs w:val="22"/>
          <w:color w:val="auto"/>
        </w:rPr>
        <w:t>Attention: Lead independent Director, Board of Directors If to the</w:t>
      </w:r>
    </w:p>
    <w:p>
      <w:pPr>
        <w:ind w:left="1620"/>
        <w:spacing w:after="0" w:line="230" w:lineRule="auto"/>
        <w:rPr>
          <w:sz w:val="20"/>
          <w:szCs w:val="20"/>
          <w:color w:val="auto"/>
        </w:rPr>
      </w:pPr>
      <w:r>
        <w:rPr>
          <w:rFonts w:ascii="Arial" w:cs="Arial" w:eastAsia="Arial" w:hAnsi="Arial"/>
          <w:sz w:val="22"/>
          <w:szCs w:val="22"/>
          <w:color w:val="auto"/>
        </w:rPr>
        <w:t>Executive, to:</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Such address as shall most currently appear on the records of the Company.</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60" w:type="dxa"/>
            <w:vAlign w:val="bottom"/>
          </w:tcPr>
          <w:p>
            <w:pPr>
              <w:jc w:val="right"/>
              <w:ind w:right="5430"/>
              <w:spacing w:after="0"/>
              <w:rPr>
                <w:sz w:val="20"/>
                <w:szCs w:val="20"/>
                <w:color w:val="auto"/>
              </w:rPr>
            </w:pPr>
            <w:r>
              <w:rPr>
                <w:rFonts w:ascii="Arial" w:cs="Arial" w:eastAsia="Arial" w:hAnsi="Arial"/>
                <w:sz w:val="18"/>
                <w:szCs w:val="18"/>
                <w:color w:val="auto"/>
              </w:rPr>
              <w:t>13</w:t>
            </w:r>
          </w:p>
        </w:tc>
      </w:tr>
      <w:tr>
        <w:trPr>
          <w:trHeight w:val="236"/>
        </w:trPr>
        <w:tc>
          <w:tcPr>
            <w:tcW w:w="3400" w:type="dxa"/>
            <w:vAlign w:val="bottom"/>
            <w:tcBorders>
              <w:bottom w:val="single" w:sz="8" w:color="9A9A9A"/>
            </w:tcBorders>
          </w:tcPr>
          <w:p>
            <w:pPr>
              <w:spacing w:after="0"/>
              <w:rPr>
                <w:sz w:val="20"/>
                <w:szCs w:val="20"/>
                <w:color w:val="auto"/>
              </w:rPr>
            </w:pPr>
          </w:p>
        </w:tc>
        <w:tc>
          <w:tcPr>
            <w:tcW w:w="7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4" w:name="page85"/>
    <w:bookmarkEnd w:id="84"/>
    <w:p>
      <w:pPr>
        <w:ind w:left="560" w:hanging="417"/>
        <w:spacing w:after="0"/>
        <w:tabs>
          <w:tab w:leader="none" w:pos="5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660" w:hanging="500"/>
        <w:spacing w:after="0" w:line="252" w:lineRule="auto"/>
        <w:rPr>
          <w:rFonts w:ascii="Arial" w:cs="Arial" w:eastAsia="Arial" w:hAnsi="Arial"/>
          <w:sz w:val="22"/>
          <w:szCs w:val="22"/>
          <w:color w:val="auto"/>
        </w:rPr>
      </w:pPr>
      <w:r>
        <w:rPr>
          <w:rFonts w:ascii="Arial" w:cs="Arial" w:eastAsia="Arial" w:hAnsi="Arial"/>
          <w:sz w:val="21"/>
          <w:szCs w:val="21"/>
          <w:color w:val="auto"/>
        </w:rPr>
        <w:t>17.1. It is the intent of the parties hereto that all questions with respect to the construction of this Agreement and the rights and liabilities of the parties hereunder shall be determined in accordance with the laws of the State of Delaware, without regard to principles of conflicts of laws thereof that would call for the application of the substantive law of any jurisdiction other than the State of Delaware.</w:t>
      </w:r>
    </w:p>
    <w:p>
      <w:pPr>
        <w:spacing w:after="0" w:line="227" w:lineRule="exact"/>
        <w:rPr>
          <w:rFonts w:ascii="Arial" w:cs="Arial" w:eastAsia="Arial" w:hAnsi="Arial"/>
          <w:sz w:val="22"/>
          <w:szCs w:val="22"/>
          <w:color w:val="auto"/>
        </w:rPr>
      </w:pPr>
    </w:p>
    <w:p>
      <w:pPr>
        <w:ind w:left="1060" w:right="220" w:hanging="500"/>
        <w:spacing w:after="0" w:line="274" w:lineRule="auto"/>
        <w:rPr>
          <w:rFonts w:ascii="Arial" w:cs="Arial" w:eastAsia="Arial" w:hAnsi="Arial"/>
          <w:sz w:val="22"/>
          <w:szCs w:val="22"/>
          <w:color w:val="auto"/>
        </w:rPr>
      </w:pPr>
      <w:r>
        <w:rPr>
          <w:rFonts w:ascii="Arial" w:cs="Arial" w:eastAsia="Arial" w:hAnsi="Arial"/>
          <w:sz w:val="19"/>
          <w:szCs w:val="19"/>
          <w:color w:val="auto"/>
        </w:rPr>
        <w:t>17.2. Each party irrevocably agrees for the exclusive benefit of the other that any and all suits, actions or proceedings relating to this Agreement (a “</w:t>
      </w:r>
      <w:r>
        <w:rPr>
          <w:rFonts w:ascii="Arial" w:cs="Arial" w:eastAsia="Arial" w:hAnsi="Arial"/>
          <w:sz w:val="19"/>
          <w:szCs w:val="19"/>
          <w:u w:val="single" w:color="auto"/>
          <w:color w:val="auto"/>
        </w:rPr>
        <w:t>Proceeding</w:t>
      </w:r>
      <w:r>
        <w:rPr>
          <w:rFonts w:ascii="Arial" w:cs="Arial" w:eastAsia="Arial" w:hAnsi="Arial"/>
          <w:sz w:val="19"/>
          <w:szCs w:val="19"/>
          <w:color w:val="auto"/>
        </w:rPr>
        <w:t>”) shall be maintained in either the courts of the State of Delaware or the federal District Courts sitting in Wilmington, Delaware (collectively, the “</w:t>
      </w:r>
      <w:r>
        <w:rPr>
          <w:rFonts w:ascii="Arial" w:cs="Arial" w:eastAsia="Arial" w:hAnsi="Arial"/>
          <w:sz w:val="19"/>
          <w:szCs w:val="19"/>
          <w:u w:val="single" w:color="auto"/>
          <w:color w:val="auto"/>
        </w:rPr>
        <w:t>Chosen Courts</w:t>
      </w:r>
      <w:r>
        <w:rPr>
          <w:rFonts w:ascii="Arial" w:cs="Arial" w:eastAsia="Arial" w:hAnsi="Arial"/>
          <w:sz w:val="19"/>
          <w:szCs w:val="19"/>
          <w:color w:val="auto"/>
        </w:rPr>
        <w:t>”) and that the Chosen Courts shall have exclusive jurisdiction to hear and determine or settle any such Proceeding and that any such Proceedings shall only be brought in the Chosen Courts. Each party irrevocably waives any objection that it may have now or hereafter to the laying of the venue of any Proceedings in the Chosen Courts and any claim that any Proceedings have been brought in an inconvenient forum and further irrevocably agrees that a judgment in any Proceeding brought in the Chosen Courts shall be conclusive and binding upon it and may be enforced in the courts of any other jurisdiction.</w:t>
      </w:r>
    </w:p>
    <w:p>
      <w:pPr>
        <w:spacing w:after="0" w:line="212" w:lineRule="exact"/>
        <w:rPr>
          <w:rFonts w:ascii="Arial" w:cs="Arial" w:eastAsia="Arial" w:hAnsi="Arial"/>
          <w:sz w:val="22"/>
          <w:szCs w:val="22"/>
          <w:color w:val="auto"/>
        </w:rPr>
      </w:pPr>
    </w:p>
    <w:p>
      <w:pPr>
        <w:ind w:left="1060" w:right="220" w:hanging="500"/>
        <w:spacing w:after="0" w:line="273" w:lineRule="auto"/>
        <w:rPr>
          <w:rFonts w:ascii="Arial" w:cs="Arial" w:eastAsia="Arial" w:hAnsi="Arial"/>
          <w:sz w:val="22"/>
          <w:szCs w:val="22"/>
          <w:color w:val="auto"/>
        </w:rPr>
      </w:pPr>
      <w:r>
        <w:rPr>
          <w:rFonts w:ascii="Arial" w:cs="Arial" w:eastAsia="Arial" w:hAnsi="Arial"/>
          <w:sz w:val="19"/>
          <w:szCs w:val="19"/>
          <w:color w:val="auto"/>
        </w:rPr>
        <w:t>17.3. Each of the parties hereto agrees that this Agreement involves at least $100,000 and that this Agreement has been entered into in express reliance on Section 2708 of Title 6 of the Delaware Code. Each of the parties hereto irrevocably and unconditionally agrees that (i) to the extent such party is not otherwise subject to service of process in the State of Delaware, it will appoint (and maintain an agreement with respect to) an agent in the State of Delaware as such party’s agent for acceptance of legal process and notify the other parties hereto of the name and address of said agent, (ii) service of process may also be made on such party by pre-paid certified mail with a validated proof of mailing receipt constituting evidence of valid service sent to such party at the address set forth in Section 16 of this Agreement, as such address may be changed from time to time pursuant hereto, and (iii) service made pursuant to clause (i) or (ii) above shall, to the fullest extent permitted by applicable law, have the same legal force and effect as if served upon such party personally within the State of Delaware.</w:t>
      </w:r>
    </w:p>
    <w:p>
      <w:pPr>
        <w:spacing w:after="0" w:line="214" w:lineRule="exact"/>
        <w:rPr>
          <w:rFonts w:ascii="Arial" w:cs="Arial" w:eastAsia="Arial" w:hAnsi="Arial"/>
          <w:sz w:val="22"/>
          <w:szCs w:val="22"/>
          <w:color w:val="auto"/>
        </w:rPr>
      </w:pPr>
    </w:p>
    <w:p>
      <w:pPr>
        <w:ind w:left="560" w:hanging="417"/>
        <w:spacing w:after="0"/>
        <w:tabs>
          <w:tab w:leader="none" w:pos="5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060" w:right="320" w:hanging="500"/>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18.1. </w:t>
      </w:r>
      <w:r>
        <w:rPr>
          <w:rFonts w:ascii="Arial" w:cs="Arial" w:eastAsia="Arial" w:hAnsi="Arial"/>
          <w:sz w:val="22"/>
          <w:szCs w:val="22"/>
          <w:u w:val="single" w:color="auto"/>
          <w:color w:val="auto"/>
        </w:rPr>
        <w:t>JURY TRIAL WAIVER</w:t>
      </w:r>
      <w:r>
        <w:rPr>
          <w:rFonts w:ascii="Arial" w:cs="Arial" w:eastAsia="Arial" w:hAnsi="Arial"/>
          <w:sz w:val="22"/>
          <w:szCs w:val="22"/>
          <w:color w:val="auto"/>
        </w:rPr>
        <w:t>. THE PARTIES EXPRESSLY AND KNOWINGLY WAIVE ANY RIGHT TO A JURY TRIAL IN THE EVENT ANY ACTION ARISING UNDER OR IN CONNECTION WITH THIS AGREEMENT OR THE EXECUTIVE’S EMPLOYMENT WITH THE COMPANY IS LITIGATED OR HEARD IN ANY COURT.</w:t>
      </w:r>
    </w:p>
    <w:p>
      <w:pPr>
        <w:spacing w:after="0" w:line="238" w:lineRule="exact"/>
        <w:rPr>
          <w:rFonts w:ascii="Arial" w:cs="Arial" w:eastAsia="Arial" w:hAnsi="Arial"/>
          <w:sz w:val="22"/>
          <w:szCs w:val="22"/>
          <w:color w:val="auto"/>
        </w:rPr>
      </w:pPr>
    </w:p>
    <w:p>
      <w:pPr>
        <w:ind w:left="1060" w:right="500" w:hanging="500"/>
        <w:spacing w:after="0"/>
        <w:rPr>
          <w:rFonts w:ascii="Arial" w:cs="Arial" w:eastAsia="Arial" w:hAnsi="Arial"/>
          <w:sz w:val="22"/>
          <w:szCs w:val="22"/>
          <w:color w:val="auto"/>
        </w:rPr>
      </w:pPr>
      <w:r>
        <w:rPr>
          <w:rFonts w:ascii="Arial" w:cs="Arial" w:eastAsia="Arial" w:hAnsi="Arial"/>
          <w:sz w:val="22"/>
          <w:szCs w:val="22"/>
          <w:color w:val="auto"/>
        </w:rPr>
        <w:t xml:space="preserve">18.2. </w:t>
      </w:r>
      <w:r>
        <w:rPr>
          <w:rFonts w:ascii="Arial" w:cs="Arial" w:eastAsia="Arial" w:hAnsi="Arial"/>
          <w:sz w:val="22"/>
          <w:szCs w:val="22"/>
          <w:u w:val="single" w:color="auto"/>
          <w:color w:val="auto"/>
        </w:rPr>
        <w:t>Continuation of Employment</w:t>
      </w:r>
      <w:r>
        <w:rPr>
          <w:rFonts w:ascii="Arial" w:cs="Arial" w:eastAsia="Arial" w:hAnsi="Arial"/>
          <w:sz w:val="22"/>
          <w:szCs w:val="22"/>
          <w:color w:val="auto"/>
        </w:rPr>
        <w:t>. Unless the parties otherwise agree in writing, continuation of the Executive’s employment with the Company beyond the expiration of the Term shall be deemed an employment “at will” and shall not be deemed to extend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60" w:type="dxa"/>
            <w:vAlign w:val="bottom"/>
          </w:tcPr>
          <w:p>
            <w:pPr>
              <w:jc w:val="right"/>
              <w:ind w:right="5430"/>
              <w:spacing w:after="0"/>
              <w:rPr>
                <w:sz w:val="20"/>
                <w:szCs w:val="20"/>
                <w:color w:val="auto"/>
              </w:rPr>
            </w:pPr>
            <w:r>
              <w:rPr>
                <w:rFonts w:ascii="Arial" w:cs="Arial" w:eastAsia="Arial" w:hAnsi="Arial"/>
                <w:sz w:val="18"/>
                <w:szCs w:val="18"/>
                <w:color w:val="auto"/>
              </w:rPr>
              <w:t>14</w:t>
            </w:r>
          </w:p>
        </w:tc>
      </w:tr>
      <w:tr>
        <w:trPr>
          <w:trHeight w:val="236"/>
        </w:trPr>
        <w:tc>
          <w:tcPr>
            <w:tcW w:w="3400" w:type="dxa"/>
            <w:vAlign w:val="bottom"/>
            <w:tcBorders>
              <w:bottom w:val="single" w:sz="8" w:color="9A9A9A"/>
            </w:tcBorders>
          </w:tcPr>
          <w:p>
            <w:pPr>
              <w:spacing w:after="0"/>
              <w:rPr>
                <w:sz w:val="20"/>
                <w:szCs w:val="20"/>
                <w:color w:val="auto"/>
              </w:rPr>
            </w:pPr>
          </w:p>
        </w:tc>
        <w:tc>
          <w:tcPr>
            <w:tcW w:w="7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85" w:name="page86"/>
    <w:bookmarkEnd w:id="85"/>
    <w:p>
      <w:pPr>
        <w:ind w:left="1080" w:right="140"/>
        <w:spacing w:after="0" w:line="277" w:lineRule="auto"/>
        <w:rPr>
          <w:sz w:val="20"/>
          <w:szCs w:val="20"/>
          <w:color w:val="auto"/>
        </w:rPr>
      </w:pPr>
      <w:r>
        <w:rPr>
          <w:rFonts w:ascii="Arial" w:cs="Arial" w:eastAsia="Arial" w:hAnsi="Arial"/>
          <w:sz w:val="19"/>
          <w:szCs w:val="19"/>
          <w:color w:val="auto"/>
        </w:rPr>
        <w:t>any of the provisions of this Agreement, and the Executive’s employment may thereafter be terminated “at will” by the Executive or the Company and the Executive will be entitled to fringe benefits which the Executive is eligible to receive for so long as the Executive continues to be employed with the Company and the Executive shall be eligible for severance in accordance with the terms of the Company’s severance policy then in effect. Notwithstanding the foregoing, the Executive shall be subject to the Restrictive Covenants set forth in Sections 5 through 13 of this Agreement for the NC Restricted Period and the NS Restricted Period, the Reduced NC Restricted Period, or such other duration specified in the section of this Agreement applicable to such Restrictive Covenant, as applicable.</w:t>
      </w:r>
    </w:p>
    <w:p>
      <w:pPr>
        <w:spacing w:after="0" w:line="206" w:lineRule="exact"/>
        <w:rPr>
          <w:sz w:val="20"/>
          <w:szCs w:val="20"/>
          <w:color w:val="auto"/>
        </w:rPr>
      </w:pPr>
    </w:p>
    <w:p>
      <w:pPr>
        <w:ind w:left="1060" w:right="520" w:hanging="499"/>
        <w:spacing w:after="0" w:line="250" w:lineRule="auto"/>
        <w:rPr>
          <w:sz w:val="20"/>
          <w:szCs w:val="20"/>
          <w:color w:val="auto"/>
        </w:rPr>
      </w:pPr>
      <w:r>
        <w:rPr>
          <w:rFonts w:ascii="Arial" w:cs="Arial" w:eastAsia="Arial" w:hAnsi="Arial"/>
          <w:sz w:val="22"/>
          <w:szCs w:val="22"/>
          <w:color w:val="auto"/>
        </w:rPr>
        <w:t xml:space="preserve">18.3. </w:t>
      </w: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herein are for reference purposes only and shall not in any way affect the meaning or interpretation of this Agreement.</w:t>
      </w:r>
    </w:p>
    <w:p>
      <w:pPr>
        <w:spacing w:after="0" w:line="229" w:lineRule="exact"/>
        <w:rPr>
          <w:sz w:val="20"/>
          <w:szCs w:val="20"/>
          <w:color w:val="auto"/>
        </w:rPr>
      </w:pPr>
    </w:p>
    <w:p>
      <w:pPr>
        <w:ind w:left="1060" w:right="260" w:hanging="499"/>
        <w:spacing w:after="0" w:line="234" w:lineRule="auto"/>
        <w:rPr>
          <w:sz w:val="20"/>
          <w:szCs w:val="20"/>
          <w:color w:val="auto"/>
        </w:rPr>
      </w:pPr>
      <w:r>
        <w:rPr>
          <w:rFonts w:ascii="Arial" w:cs="Arial" w:eastAsia="Arial" w:hAnsi="Arial"/>
          <w:sz w:val="22"/>
          <w:szCs w:val="22"/>
          <w:color w:val="auto"/>
        </w:rPr>
        <w:t xml:space="preserve">18.4.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agreement and understanding of the parties relating to the Executive’s employment by the Company, and supersedes all prior agreements, arrangements, and understandings, written or oral, relating to the Executive’s employment by the Company and its Affiliates including, without limitation, effective as of the Effective Date, and any severance, retention, change in control or similar types of benefits. No representation, promise, or inducement has been made by either party that is not embodied in this Agreement, and neither party shall be bound by or liable for any alleged representation, promise or inducement not so set forth.</w:t>
      </w:r>
    </w:p>
    <w:p>
      <w:pPr>
        <w:spacing w:after="0" w:line="245" w:lineRule="exact"/>
        <w:rPr>
          <w:sz w:val="20"/>
          <w:szCs w:val="20"/>
          <w:color w:val="auto"/>
        </w:rPr>
      </w:pPr>
    </w:p>
    <w:p>
      <w:pPr>
        <w:ind w:left="1060" w:right="180" w:hanging="499"/>
        <w:spacing w:after="0" w:line="246" w:lineRule="auto"/>
        <w:rPr>
          <w:sz w:val="20"/>
          <w:szCs w:val="20"/>
          <w:color w:val="auto"/>
        </w:rPr>
      </w:pPr>
      <w:r>
        <w:rPr>
          <w:rFonts w:ascii="Arial" w:cs="Arial" w:eastAsia="Arial" w:hAnsi="Arial"/>
          <w:sz w:val="21"/>
          <w:szCs w:val="21"/>
          <w:color w:val="auto"/>
        </w:rPr>
        <w:t xml:space="preserve">18.5. </w:t>
      </w:r>
      <w:r>
        <w:rPr>
          <w:rFonts w:ascii="Arial" w:cs="Arial" w:eastAsia="Arial" w:hAnsi="Arial"/>
          <w:sz w:val="21"/>
          <w:szCs w:val="21"/>
          <w:u w:val="single" w:color="auto"/>
          <w:color w:val="auto"/>
        </w:rPr>
        <w:t>Assignment; Successors</w:t>
      </w:r>
      <w:r>
        <w:rPr>
          <w:rFonts w:ascii="Arial" w:cs="Arial" w:eastAsia="Arial" w:hAnsi="Arial"/>
          <w:sz w:val="21"/>
          <w:szCs w:val="21"/>
          <w:color w:val="auto"/>
        </w:rPr>
        <w:t>. This Agreement, and the Executive’s rights and obligations hereunder, may not be assigned by the Executive. The Company may assign its rights, together with its obligations, hereunder (i) to any Affiliate or (ii) to third parties in connection with any sale, transfer, or other disposition of all or substantially all of the business or assets of the Company; in any event the obligations of the Company hereunder shall be binding on its successors or assigns, whether by merger, consolidation or acquisition of all or substantially all of its business or assets. For the avoidance of doubt, the Company may assign this Agreement to vTv in connection with any internal reorganization.</w:t>
      </w:r>
    </w:p>
    <w:p>
      <w:pPr>
        <w:spacing w:after="0" w:line="238" w:lineRule="exact"/>
        <w:rPr>
          <w:sz w:val="20"/>
          <w:szCs w:val="20"/>
          <w:color w:val="auto"/>
        </w:rPr>
      </w:pPr>
    </w:p>
    <w:p>
      <w:pPr>
        <w:ind w:left="1060" w:right="280" w:hanging="499"/>
        <w:spacing w:after="0" w:line="277" w:lineRule="auto"/>
        <w:rPr>
          <w:sz w:val="20"/>
          <w:szCs w:val="20"/>
          <w:color w:val="auto"/>
        </w:rPr>
      </w:pPr>
      <w:r>
        <w:rPr>
          <w:rFonts w:ascii="Arial" w:cs="Arial" w:eastAsia="Arial" w:hAnsi="Arial"/>
          <w:sz w:val="19"/>
          <w:szCs w:val="19"/>
          <w:color w:val="auto"/>
        </w:rPr>
        <w:t xml:space="preserve">18.6. </w:t>
      </w:r>
      <w:r>
        <w:rPr>
          <w:rFonts w:ascii="Arial" w:cs="Arial" w:eastAsia="Arial" w:hAnsi="Arial"/>
          <w:sz w:val="19"/>
          <w:szCs w:val="19"/>
          <w:u w:val="single" w:color="auto"/>
          <w:color w:val="auto"/>
        </w:rPr>
        <w:t>Waiver</w:t>
      </w:r>
      <w:r>
        <w:rPr>
          <w:rFonts w:ascii="Arial" w:cs="Arial" w:eastAsia="Arial" w:hAnsi="Arial"/>
          <w:sz w:val="19"/>
          <w:szCs w:val="19"/>
          <w:color w:val="auto"/>
        </w:rPr>
        <w:t>. This Agreement may be amended, modified, superseded, canceled, renewed, or extended and the terms or covenants hereof may be waived, only by a written instrument executed by all of the parties hereto, or in the case of a waiver, by the party waiving compliance. The failure of either party at any time or times to require performance of any provision hereof shall in no manner affect the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60" w:type="dxa"/>
            <w:vAlign w:val="bottom"/>
          </w:tcPr>
          <w:p>
            <w:pPr>
              <w:jc w:val="right"/>
              <w:ind w:right="5430"/>
              <w:spacing w:after="0"/>
              <w:rPr>
                <w:sz w:val="20"/>
                <w:szCs w:val="20"/>
                <w:color w:val="auto"/>
              </w:rPr>
            </w:pPr>
            <w:r>
              <w:rPr>
                <w:rFonts w:ascii="Arial" w:cs="Arial" w:eastAsia="Arial" w:hAnsi="Arial"/>
                <w:sz w:val="18"/>
                <w:szCs w:val="18"/>
                <w:color w:val="auto"/>
              </w:rPr>
              <w:t>15</w:t>
            </w:r>
          </w:p>
        </w:tc>
      </w:tr>
      <w:tr>
        <w:trPr>
          <w:trHeight w:val="236"/>
        </w:trPr>
        <w:tc>
          <w:tcPr>
            <w:tcW w:w="3400" w:type="dxa"/>
            <w:vAlign w:val="bottom"/>
            <w:tcBorders>
              <w:bottom w:val="single" w:sz="8" w:color="9A9A9A"/>
            </w:tcBorders>
          </w:tcPr>
          <w:p>
            <w:pPr>
              <w:spacing w:after="0"/>
              <w:rPr>
                <w:sz w:val="20"/>
                <w:szCs w:val="20"/>
                <w:color w:val="auto"/>
              </w:rPr>
            </w:pPr>
          </w:p>
        </w:tc>
        <w:tc>
          <w:tcPr>
            <w:tcW w:w="7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6" w:name="page87"/>
    <w:bookmarkEnd w:id="86"/>
    <w:p>
      <w:pPr>
        <w:ind w:left="1060" w:right="320" w:hanging="499"/>
        <w:spacing w:after="0" w:line="236" w:lineRule="auto"/>
        <w:rPr>
          <w:sz w:val="20"/>
          <w:szCs w:val="20"/>
          <w:color w:val="auto"/>
        </w:rPr>
      </w:pPr>
      <w:r>
        <w:rPr>
          <w:rFonts w:ascii="Arial" w:cs="Arial" w:eastAsia="Arial" w:hAnsi="Arial"/>
          <w:sz w:val="22"/>
          <w:szCs w:val="22"/>
          <w:color w:val="auto"/>
        </w:rPr>
        <w:t xml:space="preserve">18.7. </w:t>
      </w:r>
      <w:r>
        <w:rPr>
          <w:rFonts w:ascii="Arial" w:cs="Arial" w:eastAsia="Arial" w:hAnsi="Arial"/>
          <w:sz w:val="22"/>
          <w:szCs w:val="22"/>
          <w:u w:val="single" w:color="auto"/>
          <w:color w:val="auto"/>
        </w:rPr>
        <w:t>Withholding Taxes</w:t>
      </w:r>
      <w:r>
        <w:rPr>
          <w:rFonts w:ascii="Arial" w:cs="Arial" w:eastAsia="Arial" w:hAnsi="Arial"/>
          <w:sz w:val="22"/>
          <w:szCs w:val="22"/>
          <w:color w:val="auto"/>
        </w:rPr>
        <w:t xml:space="preserve">. The Company may withhold from any amounts payable </w:t>
      </w:r>
      <w:r>
        <w:rPr>
          <w:rFonts w:ascii="Arial" w:cs="Arial" w:eastAsia="Arial" w:hAnsi="Arial"/>
          <w:sz w:val="19"/>
          <w:szCs w:val="19"/>
          <w:color w:val="auto"/>
        </w:rPr>
        <w:t>under this Agreement such federal, state,</w:t>
      </w:r>
      <w:r>
        <w:rPr>
          <w:rFonts w:ascii="Arial" w:cs="Arial" w:eastAsia="Arial" w:hAnsi="Arial"/>
          <w:sz w:val="22"/>
          <w:szCs w:val="22"/>
          <w:color w:val="auto"/>
        </w:rPr>
        <w:t xml:space="preserve"> </w:t>
      </w:r>
      <w:r>
        <w:rPr>
          <w:rFonts w:ascii="Arial" w:cs="Arial" w:eastAsia="Arial" w:hAnsi="Arial"/>
          <w:sz w:val="19"/>
          <w:szCs w:val="19"/>
          <w:color w:val="auto"/>
        </w:rPr>
        <w:t>local and other taxes as may be required to be withheld pursuant to any applicable law or regulation.</w:t>
      </w:r>
    </w:p>
    <w:p>
      <w:pPr>
        <w:spacing w:after="0" w:line="245" w:lineRule="exact"/>
        <w:rPr>
          <w:sz w:val="20"/>
          <w:szCs w:val="20"/>
          <w:color w:val="auto"/>
        </w:rPr>
      </w:pPr>
    </w:p>
    <w:p>
      <w:pPr>
        <w:ind w:left="1060" w:hanging="499"/>
        <w:spacing w:after="0"/>
        <w:tabs>
          <w:tab w:leader="none" w:pos="10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Subsidiaries and Affiliates</w:t>
      </w:r>
      <w:r>
        <w:rPr>
          <w:rFonts w:ascii="Arial" w:cs="Arial" w:eastAsia="Arial" w:hAnsi="Arial"/>
          <w:sz w:val="22"/>
          <w:szCs w:val="22"/>
          <w:color w:val="auto"/>
        </w:rPr>
        <w:t>.</w:t>
      </w:r>
    </w:p>
    <w:p>
      <w:pPr>
        <w:spacing w:after="0" w:line="260" w:lineRule="exact"/>
        <w:rPr>
          <w:sz w:val="20"/>
          <w:szCs w:val="20"/>
          <w:color w:val="auto"/>
        </w:rPr>
      </w:pPr>
    </w:p>
    <w:p>
      <w:pPr>
        <w:ind w:left="180" w:right="340"/>
        <w:spacing w:after="0" w:line="238" w:lineRule="auto"/>
        <w:rPr>
          <w:sz w:val="20"/>
          <w:szCs w:val="20"/>
          <w:color w:val="auto"/>
        </w:rPr>
      </w:pPr>
      <w:r>
        <w:rPr>
          <w:rFonts w:ascii="Arial" w:cs="Arial" w:eastAsia="Arial" w:hAnsi="Arial"/>
          <w:sz w:val="22"/>
          <w:szCs w:val="22"/>
          <w:color w:val="auto"/>
        </w:rPr>
        <w:t>As used herein, the term “</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any corporation or other business entity controlled directly or indirectly by the corporation or other business entity in question, and the term “</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and include any corporation or other business entity directly or indirectly controlling, controlled by or under common control with the corporation or other business entity in question.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ind w:left="20"/>
              <w:spacing w:after="0"/>
              <w:rPr>
                <w:sz w:val="20"/>
                <w:szCs w:val="20"/>
                <w:color w:val="auto"/>
              </w:rPr>
            </w:pPr>
            <w:r>
              <w:rPr>
                <w:rFonts w:ascii="Arial" w:cs="Arial" w:eastAsia="Arial" w:hAnsi="Arial"/>
                <w:sz w:val="13"/>
                <w:szCs w:val="13"/>
                <w:color w:val="auto"/>
              </w:rPr>
              <w:t>Doc#: US1:15649375v7</w:t>
            </w:r>
          </w:p>
        </w:tc>
        <w:tc>
          <w:tcPr>
            <w:tcW w:w="7860" w:type="dxa"/>
            <w:vAlign w:val="bottom"/>
          </w:tcPr>
          <w:p>
            <w:pPr>
              <w:jc w:val="right"/>
              <w:ind w:right="5430"/>
              <w:spacing w:after="0"/>
              <w:rPr>
                <w:sz w:val="20"/>
                <w:szCs w:val="20"/>
                <w:color w:val="auto"/>
              </w:rPr>
            </w:pPr>
            <w:r>
              <w:rPr>
                <w:rFonts w:ascii="Arial" w:cs="Arial" w:eastAsia="Arial" w:hAnsi="Arial"/>
                <w:sz w:val="18"/>
                <w:szCs w:val="18"/>
                <w:color w:val="auto"/>
              </w:rPr>
              <w:t>16</w:t>
            </w:r>
          </w:p>
        </w:tc>
      </w:tr>
      <w:tr>
        <w:trPr>
          <w:trHeight w:val="237"/>
        </w:trPr>
        <w:tc>
          <w:tcPr>
            <w:tcW w:w="3400" w:type="dxa"/>
            <w:vAlign w:val="bottom"/>
            <w:tcBorders>
              <w:bottom w:val="single" w:sz="8" w:color="9A9A9A"/>
            </w:tcBorders>
          </w:tcPr>
          <w:p>
            <w:pPr>
              <w:spacing w:after="0"/>
              <w:rPr>
                <w:sz w:val="20"/>
                <w:szCs w:val="20"/>
                <w:color w:val="auto"/>
              </w:rPr>
            </w:pPr>
          </w:p>
        </w:tc>
        <w:tc>
          <w:tcPr>
            <w:tcW w:w="78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7" w:name="page88"/>
    <w:bookmarkEnd w:id="87"/>
    <w:p>
      <w:pPr>
        <w:ind w:left="4980"/>
        <w:spacing w:after="0"/>
        <w:rPr>
          <w:sz w:val="20"/>
          <w:szCs w:val="20"/>
          <w:color w:val="auto"/>
        </w:rPr>
      </w:pPr>
      <w:r>
        <w:rPr>
          <w:rFonts w:ascii="Arial" w:cs="Arial" w:eastAsia="Arial" w:hAnsi="Arial"/>
          <w:sz w:val="22"/>
          <w:szCs w:val="22"/>
          <w:b w:val="1"/>
          <w:bCs w:val="1"/>
          <w:u w:val="single" w:color="auto"/>
          <w:color w:val="auto"/>
        </w:rPr>
        <w:t>ANNEX A</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Current Endeavors:</w:t>
      </w:r>
    </w:p>
    <w:p>
      <w:pPr>
        <w:spacing w:after="0" w:line="14" w:lineRule="exact"/>
        <w:rPr>
          <w:sz w:val="20"/>
          <w:szCs w:val="20"/>
          <w:color w:val="auto"/>
        </w:rPr>
      </w:pPr>
    </w:p>
    <w:p>
      <w:pPr>
        <w:ind w:right="2799"/>
        <w:spacing w:after="0" w:line="230" w:lineRule="auto"/>
        <w:rPr>
          <w:sz w:val="20"/>
          <w:szCs w:val="20"/>
          <w:color w:val="auto"/>
        </w:rPr>
      </w:pPr>
      <w:r>
        <w:rPr>
          <w:rFonts w:ascii="Arial" w:cs="Arial" w:eastAsia="Arial" w:hAnsi="Arial"/>
          <w:sz w:val="22"/>
          <w:szCs w:val="22"/>
          <w:color w:val="auto"/>
        </w:rPr>
        <w:t>Vericast, Inc. – EVP, Corporate &amp; Business Development MacAndrews &amp; Forbes – Corporate Development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Nelstone Ventures Advisors, Inc. – Managing Director (Venture Capital)</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Boards: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Board Member – Think Pink Rocks, Inc. Board Observer –</w:t>
      </w:r>
    </w:p>
    <w:p>
      <w:pPr>
        <w:spacing w:after="0" w:line="230" w:lineRule="auto"/>
        <w:rPr>
          <w:sz w:val="20"/>
          <w:szCs w:val="20"/>
          <w:color w:val="auto"/>
        </w:rPr>
      </w:pPr>
      <w:r>
        <w:rPr>
          <w:rFonts w:ascii="Arial" w:cs="Arial" w:eastAsia="Arial" w:hAnsi="Arial"/>
          <w:sz w:val="22"/>
          <w:szCs w:val="22"/>
          <w:color w:val="auto"/>
        </w:rPr>
        <w:t>Woolsey Pharmaceuticals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National Advisory Board Member – Rogel Cancer Center</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Woolsey Pharmaceuticals Manus</w:t>
      </w:r>
    </w:p>
    <w:p>
      <w:pPr>
        <w:spacing w:after="0" w:line="230" w:lineRule="auto"/>
        <w:rPr>
          <w:sz w:val="20"/>
          <w:szCs w:val="20"/>
          <w:color w:val="auto"/>
        </w:rPr>
      </w:pPr>
      <w:r>
        <w:rPr>
          <w:rFonts w:ascii="Arial" w:cs="Arial" w:eastAsia="Arial" w:hAnsi="Arial"/>
          <w:sz w:val="22"/>
          <w:szCs w:val="22"/>
          <w:color w:val="auto"/>
        </w:rPr>
        <w:t>Bio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ClinOne, Inc.</w:t>
      </w:r>
    </w:p>
    <w:p>
      <w:pPr>
        <w:spacing w:after="0" w:line="215"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361950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59"/>
          </w:cols>
          <w:pgMar w:left="500" w:top="396" w:right="1440"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9"/>
          <w:szCs w:val="19"/>
          <w:color w:val="auto"/>
        </w:rPr>
        <w:t>IN WITNESS WHEREOF, the parties have executed this Agreement as of the date first above written.</w:t>
      </w:r>
    </w:p>
    <w:p>
      <w:pPr>
        <w:spacing w:after="0" w:line="26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VTV THERAPEUTICS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161290</wp:posOffset>
            </wp:positionV>
            <wp:extent cx="150876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08760" cy="2228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4080" w:type="dxa"/>
        <w:tblCellMar>
          <w:top w:w="0" w:type="dxa"/>
          <w:left w:w="0" w:type="dxa"/>
          <w:bottom w:w="0" w:type="dxa"/>
          <w:right w:w="0" w:type="dxa"/>
        </w:tblCellMar>
      </w:tblPr>
      <w:tr>
        <w:trPr>
          <w:trHeight w:val="235"/>
        </w:trPr>
        <w:tc>
          <w:tcPr>
            <w:tcW w:w="600" w:type="dxa"/>
            <w:vAlign w:val="bottom"/>
            <w:tcBorders>
              <w:top w:val="single" w:sz="8" w:color="auto"/>
            </w:tcBorders>
          </w:tcPr>
          <w:p>
            <w:pPr>
              <w:spacing w:after="0" w:line="234" w:lineRule="exact"/>
              <w:rPr>
                <w:sz w:val="20"/>
                <w:szCs w:val="20"/>
                <w:color w:val="auto"/>
              </w:rPr>
            </w:pPr>
            <w:r>
              <w:rPr>
                <w:rFonts w:ascii="Arial" w:cs="Arial" w:eastAsia="Arial" w:hAnsi="Arial"/>
                <w:sz w:val="22"/>
                <w:szCs w:val="22"/>
                <w:color w:val="auto"/>
              </w:rPr>
              <w:t>By:</w:t>
            </w:r>
          </w:p>
        </w:tc>
        <w:tc>
          <w:tcPr>
            <w:tcW w:w="5440" w:type="dxa"/>
            <w:vAlign w:val="bottom"/>
            <w:tcBorders>
              <w:top w:val="single" w:sz="8" w:color="auto"/>
            </w:tcBorders>
          </w:tcPr>
          <w:p>
            <w:pPr>
              <w:ind w:left="140"/>
              <w:spacing w:after="0" w:line="234" w:lineRule="exact"/>
              <w:rPr>
                <w:sz w:val="20"/>
                <w:szCs w:val="20"/>
                <w:color w:val="auto"/>
              </w:rPr>
            </w:pPr>
            <w:r>
              <w:rPr>
                <w:rFonts w:ascii="Arial" w:cs="Arial" w:eastAsia="Arial" w:hAnsi="Arial"/>
                <w:sz w:val="22"/>
                <w:szCs w:val="22"/>
                <w:color w:val="auto"/>
              </w:rPr>
              <w:t>Robin E. Abrams</w:t>
            </w: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Title:</w:t>
            </w:r>
          </w:p>
        </w:tc>
        <w:tc>
          <w:tcPr>
            <w:tcW w:w="5440" w:type="dxa"/>
            <w:vAlign w:val="bottom"/>
          </w:tcPr>
          <w:p>
            <w:pPr>
              <w:ind w:left="140"/>
              <w:spacing w:after="0"/>
              <w:rPr>
                <w:sz w:val="20"/>
                <w:szCs w:val="20"/>
                <w:color w:val="auto"/>
              </w:rPr>
            </w:pPr>
            <w:r>
              <w:rPr>
                <w:rFonts w:ascii="Arial" w:cs="Arial" w:eastAsia="Arial" w:hAnsi="Arial"/>
                <w:sz w:val="22"/>
                <w:szCs w:val="22"/>
                <w:color w:val="auto"/>
              </w:rPr>
              <w:t>Executive Chair, Board of Directors</w:t>
            </w:r>
          </w:p>
        </w:tc>
      </w:tr>
    </w:tbl>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For purposes of Section 3.2.2 hereof, only:</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VTV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161290</wp:posOffset>
            </wp:positionV>
            <wp:extent cx="150876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08760" cy="22288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4080" w:type="dxa"/>
        <w:tblCellMar>
          <w:top w:w="0" w:type="dxa"/>
          <w:left w:w="0" w:type="dxa"/>
          <w:bottom w:w="0" w:type="dxa"/>
          <w:right w:w="0" w:type="dxa"/>
        </w:tblCellMar>
      </w:tblPr>
      <w:tr>
        <w:trPr>
          <w:trHeight w:val="235"/>
        </w:trPr>
        <w:tc>
          <w:tcPr>
            <w:tcW w:w="620" w:type="dxa"/>
            <w:vAlign w:val="bottom"/>
            <w:tcBorders>
              <w:top w:val="single" w:sz="8" w:color="auto"/>
            </w:tcBorders>
          </w:tcPr>
          <w:p>
            <w:pPr>
              <w:spacing w:after="0" w:line="234" w:lineRule="exact"/>
              <w:rPr>
                <w:sz w:val="20"/>
                <w:szCs w:val="20"/>
                <w:color w:val="auto"/>
              </w:rPr>
            </w:pPr>
            <w:r>
              <w:rPr>
                <w:rFonts w:ascii="Arial" w:cs="Arial" w:eastAsia="Arial" w:hAnsi="Arial"/>
                <w:sz w:val="22"/>
                <w:szCs w:val="22"/>
                <w:color w:val="auto"/>
              </w:rPr>
              <w:t>By:</w:t>
            </w:r>
          </w:p>
        </w:tc>
        <w:tc>
          <w:tcPr>
            <w:tcW w:w="5420" w:type="dxa"/>
            <w:vAlign w:val="bottom"/>
            <w:tcBorders>
              <w:top w:val="single" w:sz="8" w:color="auto"/>
            </w:tcBorders>
          </w:tcPr>
          <w:p>
            <w:pPr>
              <w:ind w:left="160"/>
              <w:spacing w:after="0" w:line="234" w:lineRule="exact"/>
              <w:rPr>
                <w:sz w:val="20"/>
                <w:szCs w:val="20"/>
                <w:color w:val="auto"/>
              </w:rPr>
            </w:pPr>
            <w:r>
              <w:rPr>
                <w:rFonts w:ascii="Arial" w:cs="Arial" w:eastAsia="Arial" w:hAnsi="Arial"/>
                <w:sz w:val="22"/>
                <w:szCs w:val="22"/>
                <w:color w:val="auto"/>
              </w:rPr>
              <w:t>Robin E. Abrams</w:t>
            </w:r>
          </w:p>
        </w:tc>
      </w:tr>
      <w:tr>
        <w:trPr>
          <w:trHeight w:val="274"/>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5420" w:type="dxa"/>
            <w:vAlign w:val="bottom"/>
          </w:tcPr>
          <w:p>
            <w:pPr>
              <w:ind w:left="160"/>
              <w:spacing w:after="0"/>
              <w:rPr>
                <w:sz w:val="20"/>
                <w:szCs w:val="20"/>
                <w:color w:val="auto"/>
              </w:rPr>
            </w:pPr>
            <w:r>
              <w:rPr>
                <w:rFonts w:ascii="Arial" w:cs="Arial" w:eastAsia="Arial" w:hAnsi="Arial"/>
                <w:sz w:val="22"/>
                <w:szCs w:val="22"/>
                <w:color w:val="auto"/>
              </w:rPr>
              <w:t>Executive Chair,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147955</wp:posOffset>
            </wp:positionV>
            <wp:extent cx="172275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22755" cy="2057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-154940</wp:posOffset>
            </wp:positionV>
            <wp:extent cx="3831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3159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757555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8" w:right="339" w:bottom="1440" w:gutter="0" w:footer="0" w:header="0"/>
        </w:sectPr>
      </w:pPr>
    </w:p>
    <w:bookmarkStart w:id="89" w:name="page90"/>
    <w:bookmarkEnd w:id="89"/>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1628775" cy="283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28775" cy="28321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S I G N A T U R E C E R T I F I C A T E</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DETAILS</w:t>
      </w:r>
    </w:p>
    <w:p>
      <w:pPr>
        <w:spacing w:after="0" w:line="226" w:lineRule="auto"/>
        <w:rPr>
          <w:sz w:val="20"/>
          <w:szCs w:val="20"/>
          <w:color w:val="auto"/>
        </w:rPr>
      </w:pPr>
      <w:r>
        <w:rPr>
          <w:rFonts w:ascii="Arial" w:cs="Arial" w:eastAsia="Arial" w:hAnsi="Arial"/>
          <w:sz w:val="14"/>
          <w:szCs w:val="14"/>
          <w:b w:val="1"/>
          <w:bCs w:val="1"/>
          <w:color w:val="auto"/>
        </w:rPr>
        <w:t>Reference Number</w:t>
      </w:r>
    </w:p>
    <w:p>
      <w:pPr>
        <w:spacing w:after="0" w:line="221" w:lineRule="auto"/>
        <w:rPr>
          <w:sz w:val="20"/>
          <w:szCs w:val="20"/>
          <w:color w:val="auto"/>
        </w:rPr>
      </w:pPr>
      <w:r>
        <w:rPr>
          <w:rFonts w:ascii="Arial" w:cs="Arial" w:eastAsia="Arial" w:hAnsi="Arial"/>
          <w:sz w:val="14"/>
          <w:szCs w:val="14"/>
          <w:b w:val="1"/>
          <w:bCs w:val="1"/>
          <w:color w:val="auto"/>
        </w:rPr>
        <w:t>1D554CF8-B55C-46C8-B263-232C8F27C219</w:t>
      </w:r>
    </w:p>
    <w:p>
      <w:pPr>
        <w:spacing w:after="0" w:line="222" w:lineRule="auto"/>
        <w:rPr>
          <w:sz w:val="20"/>
          <w:szCs w:val="20"/>
          <w:color w:val="auto"/>
        </w:rPr>
      </w:pPr>
      <w:r>
        <w:rPr>
          <w:rFonts w:ascii="Arial" w:cs="Arial" w:eastAsia="Arial" w:hAnsi="Arial"/>
          <w:sz w:val="14"/>
          <w:szCs w:val="14"/>
          <w:b w:val="1"/>
          <w:bCs w:val="1"/>
          <w:color w:val="auto"/>
        </w:rPr>
        <w:t>Transaction Type</w:t>
      </w:r>
    </w:p>
    <w:p>
      <w:pPr>
        <w:spacing w:after="0" w:line="221" w:lineRule="auto"/>
        <w:rPr>
          <w:sz w:val="20"/>
          <w:szCs w:val="20"/>
          <w:color w:val="auto"/>
        </w:rPr>
      </w:pPr>
      <w:r>
        <w:rPr>
          <w:rFonts w:ascii="Arial" w:cs="Arial" w:eastAsia="Arial" w:hAnsi="Arial"/>
          <w:sz w:val="14"/>
          <w:szCs w:val="14"/>
          <w:b w:val="1"/>
          <w:bCs w:val="1"/>
          <w:color w:val="auto"/>
        </w:rPr>
        <w:t>Signature Request</w:t>
      </w:r>
    </w:p>
    <w:p>
      <w:pPr>
        <w:spacing w:after="0" w:line="222" w:lineRule="auto"/>
        <w:rPr>
          <w:sz w:val="20"/>
          <w:szCs w:val="20"/>
          <w:color w:val="auto"/>
        </w:rPr>
      </w:pPr>
      <w:r>
        <w:rPr>
          <w:rFonts w:ascii="Arial" w:cs="Arial" w:eastAsia="Arial" w:hAnsi="Arial"/>
          <w:sz w:val="14"/>
          <w:szCs w:val="14"/>
          <w:b w:val="1"/>
          <w:bCs w:val="1"/>
          <w:color w:val="auto"/>
        </w:rPr>
        <w:t>Sent At</w:t>
      </w:r>
    </w:p>
    <w:p>
      <w:pPr>
        <w:spacing w:after="0" w:line="221" w:lineRule="auto"/>
        <w:rPr>
          <w:sz w:val="20"/>
          <w:szCs w:val="20"/>
          <w:color w:val="auto"/>
        </w:rPr>
      </w:pPr>
      <w:r>
        <w:rPr>
          <w:rFonts w:ascii="Arial" w:cs="Arial" w:eastAsia="Arial" w:hAnsi="Arial"/>
          <w:sz w:val="14"/>
          <w:szCs w:val="14"/>
          <w:b w:val="1"/>
          <w:bCs w:val="1"/>
          <w:color w:val="auto"/>
        </w:rPr>
        <w:t>03/25/2022 05:35 EDT</w:t>
      </w:r>
    </w:p>
    <w:p>
      <w:pPr>
        <w:spacing w:after="0" w:line="221" w:lineRule="auto"/>
        <w:rPr>
          <w:sz w:val="20"/>
          <w:szCs w:val="20"/>
          <w:color w:val="auto"/>
        </w:rPr>
      </w:pPr>
      <w:r>
        <w:rPr>
          <w:rFonts w:ascii="Arial" w:cs="Arial" w:eastAsia="Arial" w:hAnsi="Arial"/>
          <w:sz w:val="14"/>
          <w:szCs w:val="14"/>
          <w:b w:val="1"/>
          <w:bCs w:val="1"/>
          <w:color w:val="auto"/>
        </w:rPr>
        <w:t>Executed At</w:t>
      </w:r>
    </w:p>
    <w:p>
      <w:pPr>
        <w:spacing w:after="0" w:line="222" w:lineRule="auto"/>
        <w:rPr>
          <w:sz w:val="20"/>
          <w:szCs w:val="20"/>
          <w:color w:val="auto"/>
        </w:rPr>
      </w:pPr>
      <w:r>
        <w:rPr>
          <w:rFonts w:ascii="Arial" w:cs="Arial" w:eastAsia="Arial" w:hAnsi="Arial"/>
          <w:sz w:val="14"/>
          <w:szCs w:val="14"/>
          <w:b w:val="1"/>
          <w:bCs w:val="1"/>
          <w:color w:val="auto"/>
        </w:rPr>
        <w:t>03/27/2022 19:55 EDT</w:t>
      </w:r>
    </w:p>
    <w:p>
      <w:pPr>
        <w:spacing w:after="0" w:line="221" w:lineRule="auto"/>
        <w:rPr>
          <w:sz w:val="20"/>
          <w:szCs w:val="20"/>
          <w:color w:val="auto"/>
        </w:rPr>
      </w:pPr>
      <w:r>
        <w:rPr>
          <w:rFonts w:ascii="Arial" w:cs="Arial" w:eastAsia="Arial" w:hAnsi="Arial"/>
          <w:sz w:val="14"/>
          <w:szCs w:val="14"/>
          <w:b w:val="1"/>
          <w:bCs w:val="1"/>
          <w:color w:val="auto"/>
        </w:rPr>
        <w:t>Identity Method</w:t>
      </w:r>
    </w:p>
    <w:p>
      <w:pPr>
        <w:spacing w:after="0" w:line="221" w:lineRule="auto"/>
        <w:rPr>
          <w:sz w:val="20"/>
          <w:szCs w:val="20"/>
          <w:color w:val="auto"/>
        </w:rPr>
      </w:pPr>
      <w:r>
        <w:rPr>
          <w:rFonts w:ascii="Arial" w:cs="Arial" w:eastAsia="Arial" w:hAnsi="Arial"/>
          <w:sz w:val="14"/>
          <w:szCs w:val="14"/>
          <w:b w:val="1"/>
          <w:bCs w:val="1"/>
          <w:color w:val="auto"/>
        </w:rPr>
        <w:t>email</w:t>
      </w:r>
    </w:p>
    <w:p>
      <w:pPr>
        <w:spacing w:after="0" w:line="222" w:lineRule="auto"/>
        <w:rPr>
          <w:sz w:val="20"/>
          <w:szCs w:val="20"/>
          <w:color w:val="auto"/>
        </w:rPr>
      </w:pPr>
      <w:r>
        <w:rPr>
          <w:rFonts w:ascii="Arial" w:cs="Arial" w:eastAsia="Arial" w:hAnsi="Arial"/>
          <w:sz w:val="14"/>
          <w:szCs w:val="14"/>
          <w:b w:val="1"/>
          <w:bCs w:val="1"/>
          <w:color w:val="auto"/>
        </w:rPr>
        <w:t>Distribution Method</w:t>
      </w:r>
    </w:p>
    <w:p>
      <w:pPr>
        <w:spacing w:after="0" w:line="221" w:lineRule="auto"/>
        <w:rPr>
          <w:sz w:val="20"/>
          <w:szCs w:val="20"/>
          <w:color w:val="auto"/>
        </w:rPr>
      </w:pPr>
      <w:r>
        <w:rPr>
          <w:rFonts w:ascii="Arial" w:cs="Arial" w:eastAsia="Arial" w:hAnsi="Arial"/>
          <w:sz w:val="14"/>
          <w:szCs w:val="14"/>
          <w:b w:val="1"/>
          <w:bCs w:val="1"/>
          <w:color w:val="auto"/>
        </w:rPr>
        <w:t>email</w:t>
      </w:r>
    </w:p>
    <w:p>
      <w:pPr>
        <w:spacing w:after="0" w:line="233" w:lineRule="auto"/>
        <w:rPr>
          <w:sz w:val="20"/>
          <w:szCs w:val="20"/>
          <w:color w:val="auto"/>
        </w:rPr>
      </w:pPr>
      <w:r>
        <w:rPr>
          <w:rFonts w:ascii="Arial" w:cs="Arial" w:eastAsia="Arial" w:hAnsi="Arial"/>
          <w:sz w:val="14"/>
          <w:szCs w:val="14"/>
          <w:b w:val="1"/>
          <w:bCs w:val="1"/>
          <w:color w:val="auto"/>
        </w:rPr>
        <w:t>Signed Checksum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566160" cy="603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6160" cy="60325"/>
                    </a:xfrm>
                    <a:prstGeom prst="rect">
                      <a:avLst/>
                    </a:prstGeom>
                    <a:noFill/>
                  </pic:spPr>
                </pic:pic>
              </a:graphicData>
            </a:graphic>
          </wp:anchor>
        </w:drawing>
      </w:r>
    </w:p>
    <w:p>
      <w:pPr>
        <w:jc w:val="center"/>
        <w:ind w:left="720"/>
        <w:spacing w:after="0"/>
        <w:rPr>
          <w:sz w:val="20"/>
          <w:szCs w:val="20"/>
          <w:color w:val="auto"/>
        </w:rPr>
      </w:pPr>
      <w:r>
        <w:rPr>
          <w:rFonts w:ascii="Arial" w:cs="Arial" w:eastAsia="Arial" w:hAnsi="Arial"/>
          <w:sz w:val="7"/>
          <w:szCs w:val="7"/>
          <w:b w:val="1"/>
          <w:bCs w:val="1"/>
          <w:color w:val="auto"/>
        </w:rPr>
        <w:t>5911bfe8033a143bf048bddf325bcca94c340e424b1c15eb2698f75d5e574899</w:t>
      </w:r>
    </w:p>
    <w:p>
      <w:pPr>
        <w:spacing w:after="0" w:line="230" w:lineRule="auto"/>
        <w:rPr>
          <w:sz w:val="20"/>
          <w:szCs w:val="20"/>
          <w:color w:val="auto"/>
        </w:rPr>
      </w:pPr>
      <w:r>
        <w:rPr>
          <w:rFonts w:ascii="Arial" w:cs="Arial" w:eastAsia="Arial" w:hAnsi="Arial"/>
          <w:sz w:val="14"/>
          <w:szCs w:val="14"/>
          <w:b w:val="1"/>
          <w:bCs w:val="1"/>
          <w:color w:val="auto"/>
        </w:rPr>
        <w:t>Signer Sequencing</w:t>
      </w:r>
    </w:p>
    <w:p>
      <w:pPr>
        <w:spacing w:after="0" w:line="222" w:lineRule="auto"/>
        <w:rPr>
          <w:sz w:val="20"/>
          <w:szCs w:val="20"/>
          <w:color w:val="auto"/>
        </w:rPr>
      </w:pPr>
      <w:r>
        <w:rPr>
          <w:rFonts w:ascii="Arial" w:cs="Arial" w:eastAsia="Arial" w:hAnsi="Arial"/>
          <w:sz w:val="14"/>
          <w:szCs w:val="14"/>
          <w:b w:val="1"/>
          <w:bCs w:val="1"/>
          <w:color w:val="auto"/>
        </w:rPr>
        <w:t>Enabled</w:t>
      </w:r>
    </w:p>
    <w:p>
      <w:pPr>
        <w:spacing w:after="0" w:line="221" w:lineRule="auto"/>
        <w:rPr>
          <w:sz w:val="20"/>
          <w:szCs w:val="20"/>
          <w:color w:val="auto"/>
        </w:rPr>
      </w:pPr>
      <w:r>
        <w:rPr>
          <w:rFonts w:ascii="Arial" w:cs="Arial" w:eastAsia="Arial" w:hAnsi="Arial"/>
          <w:sz w:val="14"/>
          <w:szCs w:val="14"/>
          <w:b w:val="1"/>
          <w:bCs w:val="1"/>
          <w:color w:val="auto"/>
        </w:rPr>
        <w:t>Document Passcode</w:t>
      </w:r>
    </w:p>
    <w:p>
      <w:pPr>
        <w:spacing w:after="0"/>
        <w:rPr>
          <w:sz w:val="20"/>
          <w:szCs w:val="20"/>
          <w:color w:val="auto"/>
        </w:rPr>
      </w:pPr>
      <w:r>
        <w:rPr>
          <w:rFonts w:ascii="Arial" w:cs="Arial" w:eastAsia="Arial" w:hAnsi="Arial"/>
          <w:sz w:val="14"/>
          <w:szCs w:val="14"/>
          <w:b w:val="1"/>
          <w:bCs w:val="1"/>
          <w:color w:val="auto"/>
        </w:rPr>
        <w:t>Enabled</w:t>
      </w:r>
    </w:p>
    <w:p>
      <w:pPr>
        <w:spacing w:after="0" w:line="20" w:lineRule="exact"/>
        <w:rPr>
          <w:sz w:val="20"/>
          <w:szCs w:val="20"/>
          <w:color w:val="auto"/>
        </w:rPr>
      </w:pPr>
      <w:r>
        <w:rPr>
          <w:sz w:val="20"/>
          <w:szCs w:val="20"/>
          <w:color w:val="auto"/>
        </w:rPr>
        <w:br w:type="column"/>
      </w:r>
    </w:p>
    <w:p>
      <w:pPr>
        <w:ind w:left="1240"/>
        <w:spacing w:after="0"/>
        <w:rPr>
          <w:sz w:val="20"/>
          <w:szCs w:val="20"/>
          <w:color w:val="auto"/>
        </w:rPr>
      </w:pPr>
      <w:r>
        <w:rPr>
          <w:rFonts w:ascii="Arial" w:cs="Arial" w:eastAsia="Arial" w:hAnsi="Arial"/>
          <w:sz w:val="20"/>
          <w:szCs w:val="20"/>
          <w:b w:val="1"/>
          <w:bCs w:val="1"/>
          <w:color w:val="auto"/>
        </w:rPr>
        <w:t>R E F E R E N C E N U M B 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-250825</wp:posOffset>
            </wp:positionV>
            <wp:extent cx="3566160" cy="4718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471805"/>
                    </a:xfrm>
                    <a:prstGeom prst="rect">
                      <a:avLst/>
                    </a:prstGeom>
                    <a:noFill/>
                  </pic:spPr>
                </pic:pic>
              </a:graphicData>
            </a:graphic>
          </wp:anchor>
        </w:drawing>
      </w:r>
    </w:p>
    <w:p>
      <w:pPr>
        <w:spacing w:after="0" w:line="1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1D554CF8-B55C-46C8-B263-232C8F27C219</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-86995</wp:posOffset>
            </wp:positionV>
            <wp:extent cx="713232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4"/>
          <w:szCs w:val="14"/>
          <w:b w:val="1"/>
          <w:bCs w:val="1"/>
          <w:color w:val="auto"/>
        </w:rPr>
        <w:t>Document Name</w:t>
      </w:r>
    </w:p>
    <w:p>
      <w:pPr>
        <w:spacing w:after="0" w:line="221" w:lineRule="auto"/>
        <w:rPr>
          <w:sz w:val="20"/>
          <w:szCs w:val="20"/>
          <w:color w:val="auto"/>
        </w:rPr>
      </w:pPr>
      <w:r>
        <w:rPr>
          <w:rFonts w:ascii="Arial" w:cs="Arial" w:eastAsia="Arial" w:hAnsi="Arial"/>
          <w:sz w:val="14"/>
          <w:szCs w:val="14"/>
          <w:b w:val="1"/>
          <w:bCs w:val="1"/>
          <w:color w:val="auto"/>
        </w:rPr>
        <w:t>Nelson Employment Agreement Final</w:t>
      </w:r>
    </w:p>
    <w:p>
      <w:pPr>
        <w:spacing w:after="0" w:line="222" w:lineRule="auto"/>
        <w:rPr>
          <w:sz w:val="20"/>
          <w:szCs w:val="20"/>
          <w:color w:val="auto"/>
        </w:rPr>
      </w:pPr>
      <w:r>
        <w:rPr>
          <w:rFonts w:ascii="Arial" w:cs="Arial" w:eastAsia="Arial" w:hAnsi="Arial"/>
          <w:sz w:val="14"/>
          <w:szCs w:val="14"/>
          <w:b w:val="1"/>
          <w:bCs w:val="1"/>
          <w:color w:val="auto"/>
        </w:rPr>
        <w:t>Filename</w:t>
      </w:r>
    </w:p>
    <w:p>
      <w:pPr>
        <w:spacing w:after="0" w:line="221" w:lineRule="auto"/>
        <w:rPr>
          <w:sz w:val="20"/>
          <w:szCs w:val="20"/>
          <w:color w:val="auto"/>
        </w:rPr>
      </w:pPr>
      <w:r>
        <w:rPr>
          <w:rFonts w:ascii="Arial" w:cs="Arial" w:eastAsia="Arial" w:hAnsi="Arial"/>
          <w:sz w:val="14"/>
          <w:szCs w:val="14"/>
          <w:b w:val="1"/>
          <w:bCs w:val="1"/>
          <w:color w:val="auto"/>
        </w:rPr>
        <w:t>nelson_employment_agreement_final.pdf</w:t>
      </w:r>
    </w:p>
    <w:p>
      <w:pPr>
        <w:spacing w:after="0" w:line="222" w:lineRule="auto"/>
        <w:rPr>
          <w:sz w:val="20"/>
          <w:szCs w:val="20"/>
          <w:color w:val="auto"/>
        </w:rPr>
      </w:pPr>
      <w:r>
        <w:rPr>
          <w:rFonts w:ascii="Arial" w:cs="Arial" w:eastAsia="Arial" w:hAnsi="Arial"/>
          <w:sz w:val="14"/>
          <w:szCs w:val="14"/>
          <w:b w:val="1"/>
          <w:bCs w:val="1"/>
          <w:color w:val="auto"/>
        </w:rPr>
        <w:t>Pages</w:t>
      </w:r>
    </w:p>
    <w:p>
      <w:pPr>
        <w:ind w:right="4720" w:firstLine="4"/>
        <w:spacing w:after="0" w:line="258" w:lineRule="auto"/>
        <w:tabs>
          <w:tab w:leader="none" w:pos="177"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color w:val="auto"/>
        </w:rPr>
        <w:t>pages Content Type application/pdf File Size</w:t>
      </w:r>
    </w:p>
    <w:p>
      <w:pPr>
        <w:ind w:right="4460" w:firstLine="4"/>
        <w:spacing w:after="0" w:line="227" w:lineRule="auto"/>
        <w:tabs>
          <w:tab w:leader="none" w:pos="276"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KB Original Checksum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356616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9398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8"/>
          <w:szCs w:val="8"/>
          <w:b w:val="1"/>
          <w:bCs w:val="1"/>
          <w:color w:val="auto"/>
        </w:rPr>
        <w:t>ad28e8dac4089d7107c62bf9eaf4ec39f04ac0930bcf4a8a5395a76577d73e15</w:t>
      </w:r>
    </w:p>
    <w:p>
      <w:pPr>
        <w:spacing w:after="0" w:line="1027" w:lineRule="exact"/>
        <w:rPr>
          <w:sz w:val="20"/>
          <w:szCs w:val="20"/>
          <w:color w:val="auto"/>
        </w:rPr>
      </w:pPr>
    </w:p>
    <w:p>
      <w:pPr>
        <w:sectPr>
          <w:pgSz w:w="11900" w:h="16838" w:orient="portrait"/>
          <w:cols w:equalWidth="0" w:num="2">
            <w:col w:w="4900" w:space="720"/>
            <w:col w:w="5640"/>
          </w:cols>
          <w:pgMar w:left="320" w:top="684" w:right="319" w:bottom="1440" w:gutter="0" w:footer="0" w:header="0"/>
        </w:sectPr>
      </w:pPr>
    </w:p>
    <w:p>
      <w:pPr>
        <w:spacing w:after="0"/>
        <w:rPr>
          <w:sz w:val="20"/>
          <w:szCs w:val="20"/>
          <w:color w:val="auto"/>
        </w:rPr>
      </w:pPr>
      <w:r>
        <w:rPr>
          <w:rFonts w:ascii="Arial" w:cs="Arial" w:eastAsia="Arial" w:hAnsi="Arial"/>
          <w:sz w:val="22"/>
          <w:szCs w:val="22"/>
          <w:b w:val="1"/>
          <w:bCs w:val="1"/>
          <w:color w:val="auto"/>
        </w:rPr>
        <w:t>S I G N E R 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DFDFDF"/>
          </w:tcPr>
          <w:p>
            <w:pPr>
              <w:spacing w:after="0"/>
              <w:rPr>
                <w:sz w:val="20"/>
                <w:szCs w:val="20"/>
                <w:color w:val="auto"/>
              </w:rPr>
            </w:pPr>
            <w:r>
              <w:rPr>
                <w:rFonts w:ascii="Arial" w:cs="Arial" w:eastAsia="Arial" w:hAnsi="Arial"/>
                <w:sz w:val="14"/>
                <w:szCs w:val="14"/>
                <w:b w:val="1"/>
                <w:bCs w:val="1"/>
                <w:color w:val="auto"/>
              </w:rPr>
              <w:t>SIGNER</w:t>
            </w:r>
          </w:p>
        </w:tc>
        <w:tc>
          <w:tcPr>
            <w:tcW w:w="800" w:type="dxa"/>
            <w:vAlign w:val="bottom"/>
            <w:tcBorders>
              <w:right w:val="single" w:sz="8" w:color="DFDFDF"/>
            </w:tcBorders>
            <w:shd w:val="clear" w:color="auto" w:fill="DFDFDF"/>
          </w:tcPr>
          <w:p>
            <w:pPr>
              <w:spacing w:after="0"/>
              <w:rPr>
                <w:sz w:val="14"/>
                <w:szCs w:val="14"/>
                <w:color w:val="auto"/>
              </w:rPr>
            </w:pPr>
          </w:p>
        </w:tc>
        <w:tc>
          <w:tcPr>
            <w:tcW w:w="4260" w:type="dxa"/>
            <w:vAlign w:val="bottom"/>
            <w:shd w:val="clear" w:color="auto" w:fill="DFDFDF"/>
          </w:tcPr>
          <w:p>
            <w:pPr>
              <w:spacing w:after="0"/>
              <w:rPr>
                <w:sz w:val="20"/>
                <w:szCs w:val="20"/>
                <w:color w:val="auto"/>
              </w:rPr>
            </w:pPr>
            <w:r>
              <w:rPr>
                <w:rFonts w:ascii="Arial" w:cs="Arial" w:eastAsia="Arial" w:hAnsi="Arial"/>
                <w:sz w:val="14"/>
                <w:szCs w:val="14"/>
                <w:b w:val="1"/>
                <w:bCs w:val="1"/>
                <w:color w:val="auto"/>
              </w:rPr>
              <w:t>E-SIGNATURE</w:t>
            </w:r>
          </w:p>
        </w:tc>
        <w:tc>
          <w:tcPr>
            <w:tcW w:w="3540" w:type="dxa"/>
            <w:vAlign w:val="bottom"/>
            <w:gridSpan w:val="2"/>
            <w:shd w:val="clear" w:color="auto" w:fill="DFDFDF"/>
          </w:tcPr>
          <w:p>
            <w:pPr>
              <w:ind w:left="20"/>
              <w:spacing w:after="0"/>
              <w:rPr>
                <w:sz w:val="20"/>
                <w:szCs w:val="20"/>
                <w:color w:val="auto"/>
              </w:rPr>
            </w:pPr>
            <w:r>
              <w:rPr>
                <w:rFonts w:ascii="Arial" w:cs="Arial" w:eastAsia="Arial" w:hAnsi="Arial"/>
                <w:sz w:val="14"/>
                <w:szCs w:val="14"/>
                <w:b w:val="1"/>
                <w:bCs w:val="1"/>
                <w:color w:val="auto"/>
              </w:rPr>
              <w:t>EVENTS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10"/>
                <w:szCs w:val="10"/>
                <w:color w:val="auto"/>
              </w:rPr>
            </w:pPr>
          </w:p>
        </w:tc>
        <w:tc>
          <w:tcPr>
            <w:tcW w:w="4260" w:type="dxa"/>
            <w:vAlign w:val="bottom"/>
          </w:tcPr>
          <w:p>
            <w:pPr>
              <w:spacing w:after="0" w:line="126" w:lineRule="exact"/>
              <w:rPr>
                <w:sz w:val="20"/>
                <w:szCs w:val="20"/>
                <w:color w:val="auto"/>
              </w:rPr>
            </w:pPr>
            <w:r>
              <w:rPr>
                <w:rFonts w:ascii="Arial" w:cs="Arial" w:eastAsia="Arial" w:hAnsi="Arial"/>
                <w:sz w:val="14"/>
                <w:szCs w:val="14"/>
                <w:b w:val="1"/>
                <w:bCs w:val="1"/>
                <w:color w:val="auto"/>
              </w:rPr>
              <w:t>Status</w:t>
            </w:r>
          </w:p>
        </w:tc>
        <w:tc>
          <w:tcPr>
            <w:tcW w:w="354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rPr>
              <w:t>Viewed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Rich Nelson</w:t>
            </w:r>
          </w:p>
        </w:tc>
        <w:tc>
          <w:tcPr>
            <w:tcW w:w="80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signed</w:t>
            </w:r>
          </w:p>
        </w:tc>
        <w:tc>
          <w:tcPr>
            <w:tcW w:w="3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03/27/2022 19:53 EDT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Email</w:t>
            </w:r>
          </w:p>
        </w:tc>
        <w:tc>
          <w:tcPr>
            <w:tcW w:w="80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b w:val="1"/>
                <w:bCs w:val="1"/>
                <w:color w:val="auto"/>
              </w:rPr>
              <w:t>Multi-factor Digital Fingerprint Checksum</w:t>
            </w:r>
          </w:p>
        </w:tc>
        <w:tc>
          <w:tcPr>
            <w:tcW w:w="3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Identity Authenticated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rnelson@vtvtherapeutics.com</w:t>
            </w:r>
          </w:p>
        </w:tc>
        <w:tc>
          <w:tcPr>
            <w:tcW w:w="8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03/27/2022 19:55 EDT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260" w:type="dxa"/>
            <w:vAlign w:val="bottom"/>
            <w:tcBorders>
              <w:bottom w:val="single" w:sz="8" w:color="F9F9F9"/>
            </w:tcBorders>
            <w:shd w:val="clear" w:color="auto" w:fill="F9F9F9"/>
          </w:tcPr>
          <w:p>
            <w:pPr>
              <w:jc w:val="right"/>
              <w:ind w:right="1392"/>
              <w:spacing w:after="0"/>
              <w:rPr>
                <w:sz w:val="20"/>
                <w:szCs w:val="20"/>
                <w:color w:val="auto"/>
              </w:rPr>
            </w:pPr>
            <w:r>
              <w:rPr>
                <w:rFonts w:ascii="Arial" w:cs="Arial" w:eastAsia="Arial" w:hAnsi="Arial"/>
                <w:sz w:val="9"/>
                <w:szCs w:val="9"/>
                <w:b w:val="1"/>
                <w:bCs w:val="1"/>
                <w:color w:val="auto"/>
                <w:w w:val="88"/>
              </w:rPr>
              <w:t>ff66c198eafdedc556fa37059b28286f560ce44d945d995d2cbb605663e5a8d5</w:t>
            </w:r>
          </w:p>
        </w:tc>
        <w:tc>
          <w:tcPr>
            <w:tcW w:w="20" w:type="dxa"/>
            <w:vAlign w:val="bottom"/>
            <w:tcBorders>
              <w:bottom w:val="single" w:sz="8" w:color="F9F9F9"/>
            </w:tcBorders>
            <w:shd w:val="clear" w:color="auto" w:fill="F9F9F9"/>
          </w:tcPr>
          <w:p>
            <w:pPr>
              <w:spacing w:after="0"/>
              <w:rPr>
                <w:sz w:val="11"/>
                <w:szCs w:val="11"/>
                <w:color w:val="auto"/>
              </w:rPr>
            </w:pPr>
          </w:p>
        </w:tc>
        <w:tc>
          <w:tcPr>
            <w:tcW w:w="35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Arial" w:cs="Arial" w:eastAsia="Arial" w:hAnsi="Arial"/>
                <w:sz w:val="14"/>
                <w:szCs w:val="14"/>
                <w:b w:val="1"/>
                <w:bCs w:val="1"/>
                <w:color w:val="auto"/>
              </w:rPr>
              <w:t>Signer Sequence</w:t>
            </w:r>
          </w:p>
        </w:tc>
        <w:tc>
          <w:tcPr>
            <w:tcW w:w="800" w:type="dxa"/>
            <w:vAlign w:val="bottom"/>
          </w:tcPr>
          <w:p>
            <w:pPr>
              <w:spacing w:after="0"/>
              <w:rPr>
                <w:sz w:val="10"/>
                <w:szCs w:val="10"/>
                <w:color w:val="auto"/>
              </w:rPr>
            </w:pPr>
          </w:p>
        </w:tc>
        <w:tc>
          <w:tcPr>
            <w:tcW w:w="4260" w:type="dxa"/>
            <w:vAlign w:val="bottom"/>
          </w:tcPr>
          <w:p>
            <w:pPr>
              <w:spacing w:after="0" w:line="126" w:lineRule="exact"/>
              <w:rPr>
                <w:sz w:val="20"/>
                <w:szCs w:val="20"/>
                <w:color w:val="auto"/>
              </w:rPr>
            </w:pPr>
            <w:r>
              <w:rPr>
                <w:rFonts w:ascii="Arial" w:cs="Arial" w:eastAsia="Arial" w:hAnsi="Arial"/>
                <w:sz w:val="14"/>
                <w:szCs w:val="14"/>
                <w:b w:val="1"/>
                <w:bCs w:val="1"/>
                <w:color w:val="auto"/>
              </w:rPr>
              <w:t>IP Address</w:t>
            </w:r>
          </w:p>
        </w:tc>
        <w:tc>
          <w:tcPr>
            <w:tcW w:w="20" w:type="dxa"/>
            <w:vAlign w:val="bottom"/>
          </w:tcPr>
          <w:p>
            <w:pPr>
              <w:spacing w:after="0"/>
              <w:rPr>
                <w:sz w:val="10"/>
                <w:szCs w:val="10"/>
                <w:color w:val="auto"/>
              </w:rPr>
            </w:pPr>
          </w:p>
        </w:tc>
        <w:tc>
          <w:tcPr>
            <w:tcW w:w="3520" w:type="dxa"/>
            <w:vAlign w:val="bottom"/>
          </w:tcPr>
          <w:p>
            <w:pPr>
              <w:spacing w:after="0" w:line="126" w:lineRule="exact"/>
              <w:rPr>
                <w:sz w:val="20"/>
                <w:szCs w:val="20"/>
                <w:color w:val="auto"/>
              </w:rPr>
            </w:pPr>
            <w:r>
              <w:rPr>
                <w:rFonts w:ascii="Arial" w:cs="Arial" w:eastAsia="Arial" w:hAnsi="Arial"/>
                <w:sz w:val="14"/>
                <w:szCs w:val="14"/>
                <w:b w:val="1"/>
                <w:bCs w:val="1"/>
                <w:color w:val="auto"/>
              </w:rPr>
              <w:t>Signed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1</w:t>
            </w:r>
          </w:p>
        </w:tc>
        <w:tc>
          <w:tcPr>
            <w:tcW w:w="506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165.225.38.116</w:t>
            </w:r>
          </w:p>
        </w:tc>
        <w:tc>
          <w:tcPr>
            <w:tcW w:w="3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03/27/2022 19:55 EDT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4"/>
                <w:szCs w:val="14"/>
                <w:b w:val="1"/>
                <w:bCs w:val="1"/>
                <w:color w:val="auto"/>
              </w:rPr>
              <w:t>Components</w:t>
            </w:r>
          </w:p>
        </w:tc>
        <w:tc>
          <w:tcPr>
            <w:tcW w:w="80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Device</w:t>
            </w:r>
          </w:p>
        </w:tc>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4"/>
                <w:szCs w:val="14"/>
                <w:b w:val="1"/>
                <w:bCs w:val="1"/>
                <w:color w:val="auto"/>
              </w:rPr>
              <w:t>1</w:t>
            </w:r>
          </w:p>
        </w:tc>
        <w:tc>
          <w:tcPr>
            <w:tcW w:w="5060" w:type="dxa"/>
            <w:vAlign w:val="bottom"/>
            <w:gridSpan w:val="2"/>
          </w:tcPr>
          <w:p>
            <w:pPr>
              <w:ind w:left="800"/>
              <w:spacing w:after="0"/>
              <w:rPr>
                <w:sz w:val="20"/>
                <w:szCs w:val="20"/>
                <w:color w:val="auto"/>
              </w:rPr>
            </w:pPr>
            <w:r>
              <w:rPr>
                <w:rFonts w:ascii="Arial" w:cs="Arial" w:eastAsia="Arial" w:hAnsi="Arial"/>
                <w:sz w:val="14"/>
                <w:szCs w:val="14"/>
                <w:b w:val="1"/>
                <w:bCs w:val="1"/>
                <w:color w:val="auto"/>
              </w:rPr>
              <w:t>165.225.38.116</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Device</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Chrome via Windows</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Typed Signature</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5"/>
        </w:trPr>
        <w:tc>
          <w:tcPr>
            <w:tcW w:w="2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Signature Reference ID</w:t>
            </w: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31972C21</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2640" w:type="dxa"/>
            <w:vAlign w:val="bottom"/>
            <w:tcBorders>
              <w:bottom w:val="single" w:sz="8" w:color="DFDFDF"/>
            </w:tcBorders>
          </w:tcPr>
          <w:p>
            <w:pPr>
              <w:spacing w:after="0"/>
              <w:rPr>
                <w:sz w:val="24"/>
                <w:szCs w:val="24"/>
                <w:color w:val="auto"/>
              </w:rPr>
            </w:pPr>
          </w:p>
        </w:tc>
        <w:tc>
          <w:tcPr>
            <w:tcW w:w="800" w:type="dxa"/>
            <w:vAlign w:val="bottom"/>
            <w:tcBorders>
              <w:bottom w:val="single" w:sz="8" w:color="DFDFDF"/>
            </w:tcBorders>
          </w:tcPr>
          <w:p>
            <w:pPr>
              <w:spacing w:after="0"/>
              <w:rPr>
                <w:sz w:val="24"/>
                <w:szCs w:val="24"/>
                <w:color w:val="auto"/>
              </w:rPr>
            </w:pPr>
          </w:p>
        </w:tc>
        <w:tc>
          <w:tcPr>
            <w:tcW w:w="4260" w:type="dxa"/>
            <w:vAlign w:val="bottom"/>
            <w:tcBorders>
              <w:bottom w:val="single" w:sz="8" w:color="DFDFDF"/>
            </w:tcBorders>
          </w:tcPr>
          <w:p>
            <w:pPr>
              <w:spacing w:after="0"/>
              <w:rPr>
                <w:sz w:val="24"/>
                <w:szCs w:val="24"/>
                <w:color w:val="auto"/>
              </w:rPr>
            </w:pPr>
          </w:p>
        </w:tc>
        <w:tc>
          <w:tcPr>
            <w:tcW w:w="3540" w:type="dxa"/>
            <w:vAlign w:val="bottom"/>
            <w:tcBorders>
              <w:bottom w:val="single" w:sz="8" w:color="DFDFDF"/>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6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060" w:type="dxa"/>
            <w:vAlign w:val="bottom"/>
            <w:gridSpan w:val="2"/>
          </w:tcPr>
          <w:p>
            <w:pPr>
              <w:ind w:left="780"/>
              <w:spacing w:after="0"/>
              <w:rPr>
                <w:sz w:val="20"/>
                <w:szCs w:val="20"/>
                <w:color w:val="auto"/>
              </w:rPr>
            </w:pPr>
            <w:r>
              <w:rPr>
                <w:rFonts w:ascii="Arial" w:cs="Arial" w:eastAsia="Arial" w:hAnsi="Arial"/>
                <w:sz w:val="14"/>
                <w:szCs w:val="14"/>
                <w:b w:val="1"/>
                <w:bCs w:val="1"/>
                <w:color w:val="auto"/>
              </w:rPr>
              <w:t>Status</w:t>
            </w: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Viewed 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Robin Abrams</w:t>
            </w:r>
          </w:p>
        </w:tc>
        <w:tc>
          <w:tcPr>
            <w:tcW w:w="5060" w:type="dxa"/>
            <w:vAlign w:val="bottom"/>
            <w:gridSpan w:val="2"/>
          </w:tcPr>
          <w:p>
            <w:pPr>
              <w:ind w:left="780"/>
              <w:spacing w:after="0" w:line="149" w:lineRule="exact"/>
              <w:rPr>
                <w:sz w:val="20"/>
                <w:szCs w:val="20"/>
                <w:color w:val="auto"/>
              </w:rPr>
            </w:pPr>
            <w:r>
              <w:rPr>
                <w:rFonts w:ascii="Arial" w:cs="Arial" w:eastAsia="Arial" w:hAnsi="Arial"/>
                <w:sz w:val="14"/>
                <w:szCs w:val="14"/>
                <w:b w:val="1"/>
                <w:bCs w:val="1"/>
                <w:color w:val="auto"/>
              </w:rPr>
              <w:t>signed</w:t>
            </w: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03/25/2022 08:05 EDT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Email</w:t>
            </w:r>
          </w:p>
        </w:tc>
        <w:tc>
          <w:tcPr>
            <w:tcW w:w="5060" w:type="dxa"/>
            <w:vAlign w:val="bottom"/>
            <w:gridSpan w:val="2"/>
          </w:tcPr>
          <w:p>
            <w:pPr>
              <w:ind w:left="780"/>
              <w:spacing w:after="0" w:line="149" w:lineRule="exact"/>
              <w:rPr>
                <w:sz w:val="20"/>
                <w:szCs w:val="20"/>
                <w:color w:val="auto"/>
              </w:rPr>
            </w:pPr>
            <w:r>
              <w:rPr>
                <w:rFonts w:ascii="Arial" w:cs="Arial" w:eastAsia="Arial" w:hAnsi="Arial"/>
                <w:sz w:val="14"/>
                <w:szCs w:val="14"/>
                <w:b w:val="1"/>
                <w:bCs w:val="1"/>
                <w:color w:val="auto"/>
              </w:rPr>
              <w:t>Multi-factor Digital Fingerprint Checksum</w:t>
            </w: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Identity Authenticated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spacing w:after="0" w:line="158" w:lineRule="exact"/>
              <w:rPr>
                <w:sz w:val="20"/>
                <w:szCs w:val="20"/>
                <w:color w:val="auto"/>
              </w:rPr>
            </w:pPr>
            <w:r>
              <w:rPr>
                <w:rFonts w:ascii="Arial" w:cs="Arial" w:eastAsia="Arial" w:hAnsi="Arial"/>
                <w:sz w:val="14"/>
                <w:szCs w:val="14"/>
                <w:b w:val="1"/>
                <w:bCs w:val="1"/>
                <w:color w:val="auto"/>
              </w:rPr>
              <w:t>rabrams@vtvtherapeutics.com</w:t>
            </w:r>
          </w:p>
        </w:tc>
        <w:tc>
          <w:tcPr>
            <w:tcW w:w="8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54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color w:val="auto"/>
              </w:rPr>
              <w:t>03/25/2022 08:06 EDT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40" w:type="dxa"/>
            <w:vAlign w:val="bottom"/>
            <w:vMerge w:val="continue"/>
          </w:tcPr>
          <w:p>
            <w:pPr>
              <w:spacing w:after="0"/>
              <w:rPr>
                <w:sz w:val="12"/>
                <w:szCs w:val="12"/>
                <w:color w:val="auto"/>
              </w:rPr>
            </w:pPr>
          </w:p>
        </w:tc>
        <w:tc>
          <w:tcPr>
            <w:tcW w:w="800" w:type="dxa"/>
            <w:vAlign w:val="bottom"/>
            <w:tcBorders>
              <w:right w:val="single" w:sz="8" w:color="F9F9F9"/>
            </w:tcBorders>
          </w:tcPr>
          <w:p>
            <w:pPr>
              <w:spacing w:after="0"/>
              <w:rPr>
                <w:sz w:val="12"/>
                <w:szCs w:val="12"/>
                <w:color w:val="auto"/>
              </w:rPr>
            </w:pPr>
          </w:p>
        </w:tc>
        <w:tc>
          <w:tcPr>
            <w:tcW w:w="4260" w:type="dxa"/>
            <w:vAlign w:val="bottom"/>
            <w:shd w:val="clear" w:color="auto" w:fill="F9F9F9"/>
          </w:tcPr>
          <w:p>
            <w:pPr>
              <w:jc w:val="right"/>
              <w:ind w:right="1392"/>
              <w:spacing w:after="0"/>
              <w:rPr>
                <w:sz w:val="20"/>
                <w:szCs w:val="20"/>
                <w:color w:val="auto"/>
              </w:rPr>
            </w:pPr>
            <w:r>
              <w:rPr>
                <w:rFonts w:ascii="Arial" w:cs="Arial" w:eastAsia="Arial" w:hAnsi="Arial"/>
                <w:sz w:val="9"/>
                <w:szCs w:val="9"/>
                <w:b w:val="1"/>
                <w:bCs w:val="1"/>
                <w:color w:val="auto"/>
                <w:w w:val="87"/>
              </w:rPr>
              <w:t>652493cd2a12beaee1f053d9716ef7002c4c81d39026f6b43115008bd889187c</w:t>
            </w:r>
          </w:p>
        </w:tc>
        <w:tc>
          <w:tcPr>
            <w:tcW w:w="3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Arial" w:cs="Arial" w:eastAsia="Arial" w:hAnsi="Arial"/>
                <w:sz w:val="14"/>
                <w:szCs w:val="14"/>
                <w:b w:val="1"/>
                <w:bCs w:val="1"/>
                <w:color w:val="auto"/>
              </w:rPr>
              <w:t>Signer Sequence</w:t>
            </w:r>
          </w:p>
        </w:tc>
        <w:tc>
          <w:tcPr>
            <w:tcW w:w="800" w:type="dxa"/>
            <w:vAlign w:val="bottom"/>
          </w:tcPr>
          <w:p>
            <w:pPr>
              <w:spacing w:after="0"/>
              <w:rPr>
                <w:sz w:val="10"/>
                <w:szCs w:val="10"/>
                <w:color w:val="auto"/>
              </w:rPr>
            </w:pPr>
          </w:p>
        </w:tc>
        <w:tc>
          <w:tcPr>
            <w:tcW w:w="4260" w:type="dxa"/>
            <w:vAlign w:val="bottom"/>
          </w:tcPr>
          <w:p>
            <w:pPr>
              <w:spacing w:after="0" w:line="126" w:lineRule="exact"/>
              <w:rPr>
                <w:sz w:val="20"/>
                <w:szCs w:val="20"/>
                <w:color w:val="auto"/>
              </w:rPr>
            </w:pPr>
            <w:r>
              <w:rPr>
                <w:rFonts w:ascii="Arial" w:cs="Arial" w:eastAsia="Arial" w:hAnsi="Arial"/>
                <w:sz w:val="14"/>
                <w:szCs w:val="14"/>
                <w:b w:val="1"/>
                <w:bCs w:val="1"/>
                <w:color w:val="auto"/>
              </w:rPr>
              <w:t>IP Address</w:t>
            </w:r>
          </w:p>
        </w:tc>
        <w:tc>
          <w:tcPr>
            <w:tcW w:w="35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Signed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b w:val="1"/>
                <w:bCs w:val="1"/>
                <w:color w:val="auto"/>
              </w:rPr>
              <w:t>0</w:t>
            </w:r>
          </w:p>
        </w:tc>
        <w:tc>
          <w:tcPr>
            <w:tcW w:w="5060" w:type="dxa"/>
            <w:vAlign w:val="bottom"/>
            <w:gridSpan w:val="2"/>
          </w:tcPr>
          <w:p>
            <w:pPr>
              <w:ind w:left="780"/>
              <w:spacing w:after="0"/>
              <w:rPr>
                <w:sz w:val="20"/>
                <w:szCs w:val="20"/>
                <w:color w:val="auto"/>
              </w:rPr>
            </w:pPr>
            <w:r>
              <w:rPr>
                <w:rFonts w:ascii="Arial" w:cs="Arial" w:eastAsia="Arial" w:hAnsi="Arial"/>
                <w:sz w:val="14"/>
                <w:szCs w:val="14"/>
                <w:b w:val="1"/>
                <w:bCs w:val="1"/>
                <w:color w:val="auto"/>
              </w:rPr>
              <w:t>96.250.117.28</w:t>
            </w:r>
          </w:p>
        </w:tc>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03/25/2022 08:06 EDT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4"/>
                <w:szCs w:val="14"/>
                <w:b w:val="1"/>
                <w:bCs w:val="1"/>
                <w:color w:val="auto"/>
              </w:rPr>
              <w:t>Components</w:t>
            </w:r>
          </w:p>
        </w:tc>
        <w:tc>
          <w:tcPr>
            <w:tcW w:w="5060" w:type="dxa"/>
            <w:vAlign w:val="bottom"/>
            <w:gridSpan w:val="2"/>
          </w:tcPr>
          <w:p>
            <w:pPr>
              <w:ind w:left="780"/>
              <w:spacing w:after="0"/>
              <w:rPr>
                <w:sz w:val="20"/>
                <w:szCs w:val="20"/>
                <w:color w:val="auto"/>
              </w:rPr>
            </w:pPr>
            <w:r>
              <w:rPr>
                <w:rFonts w:ascii="Arial" w:cs="Arial" w:eastAsia="Arial" w:hAnsi="Arial"/>
                <w:sz w:val="14"/>
                <w:szCs w:val="14"/>
                <w:b w:val="1"/>
                <w:bCs w:val="1"/>
                <w:color w:val="auto"/>
              </w:rPr>
              <w:t>Device</w:t>
            </w:r>
          </w:p>
        </w:tc>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4"/>
                <w:szCs w:val="14"/>
                <w:b w:val="1"/>
                <w:bCs w:val="1"/>
                <w:color w:val="auto"/>
              </w:rPr>
              <w:t>2</w:t>
            </w:r>
          </w:p>
        </w:tc>
        <w:tc>
          <w:tcPr>
            <w:tcW w:w="5060" w:type="dxa"/>
            <w:vAlign w:val="bottom"/>
            <w:gridSpan w:val="2"/>
          </w:tcPr>
          <w:p>
            <w:pPr>
              <w:ind w:left="780"/>
              <w:spacing w:after="0"/>
              <w:rPr>
                <w:sz w:val="20"/>
                <w:szCs w:val="20"/>
                <w:color w:val="auto"/>
              </w:rPr>
            </w:pPr>
            <w:r>
              <w:rPr>
                <w:rFonts w:ascii="Arial" w:cs="Arial" w:eastAsia="Arial" w:hAnsi="Arial"/>
                <w:sz w:val="14"/>
                <w:szCs w:val="14"/>
                <w:b w:val="1"/>
                <w:bCs w:val="1"/>
                <w:color w:val="auto"/>
              </w:rPr>
              <w:t>Mobile Safari via iOS</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5060" w:type="dxa"/>
            <w:vAlign w:val="bottom"/>
            <w:gridSpan w:val="2"/>
          </w:tcPr>
          <w:p>
            <w:pPr>
              <w:ind w:left="780"/>
              <w:spacing w:after="0"/>
              <w:rPr>
                <w:sz w:val="20"/>
                <w:szCs w:val="20"/>
                <w:color w:val="auto"/>
              </w:rPr>
            </w:pPr>
            <w:r>
              <w:rPr>
                <w:rFonts w:ascii="Arial" w:cs="Arial" w:eastAsia="Arial" w:hAnsi="Arial"/>
                <w:sz w:val="14"/>
                <w:szCs w:val="14"/>
                <w:b w:val="1"/>
                <w:bCs w:val="1"/>
                <w:color w:val="auto"/>
              </w:rPr>
              <w:t>Typed Signature</w:t>
            </w: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1"/>
        </w:trPr>
        <w:tc>
          <w:tcPr>
            <w:tcW w:w="2640" w:type="dxa"/>
            <w:vAlign w:val="bottom"/>
          </w:tcPr>
          <w:p>
            <w:pPr>
              <w:spacing w:after="0"/>
              <w:rPr>
                <w:sz w:val="24"/>
                <w:szCs w:val="24"/>
                <w:color w:val="auto"/>
              </w:rPr>
            </w:pPr>
          </w:p>
        </w:tc>
        <w:tc>
          <w:tcPr>
            <w:tcW w:w="5060" w:type="dxa"/>
            <w:vAlign w:val="bottom"/>
            <w:gridSpan w:val="2"/>
          </w:tcPr>
          <w:p>
            <w:pPr>
              <w:ind w:left="780"/>
              <w:spacing w:after="0"/>
              <w:rPr>
                <w:sz w:val="20"/>
                <w:szCs w:val="20"/>
                <w:color w:val="auto"/>
              </w:rPr>
            </w:pPr>
            <w:r>
              <w:rPr>
                <w:rFonts w:ascii="Arial" w:cs="Arial" w:eastAsia="Arial" w:hAnsi="Arial"/>
                <w:sz w:val="14"/>
                <w:szCs w:val="14"/>
                <w:b w:val="1"/>
                <w:bCs w:val="1"/>
                <w:color w:val="auto"/>
              </w:rPr>
              <w:t>Signature Reference ID</w:t>
            </w: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5060" w:type="dxa"/>
            <w:vAlign w:val="bottom"/>
            <w:gridSpan w:val="2"/>
          </w:tcPr>
          <w:p>
            <w:pPr>
              <w:ind w:left="780"/>
              <w:spacing w:after="0"/>
              <w:rPr>
                <w:sz w:val="20"/>
                <w:szCs w:val="20"/>
                <w:color w:val="auto"/>
              </w:rPr>
            </w:pPr>
            <w:r>
              <w:rPr>
                <w:rFonts w:ascii="Arial" w:cs="Arial" w:eastAsia="Arial" w:hAnsi="Arial"/>
                <w:sz w:val="14"/>
                <w:szCs w:val="14"/>
                <w:b w:val="1"/>
                <w:bCs w:val="1"/>
                <w:color w:val="auto"/>
              </w:rPr>
              <w:t>EC2A148A</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4"/>
        </w:trPr>
        <w:tc>
          <w:tcPr>
            <w:tcW w:w="2640" w:type="dxa"/>
            <w:vAlign w:val="bottom"/>
          </w:tcPr>
          <w:p>
            <w:pPr>
              <w:spacing w:after="0"/>
              <w:rPr>
                <w:sz w:val="20"/>
                <w:szCs w:val="20"/>
                <w:color w:val="auto"/>
              </w:rPr>
            </w:pPr>
            <w:r>
              <w:rPr>
                <w:rFonts w:ascii="Arial" w:cs="Arial" w:eastAsia="Arial" w:hAnsi="Arial"/>
                <w:sz w:val="22"/>
                <w:szCs w:val="22"/>
                <w:b w:val="1"/>
                <w:bCs w:val="1"/>
                <w:color w:val="auto"/>
              </w:rPr>
              <w:t>A U D I T S</w:t>
            </w:r>
          </w:p>
        </w:tc>
        <w:tc>
          <w:tcPr>
            <w:tcW w:w="8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2"/>
        </w:trPr>
        <w:tc>
          <w:tcPr>
            <w:tcW w:w="26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-3591560</wp:posOffset>
            </wp:positionV>
            <wp:extent cx="1157605" cy="4718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57605" cy="47180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-1456690</wp:posOffset>
            </wp:positionV>
            <wp:extent cx="1156970" cy="4718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56970" cy="47180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type w:val="continuous"/>
        </w:sectPr>
      </w:pPr>
    </w:p>
    <w:bookmarkStart w:id="90" w:name="page91"/>
    <w:bookmarkEnd w:id="90"/>
    <w:p>
      <w:pPr>
        <w:spacing w:after="0"/>
        <w:tabs>
          <w:tab w:leader="none" w:pos="2800" w:val="left"/>
        </w:tabs>
        <w:rPr>
          <w:sz w:val="20"/>
          <w:szCs w:val="20"/>
          <w:color w:val="auto"/>
        </w:rPr>
      </w:pPr>
      <w:r>
        <w:rPr>
          <w:rFonts w:ascii="Arial" w:cs="Arial" w:eastAsia="Arial" w:hAnsi="Arial"/>
          <w:sz w:val="14"/>
          <w:szCs w:val="14"/>
          <w:b w:val="1"/>
          <w:bCs w:val="1"/>
          <w:color w:val="auto"/>
        </w:rPr>
        <w:t>TIMESTAMP</w:t>
      </w:r>
      <w:r>
        <w:rPr>
          <w:sz w:val="20"/>
          <w:szCs w:val="20"/>
          <w:color w:val="auto"/>
        </w:rPr>
        <w:tab/>
      </w:r>
      <w:r>
        <w:rPr>
          <w:rFonts w:ascii="Arial" w:cs="Arial" w:eastAsia="Arial" w:hAnsi="Arial"/>
          <w:sz w:val="14"/>
          <w:szCs w:val="14"/>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ectPr>
          <w:pgSz w:w="11900" w:h="16838" w:orient="portrait"/>
          <w:cols w:equalWidth="0" w:num="1">
            <w:col w:w="10139"/>
          </w:cols>
          <w:pgMar w:left="320" w:top="495" w:right="1440"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03/25/2022 05:35 EDT</w:t>
      </w:r>
    </w:p>
    <w:p>
      <w:pPr>
        <w:spacing w:after="0" w:line="258" w:lineRule="exact"/>
        <w:rPr>
          <w:sz w:val="20"/>
          <w:szCs w:val="20"/>
          <w:color w:val="auto"/>
        </w:rPr>
      </w:pPr>
    </w:p>
    <w:p>
      <w:pPr>
        <w:ind w:right="640"/>
        <w:spacing w:after="0" w:line="387" w:lineRule="auto"/>
        <w:rPr>
          <w:sz w:val="20"/>
          <w:szCs w:val="20"/>
          <w:color w:val="auto"/>
        </w:rPr>
      </w:pPr>
      <w:r>
        <w:rPr>
          <w:rFonts w:ascii="Arial" w:cs="Arial" w:eastAsia="Arial" w:hAnsi="Arial"/>
          <w:sz w:val="14"/>
          <w:szCs w:val="14"/>
          <w:b w:val="1"/>
          <w:bCs w:val="1"/>
          <w:color w:val="auto"/>
        </w:rPr>
        <w:t>03/25/2022 05:35 EDT 03/25/2022 08:05 EDT 03/25/2022 08:06 EDT 03/25/2022 08:06 EDT 03/25/2022 08:06 EDT 03/27/2022 19:53 EDT 03/27/2022 19:55 EDT 03/27/2022 19:55 EDT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Vanessa McDade (vmcdade@vtvtherapeutics.com) created document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'nelson_employment_agreement_final.pdf' on Chrome via Windows from 216.237.199.182.</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Robin Abrams (rabrams@vtvtherapeutics.com) was emailed a link to sign.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Robin Abrams (rabrams@vtvtherapeutics.com) viewed the document on Mobile Safari via iOS from 96.250.117.28.</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Robin Abrams (rabrams@vtvtherapeutics.com) authenticated via email on Mobile Safari via iOS from 96.250.117.28.</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Robin Abrams (rabrams@vtvtherapeutics.com) signed the document on Mobile Safari via iOS from 96.250.117.28.</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Rich Nelson (rnelson@vtvtherapeutics.com) was emailed a link to sign.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Rich Nelson (rnelson@vtvtherapeutics.com) viewed the document on Chrome via Windows from 165.225.38.116.</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Rich Nelson (rnelson@vtvtherapeutics.com) authenticated via email on Chrome via Windows from 165.225.38.116.</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Rich Nelson (rnelson@vtvtherapeutics.com) signed the document on Chrome via Windows from 165.225.38.116.</w:t>
      </w:r>
    </w:p>
    <w:p>
      <w:pPr>
        <w:sectPr>
          <w:pgSz w:w="11900" w:h="16838" w:orient="portrait"/>
          <w:cols w:equalWidth="0" w:num="2">
            <w:col w:w="2100" w:space="720"/>
            <w:col w:w="7319"/>
          </w:cols>
          <w:pgMar w:left="320" w:top="495" w:right="1440"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S. Nelson, certify that:</w:t>
      </w:r>
    </w:p>
    <w:p>
      <w:pPr>
        <w:spacing w:after="0" w:line="117"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2022</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Richard S. Nelson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Barry Brown, certify that:</w:t>
      </w:r>
    </w:p>
    <w:p>
      <w:pPr>
        <w:spacing w:after="0" w:line="117"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2022</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In connection with the Quarterly Report of vTv Therapeutics Inc. (the “Company”) on Form 10-Q for the period ended March 31, 2022, as filed with the Securities and Exchange Commission on the date hereof (the “Report”), I, Richard S. Nelson, certify, pursuant to 18 U.S.C. Section 1350, as adopted pursuant to Section 906 of the Sarbanes-Oxley Act of 2002, in my capacity as an officer of the Company that, to my knowledge:</w:t>
      </w:r>
    </w:p>
    <w:p>
      <w:pPr>
        <w:spacing w:after="0" w:line="41"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2022</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 Nelson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S. Nelson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Interim President and Chief Executive Officer</w:t>
            </w:r>
          </w:p>
        </w:tc>
      </w:tr>
    </w:tbl>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March 31, 2022, as filed with the Securities and Exchange Commission on the date hereof (the “Report”), I, Barry Brown,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2022</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lvl w:ilvl="1">
      <w:lvlJc w:val="left"/>
      <w:lvlText w:val="~"/>
      <w:numFmt w:val="bullet"/>
      <w:start w:val="1"/>
    </w:lvl>
  </w:abstractNum>
  <w:abstractNum w:abstractNumId="10">
    <w:nsid w:val="7C3DBD3D"/>
    <w:multiLevelType w:val="hybridMultilevel"/>
    <w:lvl w:ilvl="0">
      <w:lvlJc w:val="left"/>
      <w:lvlText w:val="%1."/>
      <w:numFmt w:val="decimal"/>
      <w:start w:val="3"/>
    </w:lvl>
  </w:abstractNum>
  <w:abstractNum w:abstractNumId="11">
    <w:nsid w:val="737B8DDC"/>
    <w:multiLevelType w:val="hybridMultilevel"/>
    <w:lvl w:ilvl="0">
      <w:lvlJc w:val="left"/>
      <w:lvlText w:val="%1"/>
      <w:numFmt w:val="lowerLetter"/>
      <w:start w:val="1"/>
    </w:lvl>
    <w:lvl w:ilvl="1">
      <w:lvlJc w:val="left"/>
      <w:lvlText w:val="%2."/>
      <w:numFmt w:val="decimal"/>
      <w:start w:val="4"/>
    </w:lvl>
    <w:lvl w:ilvl="2">
      <w:lvlJc w:val="left"/>
      <w:lvlText w:val="~"/>
      <w:numFmt w:val="bullet"/>
      <w:start w:val="1"/>
    </w:lvl>
  </w:abstractNum>
  <w:abstractNum w:abstractNumId="12">
    <w:nsid w:val="6CEAF08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3">
    <w:nsid w:val="22221A70"/>
    <w:multiLevelType w:val="hybridMultilevel"/>
    <w:lvl w:ilvl="0">
      <w:lvlJc w:val="left"/>
      <w:lvlText w:val="%1."/>
      <w:numFmt w:val="lowerLetter"/>
      <w:start w:val="2"/>
    </w:lvl>
    <w:lvl w:ilvl="1">
      <w:lvlJc w:val="left"/>
      <w:lvlText w:val="%2."/>
      <w:numFmt w:val="decimal"/>
      <w:start w:val="5"/>
    </w:lvl>
  </w:abstractNum>
  <w:abstractNum w:abstractNumId="14">
    <w:nsid w:val="4516DDE9"/>
    <w:multiLevelType w:val="hybridMultilevel"/>
    <w:lvl w:ilvl="0">
      <w:lvlJc w:val="left"/>
      <w:lvlText w:val="%1."/>
      <w:numFmt w:val="decimal"/>
      <w:start w:val="6"/>
    </w:lvl>
  </w:abstractNum>
  <w:abstractNum w:abstractNumId="15">
    <w:nsid w:val="3006C83E"/>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lvl w:ilvl="3">
      <w:lvlJc w:val="left"/>
      <w:lvlText w:val="~"/>
      <w:numFmt w:val="bullet"/>
      <w:start w:val="1"/>
    </w:lvl>
  </w:abstractNum>
  <w:abstractNum w:abstractNumId="16">
    <w:nsid w:val="614FD4A1"/>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lvl w:ilvl="3">
      <w:lvlJc w:val="left"/>
      <w:lvlText w:val="~"/>
      <w:numFmt w:val="bullet"/>
      <w:start w:val="1"/>
    </w:lvl>
  </w:abstractNum>
  <w:abstractNum w:abstractNumId="17">
    <w:nsid w:val="419AC241"/>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8">
    <w:nsid w:val="5577F8E1"/>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19">
    <w:nsid w:val="440BADFC"/>
    <w:multiLevelType w:val="hybridMultilevel"/>
    <w:lvl w:ilvl="0">
      <w:lvlJc w:val="left"/>
      <w:lvlText w:val="(%1)"/>
      <w:numFmt w:val="lowerRoman"/>
      <w:start w:val="2"/>
    </w:lvl>
  </w:abstractNum>
  <w:abstractNum w:abstractNumId="20">
    <w:nsid w:val="5072367"/>
    <w:multiLevelType w:val="hybridMultilevel"/>
    <w:lvl w:ilvl="0">
      <w:lvlJc w:val="left"/>
      <w:lvlText w:val="(%1)"/>
      <w:numFmt w:val="lowerRoman"/>
      <w:start w:val="3"/>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3"/>
    </w:lvl>
  </w:abstractNum>
  <w:abstractNum w:abstractNumId="24">
    <w:nsid w:val="5C482A97"/>
    <w:multiLevelType w:val="hybridMultilevel"/>
    <w:lvl w:ilvl="0">
      <w:lvlJc w:val="left"/>
      <w:lvlText w:val="%1"/>
      <w:numFmt w:val="lowerRoman"/>
      <w:start w:val="1"/>
    </w:lvl>
    <w:lvl w:ilvl="1">
      <w:lvlJc w:val="left"/>
      <w:lvlText w:val="%2."/>
      <w:numFmt w:val="decimal"/>
      <w:start w:val="4"/>
    </w:lvl>
  </w:abstractNum>
  <w:abstractNum w:abstractNumId="25">
    <w:nsid w:val="2463B9EA"/>
    <w:multiLevelType w:val="hybridMultilevel"/>
    <w:lvl w:ilvl="0">
      <w:lvlJc w:val="left"/>
      <w:lvlText w:val="(%1)"/>
      <w:numFmt w:val="lowerRoman"/>
      <w:start w:val="1"/>
    </w:lvl>
    <w:lvl w:ilvl="1">
      <w:lvlJc w:val="left"/>
      <w:lvlText w:val="%2"/>
      <w:numFmt w:val="decimal"/>
      <w:start w:val="1"/>
    </w:lvl>
  </w:abstractNum>
  <w:abstractNum w:abstractNumId="26">
    <w:nsid w:val="5E884ADC"/>
    <w:multiLevelType w:val="hybridMultilevel"/>
    <w:lvl w:ilvl="0">
      <w:lvlJc w:val="left"/>
      <w:lvlText w:val="%1."/>
      <w:numFmt w:val="decimal"/>
      <w:start w:val="5"/>
    </w:lvl>
  </w:abstractNum>
  <w:abstractNum w:abstractNumId="27">
    <w:nsid w:val="51EAD36B"/>
    <w:multiLevelType w:val="hybridMultilevel"/>
    <w:lvl w:ilvl="0">
      <w:lvlJc w:val="left"/>
      <w:lvlText w:val="%1."/>
      <w:numFmt w:val="decimal"/>
      <w:start w:val="8"/>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2"/>
    </w:lvl>
  </w:abstractNum>
  <w:abstractNum w:abstractNumId="30">
    <w:nsid w:val="153EA438"/>
    <w:multiLevelType w:val="hybridMultilevel"/>
    <w:lvl w:ilvl="0">
      <w:lvlJc w:val="left"/>
      <w:lvlText w:val="%1."/>
      <w:numFmt w:val="decimal"/>
      <w:start w:val="4"/>
    </w:lvl>
  </w:abstractNum>
  <w:abstractNum w:abstractNumId="31">
    <w:nsid w:val="3855585C"/>
    <w:multiLevelType w:val="hybridMultilevel"/>
    <w:lvl w:ilvl="0">
      <w:lvlJc w:val="left"/>
      <w:lvlText w:val="(%1)"/>
      <w:numFmt w:val="lowerRoman"/>
      <w:start w:val="3"/>
    </w:lvl>
  </w:abstractNum>
  <w:abstractNum w:abstractNumId="32">
    <w:nsid w:val="70A64E2A"/>
    <w:multiLevelType w:val="hybridMultilevel"/>
    <w:lvl w:ilvl="0">
      <w:lvlJc w:val="left"/>
      <w:lvlText w:val="%1."/>
      <w:numFmt w:val="decimal"/>
      <w:start w:val="5"/>
    </w:lvl>
  </w:abstractNum>
  <w:abstractNum w:abstractNumId="33">
    <w:nsid w:val="6A2342EC"/>
    <w:multiLevelType w:val="hybridMultilevel"/>
    <w:lvl w:ilvl="0">
      <w:lvlJc w:val="left"/>
      <w:lvlText w:val="%1."/>
      <w:numFmt w:val="decimal"/>
      <w:start w:val="6"/>
    </w:lvl>
  </w:abstractNum>
  <w:abstractNum w:abstractNumId="34">
    <w:nsid w:val="2A487CB0"/>
    <w:multiLevelType w:val="hybridMultilevel"/>
    <w:lvl w:ilvl="0">
      <w:lvlJc w:val="left"/>
      <w:lvlText w:val="%1."/>
      <w:numFmt w:val="decimal"/>
      <w:start w:val="7"/>
    </w:lvl>
    <w:lvl w:ilvl="1">
      <w:lvlJc w:val="left"/>
      <w:lvlText w:val="(%2)"/>
      <w:numFmt w:val="decimal"/>
      <w:start w:val="1"/>
    </w:lvl>
  </w:abstractNum>
  <w:abstractNum w:abstractNumId="35">
    <w:nsid w:val="1D4ED43B"/>
    <w:multiLevelType w:val="hybridMultilevel"/>
    <w:lvl w:ilvl="0">
      <w:lvlJc w:val="left"/>
      <w:lvlText w:val="%1."/>
      <w:numFmt w:val="decimal"/>
      <w:start w:val="8"/>
    </w:lvl>
  </w:abstractNum>
  <w:abstractNum w:abstractNumId="36">
    <w:nsid w:val="725A06FB"/>
    <w:multiLevelType w:val="hybridMultilevel"/>
    <w:lvl w:ilvl="0">
      <w:lvlJc w:val="left"/>
      <w:lvlText w:val="%1."/>
      <w:numFmt w:val="decimal"/>
      <w:start w:val="9"/>
    </w:lvl>
  </w:abstractNum>
  <w:abstractNum w:abstractNumId="37">
    <w:nsid w:val="2CD89A32"/>
    <w:multiLevelType w:val="hybridMultilevel"/>
    <w:lvl w:ilvl="0">
      <w:lvlJc w:val="left"/>
      <w:lvlText w:val="%1."/>
      <w:numFmt w:val="decimal"/>
      <w:start w:val="10"/>
    </w:lvl>
  </w:abstractNum>
  <w:abstractNum w:abstractNumId="38">
    <w:nsid w:val="57E4CCAF"/>
    <w:multiLevelType w:val="hybridMultilevel"/>
    <w:lvl w:ilvl="0">
      <w:lvlJc w:val="left"/>
      <w:lvlText w:val="%1."/>
      <w:numFmt w:val="decimal"/>
      <w:start w:val="11"/>
    </w:lvl>
  </w:abstractNum>
  <w:abstractNum w:abstractNumId="39">
    <w:nsid w:val="7A6D8D3C"/>
    <w:multiLevelType w:val="hybridMultilevel"/>
    <w:lvl w:ilvl="0">
      <w:lvlJc w:val="left"/>
      <w:lvlText w:val="%1."/>
      <w:numFmt w:val="decimal"/>
      <w:start w:val="12"/>
    </w:lvl>
  </w:abstractNum>
  <w:abstractNum w:abstractNumId="40">
    <w:nsid w:val="4B588F54"/>
    <w:multiLevelType w:val="hybridMultilevel"/>
    <w:lvl w:ilvl="0">
      <w:lvlJc w:val="left"/>
      <w:lvlText w:val="%1."/>
      <w:numFmt w:val="decimal"/>
      <w:start w:val="13"/>
    </w:lvl>
  </w:abstractNum>
  <w:abstractNum w:abstractNumId="41">
    <w:nsid w:val="542289EC"/>
    <w:multiLevelType w:val="hybridMultilevel"/>
    <w:lvl w:ilvl="0">
      <w:lvlJc w:val="left"/>
      <w:lvlText w:val="%1."/>
      <w:numFmt w:val="decimal"/>
      <w:start w:val="15"/>
    </w:lvl>
  </w:abstractNum>
  <w:abstractNum w:abstractNumId="42">
    <w:nsid w:val="6DE91B18"/>
    <w:multiLevelType w:val="hybridMultilevel"/>
    <w:lvl w:ilvl="0">
      <w:lvlJc w:val="left"/>
      <w:lvlText w:val="%1."/>
      <w:numFmt w:val="decimal"/>
      <w:start w:val="16"/>
    </w:lvl>
  </w:abstractNum>
  <w:abstractNum w:abstractNumId="43">
    <w:nsid w:val="38437FDB"/>
    <w:multiLevelType w:val="hybridMultilevel"/>
    <w:lvl w:ilvl="0">
      <w:lvlJc w:val="left"/>
      <w:lvlText w:val="%1."/>
      <w:numFmt w:val="decimal"/>
      <w:start w:val="17"/>
    </w:lvl>
  </w:abstractNum>
  <w:abstractNum w:abstractNumId="44">
    <w:nsid w:val="7644A45C"/>
    <w:multiLevelType w:val="hybridMultilevel"/>
    <w:lvl w:ilvl="0">
      <w:lvlJc w:val="left"/>
      <w:lvlText w:val="%1."/>
      <w:numFmt w:val="decimal"/>
      <w:start w:val="19"/>
    </w:lvl>
  </w:abstractNum>
  <w:abstractNum w:abstractNumId="45">
    <w:nsid w:val="32FFF902"/>
    <w:multiLevelType w:val="hybridMultilevel"/>
    <w:lvl w:ilvl="0">
      <w:lvlJc w:val="left"/>
      <w:lvlText w:val="%1"/>
      <w:numFmt w:val="decimal"/>
      <w:start w:val="18"/>
    </w:lvl>
  </w:abstractNum>
  <w:abstractNum w:abstractNumId="46">
    <w:nsid w:val="684A481A"/>
    <w:multiLevelType w:val="hybridMultilevel"/>
    <w:lvl w:ilvl="0">
      <w:lvlJc w:val="left"/>
      <w:lvlText w:val="%1"/>
      <w:numFmt w:val="decimal"/>
      <w:start w:val="108"/>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2022-05-12T05:29:13Z</dcterms:created>
  <dcterms:modified xsi:type="dcterms:W3CDTF">2022-05-12T05:29:13Z</dcterms:modified>
</cp:coreProperties>
</file>