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40" w:before="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40"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erif" w:hAnsi="Times New Roman;serif"/>
          <w:b/>
          <w:color w:val="000000"/>
          <w:sz w:val="20"/>
        </w:rPr>
        <w:t>For the quarterly period ended June 30, 2025</w:t>
      </w:r>
      <w:r>
        <w:rPr>
          <w:color w:val="000000"/>
        </w:rPr>
        <w:t xml:space="preserve">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001-37524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vTv Therapeutics Inc.</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3980 Premier Dr,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tbl>
      <w:tblPr>
        <w:tblW w:w="7600"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933"/>
        <w:gridCol w:w="933"/>
        <w:gridCol w:w="1328"/>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Outstanding as of August 12, 2025</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2,617,215 </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vTv THERAPEUTICS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JUNE 30, 2025</w:t>
      </w:r>
    </w:p>
    <w:tbl>
      <w:tblPr>
        <w:tblW w:w="10205" w:type="dxa"/>
        <w:jc w:val="left"/>
        <w:tblInd w:w="0" w:type="dxa"/>
        <w:tblLayout w:type="fixed"/>
        <w:tblCellMar>
          <w:top w:w="28" w:type="dxa"/>
          <w:left w:w="28" w:type="dxa"/>
          <w:bottom w:w="28" w:type="dxa"/>
          <w:right w:w="28" w:type="dxa"/>
        </w:tblCellMar>
      </w:tblPr>
      <w:tblGrid>
        <w:gridCol w:w="433"/>
        <w:gridCol w:w="381"/>
        <w:gridCol w:w="381"/>
        <w:gridCol w:w="2871"/>
        <w:gridCol w:w="2630"/>
        <w:gridCol w:w="2651"/>
        <w:gridCol w:w="250"/>
        <w:gridCol w:w="250"/>
        <w:gridCol w:w="358"/>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0a1060adddc4a789c76c4f42dd8d902_10">
              <w:r>
                <w:rPr>
                  <w:rStyle w:val="InternetLink"/>
                  <w:rFonts w:ascii="Times New Roman;serif" w:hAnsi="Times New Roman;serif"/>
                  <w:b w:val="false"/>
                  <w:color w:val="0000FF"/>
                  <w:sz w:val="20"/>
                  <w:u w:val="single"/>
                </w:rPr>
                <w:t>PART I – FINANCIAL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3">
              <w:r>
                <w:rPr>
                  <w:rStyle w:val="InternetLink"/>
                  <w:rFonts w:ascii="Times New Roman;serif" w:hAnsi="Times New Roman;serif"/>
                  <w:b w:val="false"/>
                  <w:strike w:val="false"/>
                  <w:dstrike w:val="false"/>
                  <w:color w:val="000000"/>
                  <w:sz w:val="20"/>
                  <w:u w:val="none"/>
                  <w:effect w:val="none"/>
                </w:rPr>
                <w:t>Item 1.</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0a1060adddc4a789c76c4f42dd8d902_13">
              <w:r>
                <w:rPr>
                  <w:rStyle w:val="InternetLink"/>
                  <w:rFonts w:ascii="Times New Roman;serif" w:hAnsi="Times New Roman;serif"/>
                  <w:b w:val="false"/>
                  <w:color w:val="000080"/>
                  <w:sz w:val="20"/>
                  <w:u w:val="single"/>
                </w:rPr>
                <w:t xml:space="preserve">Condensed Consolidated Balance Sheets as of </w:t>
              </w:r>
            </w:hyperlink>
            <w:hyperlink w:anchor="i80a1060adddc4a789c76c4f42dd8d902_13">
              <w:r>
                <w:rPr>
                  <w:rStyle w:val="InternetLink"/>
                  <w:rFonts w:ascii="Times New Roman;serif" w:hAnsi="Times New Roman;serif"/>
                  <w:b w:val="false"/>
                  <w:color w:val="000080"/>
                  <w:sz w:val="20"/>
                  <w:u w:val="single"/>
                </w:rPr>
                <w:t>June</w:t>
              </w:r>
            </w:hyperlink>
            <w:hyperlink w:anchor="i80a1060adddc4a789c76c4f42dd8d902_13">
              <w:r>
                <w:rPr>
                  <w:rStyle w:val="InternetLink"/>
                  <w:rFonts w:ascii="Times New Roman;serif" w:hAnsi="Times New Roman;serif"/>
                  <w:b w:val="false"/>
                  <w:color w:val="000080"/>
                  <w:sz w:val="20"/>
                  <w:u w:val="single"/>
                </w:rPr>
                <w:t xml:space="preserve"> 3</w:t>
              </w:r>
            </w:hyperlink>
            <w:hyperlink w:anchor="i80a1060adddc4a789c76c4f42dd8d902_13">
              <w:r>
                <w:rPr>
                  <w:rStyle w:val="InternetLink"/>
                  <w:rFonts w:ascii="Times New Roman;serif" w:hAnsi="Times New Roman;serif"/>
                  <w:b w:val="false"/>
                  <w:color w:val="000080"/>
                  <w:sz w:val="20"/>
                  <w:u w:val="single"/>
                </w:rPr>
                <w:t>0</w:t>
              </w:r>
            </w:hyperlink>
            <w:hyperlink w:anchor="i80a1060adddc4a789c76c4f42dd8d902_13">
              <w:r>
                <w:rPr>
                  <w:rStyle w:val="InternetLink"/>
                  <w:rFonts w:ascii="Times New Roman;serif" w:hAnsi="Times New Roman;serif"/>
                  <w:b w:val="false"/>
                  <w:color w:val="000080"/>
                  <w:sz w:val="20"/>
                  <w:u w:val="single"/>
                </w:rPr>
                <w:t>, 2025 (Unaudited) and December 31, 20</w:t>
              </w:r>
            </w:hyperlink>
            <w:hyperlink w:anchor="i80a1060adddc4a789c76c4f42dd8d902_13">
              <w:r>
                <w:rPr>
                  <w:rStyle w:val="InternetLink"/>
                  <w:rFonts w:ascii="Times New Roman;serif" w:hAnsi="Times New Roman;serif"/>
                  <w:b w:val="false"/>
                  <w:color w:val="000080"/>
                  <w:sz w:val="20"/>
                  <w:u w:val="single"/>
                </w:rPr>
                <w:t>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3">
              <w:r>
                <w:rPr>
                  <w:rStyle w:val="InternetLink"/>
                  <w:rFonts w:ascii="Times New Roman;serif" w:hAnsi="Times New Roman;serif"/>
                  <w:b w:val="false"/>
                  <w:strike w:val="false"/>
                  <w:dstrike w:val="false"/>
                  <w:color w:val="000000"/>
                  <w:sz w:val="20"/>
                  <w:u w:val="none"/>
                  <w:effect w:val="none"/>
                </w:rPr>
                <w:t>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0a1060adddc4a789c76c4f42dd8d902_16">
              <w:r>
                <w:rPr>
                  <w:rStyle w:val="InternetLink"/>
                  <w:rFonts w:ascii="Times New Roman;serif" w:hAnsi="Times New Roman;serif"/>
                  <w:b w:val="false"/>
                  <w:color w:val="000080"/>
                  <w:sz w:val="20"/>
                  <w:u w:val="single"/>
                </w:rPr>
                <w:t>Unaudited Condensed Consolidated Statements of Operations for the three</w:t>
              </w:r>
            </w:hyperlink>
            <w:hyperlink w:anchor="i80a1060adddc4a789c76c4f42dd8d902_16">
              <w:r>
                <w:rPr>
                  <w:rStyle w:val="InternetLink"/>
                  <w:rFonts w:ascii="Times New Roman;serif" w:hAnsi="Times New Roman;serif"/>
                  <w:b w:val="false"/>
                  <w:color w:val="000080"/>
                  <w:sz w:val="20"/>
                  <w:u w:val="single"/>
                </w:rPr>
                <w:t xml:space="preserve"> and six</w:t>
              </w:r>
            </w:hyperlink>
            <w:hyperlink w:anchor="i80a1060adddc4a789c76c4f42dd8d902_16">
              <w:r>
                <w:rPr>
                  <w:rStyle w:val="InternetLink"/>
                  <w:rFonts w:ascii="Times New Roman;serif" w:hAnsi="Times New Roman;serif"/>
                  <w:b w:val="false"/>
                  <w:color w:val="000080"/>
                  <w:sz w:val="20"/>
                  <w:u w:val="single"/>
                </w:rPr>
                <w:t xml:space="preserve"> months ended </w:t>
              </w:r>
            </w:hyperlink>
            <w:hyperlink w:anchor="i80a1060adddc4a789c76c4f42dd8d902_16">
              <w:r>
                <w:rPr>
                  <w:rStyle w:val="InternetLink"/>
                  <w:rFonts w:ascii="Times New Roman;serif" w:hAnsi="Times New Roman;serif"/>
                  <w:b w:val="false"/>
                  <w:color w:val="000080"/>
                  <w:sz w:val="20"/>
                  <w:u w:val="single"/>
                </w:rPr>
                <w:t>June</w:t>
              </w:r>
            </w:hyperlink>
            <w:hyperlink w:anchor="i80a1060adddc4a789c76c4f42dd8d902_16">
              <w:r>
                <w:rPr>
                  <w:rStyle w:val="InternetLink"/>
                  <w:rFonts w:ascii="Times New Roman;serif" w:hAnsi="Times New Roman;serif"/>
                  <w:b w:val="false"/>
                  <w:color w:val="000080"/>
                  <w:sz w:val="20"/>
                  <w:u w:val="single"/>
                </w:rPr>
                <w:t xml:space="preserve"> 3</w:t>
              </w:r>
            </w:hyperlink>
            <w:hyperlink w:anchor="i80a1060adddc4a789c76c4f42dd8d902_16">
              <w:r>
                <w:rPr>
                  <w:rStyle w:val="InternetLink"/>
                  <w:rFonts w:ascii="Times New Roman;serif" w:hAnsi="Times New Roman;serif"/>
                  <w:b w:val="false"/>
                  <w:color w:val="000080"/>
                  <w:sz w:val="20"/>
                  <w:u w:val="single"/>
                </w:rPr>
                <w:t>0</w:t>
              </w:r>
            </w:hyperlink>
            <w:hyperlink w:anchor="i80a1060adddc4a789c76c4f42dd8d902_16">
              <w:r>
                <w:rPr>
                  <w:rStyle w:val="InternetLink"/>
                  <w:rFonts w:ascii="Times New Roman;serif" w:hAnsi="Times New Roman;serif"/>
                  <w:b w:val="false"/>
                  <w:color w:val="000080"/>
                  <w:sz w:val="20"/>
                  <w:u w:val="single"/>
                </w:rPr>
                <w:t>, 2025 and 20</w:t>
              </w:r>
            </w:hyperlink>
            <w:hyperlink w:anchor="i80a1060adddc4a789c76c4f42dd8d902_16">
              <w:r>
                <w:rPr>
                  <w:rStyle w:val="InternetLink"/>
                  <w:rFonts w:ascii="Times New Roman;serif" w:hAnsi="Times New Roman;serif"/>
                  <w:b w:val="false"/>
                  <w:color w:val="000080"/>
                  <w:sz w:val="20"/>
                  <w:u w:val="single"/>
                </w:rPr>
                <w:t>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6">
              <w:r>
                <w:rPr>
                  <w:rStyle w:val="InternetLink"/>
                  <w:rFonts w:ascii="Times New Roman;serif" w:hAnsi="Times New Roman;serif"/>
                  <w:b w:val="false"/>
                  <w:strike w:val="false"/>
                  <w:dstrike w:val="false"/>
                  <w:color w:val="000000"/>
                  <w:sz w:val="20"/>
                  <w:u w:val="none"/>
                  <w:effect w:val="none"/>
                </w:rPr>
                <w:t>5</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0a1060adddc4a789c76c4f42dd8d902_22">
              <w:r>
                <w:rPr>
                  <w:rStyle w:val="InternetLink"/>
                  <w:rFonts w:ascii="Times New Roman;serif" w:hAnsi="Times New Roman;serif"/>
                  <w:b w:val="false"/>
                  <w:color w:val="000080"/>
                  <w:sz w:val="20"/>
                  <w:u w:val="single"/>
                </w:rPr>
                <w:t xml:space="preserve">Unaudited Condensed Consolidated Statement of Changes in Redeemable Noncontrolling Interest and Stockholders’ Equity (Deficit) for the three </w:t>
              </w:r>
            </w:hyperlink>
            <w:hyperlink w:anchor="i80a1060adddc4a789c76c4f42dd8d902_22">
              <w:r>
                <w:rPr>
                  <w:rStyle w:val="InternetLink"/>
                  <w:rFonts w:ascii="Times New Roman;serif" w:hAnsi="Times New Roman;serif"/>
                  <w:b w:val="false"/>
                  <w:color w:val="000080"/>
                  <w:sz w:val="20"/>
                  <w:u w:val="single"/>
                </w:rPr>
                <w:t xml:space="preserve">and six </w:t>
              </w:r>
            </w:hyperlink>
            <w:hyperlink w:anchor="i80a1060adddc4a789c76c4f42dd8d902_22">
              <w:r>
                <w:rPr>
                  <w:rStyle w:val="InternetLink"/>
                  <w:rFonts w:ascii="Times New Roman;serif" w:hAnsi="Times New Roman;serif"/>
                  <w:b w:val="false"/>
                  <w:color w:val="000080"/>
                  <w:sz w:val="20"/>
                  <w:u w:val="single"/>
                </w:rPr>
                <w:t xml:space="preserve">months ended </w:t>
              </w:r>
            </w:hyperlink>
            <w:hyperlink w:anchor="i80a1060adddc4a789c76c4f42dd8d902_22">
              <w:r>
                <w:rPr>
                  <w:rStyle w:val="InternetLink"/>
                  <w:rFonts w:ascii="Times New Roman;serif" w:hAnsi="Times New Roman;serif"/>
                  <w:b w:val="false"/>
                  <w:color w:val="000080"/>
                  <w:sz w:val="20"/>
                  <w:u w:val="single"/>
                </w:rPr>
                <w:t>Ju</w:t>
              </w:r>
            </w:hyperlink>
            <w:hyperlink w:anchor="i80a1060adddc4a789c76c4f42dd8d902_22">
              <w:r>
                <w:rPr>
                  <w:rStyle w:val="InternetLink"/>
                  <w:rFonts w:ascii="Times New Roman;serif" w:hAnsi="Times New Roman;serif"/>
                  <w:b w:val="false"/>
                  <w:color w:val="000080"/>
                  <w:sz w:val="20"/>
                  <w:u w:val="single"/>
                </w:rPr>
                <w:t>ne</w:t>
              </w:r>
            </w:hyperlink>
            <w:hyperlink w:anchor="i80a1060adddc4a789c76c4f42dd8d902_22">
              <w:r>
                <w:rPr>
                  <w:rStyle w:val="InternetLink"/>
                  <w:rFonts w:ascii="Times New Roman;serif" w:hAnsi="Times New Roman;serif"/>
                  <w:b w:val="false"/>
                  <w:color w:val="000080"/>
                  <w:sz w:val="20"/>
                  <w:u w:val="single"/>
                </w:rPr>
                <w:t xml:space="preserve"> 3</w:t>
              </w:r>
            </w:hyperlink>
            <w:hyperlink w:anchor="i80a1060adddc4a789c76c4f42dd8d902_22">
              <w:r>
                <w:rPr>
                  <w:rStyle w:val="InternetLink"/>
                  <w:rFonts w:ascii="Times New Roman;serif" w:hAnsi="Times New Roman;serif"/>
                  <w:b w:val="false"/>
                  <w:color w:val="000080"/>
                  <w:sz w:val="20"/>
                  <w:u w:val="single"/>
                </w:rPr>
                <w:t>0</w:t>
              </w:r>
            </w:hyperlink>
            <w:hyperlink w:anchor="i80a1060adddc4a789c76c4f42dd8d902_22">
              <w:r>
                <w:rPr>
                  <w:rStyle w:val="InternetLink"/>
                  <w:rFonts w:ascii="Times New Roman;serif" w:hAnsi="Times New Roman;serif"/>
                  <w:b w:val="false"/>
                  <w:color w:val="000080"/>
                  <w:sz w:val="20"/>
                  <w:u w:val="single"/>
                </w:rPr>
                <w:t>, 2025 and 20</w:t>
              </w:r>
            </w:hyperlink>
            <w:hyperlink w:anchor="i80a1060adddc4a789c76c4f42dd8d902_22">
              <w:r>
                <w:rPr>
                  <w:rStyle w:val="InternetLink"/>
                  <w:rFonts w:ascii="Times New Roman;serif" w:hAnsi="Times New Roman;serif"/>
                  <w:b w:val="false"/>
                  <w:color w:val="000080"/>
                  <w:sz w:val="20"/>
                  <w:u w:val="single"/>
                </w:rPr>
                <w:t>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22">
              <w:r>
                <w:rPr>
                  <w:rStyle w:val="InternetLink"/>
                  <w:rFonts w:ascii="Times New Roman;serif" w:hAnsi="Times New Roman;serif"/>
                  <w:b w:val="false"/>
                  <w:strike w:val="false"/>
                  <w:dstrike w:val="false"/>
                  <w:color w:val="000000"/>
                  <w:sz w:val="20"/>
                  <w:u w:val="none"/>
                  <w:effect w:val="none"/>
                </w:rPr>
                <w:t>6</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0a1060adddc4a789c76c4f42dd8d902_31">
              <w:r>
                <w:rPr>
                  <w:rStyle w:val="InternetLink"/>
                  <w:rFonts w:ascii="Times New Roman;serif" w:hAnsi="Times New Roman;serif"/>
                  <w:b w:val="false"/>
                  <w:color w:val="000080"/>
                  <w:sz w:val="20"/>
                  <w:u w:val="single"/>
                </w:rPr>
                <w:t xml:space="preserve">Unaudited Condensed Consolidated Statements of Cash Flows for the </w:t>
              </w:r>
            </w:hyperlink>
            <w:hyperlink w:anchor="i80a1060adddc4a789c76c4f42dd8d902_31">
              <w:r>
                <w:rPr>
                  <w:rStyle w:val="InternetLink"/>
                  <w:rFonts w:ascii="Times New Roman;serif" w:hAnsi="Times New Roman;serif"/>
                  <w:b w:val="false"/>
                  <w:color w:val="000080"/>
                  <w:sz w:val="20"/>
                  <w:u w:val="single"/>
                </w:rPr>
                <w:t>six</w:t>
              </w:r>
            </w:hyperlink>
            <w:hyperlink w:anchor="i80a1060adddc4a789c76c4f42dd8d902_31">
              <w:r>
                <w:rPr>
                  <w:rStyle w:val="InternetLink"/>
                  <w:rFonts w:ascii="Times New Roman;serif" w:hAnsi="Times New Roman;serif"/>
                  <w:b w:val="false"/>
                  <w:color w:val="000080"/>
                  <w:sz w:val="20"/>
                  <w:u w:val="single"/>
                </w:rPr>
                <w:t xml:space="preserve"> months ended </w:t>
              </w:r>
            </w:hyperlink>
            <w:hyperlink w:anchor="i80a1060adddc4a789c76c4f42dd8d902_31">
              <w:r>
                <w:rPr>
                  <w:rStyle w:val="InternetLink"/>
                  <w:rFonts w:ascii="Times New Roman;serif" w:hAnsi="Times New Roman;serif"/>
                  <w:b w:val="false"/>
                  <w:color w:val="000080"/>
                  <w:sz w:val="20"/>
                  <w:u w:val="single"/>
                </w:rPr>
                <w:t>Ju</w:t>
              </w:r>
            </w:hyperlink>
            <w:hyperlink w:anchor="i80a1060adddc4a789c76c4f42dd8d902_31">
              <w:r>
                <w:rPr>
                  <w:rStyle w:val="InternetLink"/>
                  <w:rFonts w:ascii="Times New Roman;serif" w:hAnsi="Times New Roman;serif"/>
                  <w:b w:val="false"/>
                  <w:color w:val="000080"/>
                  <w:sz w:val="20"/>
                  <w:u w:val="single"/>
                </w:rPr>
                <w:t>ne</w:t>
              </w:r>
            </w:hyperlink>
            <w:hyperlink w:anchor="i80a1060adddc4a789c76c4f42dd8d902_31">
              <w:r>
                <w:rPr>
                  <w:rStyle w:val="InternetLink"/>
                  <w:rFonts w:ascii="Times New Roman;serif" w:hAnsi="Times New Roman;serif"/>
                  <w:b w:val="false"/>
                  <w:color w:val="000080"/>
                  <w:sz w:val="20"/>
                  <w:u w:val="single"/>
                </w:rPr>
                <w:t xml:space="preserve"> 3</w:t>
              </w:r>
            </w:hyperlink>
            <w:hyperlink w:anchor="i80a1060adddc4a789c76c4f42dd8d902_31">
              <w:r>
                <w:rPr>
                  <w:rStyle w:val="InternetLink"/>
                  <w:rFonts w:ascii="Times New Roman;serif" w:hAnsi="Times New Roman;serif"/>
                  <w:b w:val="false"/>
                  <w:color w:val="000080"/>
                  <w:sz w:val="20"/>
                  <w:u w:val="single"/>
                </w:rPr>
                <w:t>0</w:t>
              </w:r>
            </w:hyperlink>
            <w:hyperlink w:anchor="i80a1060adddc4a789c76c4f42dd8d902_31">
              <w:r>
                <w:rPr>
                  <w:rStyle w:val="InternetLink"/>
                  <w:rFonts w:ascii="Times New Roman;serif" w:hAnsi="Times New Roman;serif"/>
                  <w:b w:val="false"/>
                  <w:color w:val="000080"/>
                  <w:sz w:val="20"/>
                  <w:u w:val="single"/>
                </w:rPr>
                <w:t>, 2025 and 20</w:t>
              </w:r>
            </w:hyperlink>
            <w:hyperlink w:anchor="i80a1060adddc4a789c76c4f42dd8d902_31">
              <w:r>
                <w:rPr>
                  <w:rStyle w:val="InternetLink"/>
                  <w:rFonts w:ascii="Times New Roman;serif" w:hAnsi="Times New Roman;serif"/>
                  <w:b w:val="false"/>
                  <w:color w:val="000080"/>
                  <w:sz w:val="20"/>
                  <w:u w:val="single"/>
                </w:rPr>
                <w:t>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31">
              <w:r>
                <w:rPr>
                  <w:rStyle w:val="InternetLink"/>
                  <w:rFonts w:ascii="Times New Roman;serif" w:hAnsi="Times New Roman;serif"/>
                  <w:b w:val="false"/>
                  <w:strike w:val="false"/>
                  <w:dstrike w:val="false"/>
                  <w:color w:val="000000"/>
                  <w:sz w:val="20"/>
                  <w:u w:val="none"/>
                  <w:effect w:val="none"/>
                </w:rPr>
                <w:t>8</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34">
              <w:r>
                <w:rPr>
                  <w:rStyle w:val="InternetLink"/>
                  <w:rFonts w:ascii="Times New Roman;serif" w:hAnsi="Times New Roman;serif"/>
                  <w:b w:val="false"/>
                  <w:color w:val="0000FF"/>
                  <w:sz w:val="20"/>
                  <w:u w:val="single"/>
                </w:rPr>
                <w:t>Notes to Unaudited Consolidated Financial Statements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34">
              <w:r>
                <w:rPr>
                  <w:rStyle w:val="InternetLink"/>
                  <w:rFonts w:ascii="Times New Roman;serif" w:hAnsi="Times New Roman;serif"/>
                  <w:b w:val="false"/>
                  <w:strike w:val="false"/>
                  <w:dstrike w:val="false"/>
                  <w:color w:val="000000"/>
                  <w:sz w:val="20"/>
                  <w:u w:val="none"/>
                  <w:effect w:val="none"/>
                </w:rPr>
                <w:t>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88">
              <w:r>
                <w:rPr>
                  <w:rStyle w:val="InternetLink"/>
                  <w:rFonts w:ascii="Times New Roman;serif" w:hAnsi="Times New Roman;serif"/>
                  <w:b w:val="false"/>
                  <w:strike w:val="false"/>
                  <w:dstrike w:val="false"/>
                  <w:color w:val="000000"/>
                  <w:sz w:val="20"/>
                  <w:u w:val="none"/>
                  <w:effect w:val="none"/>
                </w:rPr>
                <w:t>Item 2.</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88">
              <w:r>
                <w:rPr>
                  <w:rStyle w:val="InternetLink"/>
                  <w:rFonts w:ascii="Times New Roman;serif" w:hAnsi="Times New Roman;serif"/>
                  <w:b w:val="false"/>
                  <w:strike w:val="false"/>
                  <w:dstrike w:val="false"/>
                  <w:color w:val="000000"/>
                  <w:sz w:val="20"/>
                  <w:u w:val="none"/>
                  <w:effect w:val="none"/>
                </w:rPr>
                <w:t>20</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27">
              <w:r>
                <w:rPr>
                  <w:rStyle w:val="InternetLink"/>
                  <w:rFonts w:ascii="Times New Roman;serif" w:hAnsi="Times New Roman;serif"/>
                  <w:b w:val="false"/>
                  <w:strike w:val="false"/>
                  <w:dstrike w:val="false"/>
                  <w:color w:val="000000"/>
                  <w:sz w:val="20"/>
                  <w:u w:val="none"/>
                  <w:effect w:val="none"/>
                </w:rPr>
                <w:t>Item 3.</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27">
              <w:r>
                <w:rPr>
                  <w:rStyle w:val="InternetLink"/>
                  <w:rFonts w:ascii="Times New Roman;serif" w:hAnsi="Times New Roman;serif"/>
                  <w:b w:val="false"/>
                  <w:color w:val="0000FF"/>
                  <w:sz w:val="20"/>
                  <w:u w:val="single"/>
                </w:rPr>
                <w:t>Quantitative and Qualitative Disclosures About Market Risk</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27">
              <w:r>
                <w:rPr>
                  <w:rStyle w:val="InternetLink"/>
                  <w:rFonts w:ascii="Times New Roman;serif" w:hAnsi="Times New Roman;serif"/>
                  <w:b w:val="false"/>
                  <w:strike w:val="false"/>
                  <w:dstrike w:val="false"/>
                  <w:color w:val="000000"/>
                  <w:sz w:val="20"/>
                  <w:u w:val="none"/>
                  <w:effect w:val="none"/>
                </w:rPr>
                <w:t>28</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30">
              <w:r>
                <w:rPr>
                  <w:rStyle w:val="InternetLink"/>
                  <w:rFonts w:ascii="Times New Roman;serif" w:hAnsi="Times New Roman;serif"/>
                  <w:b w:val="false"/>
                  <w:strike w:val="false"/>
                  <w:dstrike w:val="false"/>
                  <w:color w:val="000000"/>
                  <w:sz w:val="20"/>
                  <w:u w:val="none"/>
                  <w:effect w:val="none"/>
                </w:rPr>
                <w:t>Item 4.</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30">
              <w:r>
                <w:rPr>
                  <w:rStyle w:val="InternetLink"/>
                  <w:rFonts w:ascii="Times New Roman;serif" w:hAnsi="Times New Roman;serif"/>
                  <w:b w:val="false"/>
                  <w:color w:val="0000FF"/>
                  <w:sz w:val="20"/>
                  <w:u w:val="single"/>
                </w:rPr>
                <w:t>Controls and Procedures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30">
              <w:r>
                <w:rPr>
                  <w:rStyle w:val="InternetLink"/>
                  <w:rFonts w:ascii="Times New Roman;serif" w:hAnsi="Times New Roman;serif"/>
                  <w:b w:val="false"/>
                  <w:strike w:val="false"/>
                  <w:dstrike w:val="false"/>
                  <w:color w:val="000000"/>
                  <w:sz w:val="20"/>
                  <w:u w:val="none"/>
                  <w:effect w:val="none"/>
                </w:rPr>
                <w:t>29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0a1060adddc4a789c76c4f42dd8d902_133">
              <w:r>
                <w:rPr>
                  <w:rStyle w:val="InternetLink"/>
                  <w:rFonts w:ascii="Times New Roman;serif" w:hAnsi="Times New Roman;serif"/>
                  <w:b w:val="false"/>
                  <w:color w:val="0000FF"/>
                  <w:sz w:val="20"/>
                  <w:u w:val="single"/>
                </w:rPr>
                <w:t xml:space="preserve">PART II – OTHER INFORMATION </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36">
              <w:r>
                <w:rPr>
                  <w:rStyle w:val="InternetLink"/>
                  <w:rFonts w:ascii="Times New Roman;serif" w:hAnsi="Times New Roman;serif"/>
                  <w:b w:val="false"/>
                  <w:strike w:val="false"/>
                  <w:dstrike w:val="false"/>
                  <w:color w:val="000000"/>
                  <w:sz w:val="20"/>
                  <w:u w:val="none"/>
                  <w:effect w:val="none"/>
                </w:rPr>
                <w:t>Item 1.</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36">
              <w:r>
                <w:rPr>
                  <w:rStyle w:val="InternetLink"/>
                  <w:rFonts w:ascii="Times New Roman;serif" w:hAnsi="Times New Roman;serif"/>
                  <w:b w:val="false"/>
                  <w:color w:val="0000FF"/>
                  <w:sz w:val="20"/>
                  <w:u w:val="single"/>
                </w:rPr>
                <w:t>Legal Proceedings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36">
              <w:r>
                <w:rPr>
                  <w:rStyle w:val="InternetLink"/>
                  <w:rFonts w:ascii="Times New Roman;serif" w:hAnsi="Times New Roman;serif"/>
                  <w:b w:val="false"/>
                  <w:strike w:val="false"/>
                  <w:dstrike w:val="false"/>
                  <w:color w:val="000000"/>
                  <w:sz w:val="20"/>
                  <w:u w:val="none"/>
                  <w:effect w:val="none"/>
                </w:rPr>
                <w:t>29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39">
              <w:r>
                <w:rPr>
                  <w:rStyle w:val="InternetLink"/>
                  <w:rFonts w:ascii="Times New Roman;serif" w:hAnsi="Times New Roman;serif"/>
                  <w:b w:val="false"/>
                  <w:strike w:val="false"/>
                  <w:dstrike w:val="false"/>
                  <w:color w:val="000000"/>
                  <w:sz w:val="20"/>
                  <w:u w:val="none"/>
                  <w:effect w:val="none"/>
                </w:rPr>
                <w:t>Item 1A.</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39">
              <w:r>
                <w:rPr>
                  <w:rStyle w:val="InternetLink"/>
                  <w:rFonts w:ascii="Times New Roman;serif" w:hAnsi="Times New Roman;serif"/>
                  <w:b w:val="false"/>
                  <w:color w:val="0000FF"/>
                  <w:sz w:val="20"/>
                  <w:u w:val="single"/>
                </w:rPr>
                <w:t>Risk Factors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39">
              <w:r>
                <w:rPr>
                  <w:rStyle w:val="InternetLink"/>
                  <w:rFonts w:ascii="Times New Roman;serif" w:hAnsi="Times New Roman;serif"/>
                  <w:b w:val="false"/>
                  <w:strike w:val="false"/>
                  <w:dstrike w:val="false"/>
                  <w:color w:val="000000"/>
                  <w:sz w:val="20"/>
                  <w:u w:val="none"/>
                  <w:effect w:val="none"/>
                </w:rPr>
                <w:t>29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42">
              <w:r>
                <w:rPr>
                  <w:rStyle w:val="InternetLink"/>
                  <w:rFonts w:ascii="Times New Roman;serif" w:hAnsi="Times New Roman;serif"/>
                  <w:b w:val="false"/>
                  <w:strike w:val="false"/>
                  <w:dstrike w:val="false"/>
                  <w:color w:val="000000"/>
                  <w:sz w:val="20"/>
                  <w:u w:val="none"/>
                  <w:effect w:val="none"/>
                </w:rPr>
                <w:t>Item 2.</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42">
              <w:r>
                <w:rPr>
                  <w:rStyle w:val="InternetLink"/>
                  <w:rFonts w:ascii="Times New Roman;serif" w:hAnsi="Times New Roman;serif"/>
                  <w:b w:val="false"/>
                  <w:color w:val="0000FF"/>
                  <w:sz w:val="20"/>
                  <w:u w:val="single"/>
                </w:rPr>
                <w:t>Unregistered Sales of Equity Securities and Use of Proceeds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42">
              <w:r>
                <w:rPr>
                  <w:rStyle w:val="InternetLink"/>
                  <w:rFonts w:ascii="Times New Roman;serif" w:hAnsi="Times New Roman;serif"/>
                  <w:b w:val="false"/>
                  <w:strike w:val="false"/>
                  <w:dstrike w:val="false"/>
                  <w:color w:val="000000"/>
                  <w:sz w:val="20"/>
                  <w:u w:val="none"/>
                  <w:effect w:val="none"/>
                </w:rPr>
                <w:t>29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45">
              <w:r>
                <w:rPr>
                  <w:rStyle w:val="InternetLink"/>
                  <w:rFonts w:ascii="Times New Roman;serif" w:hAnsi="Times New Roman;serif"/>
                  <w:b w:val="false"/>
                  <w:strike w:val="false"/>
                  <w:dstrike w:val="false"/>
                  <w:color w:val="000000"/>
                  <w:sz w:val="20"/>
                  <w:u w:val="none"/>
                  <w:effect w:val="none"/>
                </w:rPr>
                <w:t>Item 3.</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45">
              <w:r>
                <w:rPr>
                  <w:rStyle w:val="InternetLink"/>
                  <w:rFonts w:ascii="Times New Roman;serif" w:hAnsi="Times New Roman;serif"/>
                  <w:b w:val="false"/>
                  <w:color w:val="0000FF"/>
                  <w:sz w:val="20"/>
                  <w:u w:val="single"/>
                </w:rPr>
                <w:t>Defaults Upon Senior Securities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45">
              <w:r>
                <w:rPr>
                  <w:rStyle w:val="InternetLink"/>
                  <w:rFonts w:ascii="Times New Roman;serif" w:hAnsi="Times New Roman;serif"/>
                  <w:b w:val="false"/>
                  <w:strike w:val="false"/>
                  <w:dstrike w:val="false"/>
                  <w:color w:val="000000"/>
                  <w:sz w:val="20"/>
                  <w:u w:val="none"/>
                  <w:effect w:val="none"/>
                </w:rPr>
                <w:t>30</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48">
              <w:r>
                <w:rPr>
                  <w:rStyle w:val="InternetLink"/>
                  <w:rFonts w:ascii="Times New Roman;serif" w:hAnsi="Times New Roman;serif"/>
                  <w:b w:val="false"/>
                  <w:strike w:val="false"/>
                  <w:dstrike w:val="false"/>
                  <w:color w:val="000000"/>
                  <w:sz w:val="20"/>
                  <w:u w:val="none"/>
                  <w:effect w:val="none"/>
                </w:rPr>
                <w:t>Item 4.</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48">
              <w:r>
                <w:rPr>
                  <w:rStyle w:val="InternetLink"/>
                  <w:rFonts w:ascii="Times New Roman;serif" w:hAnsi="Times New Roman;serif"/>
                  <w:b w:val="false"/>
                  <w:color w:val="0000FF"/>
                  <w:sz w:val="20"/>
                  <w:u w:val="single"/>
                </w:rPr>
                <w:t>Mine Safety Disclosures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48">
              <w:r>
                <w:rPr>
                  <w:rStyle w:val="InternetLink"/>
                  <w:rFonts w:ascii="Times New Roman;serif" w:hAnsi="Times New Roman;serif"/>
                  <w:b w:val="false"/>
                  <w:strike w:val="false"/>
                  <w:dstrike w:val="false"/>
                  <w:color w:val="000000"/>
                  <w:sz w:val="20"/>
                  <w:u w:val="none"/>
                  <w:effect w:val="none"/>
                </w:rPr>
                <w:t>30</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51">
              <w:r>
                <w:rPr>
                  <w:rStyle w:val="InternetLink"/>
                  <w:rFonts w:ascii="Times New Roman;serif" w:hAnsi="Times New Roman;serif"/>
                  <w:b w:val="false"/>
                  <w:strike w:val="false"/>
                  <w:dstrike w:val="false"/>
                  <w:color w:val="000000"/>
                  <w:sz w:val="20"/>
                  <w:u w:val="none"/>
                  <w:effect w:val="none"/>
                </w:rPr>
                <w:t>Item 5.</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51">
              <w:r>
                <w:rPr>
                  <w:rStyle w:val="InternetLink"/>
                  <w:rFonts w:ascii="Times New Roman;serif" w:hAnsi="Times New Roman;serif"/>
                  <w:b w:val="false"/>
                  <w:color w:val="0000FF"/>
                  <w:sz w:val="20"/>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51">
              <w:r>
                <w:rPr>
                  <w:rStyle w:val="InternetLink"/>
                  <w:rFonts w:ascii="Times New Roman;serif" w:hAnsi="Times New Roman;serif"/>
                  <w:b w:val="false"/>
                  <w:strike w:val="false"/>
                  <w:dstrike w:val="false"/>
                  <w:color w:val="000000"/>
                  <w:sz w:val="20"/>
                  <w:u w:val="none"/>
                  <w:effect w:val="none"/>
                </w:rPr>
                <w:t>30</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0a1060adddc4a789c76c4f42dd8d902_154">
              <w:r>
                <w:rPr>
                  <w:rStyle w:val="InternetLink"/>
                  <w:rFonts w:ascii="Times New Roman;serif" w:hAnsi="Times New Roman;serif"/>
                  <w:b w:val="false"/>
                  <w:strike w:val="false"/>
                  <w:dstrike w:val="false"/>
                  <w:color w:val="000000"/>
                  <w:sz w:val="20"/>
                  <w:u w:val="none"/>
                  <w:effect w:val="none"/>
                </w:rPr>
                <w:t>Item 6.</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54">
              <w:r>
                <w:rPr>
                  <w:rStyle w:val="InternetLink"/>
                  <w:rFonts w:ascii="Times New Roman;serif" w:hAnsi="Times New Roman;serif"/>
                  <w:b w:val="false"/>
                  <w:color w:val="0000FF"/>
                  <w:sz w:val="20"/>
                  <w:u w:val="single"/>
                </w:rPr>
                <w:t>Exhibits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54">
              <w:r>
                <w:rPr>
                  <w:rStyle w:val="InternetLink"/>
                  <w:rFonts w:ascii="Times New Roman;serif" w:hAnsi="Times New Roman;serif"/>
                  <w:b w:val="false"/>
                  <w:strike w:val="false"/>
                  <w:dstrike w:val="false"/>
                  <w:color w:val="000000"/>
                  <w:sz w:val="20"/>
                  <w:u w:val="none"/>
                  <w:effect w:val="none"/>
                </w:rPr>
                <w:t>30</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0a1060adddc4a789c76c4f42dd8d902_157">
              <w:r>
                <w:rPr>
                  <w:rStyle w:val="InternetLink"/>
                  <w:rFonts w:ascii="Times New Roman;serif" w:hAnsi="Times New Roman;serif"/>
                  <w:b w:val="false"/>
                  <w:color w:val="0000FF"/>
                  <w:sz w:val="20"/>
                  <w:u w:val="single"/>
                </w:rPr>
                <w:t>Signatures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0a1060adddc4a789c76c4f42dd8d902_157">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922"/>
        <w:gridCol w:w="2418"/>
        <w:gridCol w:w="2382"/>
        <w:gridCol w:w="211"/>
        <w:gridCol w:w="721"/>
        <w:gridCol w:w="109"/>
        <w:gridCol w:w="109"/>
        <w:gridCol w:w="109"/>
        <w:gridCol w:w="109"/>
        <w:gridCol w:w="216"/>
        <w:gridCol w:w="739"/>
        <w:gridCol w:w="160"/>
      </w:tblGrid>
      <w:tr>
        <w:trPr/>
        <w:tc>
          <w:tcPr>
            <w:tcW w:w="2922"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38,266 </w:t>
            </w:r>
          </w:p>
        </w:tc>
        <w:tc>
          <w:tcPr>
            <w:tcW w:w="1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of current portion</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200,000,000 shares authorized, 2,617,215 and 2,612,257 outstanding as of June 30, 2025 and December 31, 2024, respectively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100,000,000 shares authorized, and 577,349 outstanding as of June 30,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313,586 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311,885 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vTv Therapeutics Inc.</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14,301 </w:t>
            </w:r>
          </w:p>
        </w:tc>
        <w:tc>
          <w:tcPr>
            <w:tcW w:w="1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1855"/>
        <w:gridCol w:w="1468"/>
        <w:gridCol w:w="1480"/>
        <w:gridCol w:w="244"/>
        <w:gridCol w:w="732"/>
        <w:gridCol w:w="109"/>
        <w:gridCol w:w="109"/>
        <w:gridCol w:w="109"/>
        <w:gridCol w:w="109"/>
        <w:gridCol w:w="244"/>
        <w:gridCol w:w="732"/>
        <w:gridCol w:w="109"/>
        <w:gridCol w:w="109"/>
        <w:gridCol w:w="109"/>
        <w:gridCol w:w="109"/>
        <w:gridCol w:w="211"/>
        <w:gridCol w:w="781"/>
        <w:gridCol w:w="109"/>
        <w:gridCol w:w="109"/>
        <w:gridCol w:w="109"/>
        <w:gridCol w:w="109"/>
        <w:gridCol w:w="211"/>
        <w:gridCol w:w="781"/>
        <w:gridCol w:w="158"/>
      </w:tblGrid>
      <w:tr>
        <w:trPr/>
        <w:tc>
          <w:tcPr>
            <w:tcW w:w="185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related party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 common shareholders</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w:t>
            </w:r>
          </w:p>
        </w:tc>
        <w:tc>
          <w:tcPr>
            <w:tcW w:w="158"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vTv Therapeutics Inc. Class A common stock,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vTv Therapeutics Inc. Class A common stock, basic and diluted</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6,403,444 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5,098,877 </w:t>
            </w:r>
          </w:p>
        </w:tc>
        <w:tc>
          <w:tcPr>
            <w:tcW w:w="158"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Redeemable Noncontrolling Interest and Stockholders’ Equity (Deficit)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3045" w:type="dxa"/>
        <w:jc w:val="center"/>
        <w:tblInd w:w="0" w:type="dxa"/>
        <w:tblLayout w:type="fixed"/>
        <w:tblCellMar>
          <w:top w:w="28" w:type="dxa"/>
          <w:left w:w="28" w:type="dxa"/>
          <w:bottom w:w="28" w:type="dxa"/>
          <w:right w:w="28" w:type="dxa"/>
        </w:tblCellMar>
      </w:tblPr>
      <w:tblGrid>
        <w:gridCol w:w="67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45"/>
        <w:gridCol w:w="714"/>
        <w:gridCol w:w="137"/>
        <w:gridCol w:w="109"/>
        <w:gridCol w:w="109"/>
        <w:gridCol w:w="109"/>
        <w:gridCol w:w="317"/>
        <w:gridCol w:w="706"/>
        <w:gridCol w:w="178"/>
        <w:gridCol w:w="109"/>
        <w:gridCol w:w="109"/>
        <w:gridCol w:w="109"/>
        <w:gridCol w:w="239"/>
        <w:gridCol w:w="698"/>
        <w:gridCol w:w="189"/>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2654"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312,698</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(304,810)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7,920</w:t>
            </w:r>
            <w:r>
              <w:rPr>
                <w:color w:val="000000"/>
              </w:rPr>
              <w:t>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977</w:t>
            </w:r>
            <w:r>
              <w:rPr>
                <w:color w:val="000000"/>
              </w:rPr>
              <w:t> </w:t>
            </w:r>
          </w:p>
        </w:tc>
        <w:tc>
          <w:tcPr>
            <w:tcW w:w="17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8,897</w:t>
            </w:r>
            <w:r>
              <w:rPr>
                <w:color w:val="000000"/>
              </w:rPr>
              <w:t> </w:t>
            </w:r>
          </w:p>
        </w:tc>
        <w:tc>
          <w:tcPr>
            <w:tcW w:w="18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8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3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8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2,617,215</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313,586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(310,856)</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2,762</w:t>
            </w:r>
            <w:r>
              <w:rPr>
                <w:color w:val="000000"/>
              </w:rPr>
              <w:t>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w:t>
            </w:r>
          </w:p>
        </w:tc>
        <w:tc>
          <w:tcPr>
            <w:tcW w:w="17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2,405</w:t>
            </w:r>
            <w:r>
              <w:rPr>
                <w:color w:val="000000"/>
              </w:rPr>
              <w:t> </w:t>
            </w:r>
          </w:p>
        </w:tc>
        <w:tc>
          <w:tcPr>
            <w:tcW w:w="1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045" w:type="dxa"/>
        <w:jc w:val="left"/>
        <w:tblInd w:w="0" w:type="dxa"/>
        <w:tblLayout w:type="fixed"/>
        <w:tblCellMar>
          <w:top w:w="28" w:type="dxa"/>
          <w:left w:w="28" w:type="dxa"/>
          <w:bottom w:w="28" w:type="dxa"/>
          <w:right w:w="28" w:type="dxa"/>
        </w:tblCellMar>
      </w:tblPr>
      <w:tblGrid>
        <w:gridCol w:w="67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2024</w:t>
            </w:r>
          </w:p>
        </w:tc>
        <w:tc>
          <w:tcPr>
            <w:tcW w:w="2654"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2,432,857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306,887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(286,121)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20,796</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25,987</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2,432,857</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307,746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(291,301)</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16,475</w:t>
            </w:r>
            <w:r>
              <w:rPr>
                <w:color w:val="000000"/>
              </w:rPr>
              <w:t>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BF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3,962</w:t>
            </w:r>
            <w:r>
              <w:rPr>
                <w:color w:val="000000"/>
              </w:rPr>
              <w:t> </w:t>
            </w:r>
          </w:p>
        </w:tc>
        <w:tc>
          <w:tcPr>
            <w:tcW w:w="1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20,437</w:t>
            </w:r>
            <w:r>
              <w:rPr>
                <w:color w:val="000000"/>
              </w:rPr>
              <w:t> </w:t>
            </w:r>
          </w:p>
        </w:tc>
        <w:tc>
          <w:tcPr>
            <w:tcW w:w="1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Redeemable Noncontrolling Interest and Stockholders’ Equity (Deficit)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3045" w:type="dxa"/>
        <w:jc w:val="left"/>
        <w:tblInd w:w="0" w:type="dxa"/>
        <w:tblLayout w:type="fixed"/>
        <w:tblCellMar>
          <w:top w:w="28" w:type="dxa"/>
          <w:left w:w="28" w:type="dxa"/>
          <w:bottom w:w="28" w:type="dxa"/>
          <w:right w:w="28" w:type="dxa"/>
        </w:tblCellMar>
      </w:tblPr>
      <w:tblGrid>
        <w:gridCol w:w="619"/>
        <w:gridCol w:w="268"/>
        <w:gridCol w:w="26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2654"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vTv Therapeutics Inc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311,885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(299,718)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12,199</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14,301</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2,617,215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313,586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2,762</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2,405</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4603" w:type="dxa"/>
        <w:jc w:val="left"/>
        <w:tblInd w:w="0" w:type="dxa"/>
        <w:tblLayout w:type="fixed"/>
        <w:tblCellMar>
          <w:top w:w="28" w:type="dxa"/>
          <w:left w:w="28" w:type="dxa"/>
          <w:bottom w:w="28" w:type="dxa"/>
          <w:right w:w="28" w:type="dxa"/>
        </w:tblCellMar>
      </w:tblPr>
      <w:tblGrid>
        <w:gridCol w:w="649"/>
        <w:gridCol w:w="268"/>
        <w:gridCol w:w="269"/>
        <w:gridCol w:w="268"/>
        <w:gridCol w:w="782"/>
        <w:gridCol w:w="151"/>
        <w:gridCol w:w="109"/>
        <w:gridCol w:w="109"/>
        <w:gridCol w:w="10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603"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2024</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vTv Therapeutics Inc Stockholders’ (Deficit)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br/>
              <w:t xml:space="preserve">Equity </w:t>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2023</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2,084,973</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256,335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(281,042)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(24,680)</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(24,680)</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loss attributable to redeemable noncontrolling interest</w:t>
            </w:r>
            <w:r>
              <w:rPr>
                <w:rFonts w:ascii="Times New Roman;serif" w:hAnsi="Times New Roman;serif"/>
                <w:b w:val="false"/>
                <w:color w:val="000000"/>
                <w:sz w:val="10"/>
              </w:rPr>
              <w:t>(*)</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redeemable noncontrolling interest to permanent equity (See Note 7)</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72"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and pre-funded warrants, net offering costs</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347,884 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50,335 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50,335 </w:t>
            </w:r>
          </w:p>
        </w:tc>
        <w:tc>
          <w:tcPr>
            <w:tcW w:w="172"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2,432,857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307,746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(291,301)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16,475</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20,437</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Allocation of NCI net loss was a result from the reclassification to permanent equity on February 27, 2024 (See Note 6)</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91"/>
        <w:gridCol w:w="2403"/>
        <w:gridCol w:w="2420"/>
        <w:gridCol w:w="211"/>
        <w:gridCol w:w="788"/>
        <w:gridCol w:w="109"/>
        <w:gridCol w:w="109"/>
        <w:gridCol w:w="109"/>
        <w:gridCol w:w="109"/>
        <w:gridCol w:w="211"/>
        <w:gridCol w:w="788"/>
        <w:gridCol w:w="157"/>
      </w:tblGrid>
      <w:tr>
        <w:trPr/>
        <w:tc>
          <w:tcPr>
            <w:tcW w:w="2791"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14"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w:t>
            </w:r>
          </w:p>
        </w:tc>
        <w:tc>
          <w:tcPr>
            <w:tcW w:w="15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before noncontrolling interest to net cash used in operating activities: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related party</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0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9"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w:t>
            </w:r>
          </w:p>
        </w:tc>
        <w:tc>
          <w:tcPr>
            <w:tcW w:w="15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8"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Class A common stock and pre-funded warrants, net of offering costs</w:t>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payable</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36,080 </w:t>
            </w:r>
          </w:p>
        </w:tc>
        <w:tc>
          <w:tcPr>
            <w:tcW w:w="15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beginning of period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end of period</w:t>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45,526 </w:t>
            </w:r>
          </w:p>
        </w:tc>
        <w:tc>
          <w:tcPr>
            <w:tcW w:w="15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activities:</w:t>
            </w:r>
          </w:p>
        </w:tc>
        <w:tc>
          <w:tcPr>
            <w:tcW w:w="110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redemption value of noncontrolling 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noncontrolling interest to additional paid-in capital</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 Description of Business and Basis of Presentation and Going Concern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vTv Therapeutics Inc. (the “Company,” the “Registrant,” “we” or “us”) was incorporated in the state of Delaware in April 2015. The Company is a clinical 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being investigated for the treatment of type 1 diabetes. The Company and its development partners are investigating multiple molecules across different indications for chronic diseases.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Company’s principal operating subsidiary.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Unaudited Condensed Consolidated Financial Statements. The assets and liabilities of vTv LLC represent substantially all of the Company's consolidated assets and liabilities with the exception of the Warrants and $22.8 million of cash and cash equivalents.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Various holders own non-voting interests in vTv LLC, representing a 18.1% economic interest in vTv LLC, effectively restricting vTv Therapeutics Inc.’s interest to 81.9%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8). vTv Therapeutics Inc. has provided financial and other support to vTv LLC in the form of its purchase of vTv Units with the net proceeds of the Company’s various debt and equity transactions in prior years and equity purchase agreements with various parties. v</w:t>
      </w:r>
      <w:r>
        <w:rPr>
          <w:rFonts w:ascii="Times New Roman;serif" w:hAnsi="Times New Roman;serif"/>
          <w:b w:val="false"/>
          <w:color w:val="000000"/>
          <w:sz w:val="20"/>
          <w:shd w:fill="FFFFFF" w:val="clear"/>
        </w:rPr>
        <w:t xml:space="preserve">Tv Therapeutics Inc. will not be required to provide financial or other support for vTv LLC. </w:t>
      </w:r>
      <w:r>
        <w:rPr>
          <w:rFonts w:ascii="Times New Roman;serif" w:hAnsi="Times New Roman;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Going Concern and 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June 30, 2025,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2025, the Company had an accumulated deficit of $310.9 million and has generated net losses in each year of its existence. As of June 30, 2025, the Company’s liquidity sources included cash and cash equivalents of $25.9 million. We are evaluating several financing strategies to increase our cash reserves, including direct equity investments and the potential licensing and monetization of other clinical development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Company’s financial statements have been prepared assuming the Company will continue as a going concern, which contemplates, among other things, the realization of assets and satisfaction of liabilities in the normal course of business. The Unaudited Condensed </w:t>
      </w:r>
      <w:r>
        <w:rPr>
          <w:rFonts w:ascii="Times New Roman;serif" w:hAnsi="Times New Roman;serif"/>
          <w:b w:val="false"/>
          <w:color w:val="000000"/>
          <w:sz w:val="20"/>
          <w:shd w:fill="FFFFFF" w:val="clear"/>
        </w:rPr>
        <w:t xml:space="preserve">Consolidated </w:t>
      </w:r>
      <w:r>
        <w:rPr>
          <w:rFonts w:ascii="Times New Roman;serif" w:hAnsi="Times New Roman;serif"/>
          <w:b w:val="false"/>
          <w:color w:val="000000"/>
          <w:sz w:val="20"/>
        </w:rPr>
        <w:t>Financial Statements do not include adjustments to reflect the possible future effects on the recoverability and classification of recorded assets or the amounts of liabilities that might be necessary should the Company be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in accordance with accounting principles generally accepted in the United States of America (“GAAP”). The accompanying Condensed Consolidated Balance Sheet as of June 30, 2025, Condensed Consolidated Statements of Operations for the three and six months ended June 30, 2025 and 2024, Condensed Consolidated Statement of Changes in Redeemable Noncontrolling Interest and Stockholders’ Equity (Deficit) for the three and six months ended June 30, 2025 and 2024 and Condensed Consolidated Statements of Cash Flows for the six months ended June 30, 2025 and 2024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2024,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2025, the results of operations for the three and six months ended June 30, 2025 and 2024 and cash flows for the six months ended June 30, 2025 and 2024. The December 31, 2024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to the financial statements related to the three and six months ended June 30, 2025 and 2024 are unaudited. Interim results are not necessarily indicative of results for an entire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of America requires the Company to make estimates and assumptions that affect the reported amounts of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including those related to the grant date fair value of equity awards, the fair value of warrants to purchase shares of its Class A common stock, the useful lives of property and equipment,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and disruption in the global economy and financial markets due to a number of factors, including geopolitical instability, inflationary pressures, high interest rates, a recessionary environment, domestic and global monetary and fiscal policy, changes in trade policy, including tariffs or other trade restrictions or the threat of such actions, banking and other financial institution instability and other factors. Our business may also be impacted by changes or disruptions at the U.S. Food and Drug Administration (“FDA”) and other government agencies. The Company has taken into consideration any known impacts to its accounting estimates to date and is not aware of any additional specific events or circumstances that would require any additional updates to its estimates or judgments or a revision of the carrying value of its assets or liabilities as of the filing date of this Quarterly Report on Form 10-Q.</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during the three and six months ended June 30, 2025, as compared to those disclosed in Note 2 Summary of Significant Accounting Policies included in the Company’s Annual Report on Form 10-K for the year ended December 31,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erif" w:hAnsi="Times New Roman;serif"/>
          <w:b/>
          <w:color w:val="000000"/>
          <w:sz w:val="20"/>
        </w:rPr>
        <w:t>Income Taxes</w:t>
      </w:r>
      <w:r>
        <w:rPr>
          <w:rFonts w:ascii="Times New Roman;serif" w:hAnsi="Times New Roman;serif"/>
          <w:b w:val="false"/>
          <w:color w:val="000000"/>
          <w:sz w:val="20"/>
        </w:rPr>
        <w:t>: In December 2023, the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(“ASU 2023-09”). The ASU is 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pStyle w:val="TextBody"/>
        <w:bidi w:val="0"/>
        <w:spacing w:lineRule="auto" w:line="288" w:before="120" w:after="283"/>
        <w:ind w:left="0" w:right="0" w:firstLine="540"/>
        <w:jc w:val="both"/>
        <w:rPr/>
      </w:pPr>
      <w:r>
        <w:rPr>
          <w:rFonts w:ascii="Times New Roman;serif" w:hAnsi="Times New Roman;serif"/>
          <w:b/>
          <w:color w:val="000000"/>
          <w:sz w:val="20"/>
        </w:rPr>
        <w:t>Disaggregation of Income Statement Expenses:</w:t>
      </w:r>
      <w:r>
        <w:rPr>
          <w:color w:val="000000"/>
        </w:rPr>
        <w:t xml:space="preserve"> </w:t>
      </w: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Income Statement—Reporting Comprehensive Income—Expense Disaggregation Disclosures: Disaggregation of Income Statement Expenses”</w:t>
      </w:r>
      <w:r>
        <w:rPr>
          <w:rFonts w:ascii="Times New Roman;serif" w:hAnsi="Times New Roman;serif"/>
          <w:b w:val="false"/>
          <w:color w:val="000000"/>
          <w:sz w:val="20"/>
        </w:rPr>
        <w:t>. This guidance requires disclosures about significant expense categories, including but not limited to, inventory purchases, employee compensation, depreciation, amortization, and selling expenses</w:t>
      </w:r>
      <w:r>
        <w:rPr>
          <w:rFonts w:ascii="Times New Roman;serif" w:hAnsi="Times New Roman;serif"/>
          <w:b w:val="false"/>
          <w:color w:val="000000"/>
          <w:sz w:val="20"/>
          <w:shd w:fill="FFFFFF" w:val="clear"/>
        </w:rPr>
        <w:t>. This amendment is effective for our annual reporting periods beginning after December 15, 2026, and interim reporting periods beginning after December 15, 2027. We are currently assessing the impact of this guidance on our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Note 3: Collaboration Agreements</w:t>
      </w:r>
    </w:p>
    <w:p>
      <w:pPr>
        <w:pStyle w:val="TextBody"/>
        <w:bidi w:val="0"/>
        <w:spacing w:lineRule="auto" w:line="288" w:before="120" w:after="283"/>
        <w:ind w:left="0" w:right="0" w:hanging="540"/>
        <w:jc w:val="both"/>
        <w:rPr>
          <w:rFonts w:ascii="Times New Roman;serif" w:hAnsi="Times New Roman;serif"/>
          <w:b/>
          <w:i/>
          <w:color w:val="000000"/>
          <w:sz w:val="20"/>
        </w:rPr>
      </w:pPr>
      <w:r>
        <w:rPr>
          <w:rFonts w:ascii="Times New Roman;serif" w:hAnsi="Times New Roman;serif"/>
          <w:b/>
          <w:i/>
          <w:color w:val="000000"/>
          <w:sz w:val="20"/>
        </w:rPr>
        <w:t>Newsoara License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erif" w:hAnsi="Times New Roman;serif"/>
          <w:b w:val="false"/>
          <w:i/>
          <w:color w:val="000000"/>
          <w:sz w:val="20"/>
        </w:rPr>
        <w:t>HPP737</w:t>
      </w:r>
      <w:r>
        <w:rPr>
          <w:rFonts w:ascii="Times New Roman;serif" w:hAnsi="Times New Roman;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Newsoara License Agreement was amended in 2020 to change certain future milestone payments and patent rights (the “First Newsoara Amendment”). On June 26, 2024, the Company entered into the second amendment to the Newsoara License Agreement (the “Second Newsoara Amendment”) which expanded the global license contingent upon Newsoara paying an upfront global rights fee (the “Upfront Fees”) of $20.0 million. Newsoara had up to one year from the date of the Second Newsoara Amendment to pay the Upfront Fees. As of June 26, 2025, Newsoara has not paid the Upfront Fees and the Second Newsoara Amendment is null and void.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fully allocated the transaction price to the license and the technology transfer services which represents a single performance obligation because they were not capable of being distinct on their own.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recognized revenue for this performance obligation using the straight-line method over the transfer service period. In the first quarter of 2024, the transaction price for this performance obligation was increased by $1.0 million due to the satisfaction of a development milestone under the Newsoara License Agreement. This amount was fully recognized as revenue during the six months ended June 30, 2024, as the related performance obligation was fully satisfied. No revenue related to this performance obligation was recognized and there were no changes to the transaction price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4: 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issued non-qualified stock option awards to management, other key employees, consultants, and non-employee directors and these options ratably vest over a four-year service period. In addition, we issued options in connection with the private placement on February 27, 2024, that vest ratably over a three-year period. The option awards expire after a term of ten years from the date of grant. As of June 30, 2025, the Company had total unrecognized stock-based compensation expense for its outstanding stock option awards of approximately $6.7 million, which is expected to be recognized over a weighted average period of 2.7 years. The weighted average grant date fair value of options granted during the six months ended June 30, 2025 and 2024 was $15.01 and $14.88 per option, respectively. The aggregate intrinsic value of the in-the-money awards outstanding at June 30, 2025 was de minimis.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stock option awards for the six months ended June 30, 2025:</w:t>
      </w:r>
    </w:p>
    <w:tbl>
      <w:tblPr>
        <w:tblW w:w="8121" w:type="dxa"/>
        <w:jc w:val="left"/>
        <w:tblInd w:w="0" w:type="dxa"/>
        <w:tblLayout w:type="fixed"/>
        <w:tblCellMar>
          <w:top w:w="28" w:type="dxa"/>
          <w:left w:w="28" w:type="dxa"/>
          <w:bottom w:w="28" w:type="dxa"/>
          <w:right w:w="28" w:type="dxa"/>
        </w:tblCellMar>
      </w:tblPr>
      <w:tblGrid>
        <w:gridCol w:w="1603"/>
        <w:gridCol w:w="1409"/>
        <w:gridCol w:w="1412"/>
        <w:gridCol w:w="571"/>
        <w:gridCol w:w="484"/>
        <w:gridCol w:w="486"/>
        <w:gridCol w:w="109"/>
        <w:gridCol w:w="109"/>
        <w:gridCol w:w="109"/>
        <w:gridCol w:w="393"/>
        <w:gridCol w:w="1149"/>
        <w:gridCol w:w="287"/>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 Exercise Price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December 31, 2024</w:t>
            </w:r>
          </w:p>
        </w:tc>
        <w:tc>
          <w:tcPr>
            <w:tcW w:w="10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705,593 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387,316 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June 30, 2025</w:t>
            </w:r>
          </w:p>
        </w:tc>
        <w:tc>
          <w:tcPr>
            <w:tcW w:w="10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1,018,250 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2025</w:t>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340,478 </w:t>
            </w:r>
          </w:p>
        </w:tc>
        <w:tc>
          <w:tcPr>
            <w:tcW w:w="4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54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June 30, 2025</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826,567 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54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the grants of stock options is included in research and development and general and administrative expense as follows (in thousands):</w:t>
      </w:r>
    </w:p>
    <w:tbl>
      <w:tblPr>
        <w:tblW w:w="8597" w:type="dxa"/>
        <w:jc w:val="left"/>
        <w:tblInd w:w="0" w:type="dxa"/>
        <w:tblLayout w:type="fixed"/>
        <w:tblCellMar>
          <w:top w:w="28" w:type="dxa"/>
          <w:left w:w="28" w:type="dxa"/>
          <w:bottom w:w="28" w:type="dxa"/>
          <w:right w:w="28" w:type="dxa"/>
        </w:tblCellMar>
      </w:tblPr>
      <w:tblGrid>
        <w:gridCol w:w="1245"/>
        <w:gridCol w:w="1092"/>
        <w:gridCol w:w="1098"/>
        <w:gridCol w:w="251"/>
        <w:gridCol w:w="556"/>
        <w:gridCol w:w="130"/>
        <w:gridCol w:w="130"/>
        <w:gridCol w:w="130"/>
        <w:gridCol w:w="130"/>
        <w:gridCol w:w="251"/>
        <w:gridCol w:w="556"/>
        <w:gridCol w:w="130"/>
        <w:gridCol w:w="109"/>
        <w:gridCol w:w="109"/>
        <w:gridCol w:w="109"/>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5: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Novo Nordisk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Nordisk’s GKA program, including rights to preclinical and clinical compounds such as</w:t>
      </w:r>
      <w:r>
        <w:rPr>
          <w:color w:val="000000"/>
        </w:rPr>
        <w:t xml:space="preserve"> </w:t>
      </w:r>
      <w:r>
        <w:rPr>
          <w:rFonts w:ascii="Times New Roman;serif" w:hAnsi="Times New Roman;serif"/>
          <w:b w:val="false"/>
          <w:i/>
          <w:color w:val="000000"/>
          <w:sz w:val="20"/>
        </w:rPr>
        <w:t>cadisegliatin</w:t>
      </w:r>
      <w:r>
        <w:rPr>
          <w:rFonts w:ascii="Times New Roman;serif" w:hAnsi="Times New Roman;serif"/>
          <w:b w:val="false"/>
          <w:color w:val="000000"/>
          <w:sz w:val="20"/>
        </w:rPr>
        <w:t>. This agreement was amended in May 2019 to create milestone payments applicable to certain specific and non-specific areas of therapeutic use. Under the terms of the amended Novo License Agreement, the Company has potential developmental and regulatory milestone payment obligations totaling up to $7.0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As of June 30, 2025, the Company does not have any commercialized licensed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6: Noncontrolling Interest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Exchange Agreement with respect to the vTv Units representing the 18.1% noncontrolling interest in vTv LLC outstanding as of June 30, 2025 (see Note 8).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in connection with the Private Placement financing, the Investor Rights Agreement altered M&amp;F TTP Holdings Two LLC (“M&amp;F”) governance rights such that directors designated by M&amp;F no longer comprised a majority of the Company’s Board of Directors (see Note 8).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Prior to February 27, 2024, the Company recorded redeemable noncontrolling interest at the higher of (1) its initial fair value plus accumulated earnings/losses associated with the noncontrolling interest or (2) the redemption value as of the balance sheet date.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1815"/>
        <w:gridCol w:w="1502"/>
        <w:gridCol w:w="1507"/>
        <w:gridCol w:w="229"/>
        <w:gridCol w:w="715"/>
        <w:gridCol w:w="118"/>
        <w:gridCol w:w="118"/>
        <w:gridCol w:w="118"/>
        <w:gridCol w:w="118"/>
        <w:gridCol w:w="229"/>
        <w:gridCol w:w="715"/>
        <w:gridCol w:w="118"/>
        <w:gridCol w:w="109"/>
        <w:gridCol w:w="109"/>
        <w:gridCol w:w="109"/>
        <w:gridCol w:w="213"/>
        <w:gridCol w:w="772"/>
        <w:gridCol w:w="110"/>
        <w:gridCol w:w="110"/>
        <w:gridCol w:w="110"/>
        <w:gridCol w:w="110"/>
        <w:gridCol w:w="213"/>
        <w:gridCol w:w="772"/>
        <w:gridCol w:w="166"/>
      </w:tblGrid>
      <w:tr>
        <w:trPr/>
        <w:tc>
          <w:tcPr>
            <w:tcW w:w="181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 common shareholders</w:t>
            </w:r>
          </w:p>
        </w:tc>
        <w:tc>
          <w:tcPr>
            <w:tcW w:w="22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1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1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1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w:t>
            </w:r>
          </w:p>
        </w:tc>
        <w:tc>
          <w:tcPr>
            <w:tcW w:w="16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vTv Therapeutics Inc. stockholders' equity for sale of vTv Units as a result of common stock issuances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loss attributable to vTv Therapeutics Inc. common shareholders and transfers to noncontrolling interest</w:t>
            </w:r>
          </w:p>
        </w:tc>
        <w:tc>
          <w:tcPr>
            <w:tcW w:w="22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w:t>
            </w:r>
          </w:p>
        </w:tc>
        <w:tc>
          <w:tcPr>
            <w:tcW w:w="1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7: Stockholders’ Equity (Deficit)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Amendment to Certificate of Incorporation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authorized shares of the Company’s preferred stock, par value of $0.01 per share, which remained at 50,000,000 shares. Currently no shares of preferred stock are outstanding.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and Pre-funded Warrants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 February 2024, the Company </w:t>
      </w:r>
      <w:r>
        <w:rPr>
          <w:rFonts w:ascii="Times New Roman;serif" w:hAnsi="Times New Roman;serif"/>
          <w:b w:val="false"/>
          <w:color w:val="000000"/>
          <w:sz w:val="20"/>
        </w:rPr>
        <w:t xml:space="preserve">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w:t>
      </w:r>
      <w:r>
        <w:rPr>
          <w:rFonts w:ascii="Times New Roman;serif" w:hAnsi="Times New Roman;serif"/>
          <w:b w:val="false"/>
          <w:color w:val="000000"/>
          <w:sz w:val="20"/>
          <w:shd w:fill="FFFFFF" w:val="clear"/>
        </w:rPr>
        <w:t xml:space="preserve">issued pre-funded warrants to purchase an aggregate of </w:t>
      </w:r>
      <w:r>
        <w:rPr>
          <w:rFonts w:ascii="Times New Roman;serif" w:hAnsi="Times New Roman;serif"/>
          <w:b w:val="false"/>
          <w:color w:val="000000"/>
          <w:sz w:val="20"/>
        </w:rPr>
        <w:t>3,853,997</w:t>
      </w:r>
      <w:r>
        <w:rPr>
          <w:color w:val="000000"/>
          <w:shd w:fill="FFFFFF" w:val="clear"/>
        </w:rPr>
        <w:t xml:space="preserve"> </w:t>
      </w:r>
      <w:r>
        <w:rPr>
          <w:rFonts w:ascii="Times New Roman;serif" w:hAnsi="Times New Roman;serif"/>
          <w:b w:val="false"/>
          <w:color w:val="000000"/>
          <w:sz w:val="20"/>
          <w:shd w:fill="FFFFFF" w:val="clear"/>
        </w:rPr>
        <w:t xml:space="preserve">shares of the Company’s Class A common stock at a price of </w:t>
      </w:r>
      <w:r>
        <w:rPr>
          <w:rFonts w:ascii="Times New Roman;serif" w:hAnsi="Times New Roman;serif"/>
          <w:b w:val="false"/>
          <w:color w:val="000000"/>
          <w:sz w:val="20"/>
        </w:rPr>
        <w:t>$11.80</w:t>
      </w:r>
      <w:r>
        <w:rPr>
          <w:color w:val="000000"/>
          <w:shd w:fill="FFFFFF" w:val="clear"/>
        </w:rPr>
        <w:t xml:space="preserve"> </w:t>
      </w:r>
      <w:r>
        <w:rPr>
          <w:rFonts w:ascii="Times New Roman;serif" w:hAnsi="Times New Roman;serif"/>
          <w:b w:val="false"/>
          <w:color w:val="000000"/>
          <w:sz w:val="20"/>
          <w:shd w:fill="FFFFFF" w:val="clear"/>
        </w:rPr>
        <w:t xml:space="preserve">per pre-funded warrant. The pre-funded warrants were immediately exercisable, have an exercise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 xml:space="preserve">and may be exercised at any time after the date of issuance. A holder of pre-funded warrants may not exercise the warrant if the holder, together with its affiliates, would beneficially own more than </w:t>
      </w:r>
      <w:r>
        <w:rPr>
          <w:rFonts w:ascii="Times New Roman;serif" w:hAnsi="Times New Roman;serif"/>
          <w:b w:val="false"/>
          <w:color w:val="000000"/>
          <w:sz w:val="20"/>
        </w:rPr>
        <w:t>4.99%</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9.99%, depending on the holder,</w:t>
      </w:r>
      <w:r>
        <w:rPr>
          <w:color w:val="000000"/>
          <w:shd w:fill="FFFFFF" w:val="clear"/>
        </w:rPr>
        <w:t xml:space="preserve"> </w:t>
      </w:r>
      <w:r>
        <w:rPr>
          <w:rFonts w:ascii="Times New Roman;serif" w:hAnsi="Times New Roman;serif"/>
          <w:b w:val="false"/>
          <w:color w:val="000000"/>
          <w:sz w:val="20"/>
          <w:shd w:fill="FFFFFF" w:val="clear"/>
        </w:rPr>
        <w:t xml:space="preserve">of the number of shares of the Company’s common stock outstanding immediately after giving effect to such exercise. A holder of the pre-funded warrants may increase or decrease this percentage not in excess of </w:t>
      </w:r>
      <w:r>
        <w:rPr>
          <w:rFonts w:ascii="Times New Roman;serif" w:hAnsi="Times New Roman;serif"/>
          <w:b w:val="false"/>
          <w:color w:val="000000"/>
          <w:sz w:val="20"/>
        </w:rPr>
        <w:t>19.99%</w:t>
      </w:r>
      <w:r>
        <w:rPr>
          <w:color w:val="000000"/>
          <w:shd w:fill="FFFFFF" w:val="clear"/>
        </w:rPr>
        <w:t xml:space="preserve"> </w:t>
      </w:r>
      <w:r>
        <w:rPr>
          <w:rFonts w:ascii="Times New Roman;serif" w:hAnsi="Times New Roman;serif"/>
          <w:b w:val="false"/>
          <w:color w:val="000000"/>
          <w:sz w:val="20"/>
          <w:shd w:fill="FFFFFF" w:val="clear"/>
        </w:rPr>
        <w:t xml:space="preserve">by providing at least 61 days’ prior notice to the Company.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there were pre-funded warrants to purchase an aggregate o</w:t>
      </w:r>
      <w:r>
        <w:rPr>
          <w:rFonts w:ascii="Times New Roman;serif" w:hAnsi="Times New Roman;serif"/>
          <w:b w:val="false"/>
          <w:color w:val="000000"/>
          <w:sz w:val="20"/>
        </w:rPr>
        <w:t xml:space="preserve">f 3,970,587 </w:t>
      </w:r>
      <w:r>
        <w:rPr>
          <w:rFonts w:ascii="Times New Roman;serif" w:hAnsi="Times New Roman;serif"/>
          <w:b w:val="false"/>
          <w:color w:val="000000"/>
          <w:sz w:val="20"/>
          <w:shd w:fill="FFFFFF" w:val="clear"/>
        </w:rPr>
        <w:t>shares of the Company’s common stock that remained available for exercise.</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and 2024, the Company did not sell any shares of Class A common stock under the TD Cowen ATM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8: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MacAndrews &amp; Forbes Incorporated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MacAndrews directly or indirectly controls 577,108 shares of Class B common stock. Further, as of June 30, 2025, MacAndrews directly or indirectly holds 912,982 shares of the Company’s Class A common stock. As a result, MacAndrews’ holdings represent approximately 46.6% of the combined voting power of the Company’s outstanding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Letter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Exchange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June 30, 2025, MacAndrews had not exchanged any shares under the provisions of the Exchange Agreement.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9: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Condensed Consolidated Balance Sheet as total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manages its business activities on a consolidated basis and operates in a single reportable segment. Its operations primarily focus on the research and development of its lead product candidate,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and it has not yet generated any revenue. All of the Company's principal operations, assets, and decision-making functions are based in the U.S., and as a result, all of our financial information is derived from domestic sources except for revenue of $1.0 million during the six months ended June 30, 2024, which was derived from one foreign collaboration partner located in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segment expenses are included in the table below and represent direct and indirect research and development expenses by project for the three and six months ended June 30, 2025 and 2024 were as follows (in thousands):</w:t>
      </w:r>
    </w:p>
    <w:tbl>
      <w:tblPr>
        <w:tblW w:w="8552" w:type="dxa"/>
        <w:jc w:val="left"/>
        <w:tblInd w:w="0" w:type="dxa"/>
        <w:tblLayout w:type="fixed"/>
        <w:tblCellMar>
          <w:top w:w="28" w:type="dxa"/>
          <w:left w:w="28" w:type="dxa"/>
          <w:bottom w:w="28" w:type="dxa"/>
          <w:right w:w="28" w:type="dxa"/>
        </w:tblCellMar>
      </w:tblPr>
      <w:tblGrid>
        <w:gridCol w:w="1348"/>
        <w:gridCol w:w="1182"/>
        <w:gridCol w:w="118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projects</w:t>
            </w:r>
            <w:r>
              <w:rPr>
                <w:rFonts w:ascii="Times New Roman;serif" w:hAnsi="Times New Roman;serif"/>
                <w:b w:val="false"/>
                <w:color w:val="000000"/>
                <w:sz w:val="16"/>
              </w:rPr>
              <w:t>*</w:t>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576" w:type="dxa"/>
        <w:jc w:val="left"/>
        <w:tblInd w:w="0" w:type="dxa"/>
        <w:tblLayout w:type="fixed"/>
        <w:tblCellMar>
          <w:top w:w="28" w:type="dxa"/>
          <w:left w:w="28" w:type="dxa"/>
          <w:bottom w:w="28" w:type="dxa"/>
          <w:right w:w="28" w:type="dxa"/>
        </w:tblCellMar>
      </w:tblPr>
      <w:tblGrid>
        <w:gridCol w:w="124"/>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Includes HPP737 and azeliragon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Includes share-based compensation</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Segment revenue is consistent with what is presented in the Company’s Condensed Consolidated Statements of Operations. Other segment items consist of (i) operating expenses, which include share-based compensation, (ii) interest and other expense and (iii) income tax expense, all of which are reflected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as well as state taxes. The Company’s income tax provision for the six months ended June 30, 2024 was $0.1 million representing foreign withholding taxes accrued in connection with revenue recorded under license agreements with a foreign entity. The Company did not record an income tax provision for the three months ended June 30, 2025 and 2024 nor the six months ended June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June 30, 2025, is due to the valuation allowance against the Company’s expected net operating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8,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11: 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Class A common stock is as follows (amounts 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1649"/>
        <w:gridCol w:w="1453"/>
        <w:gridCol w:w="1463"/>
        <w:gridCol w:w="256"/>
        <w:gridCol w:w="783"/>
        <w:gridCol w:w="121"/>
        <w:gridCol w:w="121"/>
        <w:gridCol w:w="121"/>
        <w:gridCol w:w="121"/>
        <w:gridCol w:w="256"/>
        <w:gridCol w:w="783"/>
        <w:gridCol w:w="121"/>
        <w:gridCol w:w="109"/>
        <w:gridCol w:w="109"/>
        <w:gridCol w:w="109"/>
        <w:gridCol w:w="218"/>
        <w:gridCol w:w="794"/>
        <w:gridCol w:w="111"/>
        <w:gridCol w:w="111"/>
        <w:gridCol w:w="111"/>
        <w:gridCol w:w="111"/>
        <w:gridCol w:w="218"/>
        <w:gridCol w:w="794"/>
        <w:gridCol w:w="162"/>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3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62"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of vTv Therapeutics Inc., basic and diluted</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basic and diluted </w:t>
            </w:r>
            <w:r>
              <w:rPr>
                <w:rFonts w:ascii="Times New Roman;serif" w:hAnsi="Times New Roman;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6,403,444 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5,098,877 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vTv Therapeutics Inc. Class A common stock, basic and diluted</w:t>
            </w:r>
          </w:p>
        </w:tc>
        <w:tc>
          <w:tcPr>
            <w:tcW w:w="2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1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6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and six months ended June 30, 2025 and 2024.</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calculation of dilutive net loss per share are as follows:</w:t>
      </w:r>
    </w:p>
    <w:tbl>
      <w:tblPr>
        <w:tblW w:w="7071" w:type="dxa"/>
        <w:jc w:val="left"/>
        <w:tblInd w:w="0" w:type="dxa"/>
        <w:tblLayout w:type="fixed"/>
        <w:tblCellMar>
          <w:top w:w="28" w:type="dxa"/>
          <w:left w:w="28" w:type="dxa"/>
          <w:bottom w:w="28" w:type="dxa"/>
          <w:right w:w="28" w:type="dxa"/>
        </w:tblCellMar>
      </w:tblPr>
      <w:tblGrid>
        <w:gridCol w:w="1423"/>
        <w:gridCol w:w="1251"/>
        <w:gridCol w:w="1256"/>
        <w:gridCol w:w="488"/>
        <w:gridCol w:w="488"/>
        <w:gridCol w:w="376"/>
        <w:gridCol w:w="109"/>
        <w:gridCol w:w="109"/>
        <w:gridCol w:w="109"/>
        <w:gridCol w:w="488"/>
        <w:gridCol w:w="488"/>
        <w:gridCol w:w="48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37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options granted under the Plan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654,171 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warrants </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70,639 </w:t>
            </w:r>
          </w:p>
        </w:tc>
        <w:tc>
          <w:tcPr>
            <w:tcW w:w="3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75,595 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1,666,238 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1,307,115 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12: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of the Company’s financial instruments, including cash and cash equivalents, other current assets, which includes net accounts receivable and short-term deposits,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2025 and December 31,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2"/>
        <w:gridCol w:w="670"/>
        <w:gridCol w:w="674"/>
        <w:gridCol w:w="475"/>
        <w:gridCol w:w="815"/>
        <w:gridCol w:w="245"/>
        <w:gridCol w:w="109"/>
        <w:gridCol w:w="109"/>
        <w:gridCol w:w="109"/>
        <w:gridCol w:w="488"/>
        <w:gridCol w:w="942"/>
        <w:gridCol w:w="256"/>
        <w:gridCol w:w="109"/>
        <w:gridCol w:w="109"/>
        <w:gridCol w:w="109"/>
        <w:gridCol w:w="536"/>
        <w:gridCol w:w="1034"/>
        <w:gridCol w:w="280"/>
        <w:gridCol w:w="109"/>
        <w:gridCol w:w="109"/>
        <w:gridCol w:w="109"/>
        <w:gridCol w:w="591"/>
        <w:gridCol w:w="1014"/>
        <w:gridCol w:w="442"/>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3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Warrant liability, related party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29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9"/>
        <w:gridCol w:w="641"/>
        <w:gridCol w:w="644"/>
        <w:gridCol w:w="476"/>
        <w:gridCol w:w="1055"/>
        <w:gridCol w:w="250"/>
        <w:gridCol w:w="109"/>
        <w:gridCol w:w="109"/>
        <w:gridCol w:w="109"/>
        <w:gridCol w:w="472"/>
        <w:gridCol w:w="913"/>
        <w:gridCol w:w="248"/>
        <w:gridCol w:w="109"/>
        <w:gridCol w:w="109"/>
        <w:gridCol w:w="109"/>
        <w:gridCol w:w="522"/>
        <w:gridCol w:w="1006"/>
        <w:gridCol w:w="272"/>
        <w:gridCol w:w="109"/>
        <w:gridCol w:w="109"/>
        <w:gridCol w:w="109"/>
        <w:gridCol w:w="504"/>
        <w:gridCol w:w="1115"/>
        <w:gridCol w:w="377"/>
      </w:tblGrid>
      <w:tr>
        <w:trPr/>
        <w:tc>
          <w:tcPr>
            <w:tcW w:w="72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78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5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680"/>
        <w:gridCol w:w="595"/>
        <w:gridCol w:w="603"/>
        <w:gridCol w:w="367"/>
        <w:gridCol w:w="811"/>
        <w:gridCol w:w="189"/>
        <w:gridCol w:w="109"/>
        <w:gridCol w:w="109"/>
        <w:gridCol w:w="109"/>
        <w:gridCol w:w="355"/>
        <w:gridCol w:w="784"/>
        <w:gridCol w:w="183"/>
        <w:gridCol w:w="109"/>
        <w:gridCol w:w="109"/>
        <w:gridCol w:w="109"/>
        <w:gridCol w:w="255"/>
        <w:gridCol w:w="491"/>
        <w:gridCol w:w="132"/>
        <w:gridCol w:w="109"/>
        <w:gridCol w:w="109"/>
        <w:gridCol w:w="109"/>
        <w:gridCol w:w="292"/>
        <w:gridCol w:w="562"/>
        <w:gridCol w:w="152"/>
        <w:gridCol w:w="109"/>
        <w:gridCol w:w="109"/>
        <w:gridCol w:w="109"/>
        <w:gridCol w:w="211"/>
        <w:gridCol w:w="517"/>
        <w:gridCol w:w="109"/>
        <w:gridCol w:w="109"/>
        <w:gridCol w:w="109"/>
        <w:gridCol w:w="109"/>
        <w:gridCol w:w="324"/>
        <w:gridCol w:w="716"/>
        <w:gridCol w:w="242"/>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Level 3 instruments for the six months ended June 30, 2025 and 2024</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January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w:t>
            </w:r>
          </w:p>
        </w:tc>
      </w:tr>
      <w:tr>
        <w:trPr/>
        <w:tc>
          <w:tcPr>
            <w:tcW w:w="18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36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67"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367"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6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8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4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into or out of level 3 instruments and/or between level 1 and level 2 instruments during the six months ended June 30, 2025. Gains and losses recognized due to the change in fair value of the warrant liability, related party are recognized as a component of other expense, related party in the Company’s Condensed Consolidated Statements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Letter Agreement Warrants and other Warrants were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and other Warrants as of June 30, 2025 and December 31, 2024, were:</w:t>
      </w:r>
    </w:p>
    <w:tbl>
      <w:tblPr>
        <w:tblW w:w="8365" w:type="dxa"/>
        <w:jc w:val="left"/>
        <w:tblInd w:w="0" w:type="dxa"/>
        <w:tblLayout w:type="fixed"/>
        <w:tblCellMar>
          <w:top w:w="28" w:type="dxa"/>
          <w:left w:w="28" w:type="dxa"/>
          <w:bottom w:w="28" w:type="dxa"/>
          <w:right w:w="28" w:type="dxa"/>
        </w:tblCellMar>
      </w:tblPr>
      <w:tblGrid>
        <w:gridCol w:w="669"/>
        <w:gridCol w:w="587"/>
        <w:gridCol w:w="589"/>
        <w:gridCol w:w="537"/>
        <w:gridCol w:w="537"/>
        <w:gridCol w:w="546"/>
        <w:gridCol w:w="484"/>
        <w:gridCol w:w="484"/>
        <w:gridCol w:w="486"/>
        <w:gridCol w:w="109"/>
        <w:gridCol w:w="109"/>
        <w:gridCol w:w="109"/>
        <w:gridCol w:w="624"/>
        <w:gridCol w:w="512"/>
        <w:gridCol w:w="484"/>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51.61% - 109.97%</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106.84%</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88.01% - 116.31%</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3.72% - 4.30%</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4.17% - 4.26%</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unobservable inputs noted above would impact the amount of the liabilities.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evaluated subsequent events through August 12, 2025,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(“GKA”) being investigated for the treatment of type 1 diabetes (“T1D”). The Company and its development partners are investigating multiple molecules across different indications for chronic 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In May 2025, the Company reinitiated screening of patients in its Phase 3 CATT1 clinical trial investigating cadisegliatin as a potential adjunctive therapy to insulin for the treatment of T1D. The Company continues to advance the trial and expects to have top line data from the trial in the second half of 2026. </w:t>
      </w:r>
    </w:p>
    <w:p>
      <w:pPr>
        <w:pStyle w:val="TextBody"/>
        <w:bidi w:val="0"/>
        <w:spacing w:lineRule="auto" w:line="288" w:before="120" w:after="283"/>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On May 19, 2025, the Company announced the appointment of Michael Tung, M.D., MBA as its Executive Vice President and Chief Financial Officer. </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In August 2025, the Company announced that the first study participant has been randomized in its CATT1 Phase 3 trial evaluating </w:t>
      </w:r>
      <w:r>
        <w:rPr>
          <w:rFonts w:ascii="Times New Roman;serif" w:hAnsi="Times New Roman;serif"/>
          <w:b w:val="false"/>
          <w:i/>
          <w:color w:val="212529"/>
          <w:sz w:val="20"/>
        </w:rPr>
        <w:t>cadisegliatin</w:t>
      </w:r>
      <w:r>
        <w:rPr>
          <w:color w:val="212529"/>
        </w:rPr>
        <w:t xml:space="preserve"> </w:t>
      </w:r>
      <w:r>
        <w:rPr>
          <w:rFonts w:ascii="Times New Roman;serif" w:hAnsi="Times New Roman;serif"/>
          <w:b w:val="false"/>
          <w:color w:val="212529"/>
          <w:sz w:val="20"/>
        </w:rPr>
        <w:t xml:space="preserve">as an adjunctive therapy to insulin for the treatment of T1D. Top-line data from the study is expected in the second half of 2026. </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In August 2025, the U.S. Patent and Trademark Office allowed claims covering the crystalline salt form of </w:t>
      </w:r>
      <w:r>
        <w:rPr>
          <w:rFonts w:ascii="Times New Roman;serif" w:hAnsi="Times New Roman;serif"/>
          <w:b w:val="false"/>
          <w:i/>
          <w:color w:val="212529"/>
          <w:sz w:val="20"/>
        </w:rPr>
        <w:t>cadisegliatin</w:t>
      </w:r>
      <w:r>
        <w:rPr>
          <w:rFonts w:ascii="Times New Roman;serif" w:hAnsi="Times New Roman;serif"/>
          <w:b w:val="false"/>
          <w:color w:val="212529"/>
          <w:sz w:val="20"/>
        </w:rPr>
        <w:t xml:space="preserve">, strengthening the Company’s intellectual property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clinical development candidates and their respective stages of development:</w:t>
      </w:r>
    </w:p>
    <w:p>
      <w:pPr>
        <w:pStyle w:val="TextBody"/>
        <w:bidi w:val="0"/>
        <w:spacing w:before="120" w:after="283"/>
        <w:jc w:val="left"/>
        <w:rPr/>
      </w:pPr>
      <w:r>
        <w:rPr/>
        <w:drawing>
          <wp:inline distT="0" distB="0" distL="0" distR="0">
            <wp:extent cx="6477000" cy="328612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477000" cy="328612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shd w:fill="FFFFFF" w:val="clear"/>
        </w:rPr>
        <w:t xml:space="preserve">Our Type 1 Diabetes Program – </w:t>
      </w:r>
      <w:r>
        <w:rPr>
          <w:rFonts w:ascii="Times New Roman;serif" w:hAnsi="Times New Roman;serif"/>
          <w:b/>
          <w:i/>
          <w:color w:val="000000"/>
          <w:sz w:val="20"/>
          <w:shd w:fill="FFFFFF" w:val="clear"/>
        </w:rPr>
        <w:t>Cadisegliatin (TTP399)</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U.S. Food and Drug Administration (FDA) granted Breakthrough Therapy designation in 2021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in T1D was supported by the positive results from the Phase 2 SimpliciT-1 study, a multi-center, randomized, double-blind, adaptive study assessing the safety and efficacy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as an adjunct to insulin therapy in adults with T1D. In this trial, treatment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demonstrated a favorable safety profile, in which abnormal levels of serum or urine ketones were detected less frequently in patients taking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than those taking placebo.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July 26, 2024, the FDA issued a clinical hold for the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program, including the CATT1 trial, based on the discovery of a chromatographic signal in a recent human absorption, distribution, metabolism, and excretion (ADME) study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that could not be resolved by standard mass spectroscopy. Following submission of a complete response by vTv to the FDA detailing additional research findings and the conclusion that the original chromatographic signal was an experimental artifact, the FDA removed the clinical hold on March 14, 2025. The Company also submitted protocol amendment to shorten the overall duration of the CATT1 study from 12 months to 6 months with no change to the primary study endpoints. Based upon the shortened duration of the trial, the Company expects to have top-line data from the CATT1 study in the second half of 2026. In May 2025, the Company screened the first subject in the reinitiated study, and randomized the first subject on</w:t>
      </w:r>
      <w:r>
        <w:rPr>
          <w:color w:val="000000"/>
          <w:shd w:fill="FFFFFF" w:val="clear"/>
        </w:rPr>
        <w:t xml:space="preserve"> </w:t>
      </w:r>
      <w:r>
        <w:rPr>
          <w:rFonts w:ascii="Times New Roman;serif" w:hAnsi="Times New Roman;serif"/>
          <w:b w:val="false"/>
          <w:color w:val="000000"/>
          <w:sz w:val="20"/>
          <w:shd w:fill="FFFFFF" w:val="clear"/>
        </w:rPr>
        <w:t>August 6, 2025</w:t>
      </w:r>
      <w:r>
        <w:rPr>
          <w:rFonts w:ascii="Times New Roman;serif" w:hAnsi="Times New Roman;serif"/>
          <w:b w:val="false"/>
          <w:color w:val="000000"/>
          <w:sz w:val="20"/>
        </w:rPr>
        <w:t>. In addition, the Company started a food effect study in healthy volunteers in June 2025, to be completed by the end of 2025.</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continues to work on the design for further registrational studies for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in type 1 diabetes,</w:t>
      </w:r>
      <w:r>
        <w:rPr>
          <w:color w:val="000000"/>
        </w:rPr>
        <w:t xml:space="preserve"> </w:t>
      </w:r>
      <w:r>
        <w:rPr>
          <w:rFonts w:ascii="Times New Roman;serif" w:hAnsi="Times New Roman;serif"/>
          <w:b w:val="false"/>
          <w:color w:val="000000"/>
          <w:sz w:val="20"/>
        </w:rPr>
        <w:t xml:space="preserve">which we expect to start in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continue to work with our partner, G42 Investments AI Holding RSC Ltd. (“G42”), to initiate a double-blind, randomized, controlled Phase 2 trial in the Middle East region in 450 insulin-using patients with type 2 diabetes. We expect that trial to begin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Holding Company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by project for the three and six months ended June 30, 2025 and 2024 were as follows (in thousands):</w:t>
      </w:r>
    </w:p>
    <w:tbl>
      <w:tblPr>
        <w:tblW w:w="8447" w:type="dxa"/>
        <w:jc w:val="left"/>
        <w:tblInd w:w="0" w:type="dxa"/>
        <w:tblLayout w:type="fixed"/>
        <w:tblCellMar>
          <w:top w:w="28" w:type="dxa"/>
          <w:left w:w="28" w:type="dxa"/>
          <w:bottom w:w="28" w:type="dxa"/>
          <w:right w:w="28" w:type="dxa"/>
        </w:tblCellMar>
      </w:tblPr>
      <w:tblGrid>
        <w:gridCol w:w="1310"/>
        <w:gridCol w:w="1149"/>
        <w:gridCol w:w="115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projects*</w:t>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*Includes </w:t>
      </w:r>
      <w:r>
        <w:rPr>
          <w:rFonts w:ascii="Times New Roman;serif" w:hAnsi="Times New Roman;serif"/>
          <w:b w:val="false"/>
          <w:i/>
          <w:color w:val="000000"/>
          <w:sz w:val="16"/>
        </w:rPr>
        <w:t>HPP737</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azeliragon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continue to incur significant research and development expenses for the foreseeable future as we continue the development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successful development of our clinical and preclinical drug candidates is highly uncertain. At this time, we cannot reasonably estimate the nature, timing or costs of the efforts that will be necessary to complete the remainder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scope, rate of progress and expense of our clinical trials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cash interest income from dividends and interest from our money market accounts, all of which are recognized in our Condensed Consolidated Statement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income/(expense) primarily consists of the recognition of changes in fair value of the warrants to purchase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2025 and 2024</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8237" w:type="dxa"/>
        <w:jc w:val="left"/>
        <w:tblInd w:w="0" w:type="dxa"/>
        <w:tblLayout w:type="fixed"/>
        <w:tblCellMar>
          <w:top w:w="28" w:type="dxa"/>
          <w:left w:w="28" w:type="dxa"/>
          <w:bottom w:w="28" w:type="dxa"/>
          <w:right w:w="28" w:type="dxa"/>
        </w:tblCellMar>
      </w:tblPr>
      <w:tblGrid>
        <w:gridCol w:w="1603"/>
        <w:gridCol w:w="1408"/>
        <w:gridCol w:w="1413"/>
        <w:gridCol w:w="309"/>
        <w:gridCol w:w="376"/>
        <w:gridCol w:w="314"/>
        <w:gridCol w:w="146"/>
        <w:gridCol w:w="146"/>
        <w:gridCol w:w="146"/>
        <w:gridCol w:w="309"/>
        <w:gridCol w:w="376"/>
        <w:gridCol w:w="314"/>
        <w:gridCol w:w="146"/>
        <w:gridCol w:w="146"/>
        <w:gridCol w:w="146"/>
        <w:gridCol w:w="354"/>
        <w:gridCol w:w="241"/>
        <w:gridCol w:w="34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3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revenue for the three months ended June 30, 2025 and 2024.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$4.1 million and $3.4 million for the three months ended June 30, 2025 and 2024, respectively. The increase in research and development expenses during this period of $0.7 million or 19.3%, was primarily driven by i) an increase in indirect research and development expense of $0.8 million primarily related to payroll expense, partially offset by ii) lower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on other projects of $0.1 million.</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$3.6 million and $3.7 million for the three months ended June 30, 2025 and 2024, respectively. The decrease in general and administrative expenses during this period of $0.1 million, or 2.6%, was primarily driven by i) decreases of $0.3 million in other operating costs, partially offset by ii) increases of $0.2 million in payroll related costs.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three months ended June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of $0.3 million and </w:t>
      </w:r>
      <w:r>
        <w:rPr>
          <w:rFonts w:ascii="Times New Roman;serif" w:hAnsi="Times New Roman;serif"/>
          <w:b w:val="false"/>
          <w:color w:val="000000"/>
          <w:sz w:val="20"/>
        </w:rPr>
        <w:t>$0.6 million</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is related to 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Other income for the three months ended June 30, 2025, was immaterial. Other income of $0.2 million for the three months ended June 30, 2024,</w:t>
      </w:r>
      <w:r>
        <w:rPr>
          <w:color w:val="000000"/>
          <w:shd w:fill="FFFFFF" w:val="clear"/>
        </w:rPr>
        <w:t xml:space="preserve"> </w:t>
      </w:r>
      <w:r>
        <w:rPr>
          <w:rFonts w:ascii="Times New Roman;serif" w:hAnsi="Times New Roman;serif"/>
          <w:b w:val="false"/>
          <w:color w:val="000000"/>
          <w:sz w:val="20"/>
        </w:rPr>
        <w:t>was driven by gains related to the change in the fair value of the outstanding warrants to purchase shares of our own stock.</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2025 and 2024</w:t>
      </w:r>
    </w:p>
    <w:p>
      <w:pPr>
        <w:pStyle w:val="TextBody"/>
        <w:bidi w:val="0"/>
        <w:spacing w:lineRule="auto" w:line="288" w:before="120" w:after="283"/>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8497" w:type="dxa"/>
        <w:jc w:val="left"/>
        <w:tblInd w:w="0" w:type="dxa"/>
        <w:tblLayout w:type="fixed"/>
        <w:tblCellMar>
          <w:top w:w="28" w:type="dxa"/>
          <w:left w:w="28" w:type="dxa"/>
          <w:bottom w:w="28" w:type="dxa"/>
          <w:right w:w="28" w:type="dxa"/>
        </w:tblCellMar>
      </w:tblPr>
      <w:tblGrid>
        <w:gridCol w:w="1603"/>
        <w:gridCol w:w="1408"/>
        <w:gridCol w:w="1413"/>
        <w:gridCol w:w="338"/>
        <w:gridCol w:w="389"/>
        <w:gridCol w:w="406"/>
        <w:gridCol w:w="133"/>
        <w:gridCol w:w="133"/>
        <w:gridCol w:w="133"/>
        <w:gridCol w:w="258"/>
        <w:gridCol w:w="393"/>
        <w:gridCol w:w="402"/>
        <w:gridCol w:w="133"/>
        <w:gridCol w:w="133"/>
        <w:gridCol w:w="133"/>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4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33"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six months ended June 30, 2024 includes a $1.0 million increase to the transaction price for the license performance obligation under the Newsoara License Agreement due to the satisfaction of a development milestone. There was no revenue for the six months ended June 30,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$6.9 million and $6.1 million for the six months ended June 30, 2025 and 2024, respectively. The increase in research and development expenses during the period of $0.8 million, or 13.9%, was primarily driven by i) increases in indirect costs and other projects of $1.7 million primarily related to payroll expense, partially offset by ii) lower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of $0.7 million due to decreases in clinical study and drug manufacturing related costs and consulting fees, and iii)</w:t>
      </w:r>
      <w:r>
        <w:rPr>
          <w:color w:val="000000"/>
        </w:rPr>
        <w:t xml:space="preserve"> </w:t>
      </w:r>
      <w:r>
        <w:rPr>
          <w:rFonts w:ascii="Times New Roman;serif" w:hAnsi="Times New Roman;serif"/>
          <w:b w:val="false"/>
          <w:color w:val="000000"/>
          <w:sz w:val="20"/>
        </w:rPr>
        <w:t>lower spending on other projects of $0.2 million.</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$7.3 million and $7.7 million for the six months ended June 30, 2025 and 2024, respectively. The decrease of $0.4 million or 5.2%, was primarily driven by i) decreases of $0.4 million in other general and administrative costs, ii) decreases of $0.2 million in payroll costs, iii) decreases of $0.2 million in legal expense, partially offset by iv) increases of $0.4 million in share-based expense.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six months ended June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of $0.6 million is related to </w:t>
      </w:r>
      <w:r>
        <w:rPr>
          <w:rFonts w:ascii="Times New Roman;serif" w:hAnsi="Times New Roman;serif"/>
          <w:b w:val="false"/>
          <w:color w:val="000000"/>
          <w:sz w:val="20"/>
        </w:rPr>
        <w:t>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for the six months ended June 30, 2025, was immaterial. Other expense was $0.2 million for the six months ended June 30, 2024, and was driven by losses related to the change in the fair value of the outstanding warrants to purchase shares of our own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an accumulated deficit of $310.9 million. Since our inception, we have experienced a history of negative cash flows from operating activities. We anticipate that we will continue to incur losses and negative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flow from operations for the foreseeable future as we continue our clinical trials. Further, we expect that we will need additional capital to continue to fund our operations. As of June 30, 2025, we had cash and cash equivalents of $25.9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February 27, 2024, the Company closed a private placement financing of $51.0 million and additionally granting investors the right to purchase up to an additional $30.0 million of common stock 18 months following the closing of the private placement financing. The financing raised will allow the Company to further advance its lead program for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evaluating several financing strategies to increase our cash reserves, including direct equity investments and the potential licensing and monetization of other Company programs. The timing and availability of such additional funding are not yet known and we can provide no assurance that these plans will be successful.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ATM Offering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TD Cowen Sales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w:t>
      </w:r>
      <w:r>
        <w:rPr>
          <w:rFonts w:ascii="Times New Roman;serif" w:hAnsi="Times New Roman;serif"/>
          <w:b w:val="false"/>
          <w:color w:val="000000"/>
          <w:sz w:val="20"/>
          <w:shd w:fill="FFFFFF" w:val="clear"/>
        </w:rPr>
        <w:t>General Instruction I.B.6 of Form S-3</w:t>
      </w:r>
      <w:r>
        <w:rPr>
          <w:rFonts w:ascii="Times New Roman;serif" w:hAnsi="Times New Roman;serif"/>
          <w:b w:val="false"/>
          <w:color w:val="000000"/>
          <w:sz w:val="20"/>
        </w:rPr>
        <w:t>. We are not obligated to sell any shares under the TD Cowen Sales Agreement. Under the terms of the TD Cowen Sales Agreement, we will pay TD Cowen a commission of 3% of the aggregate proceeds from the sale of shares and reimburse certain legal fees or other disbursements. As of June 30, 2025, we have sold 179,400 shares of Class A common stock under the TD Cowen ATM Offering for net proceeds of $2.5 million, leaving $47.5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tbl>
      <w:tblPr>
        <w:tblW w:w="6924" w:type="dxa"/>
        <w:jc w:val="left"/>
        <w:tblInd w:w="0" w:type="dxa"/>
        <w:tblLayout w:type="fixed"/>
        <w:tblCellMar>
          <w:top w:w="28" w:type="dxa"/>
          <w:left w:w="28" w:type="dxa"/>
          <w:bottom w:w="28" w:type="dxa"/>
          <w:right w:w="28" w:type="dxa"/>
        </w:tblCellMar>
      </w:tblPr>
      <w:tblGrid>
        <w:gridCol w:w="1561"/>
        <w:gridCol w:w="1377"/>
        <w:gridCol w:w="1382"/>
        <w:gridCol w:w="211"/>
        <w:gridCol w:w="796"/>
        <w:gridCol w:w="109"/>
        <w:gridCol w:w="109"/>
        <w:gridCol w:w="109"/>
        <w:gridCol w:w="109"/>
        <w:gridCol w:w="211"/>
        <w:gridCol w:w="79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36,080 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56"/>
        <w:jc w:val="both"/>
        <w:rPr/>
      </w:pPr>
      <w:r>
        <w:rPr>
          <w:rFonts w:ascii="Times New Roman;serif" w:hAnsi="Times New Roman;serif"/>
          <w:b w:val="false"/>
          <w:color w:val="000000"/>
          <w:sz w:val="20"/>
        </w:rPr>
        <w:t>For the six months ended June 30, 2025, our net cash used in operating activities decreased by $3.3 million from the six months ended June 30, 2024</w:t>
      </w:r>
      <w:r>
        <w:rPr>
          <w:rFonts w:ascii="Times New Roman;serif" w:hAnsi="Times New Roman;serif"/>
          <w:b w:val="false"/>
          <w:color w:val="000000"/>
          <w:sz w:val="20"/>
          <w:shd w:fill="FFFFFF" w:val="clear"/>
        </w:rPr>
        <w:t>. The significant contributor to the change in cash used during the year was working capital changes.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investing activities for the six months ended June 30, 2025 and 2024.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provided by financing activities was driven by sales of our Class A common stock and proceeds from pre-funded warrants of $51.0 million from the Private Placement financing. Cash flows from financing activities for the six months ended June 30, 2025 were immaterial.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progress, costs, results and timing of our trials to evaluate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maintain control over our costs in line with our budget for our lead product candidate, </w:t>
      </w:r>
      <w:r>
        <w:rPr>
          <w:rFonts w:ascii="Times New Roman;serif" w:hAnsi="Times New Roman;serif"/>
          <w:b w:val="false"/>
          <w:i/>
          <w:color w:val="000000"/>
          <w:sz w:val="20"/>
        </w:rPr>
        <w:t>cadisegliatin</w:t>
      </w:r>
      <w:r>
        <w:rPr>
          <w:rFonts w:ascii="Times New Roman;serif" w:hAnsi="Times New Roman;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of any payments we are required to make to M&amp;F TTP Holdings Two LLC in the future under the Tax Receivable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erif" w:hAnsi="Times New Roman;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2024. There have been no material changes to our critical accounting policies and estimates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discussion of recent accounting pronouncements in Note 2, “Summary of Significant Accounting Policies”, to the Unaudited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material interest rate exposure.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June 30, 2025. Based upon that evaluation, our Chief Executive Officer and Chief Financial Officer concluded that, as of June 30,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risk factors are set forth under the heading “Risk Factors” under Item 1A of Part I in our Annual Report on Form 10-K for the year ended December 31, 2024. The Company disclosed material changes to our risk factors in our Quarterly Report on Form 10-Q for the quarter ended March 31, 2025, from those previously disclosed in our Annual Report on Form 10-K for the year ended December 31, 2024.</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80" w:after="283"/>
        <w:ind w:left="0" w:right="0" w:firstLine="54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fiscal quarter ended June 30,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630xexx311.htm">
              <w:r>
                <w:rPr>
                  <w:rStyle w:val="InternetLink"/>
                  <w:rFonts w:ascii="Times New Roman;serif" w:hAnsi="Times New Roman;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630xexx312.htm">
              <w:r>
                <w:rPr>
                  <w:rStyle w:val="InternetLink"/>
                  <w:rFonts w:ascii="Times New Roman;serif" w:hAnsi="Times New Roman;serif"/>
                  <w:b w:val="false"/>
                  <w:color w:val="000080"/>
                  <w:sz w:val="20"/>
                  <w:u w:val="single"/>
                </w:rPr>
                <w:t xml:space="preserve">Certification of Chief </w:t>
              </w:r>
            </w:hyperlink>
            <w:hyperlink w:anchor="vtvt-20250630xexx312.htm">
              <w:r>
                <w:rPr>
                  <w:rStyle w:val="InternetLink"/>
                  <w:rFonts w:ascii="Times New Roman;serif" w:hAnsi="Times New Roman;serif"/>
                  <w:b w:val="false"/>
                  <w:color w:val="000080"/>
                  <w:sz w:val="20"/>
                  <w:u w:val="single"/>
                </w:rPr>
                <w:t>Financial</w:t>
              </w:r>
            </w:hyperlink>
            <w:hyperlink w:anchor="vtvt-20250630xexx312.htm">
              <w:r>
                <w:rPr>
                  <w:rStyle w:val="InternetLink"/>
                  <w:rFonts w:ascii="Times New Roman;serif" w:hAnsi="Times New Roman;serif"/>
                  <w:b w:val="false"/>
                  <w:color w:val="000080"/>
                  <w:sz w:val="20"/>
                  <w:u w:val="single"/>
                </w:rPr>
                <w:t xml:space="preser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50630xexx321.htm">
              <w:r>
                <w:rPr>
                  <w:rStyle w:val="InternetLink"/>
                  <w:rFonts w:ascii="Times New Roman;serif" w:hAnsi="Times New Roman;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630xexx322.htm">
              <w:r>
                <w:rPr>
                  <w:rStyle w:val="InternetLink"/>
                  <w:rFonts w:ascii="Times New Roman;serif" w:hAnsi="Times New Roman;serif"/>
                  <w:b w:val="false"/>
                  <w:color w:val="000080"/>
                  <w:sz w:val="20"/>
                  <w:u w:val="single"/>
                </w:rPr>
                <w:t xml:space="preserve">Certification of Chief </w:t>
              </w:r>
            </w:hyperlink>
            <w:hyperlink w:anchor="vtvt-20250630xexx322.htm">
              <w:r>
                <w:rPr>
                  <w:rStyle w:val="InternetLink"/>
                  <w:rFonts w:ascii="Times New Roman;serif" w:hAnsi="Times New Roman;serif"/>
                  <w:b w:val="false"/>
                  <w:color w:val="000080"/>
                  <w:sz w:val="20"/>
                  <w:u w:val="single"/>
                </w:rPr>
                <w:t>Financial</w:t>
              </w:r>
            </w:hyperlink>
            <w:hyperlink w:anchor="vtvt-20250630xexx322.htm">
              <w:r>
                <w:rPr>
                  <w:rStyle w:val="InternetLink"/>
                  <w:rFonts w:ascii="Times New Roman;serif" w:hAnsi="Times New Roman;serif"/>
                  <w:b w:val="false"/>
                  <w:color w:val="000080"/>
                  <w:sz w:val="20"/>
                  <w:u w:val="single"/>
                </w:rPr>
                <w:t xml:space="preser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80a1060adddc4a789c76c4f42dd8d90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bl>
      <w:tblPr>
        <w:tblW w:w="59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0"/>
        <w:gridCol w:w="1510"/>
        <w:gridCol w:w="2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Paul J. Sekhri,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August 12,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Michael Tung,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June 30, 2025,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June 30, 2025, as filed with the Securities and Exchange Commission on the date hereof (the “Report”), I, Michael Tung,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15924</Words>
  <Characters>87740</Characters>
  <CharactersWithSpaces>102719</CharactersWithSpaces>
  <Paragraphs>1727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