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408940</wp:posOffset>
            </wp:positionV>
            <wp:extent cx="612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434975</wp:posOffset>
            </wp:positionV>
            <wp:extent cx="6120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5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7" w:lineRule="exact"/>
        <w:rPr>
          <w:sz w:val="24"/>
          <w:szCs w:val="24"/>
          <w:color w:val="auto"/>
        </w:rPr>
      </w:pPr>
    </w:p>
    <w:p>
      <w:pPr>
        <w:ind w:left="380" w:hanging="354"/>
        <w:spacing w:after="0"/>
        <w:tabs>
          <w:tab w:leader="none" w:pos="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80" w:hanging="354"/>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7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740" w:type="dxa"/>
            <w:vAlign w:val="bottom"/>
            <w:gridSpan w:val="3"/>
          </w:tcPr>
          <w:p>
            <w:pPr>
              <w:jc w:val="center"/>
              <w:ind w:right="2318"/>
              <w:spacing w:after="0"/>
              <w:rPr>
                <w:sz w:val="20"/>
                <w:szCs w:val="20"/>
                <w:color w:val="auto"/>
              </w:rPr>
            </w:pPr>
            <w:r>
              <w:rPr>
                <w:rFonts w:ascii="Arial" w:cs="Arial" w:eastAsia="Arial" w:hAnsi="Arial"/>
                <w:sz w:val="18"/>
                <w:szCs w:val="18"/>
                <w:b w:val="1"/>
                <w:bCs w:val="1"/>
                <w:color w:val="auto"/>
                <w:w w:val="90"/>
              </w:rPr>
              <w:t>Commission file number: 001-37524</w:t>
            </w:r>
          </w:p>
        </w:tc>
      </w:tr>
      <w:tr>
        <w:trPr>
          <w:trHeight w:val="256"/>
        </w:trPr>
        <w:tc>
          <w:tcPr>
            <w:tcW w:w="3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740" w:type="dxa"/>
            <w:vAlign w:val="bottom"/>
            <w:gridSpan w:val="3"/>
          </w:tcPr>
          <w:p>
            <w:pPr>
              <w:jc w:val="center"/>
              <w:ind w:right="2338"/>
              <w:spacing w:after="0"/>
              <w:rPr>
                <w:sz w:val="20"/>
                <w:szCs w:val="20"/>
                <w:color w:val="auto"/>
              </w:rPr>
            </w:pPr>
            <w:r>
              <w:rPr>
                <w:rFonts w:ascii="Arial" w:cs="Arial" w:eastAsia="Arial" w:hAnsi="Arial"/>
                <w:sz w:val="18"/>
                <w:szCs w:val="18"/>
                <w:color w:val="auto"/>
                <w:w w:val="89"/>
              </w:rPr>
              <w:t>_____________________________</w:t>
            </w:r>
          </w:p>
        </w:tc>
      </w:tr>
      <w:tr>
        <w:trPr>
          <w:trHeight w:val="333"/>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80" w:type="dxa"/>
            <w:vAlign w:val="bottom"/>
            <w:gridSpan w:val="2"/>
          </w:tcPr>
          <w:p>
            <w:pPr>
              <w:jc w:val="center"/>
              <w:ind w:right="2698"/>
              <w:spacing w:after="0"/>
              <w:rPr>
                <w:sz w:val="20"/>
                <w:szCs w:val="20"/>
                <w:color w:val="auto"/>
              </w:rPr>
            </w:pPr>
            <w:r>
              <w:rPr>
                <w:rFonts w:ascii="Arial" w:cs="Arial" w:eastAsia="Arial" w:hAnsi="Arial"/>
                <w:sz w:val="25"/>
                <w:szCs w:val="25"/>
                <w:b w:val="1"/>
                <w:bCs w:val="1"/>
                <w:color w:val="auto"/>
                <w:w w:val="92"/>
              </w:rPr>
              <w:t>vTv Therapeutics Inc.</w:t>
            </w:r>
          </w:p>
        </w:tc>
      </w:tr>
      <w:tr>
        <w:trPr>
          <w:trHeight w:val="248"/>
        </w:trPr>
        <w:tc>
          <w:tcPr>
            <w:tcW w:w="360" w:type="dxa"/>
            <w:vAlign w:val="bottom"/>
          </w:tcPr>
          <w:p>
            <w:pPr>
              <w:spacing w:after="0"/>
              <w:rPr>
                <w:sz w:val="21"/>
                <w:szCs w:val="21"/>
                <w:color w:val="auto"/>
              </w:rPr>
            </w:pPr>
          </w:p>
        </w:tc>
        <w:tc>
          <w:tcPr>
            <w:tcW w:w="9340" w:type="dxa"/>
            <w:vAlign w:val="bottom"/>
            <w:gridSpan w:val="4"/>
          </w:tcPr>
          <w:p>
            <w:pPr>
              <w:jc w:val="center"/>
              <w:ind w:left="1115"/>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57"/>
        </w:trPr>
        <w:tc>
          <w:tcPr>
            <w:tcW w:w="3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740" w:type="dxa"/>
            <w:vAlign w:val="bottom"/>
            <w:gridSpan w:val="3"/>
          </w:tcPr>
          <w:p>
            <w:pPr>
              <w:jc w:val="center"/>
              <w:ind w:right="2338"/>
              <w:spacing w:after="0"/>
              <w:rPr>
                <w:sz w:val="20"/>
                <w:szCs w:val="20"/>
                <w:color w:val="auto"/>
              </w:rPr>
            </w:pPr>
            <w:r>
              <w:rPr>
                <w:rFonts w:ascii="Arial" w:cs="Arial" w:eastAsia="Arial" w:hAnsi="Arial"/>
                <w:sz w:val="18"/>
                <w:szCs w:val="18"/>
                <w:color w:val="auto"/>
                <w:w w:val="89"/>
              </w:rPr>
              <w:t>_____________________________</w:t>
            </w:r>
          </w:p>
        </w:tc>
      </w:tr>
      <w:tr>
        <w:trPr>
          <w:trHeight w:val="310"/>
        </w:trPr>
        <w:tc>
          <w:tcPr>
            <w:tcW w:w="360" w:type="dxa"/>
            <w:vAlign w:val="bottom"/>
          </w:tcPr>
          <w:p>
            <w:pPr>
              <w:spacing w:after="0"/>
              <w:rPr>
                <w:sz w:val="24"/>
                <w:szCs w:val="24"/>
                <w:color w:val="auto"/>
              </w:rPr>
            </w:pPr>
          </w:p>
        </w:tc>
        <w:tc>
          <w:tcPr>
            <w:tcW w:w="3600" w:type="dxa"/>
            <w:vAlign w:val="bottom"/>
          </w:tcPr>
          <w:p>
            <w:pPr>
              <w:jc w:val="center"/>
              <w:ind w:left="435"/>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80" w:type="dxa"/>
            <w:vAlign w:val="bottom"/>
          </w:tcPr>
          <w:p>
            <w:pPr>
              <w:jc w:val="right"/>
              <w:ind w:right="1938"/>
              <w:spacing w:after="0"/>
              <w:rPr>
                <w:sz w:val="20"/>
                <w:szCs w:val="20"/>
                <w:color w:val="auto"/>
              </w:rPr>
            </w:pPr>
            <w:r>
              <w:rPr>
                <w:rFonts w:ascii="Arial" w:cs="Arial" w:eastAsia="Arial" w:hAnsi="Arial"/>
                <w:sz w:val="18"/>
                <w:szCs w:val="18"/>
                <w:b w:val="1"/>
                <w:bCs w:val="1"/>
                <w:color w:val="auto"/>
              </w:rPr>
              <w:t>47-3916571</w:t>
            </w:r>
          </w:p>
        </w:tc>
      </w:tr>
      <w:tr>
        <w:trPr>
          <w:trHeight w:val="193"/>
        </w:trPr>
        <w:tc>
          <w:tcPr>
            <w:tcW w:w="360" w:type="dxa"/>
            <w:vAlign w:val="bottom"/>
          </w:tcPr>
          <w:p>
            <w:pPr>
              <w:spacing w:after="0"/>
              <w:rPr>
                <w:sz w:val="16"/>
                <w:szCs w:val="16"/>
                <w:color w:val="auto"/>
              </w:rPr>
            </w:pPr>
          </w:p>
        </w:tc>
        <w:tc>
          <w:tcPr>
            <w:tcW w:w="3600" w:type="dxa"/>
            <w:vAlign w:val="bottom"/>
          </w:tcPr>
          <w:p>
            <w:pPr>
              <w:jc w:val="center"/>
              <w:ind w:left="435"/>
              <w:spacing w:after="0"/>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780" w:type="dxa"/>
            <w:vAlign w:val="bottom"/>
          </w:tcPr>
          <w:p>
            <w:pPr>
              <w:jc w:val="center"/>
              <w:ind w:right="105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 w:type="dxa"/>
            <w:vAlign w:val="bottom"/>
          </w:tcPr>
          <w:p>
            <w:pPr>
              <w:spacing w:after="0"/>
              <w:rPr>
                <w:sz w:val="16"/>
                <w:szCs w:val="16"/>
                <w:color w:val="auto"/>
              </w:rPr>
            </w:pPr>
          </w:p>
        </w:tc>
        <w:tc>
          <w:tcPr>
            <w:tcW w:w="3600" w:type="dxa"/>
            <w:vAlign w:val="bottom"/>
          </w:tcPr>
          <w:p>
            <w:pPr>
              <w:jc w:val="center"/>
              <w:ind w:left="435"/>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780" w:type="dxa"/>
            <w:vAlign w:val="bottom"/>
          </w:tcPr>
          <w:p>
            <w:pPr>
              <w:jc w:val="center"/>
              <w:ind w:right="1038"/>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360" w:type="dxa"/>
            <w:vAlign w:val="bottom"/>
          </w:tcPr>
          <w:p>
            <w:pPr>
              <w:spacing w:after="0"/>
              <w:rPr>
                <w:sz w:val="24"/>
                <w:szCs w:val="24"/>
                <w:color w:val="auto"/>
              </w:rPr>
            </w:pPr>
          </w:p>
        </w:tc>
        <w:tc>
          <w:tcPr>
            <w:tcW w:w="3600" w:type="dxa"/>
            <w:vAlign w:val="bottom"/>
          </w:tcPr>
          <w:p>
            <w:pPr>
              <w:jc w:val="center"/>
              <w:ind w:left="455"/>
              <w:spacing w:after="0"/>
              <w:rPr>
                <w:sz w:val="20"/>
                <w:szCs w:val="20"/>
                <w:color w:val="auto"/>
              </w:rPr>
            </w:pPr>
            <w:r>
              <w:rPr>
                <w:rFonts w:ascii="Arial" w:cs="Arial" w:eastAsia="Arial" w:hAnsi="Arial"/>
                <w:sz w:val="18"/>
                <w:szCs w:val="18"/>
                <w:b w:val="1"/>
                <w:bCs w:val="1"/>
                <w:color w:val="auto"/>
                <w:w w:val="91"/>
              </w:rPr>
              <w:t>3980 Premier Dr, Suite 310</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3600" w:type="dxa"/>
            <w:vAlign w:val="bottom"/>
          </w:tcPr>
          <w:p>
            <w:pPr>
              <w:jc w:val="center"/>
              <w:ind w:left="435"/>
              <w:spacing w:after="0"/>
              <w:rPr>
                <w:sz w:val="20"/>
                <w:szCs w:val="20"/>
                <w:color w:val="auto"/>
              </w:rPr>
            </w:pPr>
            <w:r>
              <w:rPr>
                <w:rFonts w:ascii="Arial" w:cs="Arial" w:eastAsia="Arial" w:hAnsi="Arial"/>
                <w:sz w:val="18"/>
                <w:szCs w:val="18"/>
                <w:b w:val="1"/>
                <w:bCs w:val="1"/>
                <w:color w:val="auto"/>
                <w:w w:val="95"/>
              </w:rPr>
              <w:t>High Point, NC</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780" w:type="dxa"/>
            <w:vAlign w:val="bottom"/>
          </w:tcPr>
          <w:p>
            <w:pPr>
              <w:jc w:val="right"/>
              <w:ind w:right="2138"/>
              <w:spacing w:after="0"/>
              <w:rPr>
                <w:sz w:val="20"/>
                <w:szCs w:val="20"/>
                <w:color w:val="auto"/>
              </w:rPr>
            </w:pPr>
            <w:r>
              <w:rPr>
                <w:rFonts w:ascii="Arial" w:cs="Arial" w:eastAsia="Arial" w:hAnsi="Arial"/>
                <w:sz w:val="18"/>
                <w:szCs w:val="18"/>
                <w:b w:val="1"/>
                <w:bCs w:val="1"/>
                <w:color w:val="auto"/>
              </w:rPr>
              <w:t>27265</w:t>
            </w:r>
          </w:p>
        </w:tc>
      </w:tr>
      <w:tr>
        <w:trPr>
          <w:trHeight w:val="218"/>
        </w:trPr>
        <w:tc>
          <w:tcPr>
            <w:tcW w:w="360" w:type="dxa"/>
            <w:vAlign w:val="bottom"/>
          </w:tcPr>
          <w:p>
            <w:pPr>
              <w:spacing w:after="0"/>
              <w:rPr>
                <w:sz w:val="18"/>
                <w:szCs w:val="18"/>
                <w:color w:val="auto"/>
              </w:rPr>
            </w:pPr>
          </w:p>
        </w:tc>
        <w:tc>
          <w:tcPr>
            <w:tcW w:w="3600" w:type="dxa"/>
            <w:vAlign w:val="bottom"/>
          </w:tcPr>
          <w:p>
            <w:pPr>
              <w:jc w:val="center"/>
              <w:ind w:left="45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jc w:val="center"/>
              <w:ind w:right="1038"/>
              <w:spacing w:after="0"/>
              <w:rPr>
                <w:sz w:val="20"/>
                <w:szCs w:val="20"/>
                <w:color w:val="auto"/>
              </w:rPr>
            </w:pPr>
            <w:r>
              <w:rPr>
                <w:rFonts w:ascii="Arial" w:cs="Arial" w:eastAsia="Arial" w:hAnsi="Arial"/>
                <w:sz w:val="14"/>
                <w:szCs w:val="14"/>
                <w:b w:val="1"/>
                <w:bCs w:val="1"/>
                <w:color w:val="auto"/>
                <w:w w:val="95"/>
              </w:rPr>
              <w:t>(Zip Code)</w:t>
            </w:r>
          </w:p>
        </w:tc>
      </w:tr>
      <w:tr>
        <w:trPr>
          <w:trHeight w:val="377"/>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740" w:type="dxa"/>
            <w:vAlign w:val="bottom"/>
            <w:gridSpan w:val="3"/>
          </w:tcPr>
          <w:p>
            <w:pPr>
              <w:jc w:val="center"/>
              <w:ind w:right="2338"/>
              <w:spacing w:after="0"/>
              <w:rPr>
                <w:sz w:val="20"/>
                <w:szCs w:val="20"/>
                <w:color w:val="auto"/>
              </w:rPr>
            </w:pPr>
            <w:r>
              <w:rPr>
                <w:rFonts w:ascii="Arial" w:cs="Arial" w:eastAsia="Arial" w:hAnsi="Arial"/>
                <w:sz w:val="18"/>
                <w:szCs w:val="18"/>
                <w:b w:val="1"/>
                <w:bCs w:val="1"/>
                <w:color w:val="auto"/>
                <w:w w:val="90"/>
              </w:rPr>
              <w:t>(336) 841-0300</w:t>
            </w:r>
          </w:p>
        </w:tc>
      </w:tr>
      <w:tr>
        <w:trPr>
          <w:trHeight w:val="204"/>
        </w:trPr>
        <w:tc>
          <w:tcPr>
            <w:tcW w:w="3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5740" w:type="dxa"/>
            <w:vAlign w:val="bottom"/>
            <w:gridSpan w:val="3"/>
          </w:tcPr>
          <w:p>
            <w:pPr>
              <w:jc w:val="center"/>
              <w:ind w:right="233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360" w:type="dxa"/>
            <w:vAlign w:val="bottom"/>
          </w:tcPr>
          <w:p>
            <w:pPr>
              <w:spacing w:after="0"/>
              <w:rPr>
                <w:sz w:val="22"/>
                <w:szCs w:val="22"/>
                <w:color w:val="auto"/>
              </w:rPr>
            </w:pPr>
          </w:p>
        </w:tc>
        <w:tc>
          <w:tcPr>
            <w:tcW w:w="9340" w:type="dxa"/>
            <w:vAlign w:val="bottom"/>
            <w:gridSpan w:val="4"/>
          </w:tcPr>
          <w:p>
            <w:pPr>
              <w:jc w:val="center"/>
              <w:ind w:left="1095"/>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57"/>
        </w:trPr>
        <w:tc>
          <w:tcPr>
            <w:tcW w:w="3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740" w:type="dxa"/>
            <w:vAlign w:val="bottom"/>
            <w:gridSpan w:val="3"/>
          </w:tcPr>
          <w:p>
            <w:pPr>
              <w:jc w:val="center"/>
              <w:ind w:right="2338"/>
              <w:spacing w:after="0"/>
              <w:rPr>
                <w:sz w:val="20"/>
                <w:szCs w:val="20"/>
                <w:color w:val="auto"/>
              </w:rPr>
            </w:pPr>
            <w:r>
              <w:rPr>
                <w:rFonts w:ascii="Arial" w:cs="Arial" w:eastAsia="Arial" w:hAnsi="Arial"/>
                <w:sz w:val="18"/>
                <w:szCs w:val="18"/>
                <w:color w:val="auto"/>
                <w:w w:val="89"/>
              </w:rPr>
              <w:t>_____________________________</w:t>
            </w:r>
          </w:p>
        </w:tc>
      </w:tr>
      <w:tr>
        <w:trPr>
          <w:trHeight w:val="256"/>
        </w:trPr>
        <w:tc>
          <w:tcPr>
            <w:tcW w:w="59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80" w:type="dxa"/>
            <w:vAlign w:val="bottom"/>
          </w:tcPr>
          <w:p>
            <w:pPr>
              <w:spacing w:after="0"/>
              <w:rPr>
                <w:sz w:val="22"/>
                <w:szCs w:val="22"/>
                <w:color w:val="auto"/>
              </w:rPr>
            </w:pPr>
          </w:p>
        </w:tc>
      </w:tr>
      <w:tr>
        <w:trPr>
          <w:trHeight w:val="135"/>
        </w:trPr>
        <w:tc>
          <w:tcPr>
            <w:tcW w:w="360" w:type="dxa"/>
            <w:vAlign w:val="bottom"/>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Title of each class</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360" w:type="dxa"/>
            <w:vAlign w:val="bottom"/>
            <w:tcBorders>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89"/>
              </w:rPr>
              <w:t>Class A common stock, par value $0.01 per share</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VTVT</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Capital Market</w:t>
            </w:r>
          </w:p>
        </w:tc>
      </w:tr>
      <w:tr>
        <w:trPr>
          <w:trHeight w:val="27"/>
        </w:trPr>
        <w:tc>
          <w:tcPr>
            <w:tcW w:w="360" w:type="dxa"/>
            <w:vAlign w:val="bottom"/>
            <w:tcBorders>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line="134" w:lineRule="exact"/>
        <w:rPr>
          <w:sz w:val="24"/>
          <w:szCs w:val="24"/>
          <w:color w:val="auto"/>
        </w:rPr>
      </w:pPr>
    </w:p>
    <w:p>
      <w:pPr>
        <w:jc w:val="both"/>
        <w:ind w:firstLine="486"/>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8" w:lineRule="exact"/>
        <w:rPr>
          <w:sz w:val="24"/>
          <w:szCs w:val="24"/>
          <w:color w:val="auto"/>
        </w:rPr>
      </w:pPr>
    </w:p>
    <w:p>
      <w:pPr>
        <w:jc w:val="both"/>
        <w:ind w:firstLine="486"/>
        <w:spacing w:after="0" w:line="24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files). Yes x No o</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w:t>
      </w:r>
    </w:p>
    <w:p>
      <w:pPr>
        <w:spacing w:after="0" w:line="21" w:lineRule="exact"/>
        <w:rPr>
          <w:sz w:val="24"/>
          <w:szCs w:val="24"/>
          <w:color w:val="auto"/>
        </w:rPr>
      </w:pPr>
    </w:p>
    <w:p>
      <w:pPr>
        <w:jc w:val="both"/>
        <w:spacing w:after="0" w:line="226" w:lineRule="auto"/>
        <w:rPr>
          <w:sz w:val="20"/>
          <w:szCs w:val="20"/>
          <w:color w:val="auto"/>
        </w:rPr>
      </w:pPr>
      <w:r>
        <w:rPr>
          <w:rFonts w:ascii="Arial" w:cs="Arial" w:eastAsia="Arial" w:hAnsi="Arial"/>
          <w:sz w:val="18"/>
          <w:szCs w:val="18"/>
          <w:color w:val="auto"/>
        </w:rPr>
        <w:t>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520"/>
              <w:spacing w:after="0"/>
              <w:rPr>
                <w:sz w:val="20"/>
                <w:szCs w:val="20"/>
                <w:color w:val="auto"/>
              </w:rPr>
            </w:pPr>
            <w:r>
              <w:rPr>
                <w:rFonts w:ascii="Arial" w:cs="Arial" w:eastAsia="Arial" w:hAnsi="Arial"/>
                <w:sz w:val="18"/>
                <w:szCs w:val="18"/>
                <w:color w:val="auto"/>
              </w:rPr>
              <w:t>o</w:t>
            </w:r>
          </w:p>
        </w:tc>
        <w:tc>
          <w:tcPr>
            <w:tcW w:w="408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o</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520"/>
              <w:spacing w:after="0"/>
              <w:rPr>
                <w:sz w:val="20"/>
                <w:szCs w:val="20"/>
                <w:color w:val="auto"/>
              </w:rPr>
            </w:pPr>
            <w:r>
              <w:rPr>
                <w:rFonts w:ascii="Arial" w:cs="Arial" w:eastAsia="Arial" w:hAnsi="Arial"/>
                <w:sz w:val="18"/>
                <w:szCs w:val="18"/>
                <w:color w:val="auto"/>
              </w:rPr>
              <w:t>o</w:t>
            </w:r>
          </w:p>
        </w:tc>
        <w:tc>
          <w:tcPr>
            <w:tcW w:w="408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520"/>
              <w:spacing w:after="0"/>
              <w:rPr>
                <w:sz w:val="20"/>
                <w:szCs w:val="20"/>
                <w:color w:val="auto"/>
              </w:rPr>
            </w:pPr>
            <w:r>
              <w:rPr>
                <w:rFonts w:ascii="Arial" w:cs="Arial" w:eastAsia="Arial" w:hAnsi="Arial"/>
                <w:sz w:val="18"/>
                <w:szCs w:val="18"/>
                <w:color w:val="auto"/>
                <w:w w:val="88"/>
              </w:rPr>
              <w:t>x</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20" w:type="dxa"/>
            <w:vAlign w:val="bottom"/>
          </w:tcPr>
          <w:p>
            <w:pPr>
              <w:ind w:left="520"/>
              <w:spacing w:after="0"/>
              <w:rPr>
                <w:sz w:val="20"/>
                <w:szCs w:val="20"/>
                <w:color w:val="auto"/>
              </w:rPr>
            </w:pPr>
            <w:r>
              <w:rPr>
                <w:rFonts w:ascii="Arial" w:cs="Arial" w:eastAsia="Arial" w:hAnsi="Arial"/>
                <w:sz w:val="18"/>
                <w:szCs w:val="18"/>
                <w:color w:val="auto"/>
              </w:rPr>
              <w:t>o</w:t>
            </w:r>
          </w:p>
        </w:tc>
        <w:tc>
          <w:tcPr>
            <w:tcW w:w="408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61" w:lineRule="exact"/>
        <w:rPr>
          <w:sz w:val="24"/>
          <w:szCs w:val="24"/>
          <w:color w:val="auto"/>
        </w:rPr>
      </w:pPr>
    </w:p>
    <w:p>
      <w:pPr>
        <w:ind w:right="20" w:firstLine="486"/>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Class of Stock</w:t>
            </w:r>
          </w:p>
        </w:tc>
        <w:tc>
          <w:tcPr>
            <w:tcW w:w="80" w:type="dxa"/>
            <w:vAlign w:val="bottom"/>
          </w:tcPr>
          <w:p>
            <w:pPr>
              <w:spacing w:after="0"/>
              <w:rPr>
                <w:sz w:val="16"/>
                <w:szCs w:val="16"/>
                <w:color w:val="auto"/>
              </w:rPr>
            </w:pPr>
          </w:p>
        </w:tc>
        <w:tc>
          <w:tcPr>
            <w:tcW w:w="5580" w:type="dxa"/>
            <w:vAlign w:val="bottom"/>
            <w:gridSpan w:val="3"/>
          </w:tcPr>
          <w:p>
            <w:pPr>
              <w:ind w:left="1140"/>
              <w:spacing w:after="0"/>
              <w:rPr>
                <w:sz w:val="20"/>
                <w:szCs w:val="20"/>
                <w:color w:val="auto"/>
              </w:rPr>
            </w:pPr>
            <w:r>
              <w:rPr>
                <w:rFonts w:ascii="Arial" w:cs="Arial" w:eastAsia="Arial" w:hAnsi="Arial"/>
                <w:sz w:val="14"/>
                <w:szCs w:val="14"/>
                <w:b w:val="1"/>
                <w:bCs w:val="1"/>
                <w:color w:val="auto"/>
              </w:rPr>
              <w:t>Shares Outstanding as of August 11, 2023</w:t>
            </w:r>
          </w:p>
        </w:tc>
      </w:tr>
      <w:tr>
        <w:trPr>
          <w:trHeight w:val="39"/>
        </w:trPr>
        <w:tc>
          <w:tcPr>
            <w:tcW w:w="80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36"/>
        </w:trPr>
        <w:tc>
          <w:tcPr>
            <w:tcW w:w="8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81,483,600</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7"/>
        </w:trPr>
        <w:tc>
          <w:tcPr>
            <w:tcW w:w="80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Class B common stock, par value $0.01 per share</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23,093,860</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800" w:type="dxa"/>
            <w:vAlign w:val="bottom"/>
            <w:tcBorders>
              <w:bottom w:val="single" w:sz="8" w:color="auto"/>
            </w:tcBorders>
          </w:tcPr>
          <w:p>
            <w:pPr>
              <w:spacing w:after="0"/>
              <w:rPr>
                <w:sz w:val="23"/>
                <w:szCs w:val="23"/>
                <w:color w:val="auto"/>
              </w:rPr>
            </w:pPr>
          </w:p>
        </w:tc>
        <w:tc>
          <w:tcPr>
            <w:tcW w:w="47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7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7"/>
        </w:trPr>
        <w:tc>
          <w:tcPr>
            <w:tcW w:w="8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041"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 ENDED JUNE 30, 2023</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57"/>
        </w:trPr>
        <w:tc>
          <w:tcPr>
            <w:tcW w:w="9880" w:type="dxa"/>
            <w:vAlign w:val="bottom"/>
            <w:gridSpan w:val="20"/>
          </w:tcPr>
          <w:p>
            <w:pPr>
              <w:spacing w:after="0"/>
              <w:rPr>
                <w:sz w:val="20"/>
                <w:szCs w:val="20"/>
                <w:color w:val="auto"/>
              </w:rPr>
            </w:pPr>
            <w:r>
              <w:rPr>
                <w:rFonts w:ascii="Arial" w:cs="Arial" w:eastAsia="Arial" w:hAnsi="Arial"/>
                <w:sz w:val="18"/>
                <w:szCs w:val="18"/>
                <w:color w:val="0000FF"/>
              </w:rPr>
              <w:t>PART I – FINANCIAL INFORMATION</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70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Balance Sheets as of June 30, 2023 (Unaudited) and December 31, 2022</w:t>
            </w:r>
          </w:p>
        </w:tc>
        <w:tc>
          <w:tcPr>
            <w:tcW w:w="188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w w:val="90"/>
              </w:rPr>
              <w:t>Unaudited Condensed Consolidated Statements of Operations for the three and six months ended June 30, 2023 and 2022</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940" w:type="dxa"/>
            <w:vAlign w:val="bottom"/>
          </w:tcPr>
          <w:p>
            <w:pPr>
              <w:spacing w:after="0"/>
              <w:rPr>
                <w:sz w:val="24"/>
                <w:szCs w:val="24"/>
                <w:color w:val="auto"/>
              </w:rPr>
            </w:pPr>
          </w:p>
        </w:tc>
        <w:tc>
          <w:tcPr>
            <w:tcW w:w="87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w w:val="93"/>
              </w:rPr>
              <w:t>Unaudited Condensed Consolidated Statement of Changes in Redeemable Noncontrolling Interest and Stockholders’</w:t>
            </w:r>
          </w:p>
        </w:tc>
        <w:tc>
          <w:tcPr>
            <w:tcW w:w="2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80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89"/>
              </w:rPr>
              <w:t>Deficit for the three and six months ended June 30, 2023 and 2022</w:t>
            </w:r>
          </w:p>
        </w:tc>
        <w:tc>
          <w:tcPr>
            <w:tcW w:w="3460" w:type="dxa"/>
            <w:vAlign w:val="bottom"/>
            <w:tcBorders>
              <w:top w:val="single" w:sz="8" w:color="0000FF"/>
            </w:tcBorders>
            <w:gridSpan w:val="4"/>
          </w:tcPr>
          <w:p>
            <w:pPr>
              <w:spacing w:after="0"/>
              <w:rPr>
                <w:sz w:val="15"/>
                <w:szCs w:val="15"/>
                <w:color w:val="auto"/>
              </w:rPr>
            </w:pPr>
          </w:p>
        </w:tc>
        <w:tc>
          <w:tcPr>
            <w:tcW w:w="520" w:type="dxa"/>
            <w:vAlign w:val="bottom"/>
            <w:gridSpan w:val="2"/>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w w:val="98"/>
              </w:rPr>
              <w:t>Unaudited Condensed Consolidated Statements of Cash Flows for the Six months ended June 30, 2023 and 202</w:t>
            </w:r>
            <w:r>
              <w:rPr>
                <w:rFonts w:ascii="Arial" w:cs="Arial" w:eastAsia="Arial" w:hAnsi="Arial"/>
                <w:sz w:val="18"/>
                <w:szCs w:val="18"/>
                <w:color w:val="000000"/>
                <w:w w:val="98"/>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80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Notes to Unaudited Consolidated Financial Statements</w:t>
            </w:r>
          </w:p>
        </w:tc>
        <w:tc>
          <w:tcPr>
            <w:tcW w:w="90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50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80" w:type="dxa"/>
            <w:vAlign w:val="bottom"/>
            <w:gridSpan w:val="20"/>
          </w:tcPr>
          <w:p>
            <w:pPr>
              <w:spacing w:after="0"/>
              <w:rPr>
                <w:sz w:val="20"/>
                <w:szCs w:val="20"/>
                <w:color w:val="auto"/>
              </w:rPr>
            </w:pPr>
            <w:r>
              <w:rPr>
                <w:rFonts w:ascii="Arial" w:cs="Arial" w:eastAsia="Arial" w:hAnsi="Arial"/>
                <w:sz w:val="18"/>
                <w:szCs w:val="18"/>
                <w:color w:val="0000FF"/>
              </w:rPr>
              <w:t>PART II – OTHER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420" w:type="dxa"/>
            <w:vAlign w:val="bottom"/>
            <w:tcBorders>
              <w:top w:val="single" w:sz="8" w:color="0000FF"/>
            </w:tcBorders>
          </w:tcPr>
          <w:p>
            <w:pPr>
              <w:spacing w:after="0"/>
              <w:rPr>
                <w:sz w:val="24"/>
                <w:szCs w:val="24"/>
                <w:color w:val="auto"/>
              </w:rPr>
            </w:pPr>
          </w:p>
        </w:tc>
        <w:tc>
          <w:tcPr>
            <w:tcW w:w="7180" w:type="dxa"/>
            <w:vAlign w:val="bottom"/>
            <w:gridSpan w:val="1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894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Defaults Upon Senior Securities</w:t>
            </w:r>
          </w:p>
        </w:tc>
        <w:tc>
          <w:tcPr>
            <w:tcW w:w="4600" w:type="dxa"/>
            <w:vAlign w:val="bottom"/>
            <w:gridSpan w:val="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Mine Safety Disclosures</w:t>
            </w:r>
          </w:p>
        </w:tc>
        <w:tc>
          <w:tcPr>
            <w:tcW w:w="662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4"/>
                <w:szCs w:val="24"/>
                <w:color w:val="auto"/>
              </w:rPr>
            </w:pPr>
          </w:p>
        </w:tc>
        <w:tc>
          <w:tcPr>
            <w:tcW w:w="7180" w:type="dxa"/>
            <w:vAlign w:val="bottom"/>
            <w:gridSpan w:val="1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94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80" w:type="dxa"/>
            <w:vAlign w:val="bottom"/>
            <w:gridSpan w:val="1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4"/>
                <w:szCs w:val="24"/>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33"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194"/>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2"/>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8020" w:type="dxa"/>
            <w:vAlign w:val="bottom"/>
            <w:shd w:val="clear" w:color="auto" w:fill="C9FC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9FCFF"/>
          </w:tcPr>
          <w:p>
            <w:pPr>
              <w:spacing w:after="0"/>
              <w:rPr>
                <w:sz w:val="20"/>
                <w:szCs w:val="20"/>
                <w:color w:val="auto"/>
              </w:rPr>
            </w:pPr>
          </w:p>
        </w:tc>
        <w:tc>
          <w:tcPr>
            <w:tcW w:w="1240" w:type="dxa"/>
            <w:vAlign w:val="bottom"/>
            <w:shd w:val="clear" w:color="auto" w:fill="C9FCFF"/>
          </w:tcPr>
          <w:p>
            <w:pPr>
              <w:spacing w:after="0"/>
              <w:rPr>
                <w:sz w:val="20"/>
                <w:szCs w:val="20"/>
                <w:color w:val="auto"/>
              </w:rPr>
            </w:pPr>
          </w:p>
        </w:tc>
        <w:tc>
          <w:tcPr>
            <w:tcW w:w="100" w:type="dxa"/>
            <w:vAlign w:val="bottom"/>
            <w:shd w:val="clear" w:color="auto" w:fill="C9FCFF"/>
          </w:tcPr>
          <w:p>
            <w:pPr>
              <w:spacing w:after="0"/>
              <w:rPr>
                <w:sz w:val="20"/>
                <w:szCs w:val="20"/>
                <w:color w:val="auto"/>
              </w:rPr>
            </w:pPr>
          </w:p>
        </w:tc>
        <w:tc>
          <w:tcPr>
            <w:tcW w:w="200" w:type="dxa"/>
            <w:vAlign w:val="bottom"/>
            <w:shd w:val="clear" w:color="auto" w:fill="C9FCFF"/>
          </w:tcPr>
          <w:p>
            <w:pPr>
              <w:spacing w:after="0"/>
              <w:rPr>
                <w:sz w:val="20"/>
                <w:szCs w:val="20"/>
                <w:color w:val="auto"/>
              </w:rPr>
            </w:pPr>
          </w:p>
        </w:tc>
        <w:tc>
          <w:tcPr>
            <w:tcW w:w="1260" w:type="dxa"/>
            <w:vAlign w:val="bottom"/>
            <w:shd w:val="clear" w:color="auto" w:fill="C9FCFF"/>
          </w:tcPr>
          <w:p>
            <w:pPr>
              <w:spacing w:after="0"/>
              <w:rPr>
                <w:sz w:val="20"/>
                <w:szCs w:val="20"/>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8020" w:type="dxa"/>
            <w:vAlign w:val="bottom"/>
            <w:shd w:val="clear" w:color="auto" w:fill="EBFEFF"/>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12,599</w:t>
            </w:r>
          </w:p>
        </w:tc>
        <w:tc>
          <w:tcPr>
            <w:tcW w:w="300" w:type="dxa"/>
            <w:vAlign w:val="bottom"/>
            <w:gridSpan w:val="2"/>
            <w:shd w:val="clear" w:color="auto" w:fill="EBF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12,126</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8020" w:type="dxa"/>
            <w:vAlign w:val="bottom"/>
            <w:shd w:val="clear" w:color="auto" w:fill="EBFEFF"/>
          </w:tcPr>
          <w:p>
            <w:pPr>
              <w:ind w:left="240"/>
              <w:spacing w:after="0"/>
              <w:rPr>
                <w:sz w:val="20"/>
                <w:szCs w:val="20"/>
                <w:color w:val="auto"/>
              </w:rPr>
            </w:pPr>
            <w:r>
              <w:rPr>
                <w:rFonts w:ascii="Arial" w:cs="Arial" w:eastAsia="Arial" w:hAnsi="Arial"/>
                <w:sz w:val="18"/>
                <w:szCs w:val="18"/>
                <w:color w:val="auto"/>
              </w:rPr>
              <w:t>G42 Promissory Note receivable</w:t>
            </w:r>
          </w:p>
        </w:tc>
        <w:tc>
          <w:tcPr>
            <w:tcW w:w="240" w:type="dxa"/>
            <w:vAlign w:val="bottom"/>
            <w:shd w:val="clear" w:color="auto" w:fill="EBFEFF"/>
          </w:tcPr>
          <w:p>
            <w:pPr>
              <w:spacing w:after="0"/>
              <w:rPr>
                <w:sz w:val="21"/>
                <w:szCs w:val="21"/>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21"/>
                <w:szCs w:val="21"/>
                <w:color w:val="auto"/>
              </w:rPr>
            </w:pPr>
          </w:p>
        </w:tc>
        <w:tc>
          <w:tcPr>
            <w:tcW w:w="200" w:type="dxa"/>
            <w:vAlign w:val="bottom"/>
            <w:shd w:val="clear" w:color="auto" w:fill="EBFEFF"/>
          </w:tcPr>
          <w:p>
            <w:pPr>
              <w:spacing w:after="0"/>
              <w:rPr>
                <w:sz w:val="21"/>
                <w:szCs w:val="21"/>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12,243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2,537</w:t>
            </w:r>
          </w:p>
        </w:tc>
      </w:tr>
      <w:tr>
        <w:trPr>
          <w:trHeight w:val="229"/>
        </w:trPr>
        <w:tc>
          <w:tcPr>
            <w:tcW w:w="8020" w:type="dxa"/>
            <w:vAlign w:val="bottom"/>
            <w:tcBorders>
              <w:bottom w:val="single" w:sz="8" w:color="EBFEFF"/>
            </w:tcBorders>
            <w:shd w:val="clear" w:color="auto" w:fill="EBFEFF"/>
          </w:tcPr>
          <w:p>
            <w:pPr>
              <w:ind w:left="240"/>
              <w:spacing w:after="0"/>
              <w:rPr>
                <w:sz w:val="20"/>
                <w:szCs w:val="20"/>
                <w:color w:val="auto"/>
              </w:rPr>
            </w:pPr>
            <w:r>
              <w:rPr>
                <w:rFonts w:ascii="Arial" w:cs="Arial" w:eastAsia="Arial" w:hAnsi="Arial"/>
                <w:sz w:val="18"/>
                <w:szCs w:val="18"/>
                <w:color w:val="auto"/>
              </w:rPr>
              <w:t>Current deposits</w:t>
            </w:r>
          </w:p>
        </w:tc>
        <w:tc>
          <w:tcPr>
            <w:tcW w:w="240" w:type="dxa"/>
            <w:vAlign w:val="bottom"/>
            <w:tcBorders>
              <w:bottom w:val="single" w:sz="8" w:color="auto"/>
            </w:tcBorders>
            <w:shd w:val="clear" w:color="auto" w:fill="EBFEFF"/>
          </w:tcPr>
          <w:p>
            <w:pPr>
              <w:spacing w:after="0"/>
              <w:rPr>
                <w:sz w:val="19"/>
                <w:szCs w:val="19"/>
                <w:color w:val="auto"/>
              </w:rPr>
            </w:pPr>
          </w:p>
        </w:tc>
        <w:tc>
          <w:tcPr>
            <w:tcW w:w="12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BFEFF"/>
            </w:tcBorders>
            <w:shd w:val="clear" w:color="auto" w:fill="EBFEFF"/>
          </w:tcPr>
          <w:p>
            <w:pPr>
              <w:spacing w:after="0"/>
              <w:rPr>
                <w:sz w:val="19"/>
                <w:szCs w:val="19"/>
                <w:color w:val="auto"/>
              </w:rPr>
            </w:pP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27,094</w:t>
            </w:r>
          </w:p>
        </w:tc>
      </w:tr>
      <w:tr>
        <w:trPr>
          <w:trHeight w:val="236"/>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EBFEFF"/>
          </w:tcPr>
          <w:p>
            <w:pPr>
              <w:spacing w:after="0"/>
              <w:rPr>
                <w:sz w:val="20"/>
                <w:szCs w:val="20"/>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EBFEFF"/>
          </w:tcPr>
          <w:p>
            <w:pPr>
              <w:spacing w:after="0"/>
              <w:rPr>
                <w:sz w:val="20"/>
                <w:szCs w:val="20"/>
                <w:color w:val="auto"/>
              </w:rPr>
            </w:pPr>
          </w:p>
        </w:tc>
        <w:tc>
          <w:tcPr>
            <w:tcW w:w="200" w:type="dxa"/>
            <w:vAlign w:val="bottom"/>
            <w:shd w:val="clear" w:color="auto" w:fill="EBFEFF"/>
          </w:tcPr>
          <w:p>
            <w:pPr>
              <w:spacing w:after="0"/>
              <w:rPr>
                <w:sz w:val="20"/>
                <w:szCs w:val="20"/>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auto"/>
            </w:tcBorders>
            <w:shd w:val="clear" w:color="auto" w:fill="EBFEFF"/>
          </w:tcPr>
          <w:p>
            <w:pPr>
              <w:spacing w:after="0"/>
              <w:rPr>
                <w:sz w:val="21"/>
                <w:szCs w:val="21"/>
                <w:color w:val="auto"/>
              </w:rPr>
            </w:pPr>
          </w:p>
        </w:tc>
        <w:tc>
          <w:tcPr>
            <w:tcW w:w="12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8,027</w:t>
            </w:r>
          </w:p>
        </w:tc>
        <w:tc>
          <w:tcPr>
            <w:tcW w:w="100" w:type="dxa"/>
            <w:vAlign w:val="bottom"/>
            <w:shd w:val="clear" w:color="auto" w:fill="EBFEFF"/>
          </w:tcPr>
          <w:p>
            <w:pPr>
              <w:spacing w:after="0"/>
              <w:rPr>
                <w:sz w:val="21"/>
                <w:szCs w:val="21"/>
                <w:color w:val="auto"/>
              </w:rPr>
            </w:pPr>
          </w:p>
        </w:tc>
        <w:tc>
          <w:tcPr>
            <w:tcW w:w="200" w:type="dxa"/>
            <w:vAlign w:val="bottom"/>
            <w:tcBorders>
              <w:bottom w:val="single" w:sz="8" w:color="auto"/>
            </w:tcBorders>
            <w:shd w:val="clear" w:color="auto" w:fill="EBFEFF"/>
          </w:tcPr>
          <w:p>
            <w:pPr>
              <w:spacing w:after="0"/>
              <w:rPr>
                <w:sz w:val="21"/>
                <w:szCs w:val="21"/>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5,588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33,238</w:t>
            </w:r>
          </w:p>
        </w:tc>
      </w:tr>
      <w:tr>
        <w:trPr>
          <w:trHeight w:val="20"/>
        </w:trPr>
        <w:tc>
          <w:tcPr>
            <w:tcW w:w="8020" w:type="dxa"/>
            <w:vAlign w:val="bottom"/>
            <w:tcBorders>
              <w:bottom w:val="single" w:sz="8" w:color="C9FC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9FC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9FC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40" w:type="dxa"/>
            <w:vAlign w:val="bottom"/>
            <w:shd w:val="clear" w:color="auto" w:fill="C9FCFF"/>
          </w:tcPr>
          <w:p>
            <w:pPr>
              <w:spacing w:after="0"/>
              <w:rPr>
                <w:sz w:val="17"/>
                <w:szCs w:val="17"/>
                <w:color w:val="auto"/>
              </w:rPr>
            </w:pPr>
          </w:p>
        </w:tc>
        <w:tc>
          <w:tcPr>
            <w:tcW w:w="1240" w:type="dxa"/>
            <w:vAlign w:val="bottom"/>
            <w:shd w:val="clear" w:color="auto" w:fill="C9FCFF"/>
          </w:tcPr>
          <w:p>
            <w:pPr>
              <w:spacing w:after="0"/>
              <w:rPr>
                <w:sz w:val="17"/>
                <w:szCs w:val="17"/>
                <w:color w:val="auto"/>
              </w:rPr>
            </w:pPr>
          </w:p>
        </w:tc>
        <w:tc>
          <w:tcPr>
            <w:tcW w:w="100" w:type="dxa"/>
            <w:vAlign w:val="bottom"/>
            <w:shd w:val="clear" w:color="auto" w:fill="C9FCFF"/>
          </w:tcPr>
          <w:p>
            <w:pPr>
              <w:spacing w:after="0"/>
              <w:rPr>
                <w:sz w:val="17"/>
                <w:szCs w:val="17"/>
                <w:color w:val="auto"/>
              </w:rPr>
            </w:pPr>
          </w:p>
        </w:tc>
        <w:tc>
          <w:tcPr>
            <w:tcW w:w="200" w:type="dxa"/>
            <w:vAlign w:val="bottom"/>
            <w:shd w:val="clear" w:color="auto" w:fill="C9FCFF"/>
          </w:tcPr>
          <w:p>
            <w:pPr>
              <w:spacing w:after="0"/>
              <w:rPr>
                <w:sz w:val="17"/>
                <w:szCs w:val="17"/>
                <w:color w:val="auto"/>
              </w:rPr>
            </w:pPr>
          </w:p>
        </w:tc>
        <w:tc>
          <w:tcPr>
            <w:tcW w:w="1260" w:type="dxa"/>
            <w:vAlign w:val="bottom"/>
            <w:shd w:val="clear" w:color="auto" w:fill="C9FCFF"/>
          </w:tcPr>
          <w:p>
            <w:pPr>
              <w:spacing w:after="0"/>
              <w:rPr>
                <w:sz w:val="17"/>
                <w:szCs w:val="17"/>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8020" w:type="dxa"/>
            <w:vAlign w:val="bottom"/>
            <w:shd w:val="clear" w:color="auto" w:fill="EBF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9,108</w:t>
            </w:r>
          </w:p>
        </w:tc>
        <w:tc>
          <w:tcPr>
            <w:tcW w:w="300" w:type="dxa"/>
            <w:vAlign w:val="bottom"/>
            <w:gridSpan w:val="2"/>
            <w:shd w:val="clear" w:color="auto" w:fill="EBF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7,313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8020" w:type="dxa"/>
            <w:vAlign w:val="bottom"/>
            <w:shd w:val="clear" w:color="auto" w:fill="EBFEFF"/>
          </w:tcPr>
          <w:p>
            <w:pPr>
              <w:ind w:left="240"/>
              <w:spacing w:after="0"/>
              <w:rPr>
                <w:sz w:val="20"/>
                <w:szCs w:val="20"/>
                <w:color w:val="auto"/>
              </w:rPr>
            </w:pPr>
            <w:r>
              <w:rPr>
                <w:rFonts w:ascii="Arial" w:cs="Arial" w:eastAsia="Arial" w:hAnsi="Arial"/>
                <w:sz w:val="18"/>
                <w:szCs w:val="18"/>
                <w:color w:val="auto"/>
              </w:rPr>
              <w:t>Current portion of contract liabilities</w:t>
            </w:r>
          </w:p>
        </w:tc>
        <w:tc>
          <w:tcPr>
            <w:tcW w:w="240" w:type="dxa"/>
            <w:vAlign w:val="bottom"/>
            <w:shd w:val="clear" w:color="auto" w:fill="EBFEFF"/>
          </w:tcPr>
          <w:p>
            <w:pPr>
              <w:spacing w:after="0"/>
              <w:rPr>
                <w:sz w:val="21"/>
                <w:szCs w:val="21"/>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BFEFF"/>
          </w:tcPr>
          <w:p>
            <w:pPr>
              <w:spacing w:after="0"/>
              <w:rPr>
                <w:sz w:val="21"/>
                <w:szCs w:val="21"/>
                <w:color w:val="auto"/>
              </w:rPr>
            </w:pPr>
          </w:p>
        </w:tc>
        <w:tc>
          <w:tcPr>
            <w:tcW w:w="200" w:type="dxa"/>
            <w:vAlign w:val="bottom"/>
            <w:shd w:val="clear" w:color="auto" w:fill="EBFEFF"/>
          </w:tcPr>
          <w:p>
            <w:pPr>
              <w:spacing w:after="0"/>
              <w:rPr>
                <w:sz w:val="21"/>
                <w:szCs w:val="21"/>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20" w:type="dxa"/>
            <w:vAlign w:val="bottom"/>
            <w:tcBorders>
              <w:bottom w:val="single" w:sz="8" w:color="EBFEFF"/>
            </w:tcBorders>
          </w:tcPr>
          <w:p>
            <w:pPr>
              <w:ind w:left="24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BF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EBFEFF"/>
          </w:tcPr>
          <w:p>
            <w:pPr>
              <w:spacing w:after="0"/>
              <w:rPr>
                <w:sz w:val="19"/>
                <w:szCs w:val="19"/>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9,286</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7,708</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Contract liabilities, net of current portion</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18,669</w:t>
            </w:r>
          </w:p>
        </w:tc>
      </w:tr>
      <w:tr>
        <w:trPr>
          <w:trHeight w:val="236"/>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EBFEFF"/>
          </w:tcPr>
          <w:p>
            <w:pPr>
              <w:spacing w:after="0"/>
              <w:rPr>
                <w:sz w:val="20"/>
                <w:szCs w:val="20"/>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EBFEFF"/>
          </w:tcPr>
          <w:p>
            <w:pPr>
              <w:spacing w:after="0"/>
              <w:rPr>
                <w:sz w:val="20"/>
                <w:szCs w:val="20"/>
                <w:color w:val="auto"/>
              </w:rPr>
            </w:pPr>
          </w:p>
        </w:tc>
        <w:tc>
          <w:tcPr>
            <w:tcW w:w="200" w:type="dxa"/>
            <w:vAlign w:val="bottom"/>
            <w:shd w:val="clear" w:color="auto" w:fill="EBFEFF"/>
          </w:tcPr>
          <w:p>
            <w:pPr>
              <w:spacing w:after="0"/>
              <w:rPr>
                <w:sz w:val="20"/>
                <w:szCs w:val="20"/>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Warrant liability, related party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37"/>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EBFEFF"/>
          </w:tcPr>
          <w:p>
            <w:pPr>
              <w:spacing w:after="0"/>
              <w:rPr>
                <w:sz w:val="20"/>
                <w:szCs w:val="20"/>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28,830</w:t>
            </w:r>
          </w:p>
        </w:tc>
        <w:tc>
          <w:tcPr>
            <w:tcW w:w="100" w:type="dxa"/>
            <w:vAlign w:val="bottom"/>
            <w:shd w:val="clear" w:color="auto" w:fill="EBFEFF"/>
          </w:tcPr>
          <w:p>
            <w:pPr>
              <w:spacing w:after="0"/>
              <w:rPr>
                <w:sz w:val="20"/>
                <w:szCs w:val="20"/>
                <w:color w:val="auto"/>
              </w:rPr>
            </w:pPr>
          </w:p>
        </w:tc>
        <w:tc>
          <w:tcPr>
            <w:tcW w:w="200" w:type="dxa"/>
            <w:vAlign w:val="bottom"/>
            <w:shd w:val="clear" w:color="auto" w:fill="EBFEFF"/>
          </w:tcPr>
          <w:p>
            <w:pPr>
              <w:spacing w:after="0"/>
              <w:rPr>
                <w:sz w:val="20"/>
                <w:szCs w:val="20"/>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27,399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shd w:val="clear" w:color="auto" w:fill="EBFEFF"/>
          </w:tcPr>
          <w:p>
            <w:pPr>
              <w:spacing w:after="0"/>
              <w:rPr>
                <w:sz w:val="19"/>
                <w:szCs w:val="19"/>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16,579</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5"/>
        </w:trPr>
        <w:tc>
          <w:tcPr>
            <w:tcW w:w="8020" w:type="dxa"/>
            <w:vAlign w:val="bottom"/>
            <w:shd w:val="clear" w:color="auto" w:fill="EBFEFF"/>
          </w:tcPr>
          <w:p>
            <w:pPr>
              <w:ind w:left="260"/>
              <w:spacing w:after="0"/>
              <w:rPr>
                <w:sz w:val="20"/>
                <w:szCs w:val="20"/>
                <w:color w:val="auto"/>
              </w:rPr>
            </w:pPr>
            <w:r>
              <w:rPr>
                <w:rFonts w:ascii="Arial" w:cs="Arial" w:eastAsia="Arial" w:hAnsi="Arial"/>
                <w:sz w:val="18"/>
                <w:szCs w:val="18"/>
                <w:color w:val="auto"/>
                <w:w w:val="90"/>
              </w:rPr>
              <w:t>Class A common stock, $0.01 par value; 200,000,000 shares authorized, 81,483,600 shares outstanding as</w:t>
            </w:r>
          </w:p>
        </w:tc>
        <w:tc>
          <w:tcPr>
            <w:tcW w:w="240" w:type="dxa"/>
            <w:vAlign w:val="bottom"/>
            <w:shd w:val="clear" w:color="auto" w:fill="EBFEFF"/>
          </w:tcPr>
          <w:p>
            <w:pPr>
              <w:spacing w:after="0"/>
              <w:rPr>
                <w:sz w:val="20"/>
                <w:szCs w:val="20"/>
                <w:color w:val="auto"/>
              </w:rPr>
            </w:pPr>
          </w:p>
        </w:tc>
        <w:tc>
          <w:tcPr>
            <w:tcW w:w="1240" w:type="dxa"/>
            <w:vAlign w:val="bottom"/>
            <w:shd w:val="clear" w:color="auto" w:fill="EBFEFF"/>
          </w:tcPr>
          <w:p>
            <w:pPr>
              <w:spacing w:after="0"/>
              <w:rPr>
                <w:sz w:val="20"/>
                <w:szCs w:val="20"/>
                <w:color w:val="auto"/>
              </w:rPr>
            </w:pPr>
          </w:p>
        </w:tc>
        <w:tc>
          <w:tcPr>
            <w:tcW w:w="100" w:type="dxa"/>
            <w:vAlign w:val="bottom"/>
            <w:shd w:val="clear" w:color="auto" w:fill="EBFEFF"/>
          </w:tcPr>
          <w:p>
            <w:pPr>
              <w:spacing w:after="0"/>
              <w:rPr>
                <w:sz w:val="20"/>
                <w:szCs w:val="20"/>
                <w:color w:val="auto"/>
              </w:rPr>
            </w:pPr>
          </w:p>
        </w:tc>
        <w:tc>
          <w:tcPr>
            <w:tcW w:w="200" w:type="dxa"/>
            <w:vAlign w:val="bottom"/>
            <w:shd w:val="clear" w:color="auto" w:fill="EBFEFF"/>
          </w:tcPr>
          <w:p>
            <w:pPr>
              <w:spacing w:after="0"/>
              <w:rPr>
                <w:sz w:val="20"/>
                <w:szCs w:val="20"/>
                <w:color w:val="auto"/>
              </w:rPr>
            </w:pPr>
          </w:p>
        </w:tc>
        <w:tc>
          <w:tcPr>
            <w:tcW w:w="1260" w:type="dxa"/>
            <w:vAlign w:val="bottom"/>
            <w:shd w:val="clear" w:color="auto" w:fill="EBFEFF"/>
          </w:tcPr>
          <w:p>
            <w:pPr>
              <w:spacing w:after="0"/>
              <w:rPr>
                <w:sz w:val="20"/>
                <w:szCs w:val="20"/>
                <w:color w:val="auto"/>
              </w:rPr>
            </w:pPr>
          </w:p>
        </w:tc>
      </w:tr>
      <w:tr>
        <w:trPr>
          <w:trHeight w:val="257"/>
        </w:trPr>
        <w:tc>
          <w:tcPr>
            <w:tcW w:w="8020" w:type="dxa"/>
            <w:vAlign w:val="bottom"/>
            <w:shd w:val="clear" w:color="auto" w:fill="EBFEFF"/>
          </w:tcPr>
          <w:p>
            <w:pPr>
              <w:ind w:left="440"/>
              <w:spacing w:after="0"/>
              <w:rPr>
                <w:sz w:val="20"/>
                <w:szCs w:val="20"/>
                <w:color w:val="auto"/>
              </w:rPr>
            </w:pPr>
            <w:r>
              <w:rPr>
                <w:rFonts w:ascii="Arial" w:cs="Arial" w:eastAsia="Arial" w:hAnsi="Arial"/>
                <w:sz w:val="18"/>
                <w:szCs w:val="18"/>
                <w:color w:val="auto"/>
              </w:rPr>
              <w:t>of June 30, 2023 and December 31, 2022</w:t>
            </w:r>
          </w:p>
        </w:tc>
        <w:tc>
          <w:tcPr>
            <w:tcW w:w="240" w:type="dxa"/>
            <w:vAlign w:val="bottom"/>
            <w:shd w:val="clear" w:color="auto" w:fill="EBFEFF"/>
          </w:tcPr>
          <w:p>
            <w:pPr>
              <w:spacing w:after="0"/>
              <w:rPr>
                <w:sz w:val="22"/>
                <w:szCs w:val="22"/>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EBFEFF"/>
          </w:tcPr>
          <w:p>
            <w:pPr>
              <w:spacing w:after="0"/>
              <w:rPr>
                <w:sz w:val="22"/>
                <w:szCs w:val="22"/>
                <w:color w:val="auto"/>
              </w:rPr>
            </w:pPr>
          </w:p>
        </w:tc>
        <w:tc>
          <w:tcPr>
            <w:tcW w:w="200" w:type="dxa"/>
            <w:vAlign w:val="bottom"/>
            <w:shd w:val="clear" w:color="auto" w:fill="EBFEFF"/>
          </w:tcPr>
          <w:p>
            <w:pPr>
              <w:spacing w:after="0"/>
              <w:rPr>
                <w:sz w:val="22"/>
                <w:szCs w:val="22"/>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w w:val="90"/>
              </w:rPr>
              <w:t>Class B common stock, $0.01 par value; 100,000,000 shares authorized, and 23,093,860 outstanding as of</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8020" w:type="dxa"/>
            <w:vAlign w:val="bottom"/>
          </w:tcPr>
          <w:p>
            <w:pPr>
              <w:ind w:left="440"/>
              <w:spacing w:after="0"/>
              <w:rPr>
                <w:sz w:val="20"/>
                <w:szCs w:val="20"/>
                <w:color w:val="auto"/>
              </w:rPr>
            </w:pPr>
            <w:r>
              <w:rPr>
                <w:rFonts w:ascii="Arial" w:cs="Arial" w:eastAsia="Arial" w:hAnsi="Arial"/>
                <w:sz w:val="18"/>
                <w:szCs w:val="18"/>
                <w:color w:val="auto"/>
              </w:rPr>
              <w:t>June 30, 2023 and December 31, 2022</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6"/>
        </w:trPr>
        <w:tc>
          <w:tcPr>
            <w:tcW w:w="8020" w:type="dxa"/>
            <w:vAlign w:val="bottom"/>
            <w:shd w:val="clear" w:color="auto" w:fill="EBFEFF"/>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EBFEFF"/>
          </w:tcPr>
          <w:p>
            <w:pPr>
              <w:spacing w:after="0"/>
              <w:rPr>
                <w:sz w:val="20"/>
                <w:szCs w:val="20"/>
                <w:color w:val="auto"/>
              </w:rPr>
            </w:pP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254,479</w:t>
            </w:r>
          </w:p>
        </w:tc>
        <w:tc>
          <w:tcPr>
            <w:tcW w:w="100" w:type="dxa"/>
            <w:vAlign w:val="bottom"/>
            <w:shd w:val="clear" w:color="auto" w:fill="EBFEFF"/>
          </w:tcPr>
          <w:p>
            <w:pPr>
              <w:spacing w:after="0"/>
              <w:rPr>
                <w:sz w:val="20"/>
                <w:szCs w:val="20"/>
                <w:color w:val="auto"/>
              </w:rPr>
            </w:pPr>
          </w:p>
        </w:tc>
        <w:tc>
          <w:tcPr>
            <w:tcW w:w="200" w:type="dxa"/>
            <w:vAlign w:val="bottom"/>
            <w:shd w:val="clear" w:color="auto" w:fill="EBFEFF"/>
          </w:tcPr>
          <w:p>
            <w:pPr>
              <w:spacing w:after="0"/>
              <w:rPr>
                <w:sz w:val="20"/>
                <w:szCs w:val="20"/>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253,737</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(280,809)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(265,524)</w:t>
            </w:r>
          </w:p>
        </w:tc>
      </w:tr>
      <w:tr>
        <w:trPr>
          <w:trHeight w:val="223"/>
        </w:trPr>
        <w:tc>
          <w:tcPr>
            <w:tcW w:w="8020" w:type="dxa"/>
            <w:vAlign w:val="bottom"/>
            <w:tcBorders>
              <w:bottom w:val="single" w:sz="8" w:color="EBFEFF"/>
            </w:tcBorders>
            <w:shd w:val="clear" w:color="auto" w:fill="EBFEFF"/>
          </w:tcPr>
          <w:p>
            <w:pPr>
              <w:ind w:left="20"/>
              <w:spacing w:after="0"/>
              <w:rPr>
                <w:sz w:val="20"/>
                <w:szCs w:val="20"/>
                <w:color w:val="auto"/>
              </w:rPr>
            </w:pPr>
            <w:r>
              <w:rPr>
                <w:rFonts w:ascii="Arial" w:cs="Arial" w:eastAsia="Arial" w:hAnsi="Arial"/>
                <w:sz w:val="18"/>
                <w:szCs w:val="18"/>
                <w:color w:val="auto"/>
              </w:rPr>
              <w:t>Total stockholders’ deficit attributable to vTv Therapeutics Inc.</w:t>
            </w:r>
          </w:p>
        </w:tc>
        <w:tc>
          <w:tcPr>
            <w:tcW w:w="240" w:type="dxa"/>
            <w:vAlign w:val="bottom"/>
            <w:tcBorders>
              <w:bottom w:val="single" w:sz="8" w:color="auto"/>
            </w:tcBorders>
            <w:shd w:val="clear" w:color="auto" w:fill="EBFEFF"/>
          </w:tcPr>
          <w:p>
            <w:pPr>
              <w:spacing w:after="0"/>
              <w:rPr>
                <w:sz w:val="19"/>
                <w:szCs w:val="19"/>
                <w:color w:val="auto"/>
              </w:rPr>
            </w:pPr>
          </w:p>
        </w:tc>
        <w:tc>
          <w:tcPr>
            <w:tcW w:w="12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(25,283)</w:t>
            </w:r>
          </w:p>
        </w:tc>
        <w:tc>
          <w:tcPr>
            <w:tcW w:w="100" w:type="dxa"/>
            <w:vAlign w:val="bottom"/>
            <w:tcBorders>
              <w:bottom w:val="single" w:sz="8" w:color="EBFEFF"/>
            </w:tcBorders>
            <w:shd w:val="clear" w:color="auto" w:fill="EBFEFF"/>
          </w:tcPr>
          <w:p>
            <w:pPr>
              <w:spacing w:after="0"/>
              <w:rPr>
                <w:sz w:val="19"/>
                <w:szCs w:val="19"/>
                <w:color w:val="auto"/>
              </w:rPr>
            </w:pP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(10,740)</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22,426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33,238</w:t>
            </w:r>
          </w:p>
        </w:tc>
      </w:tr>
      <w:tr>
        <w:trPr>
          <w:trHeight w:val="20"/>
        </w:trPr>
        <w:tc>
          <w:tcPr>
            <w:tcW w:w="8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EBF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EBF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EBF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EBF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120" w:type="dxa"/>
            <w:vAlign w:val="bottom"/>
            <w:shd w:val="clear" w:color="auto" w:fill="EBF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BF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EBF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EBFEFF"/>
          </w:tcPr>
          <w:p>
            <w:pPr>
              <w:spacing w:after="0"/>
              <w:rPr>
                <w:sz w:val="20"/>
                <w:szCs w:val="20"/>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EBFEFF"/>
          </w:tcPr>
          <w:p>
            <w:pPr>
              <w:spacing w:after="0"/>
              <w:rPr>
                <w:sz w:val="20"/>
                <w:szCs w:val="20"/>
                <w:color w:val="auto"/>
              </w:rPr>
            </w:pPr>
          </w:p>
        </w:tc>
        <w:tc>
          <w:tcPr>
            <w:tcW w:w="420" w:type="dxa"/>
            <w:vAlign w:val="bottom"/>
            <w:shd w:val="clear" w:color="auto" w:fill="EBFEFF"/>
          </w:tcPr>
          <w:p>
            <w:pPr>
              <w:spacing w:after="0"/>
              <w:rPr>
                <w:sz w:val="20"/>
                <w:szCs w:val="20"/>
                <w:color w:val="auto"/>
              </w:rPr>
            </w:pPr>
          </w:p>
        </w:tc>
        <w:tc>
          <w:tcPr>
            <w:tcW w:w="10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2,205</w:t>
            </w:r>
          </w:p>
        </w:tc>
        <w:tc>
          <w:tcPr>
            <w:tcW w:w="80" w:type="dxa"/>
            <w:vAlign w:val="bottom"/>
            <w:shd w:val="clear" w:color="auto" w:fill="EBFEFF"/>
          </w:tcPr>
          <w:p>
            <w:pPr>
              <w:spacing w:after="0"/>
              <w:rPr>
                <w:sz w:val="20"/>
                <w:szCs w:val="20"/>
                <w:color w:val="auto"/>
              </w:rPr>
            </w:pPr>
          </w:p>
        </w:tc>
        <w:tc>
          <w:tcPr>
            <w:tcW w:w="340" w:type="dxa"/>
            <w:vAlign w:val="bottom"/>
            <w:shd w:val="clear" w:color="auto" w:fill="EBFEFF"/>
          </w:tcPr>
          <w:p>
            <w:pPr>
              <w:spacing w:after="0"/>
              <w:rPr>
                <w:sz w:val="20"/>
                <w:szCs w:val="20"/>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8,633</w:t>
            </w:r>
          </w:p>
        </w:tc>
        <w:tc>
          <w:tcPr>
            <w:tcW w:w="100" w:type="dxa"/>
            <w:vAlign w:val="bottom"/>
            <w:shd w:val="clear" w:color="auto" w:fill="EBFEFF"/>
          </w:tcPr>
          <w:p>
            <w:pPr>
              <w:spacing w:after="0"/>
              <w:rPr>
                <w:sz w:val="20"/>
                <w:szCs w:val="20"/>
                <w:color w:val="auto"/>
              </w:rPr>
            </w:pPr>
          </w:p>
        </w:tc>
        <w:tc>
          <w:tcPr>
            <w:tcW w:w="420" w:type="dxa"/>
            <w:vAlign w:val="bottom"/>
            <w:shd w:val="clear" w:color="auto" w:fill="EBFEFF"/>
          </w:tcPr>
          <w:p>
            <w:pPr>
              <w:spacing w:after="0"/>
              <w:rPr>
                <w:sz w:val="20"/>
                <w:szCs w:val="20"/>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37"/>
        </w:trPr>
        <w:tc>
          <w:tcPr>
            <w:tcW w:w="5120" w:type="dxa"/>
            <w:vAlign w:val="bottom"/>
            <w:shd w:val="clear" w:color="auto" w:fill="EBF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EBFEFF"/>
          </w:tcPr>
          <w:p>
            <w:pPr>
              <w:spacing w:after="0"/>
              <w:rPr>
                <w:sz w:val="20"/>
                <w:szCs w:val="20"/>
                <w:color w:val="auto"/>
              </w:rPr>
            </w:pPr>
          </w:p>
        </w:tc>
        <w:tc>
          <w:tcPr>
            <w:tcW w:w="1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EBFEFF"/>
          </w:tcPr>
          <w:p>
            <w:pPr>
              <w:spacing w:after="0"/>
              <w:rPr>
                <w:sz w:val="20"/>
                <w:szCs w:val="20"/>
                <w:color w:val="auto"/>
              </w:rPr>
            </w:pPr>
          </w:p>
        </w:tc>
        <w:tc>
          <w:tcPr>
            <w:tcW w:w="420" w:type="dxa"/>
            <w:vAlign w:val="bottom"/>
            <w:tcBorders>
              <w:bottom w:val="single" w:sz="8" w:color="auto"/>
            </w:tcBorders>
            <w:shd w:val="clear" w:color="auto" w:fill="EBFEFF"/>
          </w:tcPr>
          <w:p>
            <w:pPr>
              <w:spacing w:after="0"/>
              <w:rPr>
                <w:sz w:val="20"/>
                <w:szCs w:val="20"/>
                <w:color w:val="auto"/>
              </w:rPr>
            </w:pPr>
          </w:p>
        </w:tc>
        <w:tc>
          <w:tcPr>
            <w:tcW w:w="10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4,036</w:t>
            </w:r>
          </w:p>
        </w:tc>
        <w:tc>
          <w:tcPr>
            <w:tcW w:w="80" w:type="dxa"/>
            <w:vAlign w:val="bottom"/>
            <w:shd w:val="clear" w:color="auto" w:fill="EBFEFF"/>
          </w:tcPr>
          <w:p>
            <w:pPr>
              <w:spacing w:after="0"/>
              <w:rPr>
                <w:sz w:val="20"/>
                <w:szCs w:val="20"/>
                <w:color w:val="auto"/>
              </w:rPr>
            </w:pPr>
          </w:p>
        </w:tc>
        <w:tc>
          <w:tcPr>
            <w:tcW w:w="340" w:type="dxa"/>
            <w:vAlign w:val="bottom"/>
            <w:tcBorders>
              <w:bottom w:val="single" w:sz="8" w:color="auto"/>
            </w:tcBorders>
            <w:shd w:val="clear" w:color="auto" w:fill="EBFEFF"/>
          </w:tcPr>
          <w:p>
            <w:pPr>
              <w:spacing w:after="0"/>
              <w:rPr>
                <w:sz w:val="20"/>
                <w:szCs w:val="20"/>
                <w:color w:val="auto"/>
              </w:rPr>
            </w:pPr>
          </w:p>
        </w:tc>
        <w:tc>
          <w:tcPr>
            <w:tcW w:w="1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15,427</w:t>
            </w:r>
          </w:p>
        </w:tc>
        <w:tc>
          <w:tcPr>
            <w:tcW w:w="100" w:type="dxa"/>
            <w:vAlign w:val="bottom"/>
            <w:shd w:val="clear" w:color="auto" w:fill="EBFEFF"/>
          </w:tcPr>
          <w:p>
            <w:pPr>
              <w:spacing w:after="0"/>
              <w:rPr>
                <w:sz w:val="20"/>
                <w:szCs w:val="20"/>
                <w:color w:val="auto"/>
              </w:rPr>
            </w:pPr>
          </w:p>
        </w:tc>
        <w:tc>
          <w:tcPr>
            <w:tcW w:w="420" w:type="dxa"/>
            <w:vAlign w:val="bottom"/>
            <w:tcBorders>
              <w:bottom w:val="single" w:sz="8" w:color="auto"/>
            </w:tcBorders>
            <w:shd w:val="clear" w:color="auto" w:fill="EBFEFF"/>
          </w:tcPr>
          <w:p>
            <w:pPr>
              <w:spacing w:after="0"/>
              <w:rPr>
                <w:sz w:val="20"/>
                <w:szCs w:val="20"/>
                <w:color w:val="auto"/>
              </w:rPr>
            </w:pPr>
          </w:p>
        </w:tc>
        <w:tc>
          <w:tcPr>
            <w:tcW w:w="10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12,517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(10,508)</w:t>
            </w:r>
          </w:p>
        </w:tc>
        <w:tc>
          <w:tcPr>
            <w:tcW w:w="0" w:type="dxa"/>
            <w:vAlign w:val="bottom"/>
          </w:tcPr>
          <w:p>
            <w:pPr>
              <w:spacing w:after="0"/>
              <w:rPr>
                <w:sz w:val="1"/>
                <w:szCs w:val="1"/>
                <w:color w:val="auto"/>
              </w:rPr>
            </w:pPr>
          </w:p>
        </w:tc>
      </w:tr>
      <w:tr>
        <w:trPr>
          <w:trHeight w:val="229"/>
        </w:trPr>
        <w:tc>
          <w:tcPr>
            <w:tcW w:w="5120" w:type="dxa"/>
            <w:vAlign w:val="bottom"/>
            <w:shd w:val="clear" w:color="auto" w:fill="EBF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EBFEFF"/>
          </w:tcPr>
          <w:p>
            <w:pPr>
              <w:spacing w:after="0"/>
              <w:rPr>
                <w:sz w:val="19"/>
                <w:szCs w:val="19"/>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spacing w:after="0"/>
              <w:rPr>
                <w:sz w:val="19"/>
                <w:szCs w:val="19"/>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 related party</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6"/>
        </w:trPr>
        <w:tc>
          <w:tcPr>
            <w:tcW w:w="5120" w:type="dxa"/>
            <w:vAlign w:val="bottom"/>
            <w:shd w:val="clear" w:color="auto" w:fill="EBF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EBFEFF"/>
          </w:tcPr>
          <w:p>
            <w:pPr>
              <w:spacing w:after="0"/>
              <w:rPr>
                <w:sz w:val="20"/>
                <w:szCs w:val="20"/>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EBFEFF"/>
          </w:tcPr>
          <w:p>
            <w:pPr>
              <w:spacing w:after="0"/>
              <w:rPr>
                <w:sz w:val="20"/>
                <w:szCs w:val="20"/>
                <w:color w:val="auto"/>
              </w:rPr>
            </w:pPr>
          </w:p>
        </w:tc>
        <w:tc>
          <w:tcPr>
            <w:tcW w:w="420" w:type="dxa"/>
            <w:vAlign w:val="bottom"/>
            <w:shd w:val="clear" w:color="auto" w:fill="EBFEFF"/>
          </w:tcPr>
          <w:p>
            <w:pPr>
              <w:spacing w:after="0"/>
              <w:rPr>
                <w:sz w:val="20"/>
                <w:szCs w:val="20"/>
                <w:color w:val="auto"/>
              </w:rPr>
            </w:pPr>
          </w:p>
        </w:tc>
        <w:tc>
          <w:tcPr>
            <w:tcW w:w="10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EBFEFF"/>
          </w:tcPr>
          <w:p>
            <w:pPr>
              <w:spacing w:after="0"/>
              <w:rPr>
                <w:sz w:val="20"/>
                <w:szCs w:val="20"/>
                <w:color w:val="auto"/>
              </w:rPr>
            </w:pPr>
          </w:p>
        </w:tc>
        <w:tc>
          <w:tcPr>
            <w:tcW w:w="340" w:type="dxa"/>
            <w:vAlign w:val="bottom"/>
            <w:shd w:val="clear" w:color="auto" w:fill="EBFEFF"/>
          </w:tcPr>
          <w:p>
            <w:pPr>
              <w:spacing w:after="0"/>
              <w:rPr>
                <w:sz w:val="20"/>
                <w:szCs w:val="20"/>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EBFEFF"/>
          </w:tcPr>
          <w:p>
            <w:pPr>
              <w:spacing w:after="0"/>
              <w:rPr>
                <w:sz w:val="20"/>
                <w:szCs w:val="20"/>
                <w:color w:val="auto"/>
              </w:rPr>
            </w:pPr>
          </w:p>
        </w:tc>
        <w:tc>
          <w:tcPr>
            <w:tcW w:w="420" w:type="dxa"/>
            <w:vAlign w:val="bottom"/>
            <w:shd w:val="clear" w:color="auto" w:fill="EBFEFF"/>
          </w:tcPr>
          <w:p>
            <w:pPr>
              <w:spacing w:after="0"/>
              <w:rPr>
                <w:sz w:val="20"/>
                <w:szCs w:val="20"/>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5120" w:type="dxa"/>
            <w:vAlign w:val="bottom"/>
            <w:shd w:val="clear" w:color="auto" w:fill="EBFEFF"/>
          </w:tcPr>
          <w:p>
            <w:pPr>
              <w:ind w:left="20"/>
              <w:spacing w:after="0"/>
              <w:rPr>
                <w:sz w:val="20"/>
                <w:szCs w:val="20"/>
                <w:color w:val="auto"/>
              </w:rPr>
            </w:pPr>
            <w:r>
              <w:rPr>
                <w:rFonts w:ascii="Arial" w:cs="Arial" w:eastAsia="Arial" w:hAnsi="Arial"/>
                <w:sz w:val="18"/>
                <w:szCs w:val="18"/>
                <w:color w:val="auto"/>
              </w:rPr>
              <w:t>Loss before income taxes and noncontrolling interest</w:t>
            </w:r>
          </w:p>
        </w:tc>
        <w:tc>
          <w:tcPr>
            <w:tcW w:w="320" w:type="dxa"/>
            <w:vAlign w:val="bottom"/>
            <w:shd w:val="clear" w:color="auto" w:fill="EBFEFF"/>
          </w:tcPr>
          <w:p>
            <w:pPr>
              <w:spacing w:after="0"/>
              <w:rPr>
                <w:sz w:val="20"/>
                <w:szCs w:val="20"/>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EBFEFF"/>
          </w:tcPr>
          <w:p>
            <w:pPr>
              <w:spacing w:after="0"/>
              <w:rPr>
                <w:sz w:val="20"/>
                <w:szCs w:val="20"/>
                <w:color w:val="auto"/>
              </w:rPr>
            </w:pPr>
          </w:p>
        </w:tc>
        <w:tc>
          <w:tcPr>
            <w:tcW w:w="420" w:type="dxa"/>
            <w:vAlign w:val="bottom"/>
            <w:shd w:val="clear" w:color="auto" w:fill="EBFEFF"/>
          </w:tcPr>
          <w:p>
            <w:pPr>
              <w:spacing w:after="0"/>
              <w:rPr>
                <w:sz w:val="20"/>
                <w:szCs w:val="20"/>
                <w:color w:val="auto"/>
              </w:rPr>
            </w:pPr>
          </w:p>
        </w:tc>
        <w:tc>
          <w:tcPr>
            <w:tcW w:w="10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(4,091)</w:t>
            </w:r>
          </w:p>
        </w:tc>
        <w:tc>
          <w:tcPr>
            <w:tcW w:w="80" w:type="dxa"/>
            <w:vAlign w:val="bottom"/>
            <w:shd w:val="clear" w:color="auto" w:fill="EBFEFF"/>
          </w:tcPr>
          <w:p>
            <w:pPr>
              <w:spacing w:after="0"/>
              <w:rPr>
                <w:sz w:val="20"/>
                <w:szCs w:val="20"/>
                <w:color w:val="auto"/>
              </w:rPr>
            </w:pPr>
          </w:p>
        </w:tc>
        <w:tc>
          <w:tcPr>
            <w:tcW w:w="340" w:type="dxa"/>
            <w:vAlign w:val="bottom"/>
            <w:shd w:val="clear" w:color="auto" w:fill="EBFEFF"/>
          </w:tcPr>
          <w:p>
            <w:pPr>
              <w:spacing w:after="0"/>
              <w:rPr>
                <w:sz w:val="20"/>
                <w:szCs w:val="20"/>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(12,985)</w:t>
            </w:r>
          </w:p>
        </w:tc>
        <w:tc>
          <w:tcPr>
            <w:tcW w:w="100" w:type="dxa"/>
            <w:vAlign w:val="bottom"/>
            <w:shd w:val="clear" w:color="auto" w:fill="EBFEFF"/>
          </w:tcPr>
          <w:p>
            <w:pPr>
              <w:spacing w:after="0"/>
              <w:rPr>
                <w:sz w:val="20"/>
                <w:szCs w:val="20"/>
                <w:color w:val="auto"/>
              </w:rPr>
            </w:pPr>
          </w:p>
        </w:tc>
        <w:tc>
          <w:tcPr>
            <w:tcW w:w="420" w:type="dxa"/>
            <w:vAlign w:val="bottom"/>
            <w:shd w:val="clear" w:color="auto" w:fill="EBFEFF"/>
          </w:tcPr>
          <w:p>
            <w:pPr>
              <w:spacing w:after="0"/>
              <w:rPr>
                <w:sz w:val="20"/>
                <w:szCs w:val="20"/>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(13,315)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EBFEFF"/>
            </w:tcBorders>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BF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BF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BF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120" w:type="dxa"/>
            <w:vAlign w:val="bottom"/>
            <w:shd w:val="clear" w:color="auto" w:fill="EBFEFF"/>
          </w:tcPr>
          <w:p>
            <w:pPr>
              <w:ind w:left="20"/>
              <w:spacing w:after="0"/>
              <w:rPr>
                <w:sz w:val="20"/>
                <w:szCs w:val="20"/>
                <w:color w:val="auto"/>
              </w:rPr>
            </w:pPr>
            <w:r>
              <w:rPr>
                <w:rFonts w:ascii="Arial" w:cs="Arial" w:eastAsia="Arial" w:hAnsi="Arial"/>
                <w:sz w:val="18"/>
                <w:szCs w:val="18"/>
                <w:color w:val="auto"/>
              </w:rPr>
              <w:t>Net loss before noncontrolling interest</w:t>
            </w:r>
          </w:p>
        </w:tc>
        <w:tc>
          <w:tcPr>
            <w:tcW w:w="320" w:type="dxa"/>
            <w:vAlign w:val="bottom"/>
            <w:shd w:val="clear" w:color="auto" w:fill="EBFEFF"/>
          </w:tcPr>
          <w:p>
            <w:pPr>
              <w:spacing w:after="0"/>
              <w:rPr>
                <w:sz w:val="19"/>
                <w:szCs w:val="19"/>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spacing w:after="0"/>
              <w:rPr>
                <w:sz w:val="19"/>
                <w:szCs w:val="19"/>
                <w:color w:val="auto"/>
              </w:rPr>
            </w:pPr>
          </w:p>
        </w:tc>
        <w:tc>
          <w:tcPr>
            <w:tcW w:w="10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(4,091)</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(12,985)</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spacing w:after="0"/>
              <w:rPr>
                <w:sz w:val="19"/>
                <w:szCs w:val="19"/>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(13,515)</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EBFEFF"/>
            </w:tcBorders>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EBF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80" w:type="dxa"/>
            <w:vAlign w:val="bottom"/>
            <w:tcBorders>
              <w:bottom w:val="single" w:sz="8" w:color="EBF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EBF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EBFEFF"/>
            </w:tcBorders>
            <w:shd w:val="clear" w:color="auto" w:fill="EBFEFF"/>
          </w:tcPr>
          <w:p>
            <w:pPr>
              <w:ind w:left="20"/>
              <w:spacing w:after="0"/>
              <w:rPr>
                <w:sz w:val="20"/>
                <w:szCs w:val="20"/>
                <w:color w:val="auto"/>
              </w:rPr>
            </w:pPr>
            <w:r>
              <w:rPr>
                <w:rFonts w:ascii="Arial" w:cs="Arial" w:eastAsia="Arial" w:hAnsi="Arial"/>
                <w:sz w:val="18"/>
                <w:szCs w:val="18"/>
                <w:color w:val="auto"/>
              </w:rPr>
              <w:t>Net loss attributable to vTv Therapeutics Inc.</w:t>
            </w:r>
          </w:p>
        </w:tc>
        <w:tc>
          <w:tcPr>
            <w:tcW w:w="320" w:type="dxa"/>
            <w:vAlign w:val="bottom"/>
            <w:tcBorders>
              <w:bottom w:val="single" w:sz="8" w:color="auto"/>
            </w:tcBorders>
            <w:shd w:val="clear" w:color="auto" w:fill="EBF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EBFEFF"/>
            </w:tcBorders>
            <w:shd w:val="clear" w:color="auto" w:fill="EBFEFF"/>
          </w:tcPr>
          <w:p>
            <w:pPr>
              <w:spacing w:after="0"/>
              <w:rPr>
                <w:sz w:val="21"/>
                <w:szCs w:val="21"/>
                <w:color w:val="auto"/>
              </w:rPr>
            </w:pPr>
          </w:p>
        </w:tc>
        <w:tc>
          <w:tcPr>
            <w:tcW w:w="420" w:type="dxa"/>
            <w:vAlign w:val="bottom"/>
            <w:tcBorders>
              <w:bottom w:val="single" w:sz="8" w:color="auto"/>
            </w:tcBorders>
            <w:shd w:val="clear" w:color="auto" w:fill="EBF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(3,151)</w:t>
            </w:r>
          </w:p>
        </w:tc>
        <w:tc>
          <w:tcPr>
            <w:tcW w:w="80" w:type="dxa"/>
            <w:vAlign w:val="bottom"/>
            <w:tcBorders>
              <w:bottom w:val="single" w:sz="8" w:color="EBFEFF"/>
            </w:tcBorders>
            <w:shd w:val="clear" w:color="auto" w:fill="EBFEFF"/>
          </w:tcPr>
          <w:p>
            <w:pPr>
              <w:spacing w:after="0"/>
              <w:rPr>
                <w:sz w:val="21"/>
                <w:szCs w:val="21"/>
                <w:color w:val="auto"/>
              </w:rPr>
            </w:pPr>
          </w:p>
        </w:tc>
        <w:tc>
          <w:tcPr>
            <w:tcW w:w="340" w:type="dxa"/>
            <w:vAlign w:val="bottom"/>
            <w:tcBorders>
              <w:bottom w:val="single" w:sz="8" w:color="auto"/>
            </w:tcBorders>
            <w:shd w:val="clear" w:color="auto" w:fill="EBF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(10,118)</w:t>
            </w:r>
          </w:p>
        </w:tc>
        <w:tc>
          <w:tcPr>
            <w:tcW w:w="100" w:type="dxa"/>
            <w:vAlign w:val="bottom"/>
            <w:tcBorders>
              <w:bottom w:val="single" w:sz="8" w:color="EBFEFF"/>
            </w:tcBorders>
            <w:shd w:val="clear" w:color="auto" w:fill="EBFEFF"/>
          </w:tcPr>
          <w:p>
            <w:pPr>
              <w:spacing w:after="0"/>
              <w:rPr>
                <w:sz w:val="21"/>
                <w:szCs w:val="21"/>
                <w:color w:val="auto"/>
              </w:rPr>
            </w:pPr>
          </w:p>
        </w:tc>
        <w:tc>
          <w:tcPr>
            <w:tcW w:w="420" w:type="dxa"/>
            <w:vAlign w:val="bottom"/>
            <w:tcBorders>
              <w:bottom w:val="single" w:sz="8" w:color="auto"/>
            </w:tcBorders>
            <w:shd w:val="clear" w:color="auto" w:fill="EBF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20"/>
        </w:trPr>
        <w:tc>
          <w:tcPr>
            <w:tcW w:w="5120" w:type="dxa"/>
            <w:vAlign w:val="bottom"/>
            <w:tcBorders>
              <w:top w:val="single" w:sz="8" w:color="EBFEFF"/>
            </w:tcBorders>
          </w:tcPr>
          <w:p>
            <w:pPr>
              <w:spacing w:after="0" w:line="20" w:lineRule="exact"/>
              <w:rPr>
                <w:sz w:val="1"/>
                <w:szCs w:val="1"/>
                <w:color w:val="auto"/>
              </w:rPr>
            </w:pPr>
          </w:p>
        </w:tc>
        <w:tc>
          <w:tcPr>
            <w:tcW w:w="320" w:type="dxa"/>
            <w:vAlign w:val="bottom"/>
            <w:tcBorders>
              <w:top w:val="single" w:sz="8" w:color="EBFEFF"/>
            </w:tcBorders>
          </w:tcPr>
          <w:p>
            <w:pPr>
              <w:spacing w:after="0" w:line="20" w:lineRule="exact"/>
              <w:rPr>
                <w:sz w:val="1"/>
                <w:szCs w:val="1"/>
                <w:color w:val="auto"/>
              </w:rPr>
            </w:pPr>
          </w:p>
        </w:tc>
        <w:tc>
          <w:tcPr>
            <w:tcW w:w="1120" w:type="dxa"/>
            <w:vAlign w:val="bottom"/>
            <w:tcBorders>
              <w:top w:val="single" w:sz="8" w:color="EBFEFF"/>
            </w:tcBorders>
          </w:tcPr>
          <w:p>
            <w:pPr>
              <w:spacing w:after="0" w:line="20" w:lineRule="exact"/>
              <w:rPr>
                <w:sz w:val="1"/>
                <w:szCs w:val="1"/>
                <w:color w:val="auto"/>
              </w:rPr>
            </w:pPr>
          </w:p>
        </w:tc>
        <w:tc>
          <w:tcPr>
            <w:tcW w:w="520" w:type="dxa"/>
            <w:vAlign w:val="bottom"/>
            <w:tcBorders>
              <w:top w:val="single" w:sz="8" w:color="EBFEFF"/>
            </w:tcBorders>
            <w:gridSpan w:val="2"/>
          </w:tcPr>
          <w:p>
            <w:pPr>
              <w:spacing w:after="0" w:line="20" w:lineRule="exact"/>
              <w:rPr>
                <w:sz w:val="1"/>
                <w:szCs w:val="1"/>
                <w:color w:val="auto"/>
              </w:rPr>
            </w:pPr>
          </w:p>
        </w:tc>
        <w:tc>
          <w:tcPr>
            <w:tcW w:w="1060" w:type="dxa"/>
            <w:vAlign w:val="bottom"/>
            <w:tcBorders>
              <w:top w:val="single" w:sz="8" w:color="EBFEFF"/>
            </w:tcBorders>
          </w:tcPr>
          <w:p>
            <w:pPr>
              <w:spacing w:after="0" w:line="20" w:lineRule="exact"/>
              <w:rPr>
                <w:sz w:val="1"/>
                <w:szCs w:val="1"/>
                <w:color w:val="auto"/>
              </w:rPr>
            </w:pPr>
          </w:p>
        </w:tc>
        <w:tc>
          <w:tcPr>
            <w:tcW w:w="420" w:type="dxa"/>
            <w:vAlign w:val="bottom"/>
            <w:tcBorders>
              <w:top w:val="single" w:sz="8" w:color="EBFEFF"/>
            </w:tcBorders>
            <w:gridSpan w:val="2"/>
          </w:tcPr>
          <w:p>
            <w:pPr>
              <w:spacing w:after="0" w:line="20" w:lineRule="exact"/>
              <w:rPr>
                <w:sz w:val="1"/>
                <w:szCs w:val="1"/>
                <w:color w:val="auto"/>
              </w:rPr>
            </w:pPr>
          </w:p>
        </w:tc>
        <w:tc>
          <w:tcPr>
            <w:tcW w:w="1120" w:type="dxa"/>
            <w:vAlign w:val="bottom"/>
            <w:tcBorders>
              <w:top w:val="single" w:sz="8" w:color="EBFEFF"/>
            </w:tcBorders>
          </w:tcPr>
          <w:p>
            <w:pPr>
              <w:spacing w:after="0" w:line="20" w:lineRule="exact"/>
              <w:rPr>
                <w:sz w:val="1"/>
                <w:szCs w:val="1"/>
                <w:color w:val="auto"/>
              </w:rPr>
            </w:pPr>
          </w:p>
        </w:tc>
        <w:tc>
          <w:tcPr>
            <w:tcW w:w="520" w:type="dxa"/>
            <w:vAlign w:val="bottom"/>
            <w:tcBorders>
              <w:top w:val="single" w:sz="8" w:color="EBFEFF"/>
            </w:tcBorders>
            <w:gridSpan w:val="2"/>
          </w:tcPr>
          <w:p>
            <w:pPr>
              <w:spacing w:after="0" w:line="20" w:lineRule="exact"/>
              <w:rPr>
                <w:sz w:val="1"/>
                <w:szCs w:val="1"/>
                <w:color w:val="auto"/>
              </w:rPr>
            </w:pPr>
          </w:p>
        </w:tc>
        <w:tc>
          <w:tcPr>
            <w:tcW w:w="1040" w:type="dxa"/>
            <w:vAlign w:val="bottom"/>
            <w:tcBorders>
              <w:top w:val="single" w:sz="8" w:color="EBF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18"/>
                <w:szCs w:val="18"/>
                <w:color w:val="auto"/>
                <w:w w:val="94"/>
              </w:rPr>
              <w:t>Net loss attributable to vTv Therapeutics Inc. common shareholders</w:t>
            </w: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(5,619)</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(10,118)</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EBF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BF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20" w:type="dxa"/>
            <w:vAlign w:val="bottom"/>
            <w:shd w:val="clear" w:color="auto" w:fill="EBFEFF"/>
          </w:tcPr>
          <w:p>
            <w:pPr>
              <w:ind w:left="260"/>
              <w:spacing w:after="0" w:line="155" w:lineRule="exact"/>
              <w:rPr>
                <w:sz w:val="20"/>
                <w:szCs w:val="20"/>
                <w:color w:val="auto"/>
              </w:rPr>
            </w:pPr>
            <w:r>
              <w:rPr>
                <w:rFonts w:ascii="Arial" w:cs="Arial" w:eastAsia="Arial" w:hAnsi="Arial"/>
                <w:sz w:val="17"/>
                <w:szCs w:val="17"/>
                <w:color w:val="auto"/>
              </w:rPr>
              <w:t>Net loss per share of vTv Therapeutics Inc. Class A common</w:t>
            </w:r>
          </w:p>
        </w:tc>
        <w:tc>
          <w:tcPr>
            <w:tcW w:w="320" w:type="dxa"/>
            <w:vAlign w:val="bottom"/>
            <w:vMerge w:val="restart"/>
            <w:shd w:val="clear" w:color="auto" w:fill="EBF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EBFEFF"/>
          </w:tcPr>
          <w:p>
            <w:pPr>
              <w:jc w:val="right"/>
              <w:spacing w:after="0"/>
              <w:rPr>
                <w:sz w:val="20"/>
                <w:szCs w:val="20"/>
                <w:color w:val="auto"/>
              </w:rPr>
            </w:pPr>
            <w:r>
              <w:rPr>
                <w:rFonts w:ascii="Arial" w:cs="Arial" w:eastAsia="Arial" w:hAnsi="Arial"/>
                <w:sz w:val="18"/>
                <w:szCs w:val="18"/>
                <w:color w:val="auto"/>
              </w:rPr>
              <w:t>(0.07)</w:t>
            </w:r>
          </w:p>
        </w:tc>
        <w:tc>
          <w:tcPr>
            <w:tcW w:w="520" w:type="dxa"/>
            <w:vAlign w:val="bottom"/>
            <w:gridSpan w:val="2"/>
            <w:vMerge w:val="restart"/>
            <w:shd w:val="clear" w:color="auto" w:fill="EBF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EBF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vMerge w:val="restart"/>
            <w:shd w:val="clear" w:color="auto" w:fill="EBF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BFEFF"/>
          </w:tcPr>
          <w:p>
            <w:pPr>
              <w:jc w:val="right"/>
              <w:spacing w:after="0"/>
              <w:rPr>
                <w:sz w:val="20"/>
                <w:szCs w:val="20"/>
                <w:color w:val="auto"/>
              </w:rPr>
            </w:pPr>
            <w:r>
              <w:rPr>
                <w:rFonts w:ascii="Arial" w:cs="Arial" w:eastAsia="Arial" w:hAnsi="Arial"/>
                <w:sz w:val="18"/>
                <w:szCs w:val="18"/>
                <w:color w:val="auto"/>
              </w:rPr>
              <w:t>(0.12)</w:t>
            </w:r>
          </w:p>
        </w:tc>
        <w:tc>
          <w:tcPr>
            <w:tcW w:w="520" w:type="dxa"/>
            <w:vAlign w:val="bottom"/>
            <w:gridSpan w:val="2"/>
            <w:vMerge w:val="restart"/>
            <w:shd w:val="clear" w:color="auto" w:fill="EBF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EBF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5120" w:type="dxa"/>
            <w:vAlign w:val="bottom"/>
            <w:shd w:val="clear" w:color="auto" w:fill="EBFEFF"/>
          </w:tcPr>
          <w:p>
            <w:pPr>
              <w:ind w:left="440"/>
              <w:spacing w:after="0" w:line="203" w:lineRule="exact"/>
              <w:rPr>
                <w:sz w:val="20"/>
                <w:szCs w:val="20"/>
                <w:color w:val="auto"/>
              </w:rPr>
            </w:pPr>
            <w:r>
              <w:rPr>
                <w:rFonts w:ascii="Arial" w:cs="Arial" w:eastAsia="Arial" w:hAnsi="Arial"/>
                <w:sz w:val="18"/>
                <w:szCs w:val="18"/>
                <w:color w:val="auto"/>
              </w:rPr>
              <w:t>stock, basic and diluted</w:t>
            </w:r>
          </w:p>
        </w:tc>
        <w:tc>
          <w:tcPr>
            <w:tcW w:w="320" w:type="dxa"/>
            <w:vAlign w:val="bottom"/>
            <w:vMerge w:val="continue"/>
            <w:shd w:val="clear" w:color="auto" w:fill="EBFEFF"/>
          </w:tcPr>
          <w:p>
            <w:pPr>
              <w:spacing w:after="0"/>
              <w:rPr>
                <w:sz w:val="19"/>
                <w:szCs w:val="19"/>
                <w:color w:val="auto"/>
              </w:rPr>
            </w:pPr>
          </w:p>
        </w:tc>
        <w:tc>
          <w:tcPr>
            <w:tcW w:w="1120" w:type="dxa"/>
            <w:vAlign w:val="bottom"/>
            <w:vMerge w:val="continue"/>
            <w:shd w:val="clear" w:color="auto" w:fill="EBFEFF"/>
          </w:tcPr>
          <w:p>
            <w:pPr>
              <w:spacing w:after="0"/>
              <w:rPr>
                <w:sz w:val="19"/>
                <w:szCs w:val="19"/>
                <w:color w:val="auto"/>
              </w:rPr>
            </w:pPr>
          </w:p>
        </w:tc>
        <w:tc>
          <w:tcPr>
            <w:tcW w:w="520" w:type="dxa"/>
            <w:vAlign w:val="bottom"/>
            <w:gridSpan w:val="2"/>
            <w:vMerge w:val="continue"/>
            <w:shd w:val="clear" w:color="auto" w:fill="EBFEFF"/>
          </w:tcPr>
          <w:p>
            <w:pPr>
              <w:spacing w:after="0"/>
              <w:rPr>
                <w:sz w:val="19"/>
                <w:szCs w:val="19"/>
                <w:color w:val="auto"/>
              </w:rPr>
            </w:pPr>
          </w:p>
        </w:tc>
        <w:tc>
          <w:tcPr>
            <w:tcW w:w="1060" w:type="dxa"/>
            <w:vAlign w:val="bottom"/>
            <w:vMerge w:val="continue"/>
            <w:shd w:val="clear" w:color="auto" w:fill="EBFEFF"/>
          </w:tcPr>
          <w:p>
            <w:pPr>
              <w:spacing w:after="0"/>
              <w:rPr>
                <w:sz w:val="19"/>
                <w:szCs w:val="19"/>
                <w:color w:val="auto"/>
              </w:rPr>
            </w:pPr>
          </w:p>
        </w:tc>
        <w:tc>
          <w:tcPr>
            <w:tcW w:w="420" w:type="dxa"/>
            <w:vAlign w:val="bottom"/>
            <w:gridSpan w:val="2"/>
            <w:vMerge w:val="continue"/>
            <w:shd w:val="clear" w:color="auto" w:fill="EBFEFF"/>
          </w:tcPr>
          <w:p>
            <w:pPr>
              <w:spacing w:after="0"/>
              <w:rPr>
                <w:sz w:val="19"/>
                <w:szCs w:val="19"/>
                <w:color w:val="auto"/>
              </w:rPr>
            </w:pPr>
          </w:p>
        </w:tc>
        <w:tc>
          <w:tcPr>
            <w:tcW w:w="1120" w:type="dxa"/>
            <w:vAlign w:val="bottom"/>
            <w:vMerge w:val="continue"/>
            <w:shd w:val="clear" w:color="auto" w:fill="EBFEFF"/>
          </w:tcPr>
          <w:p>
            <w:pPr>
              <w:spacing w:after="0"/>
              <w:rPr>
                <w:sz w:val="19"/>
                <w:szCs w:val="19"/>
                <w:color w:val="auto"/>
              </w:rPr>
            </w:pPr>
          </w:p>
        </w:tc>
        <w:tc>
          <w:tcPr>
            <w:tcW w:w="520" w:type="dxa"/>
            <w:vAlign w:val="bottom"/>
            <w:gridSpan w:val="2"/>
            <w:vMerge w:val="continue"/>
            <w:shd w:val="clear" w:color="auto" w:fill="EBFEFF"/>
          </w:tcPr>
          <w:p>
            <w:pPr>
              <w:spacing w:after="0"/>
              <w:rPr>
                <w:sz w:val="19"/>
                <w:szCs w:val="19"/>
                <w:color w:val="auto"/>
              </w:rPr>
            </w:pPr>
          </w:p>
        </w:tc>
        <w:tc>
          <w:tcPr>
            <w:tcW w:w="1040" w:type="dxa"/>
            <w:vAlign w:val="bottom"/>
            <w:vMerge w:val="continue"/>
            <w:shd w:val="clear" w:color="auto" w:fill="EBF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EBFEFF"/>
              <w:bottom w:val="single" w:sz="8" w:color="EBFEFF"/>
            </w:tcBorders>
            <w:vMerge w:val="restart"/>
          </w:tcPr>
          <w:p>
            <w:pPr>
              <w:ind w:left="260"/>
              <w:spacing w:after="0" w:line="163" w:lineRule="exact"/>
              <w:rPr>
                <w:sz w:val="20"/>
                <w:szCs w:val="20"/>
                <w:color w:val="auto"/>
              </w:rPr>
            </w:pPr>
            <w:r>
              <w:rPr>
                <w:rFonts w:ascii="Arial" w:cs="Arial" w:eastAsia="Arial" w:hAnsi="Arial"/>
                <w:sz w:val="18"/>
                <w:szCs w:val="18"/>
                <w:color w:val="auto"/>
              </w:rPr>
              <w:t>Weighted average number of vTv Therapeutics Inc. Class 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81,483,600</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70,366,823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81,483,600</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68,664,259</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common stock, basic and diluted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three months ended June 30,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Class A Common Stock</w:t>
            </w:r>
          </w:p>
        </w:tc>
        <w:tc>
          <w:tcPr>
            <w:tcW w:w="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Class B Common Stock</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right w:val="single" w:sz="8" w:color="auto"/>
            </w:tcBorders>
            <w:gridSpan w:val="2"/>
            <w:vMerge w:val="restart"/>
          </w:tcPr>
          <w:p>
            <w:pPr>
              <w:jc w:val="center"/>
              <w:ind w:right="220"/>
              <w:spacing w:after="0" w:line="146" w:lineRule="exact"/>
              <w:rPr>
                <w:sz w:val="20"/>
                <w:szCs w:val="20"/>
                <w:color w:val="auto"/>
              </w:rPr>
            </w:pPr>
            <w:r>
              <w:rPr>
                <w:rFonts w:ascii="Arial" w:cs="Arial" w:eastAsia="Arial" w:hAnsi="Arial"/>
                <w:sz w:val="13"/>
                <w:szCs w:val="13"/>
                <w:b w:val="1"/>
                <w:bCs w:val="1"/>
                <w:color w:val="auto"/>
                <w:w w:val="83"/>
              </w:rPr>
              <w:t>Redeemable</w:t>
            </w:r>
          </w:p>
        </w:tc>
        <w:tc>
          <w:tcPr>
            <w:tcW w:w="8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restart"/>
          </w:tcPr>
          <w:p>
            <w:pPr>
              <w:jc w:val="right"/>
              <w:ind w:right="177"/>
              <w:spacing w:after="0" w:line="146" w:lineRule="exact"/>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center"/>
              <w:ind w:right="57"/>
              <w:spacing w:after="0" w:line="14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right w:val="single" w:sz="8" w:color="auto"/>
            </w:tcBorders>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Noncontrolling</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57"/>
              <w:spacing w:after="0" w:line="131"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76"/>
        </w:trPr>
        <w:tc>
          <w:tcPr>
            <w:tcW w:w="2340" w:type="dxa"/>
            <w:vAlign w:val="bottom"/>
            <w:shd w:val="clear" w:color="auto" w:fill="EBFEFF"/>
          </w:tcPr>
          <w:p>
            <w:pPr>
              <w:ind w:left="20"/>
              <w:spacing w:after="0"/>
              <w:rPr>
                <w:sz w:val="20"/>
                <w:szCs w:val="20"/>
                <w:color w:val="auto"/>
              </w:rPr>
            </w:pPr>
            <w:r>
              <w:rPr>
                <w:rFonts w:ascii="Arial" w:cs="Arial" w:eastAsia="Arial" w:hAnsi="Arial"/>
                <w:sz w:val="13"/>
                <w:szCs w:val="13"/>
                <w:b w:val="1"/>
                <w:bCs w:val="1"/>
                <w:color w:val="auto"/>
              </w:rPr>
              <w:t>Balances at March 31, 2023</w:t>
            </w:r>
          </w:p>
        </w:tc>
        <w:tc>
          <w:tcPr>
            <w:tcW w:w="1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19,600</w:t>
            </w:r>
          </w:p>
        </w:tc>
        <w:tc>
          <w:tcPr>
            <w:tcW w:w="120" w:type="dxa"/>
            <w:vAlign w:val="bottom"/>
            <w:tcBorders>
              <w:right w:val="single" w:sz="8" w:color="auto"/>
            </w:tcBorders>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81,483,600</w:t>
            </w:r>
          </w:p>
        </w:tc>
        <w:tc>
          <w:tcPr>
            <w:tcW w:w="280" w:type="dxa"/>
            <w:vAlign w:val="bottom"/>
            <w:gridSpan w:val="2"/>
            <w:shd w:val="clear" w:color="auto" w:fill="EBF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815</w:t>
            </w:r>
          </w:p>
        </w:tc>
        <w:tc>
          <w:tcPr>
            <w:tcW w:w="114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23,093,860</w:t>
            </w:r>
          </w:p>
        </w:tc>
        <w:tc>
          <w:tcPr>
            <w:tcW w:w="240" w:type="dxa"/>
            <w:vAlign w:val="bottom"/>
            <w:gridSpan w:val="2"/>
            <w:shd w:val="clear" w:color="auto" w:fill="EBFEFF"/>
          </w:tcPr>
          <w:p>
            <w:pPr>
              <w:jc w:val="right"/>
              <w:ind w:right="8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232</w:t>
            </w:r>
          </w:p>
        </w:tc>
        <w:tc>
          <w:tcPr>
            <w:tcW w:w="240" w:type="dxa"/>
            <w:vAlign w:val="bottom"/>
            <w:gridSpan w:val="2"/>
            <w:shd w:val="clear" w:color="auto" w:fill="EBFEFF"/>
          </w:tcPr>
          <w:p>
            <w:pPr>
              <w:jc w:val="right"/>
              <w:ind w:right="80"/>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254,080</w:t>
            </w:r>
          </w:p>
        </w:tc>
        <w:tc>
          <w:tcPr>
            <w:tcW w:w="200" w:type="dxa"/>
            <w:vAlign w:val="bottom"/>
            <w:gridSpan w:val="2"/>
            <w:shd w:val="clear" w:color="auto" w:fill="EBFEFF"/>
          </w:tcPr>
          <w:p>
            <w:pPr>
              <w:jc w:val="right"/>
              <w:ind w:right="40"/>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(274,319)</w:t>
            </w:r>
          </w:p>
        </w:tc>
        <w:tc>
          <w:tcPr>
            <w:tcW w:w="220" w:type="dxa"/>
            <w:vAlign w:val="bottom"/>
            <w:gridSpan w:val="2"/>
            <w:shd w:val="clear" w:color="auto" w:fill="EBFEFF"/>
          </w:tcPr>
          <w:p>
            <w:pPr>
              <w:jc w:val="right"/>
              <w:ind w:right="40"/>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(19,192)</w:t>
            </w:r>
          </w:p>
        </w:tc>
        <w:tc>
          <w:tcPr>
            <w:tcW w:w="0" w:type="dxa"/>
            <w:vAlign w:val="bottom"/>
          </w:tcPr>
          <w:p>
            <w:pPr>
              <w:spacing w:after="0"/>
              <w:rPr>
                <w:sz w:val="1"/>
                <w:szCs w:val="1"/>
                <w:color w:val="auto"/>
              </w:rPr>
            </w:pPr>
          </w:p>
        </w:tc>
      </w:tr>
      <w:tr>
        <w:trPr>
          <w:trHeight w:val="160"/>
        </w:trPr>
        <w:tc>
          <w:tcPr>
            <w:tcW w:w="23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(1,592)</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(5,619)</w:t>
            </w:r>
          </w:p>
        </w:tc>
        <w:tc>
          <w:tcPr>
            <w:tcW w:w="0" w:type="dxa"/>
            <w:vAlign w:val="bottom"/>
          </w:tcPr>
          <w:p>
            <w:pPr>
              <w:spacing w:after="0"/>
              <w:rPr>
                <w:sz w:val="1"/>
                <w:szCs w:val="1"/>
                <w:color w:val="auto"/>
              </w:rPr>
            </w:pPr>
          </w:p>
        </w:tc>
      </w:tr>
      <w:tr>
        <w:trPr>
          <w:trHeight w:val="29"/>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340" w:type="dxa"/>
            <w:vAlign w:val="bottom"/>
            <w:shd w:val="clear" w:color="auto" w:fill="EBFEFF"/>
          </w:tcPr>
          <w:p>
            <w:pPr>
              <w:ind w:left="240"/>
              <w:spacing w:after="0"/>
              <w:rPr>
                <w:sz w:val="20"/>
                <w:szCs w:val="20"/>
                <w:color w:val="auto"/>
              </w:rPr>
            </w:pPr>
            <w:r>
              <w:rPr>
                <w:rFonts w:ascii="Arial" w:cs="Arial" w:eastAsia="Arial" w:hAnsi="Arial"/>
                <w:sz w:val="13"/>
                <w:szCs w:val="13"/>
                <w:color w:val="auto"/>
              </w:rPr>
              <w:t>Share-based compensation</w:t>
            </w:r>
          </w:p>
        </w:tc>
        <w:tc>
          <w:tcPr>
            <w:tcW w:w="120" w:type="dxa"/>
            <w:vAlign w:val="bottom"/>
            <w:shd w:val="clear" w:color="auto" w:fill="EBFEFF"/>
          </w:tcPr>
          <w:p>
            <w:pPr>
              <w:spacing w:after="0"/>
              <w:rPr>
                <w:sz w:val="15"/>
                <w:szCs w:val="15"/>
                <w:color w:val="auto"/>
              </w:rPr>
            </w:pPr>
          </w:p>
        </w:tc>
        <w:tc>
          <w:tcPr>
            <w:tcW w:w="1060" w:type="dxa"/>
            <w:vAlign w:val="bottom"/>
            <w:tcBorders>
              <w:right w:val="single" w:sz="8" w:color="auto"/>
            </w:tcBorders>
            <w:gridSpan w:val="2"/>
            <w:shd w:val="clear" w:color="auto" w:fill="EBF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5"/>
                <w:szCs w:val="15"/>
                <w:color w:val="auto"/>
              </w:rPr>
            </w:pPr>
          </w:p>
        </w:tc>
        <w:tc>
          <w:tcPr>
            <w:tcW w:w="180" w:type="dxa"/>
            <w:vAlign w:val="bottom"/>
            <w:shd w:val="clear" w:color="auto" w:fill="EBFEFF"/>
          </w:tcPr>
          <w:p>
            <w:pPr>
              <w:spacing w:after="0"/>
              <w:rPr>
                <w:sz w:val="15"/>
                <w:szCs w:val="15"/>
                <w:color w:val="auto"/>
              </w:rPr>
            </w:pPr>
          </w:p>
        </w:tc>
        <w:tc>
          <w:tcPr>
            <w:tcW w:w="84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5"/>
                <w:szCs w:val="15"/>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60" w:type="dxa"/>
            <w:vAlign w:val="bottom"/>
            <w:shd w:val="clear" w:color="auto" w:fill="EBFEFF"/>
          </w:tcPr>
          <w:p>
            <w:pPr>
              <w:spacing w:after="0"/>
              <w:rPr>
                <w:sz w:val="15"/>
                <w:szCs w:val="15"/>
                <w:color w:val="auto"/>
              </w:rPr>
            </w:pPr>
          </w:p>
        </w:tc>
        <w:tc>
          <w:tcPr>
            <w:tcW w:w="72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60" w:type="dxa"/>
            <w:vAlign w:val="bottom"/>
            <w:shd w:val="clear" w:color="auto" w:fill="EBFEFF"/>
          </w:tcPr>
          <w:p>
            <w:pPr>
              <w:spacing w:after="0"/>
              <w:rPr>
                <w:sz w:val="15"/>
                <w:szCs w:val="15"/>
                <w:color w:val="auto"/>
              </w:rPr>
            </w:pPr>
          </w:p>
        </w:tc>
        <w:tc>
          <w:tcPr>
            <w:tcW w:w="880" w:type="dxa"/>
            <w:vAlign w:val="bottom"/>
            <w:shd w:val="clear" w:color="auto" w:fill="EBFEFF"/>
          </w:tcPr>
          <w:p>
            <w:pPr>
              <w:jc w:val="right"/>
              <w:spacing w:after="0"/>
              <w:rPr>
                <w:sz w:val="20"/>
                <w:szCs w:val="20"/>
                <w:color w:val="auto"/>
              </w:rPr>
            </w:pPr>
            <w:r>
              <w:rPr>
                <w:rFonts w:ascii="Arial" w:cs="Arial" w:eastAsia="Arial" w:hAnsi="Arial"/>
                <w:sz w:val="13"/>
                <w:szCs w:val="13"/>
                <w:color w:val="auto"/>
              </w:rPr>
              <w:t>399</w:t>
            </w:r>
          </w:p>
        </w:tc>
        <w:tc>
          <w:tcPr>
            <w:tcW w:w="80" w:type="dxa"/>
            <w:vAlign w:val="bottom"/>
            <w:shd w:val="clear" w:color="auto" w:fill="EBFEFF"/>
          </w:tcPr>
          <w:p>
            <w:pPr>
              <w:spacing w:after="0"/>
              <w:rPr>
                <w:sz w:val="15"/>
                <w:szCs w:val="15"/>
                <w:color w:val="auto"/>
              </w:rPr>
            </w:pPr>
          </w:p>
        </w:tc>
        <w:tc>
          <w:tcPr>
            <w:tcW w:w="120" w:type="dxa"/>
            <w:vAlign w:val="bottom"/>
            <w:shd w:val="clear" w:color="auto" w:fill="EBFEFF"/>
          </w:tcPr>
          <w:p>
            <w:pPr>
              <w:spacing w:after="0"/>
              <w:rPr>
                <w:sz w:val="15"/>
                <w:szCs w:val="15"/>
                <w:color w:val="auto"/>
              </w:rPr>
            </w:pP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40" w:type="dxa"/>
            <w:vAlign w:val="bottom"/>
            <w:shd w:val="clear" w:color="auto" w:fill="EBFEFF"/>
          </w:tcPr>
          <w:p>
            <w:pPr>
              <w:spacing w:after="0"/>
              <w:rPr>
                <w:sz w:val="15"/>
                <w:szCs w:val="15"/>
                <w:color w:val="auto"/>
              </w:rPr>
            </w:pP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22"/>
        </w:trPr>
        <w:tc>
          <w:tcPr>
            <w:tcW w:w="2340" w:type="dxa"/>
            <w:vAlign w:val="bottom"/>
          </w:tcPr>
          <w:p>
            <w:pPr>
              <w:ind w:left="260"/>
              <w:spacing w:after="0" w:line="122" w:lineRule="exact"/>
              <w:rPr>
                <w:sz w:val="20"/>
                <w:szCs w:val="20"/>
                <w:color w:val="auto"/>
              </w:rPr>
            </w:pPr>
            <w:r>
              <w:rPr>
                <w:rFonts w:ascii="Arial" w:cs="Arial" w:eastAsia="Arial" w:hAnsi="Arial"/>
                <w:sz w:val="13"/>
                <w:szCs w:val="13"/>
                <w:color w:val="auto"/>
              </w:rPr>
              <w:t>Change in redemption value of</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169"/>
        </w:trPr>
        <w:tc>
          <w:tcPr>
            <w:tcW w:w="2340" w:type="dxa"/>
            <w:vAlign w:val="bottom"/>
          </w:tcPr>
          <w:p>
            <w:pPr>
              <w:ind w:left="360"/>
              <w:spacing w:after="0"/>
              <w:rPr>
                <w:sz w:val="20"/>
                <w:szCs w:val="20"/>
                <w:color w:val="auto"/>
              </w:rPr>
            </w:pPr>
            <w:r>
              <w:rPr>
                <w:rFonts w:ascii="Arial" w:cs="Arial" w:eastAsia="Arial" w:hAnsi="Arial"/>
                <w:sz w:val="13"/>
                <w:szCs w:val="13"/>
                <w:color w:val="auto"/>
              </w:rPr>
              <w:t>noncontrolling interest</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40" w:type="dxa"/>
            <w:vAlign w:val="bottom"/>
            <w:shd w:val="clear" w:color="auto" w:fill="EBFEFF"/>
          </w:tcPr>
          <w:p>
            <w:pPr>
              <w:ind w:left="20"/>
              <w:spacing w:after="0"/>
              <w:rPr>
                <w:sz w:val="20"/>
                <w:szCs w:val="20"/>
                <w:color w:val="auto"/>
              </w:rPr>
            </w:pPr>
            <w:r>
              <w:rPr>
                <w:rFonts w:ascii="Arial" w:cs="Arial" w:eastAsia="Arial" w:hAnsi="Arial"/>
                <w:sz w:val="13"/>
                <w:szCs w:val="13"/>
                <w:b w:val="1"/>
                <w:bCs w:val="1"/>
                <w:color w:val="auto"/>
              </w:rPr>
              <w:t>Balances at June 30, 2023</w:t>
            </w:r>
          </w:p>
        </w:tc>
        <w:tc>
          <w:tcPr>
            <w:tcW w:w="1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18,879</w:t>
            </w:r>
          </w:p>
        </w:tc>
        <w:tc>
          <w:tcPr>
            <w:tcW w:w="120" w:type="dxa"/>
            <w:vAlign w:val="bottom"/>
            <w:tcBorders>
              <w:right w:val="single" w:sz="8" w:color="auto"/>
            </w:tcBorders>
            <w:shd w:val="clear" w:color="auto" w:fill="EBFEFF"/>
          </w:tcPr>
          <w:p>
            <w:pPr>
              <w:spacing w:after="0"/>
              <w:rPr>
                <w:sz w:val="18"/>
                <w:szCs w:val="18"/>
                <w:color w:val="auto"/>
              </w:rPr>
            </w:pPr>
          </w:p>
        </w:tc>
        <w:tc>
          <w:tcPr>
            <w:tcW w:w="80" w:type="dxa"/>
            <w:vAlign w:val="bottom"/>
            <w:shd w:val="clear" w:color="auto" w:fill="EBFEFF"/>
          </w:tcPr>
          <w:p>
            <w:pPr>
              <w:spacing w:after="0"/>
              <w:rPr>
                <w:sz w:val="18"/>
                <w:szCs w:val="18"/>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81,483,600</w:t>
            </w:r>
          </w:p>
        </w:tc>
        <w:tc>
          <w:tcPr>
            <w:tcW w:w="280" w:type="dxa"/>
            <w:vAlign w:val="bottom"/>
            <w:gridSpan w:val="2"/>
            <w:shd w:val="clear" w:color="auto" w:fill="EBF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815</w:t>
            </w:r>
          </w:p>
        </w:tc>
        <w:tc>
          <w:tcPr>
            <w:tcW w:w="114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23,093,860</w:t>
            </w:r>
          </w:p>
        </w:tc>
        <w:tc>
          <w:tcPr>
            <w:tcW w:w="240" w:type="dxa"/>
            <w:vAlign w:val="bottom"/>
            <w:gridSpan w:val="2"/>
            <w:shd w:val="clear" w:color="auto" w:fill="EBFEFF"/>
          </w:tcPr>
          <w:p>
            <w:pPr>
              <w:jc w:val="right"/>
              <w:ind w:right="8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232</w:t>
            </w:r>
          </w:p>
        </w:tc>
        <w:tc>
          <w:tcPr>
            <w:tcW w:w="240" w:type="dxa"/>
            <w:vAlign w:val="bottom"/>
            <w:gridSpan w:val="2"/>
            <w:shd w:val="clear" w:color="auto" w:fill="EBFEFF"/>
          </w:tcPr>
          <w:p>
            <w:pPr>
              <w:jc w:val="right"/>
              <w:ind w:right="80"/>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254,479</w:t>
            </w:r>
          </w:p>
        </w:tc>
        <w:tc>
          <w:tcPr>
            <w:tcW w:w="200" w:type="dxa"/>
            <w:vAlign w:val="bottom"/>
            <w:gridSpan w:val="2"/>
            <w:shd w:val="clear" w:color="auto" w:fill="EBFEFF"/>
          </w:tcPr>
          <w:p>
            <w:pPr>
              <w:jc w:val="right"/>
              <w:ind w:right="40"/>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(280,809)</w:t>
            </w:r>
          </w:p>
        </w:tc>
        <w:tc>
          <w:tcPr>
            <w:tcW w:w="220" w:type="dxa"/>
            <w:vAlign w:val="bottom"/>
            <w:gridSpan w:val="2"/>
            <w:shd w:val="clear" w:color="auto" w:fill="EBFEFF"/>
          </w:tcPr>
          <w:p>
            <w:pPr>
              <w:jc w:val="right"/>
              <w:ind w:right="40"/>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(25,283)</w:t>
            </w:r>
          </w:p>
        </w:tc>
        <w:tc>
          <w:tcPr>
            <w:tcW w:w="0" w:type="dxa"/>
            <w:vAlign w:val="bottom"/>
          </w:tcPr>
          <w:p>
            <w:pPr>
              <w:spacing w:after="0"/>
              <w:rPr>
                <w:sz w:val="1"/>
                <w:szCs w:val="1"/>
                <w:color w:val="auto"/>
              </w:rPr>
            </w:pPr>
          </w:p>
        </w:tc>
      </w:tr>
      <w:tr>
        <w:trPr>
          <w:trHeight w:val="20"/>
        </w:trPr>
        <w:tc>
          <w:tcPr>
            <w:tcW w:w="2340" w:type="dxa"/>
            <w:vAlign w:val="bottom"/>
            <w:tcBorders>
              <w:top w:val="single" w:sz="8" w:color="EBF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BFEFF"/>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three months ended June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160" w:type="dxa"/>
            <w:vAlign w:val="bottom"/>
            <w:tcBorders>
              <w:top w:val="single" w:sz="8" w:color="auto"/>
              <w:bottom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Class A Common Stock</w:t>
            </w:r>
          </w:p>
        </w:tc>
        <w:tc>
          <w:tcPr>
            <w:tcW w:w="100" w:type="dxa"/>
            <w:vAlign w:val="bottom"/>
            <w:tcBorders>
              <w:top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4"/>
          </w:tcPr>
          <w:p>
            <w:pPr>
              <w:jc w:val="right"/>
              <w:ind w:right="297"/>
              <w:spacing w:after="0"/>
              <w:rPr>
                <w:sz w:val="20"/>
                <w:szCs w:val="20"/>
                <w:color w:val="auto"/>
              </w:rPr>
            </w:pPr>
            <w:r>
              <w:rPr>
                <w:rFonts w:ascii="Arial" w:cs="Arial" w:eastAsia="Arial" w:hAnsi="Arial"/>
                <w:sz w:val="13"/>
                <w:szCs w:val="13"/>
                <w:b w:val="1"/>
                <w:bCs w:val="1"/>
                <w:color w:val="auto"/>
              </w:rPr>
              <w:t>Class B Common Stock</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83"/>
              </w:rPr>
              <w:t>Redeemable</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77"/>
              <w:spacing w:after="0" w:line="117" w:lineRule="exact"/>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17"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6"/>
              </w:rPr>
              <w:t>Noncontrolling</w:t>
            </w:r>
          </w:p>
        </w:tc>
        <w:tc>
          <w:tcPr>
            <w:tcW w:w="80" w:type="dxa"/>
            <w:vAlign w:val="bottom"/>
          </w:tcPr>
          <w:p>
            <w:pPr>
              <w:spacing w:after="0"/>
              <w:rPr>
                <w:sz w:val="10"/>
                <w:szCs w:val="10"/>
                <w:color w:val="auto"/>
              </w:rPr>
            </w:pPr>
          </w:p>
        </w:tc>
        <w:tc>
          <w:tcPr>
            <w:tcW w:w="104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104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57"/>
              <w:spacing w:after="0" w:line="126"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ind w:right="117"/>
              <w:spacing w:after="0" w:line="126" w:lineRule="exact"/>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26"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02"/>
        </w:trPr>
        <w:tc>
          <w:tcPr>
            <w:tcW w:w="2340" w:type="dxa"/>
            <w:vAlign w:val="bottom"/>
            <w:shd w:val="clear" w:color="auto" w:fill="EBFEFF"/>
          </w:tcPr>
          <w:p>
            <w:pPr>
              <w:ind w:left="20"/>
              <w:spacing w:after="0"/>
              <w:rPr>
                <w:sz w:val="20"/>
                <w:szCs w:val="20"/>
                <w:color w:val="auto"/>
              </w:rPr>
            </w:pPr>
            <w:r>
              <w:rPr>
                <w:rFonts w:ascii="Arial" w:cs="Arial" w:eastAsia="Arial" w:hAnsi="Arial"/>
                <w:sz w:val="13"/>
                <w:szCs w:val="13"/>
                <w:b w:val="1"/>
                <w:bCs w:val="1"/>
                <w:color w:val="auto"/>
              </w:rPr>
              <w:t>Balances at March 31, 2022</w:t>
            </w:r>
          </w:p>
        </w:tc>
        <w:tc>
          <w:tcPr>
            <w:tcW w:w="10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14,367</w:t>
            </w:r>
          </w:p>
        </w:tc>
        <w:tc>
          <w:tcPr>
            <w:tcW w:w="120" w:type="dxa"/>
            <w:vAlign w:val="bottom"/>
            <w:tcBorders>
              <w:right w:val="single" w:sz="8" w:color="auto"/>
            </w:tcBorders>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66,942,777</w:t>
            </w:r>
          </w:p>
        </w:tc>
        <w:tc>
          <w:tcPr>
            <w:tcW w:w="280" w:type="dxa"/>
            <w:vAlign w:val="bottom"/>
            <w:gridSpan w:val="2"/>
            <w:shd w:val="clear" w:color="auto" w:fill="EBFEFF"/>
          </w:tcPr>
          <w:p>
            <w:pPr>
              <w:jc w:val="right"/>
              <w:ind w:right="68"/>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669</w:t>
            </w:r>
          </w:p>
        </w:tc>
        <w:tc>
          <w:tcPr>
            <w:tcW w:w="114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23,093,860</w:t>
            </w:r>
          </w:p>
        </w:tc>
        <w:tc>
          <w:tcPr>
            <w:tcW w:w="22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232</w:t>
            </w:r>
          </w:p>
        </w:tc>
        <w:tc>
          <w:tcPr>
            <w:tcW w:w="240" w:type="dxa"/>
            <w:vAlign w:val="bottom"/>
            <w:gridSpan w:val="2"/>
            <w:shd w:val="clear" w:color="auto" w:fill="EBFEFF"/>
          </w:tcPr>
          <w:p>
            <w:pPr>
              <w:jc w:val="right"/>
              <w:ind w:right="28"/>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238,669</w:t>
            </w:r>
          </w:p>
        </w:tc>
        <w:tc>
          <w:tcPr>
            <w:tcW w:w="20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(247,663)</w:t>
            </w:r>
          </w:p>
        </w:tc>
        <w:tc>
          <w:tcPr>
            <w:tcW w:w="20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(8,093)</w:t>
            </w:r>
          </w:p>
        </w:tc>
        <w:tc>
          <w:tcPr>
            <w:tcW w:w="0" w:type="dxa"/>
            <w:vAlign w:val="bottom"/>
          </w:tcPr>
          <w:p>
            <w:pPr>
              <w:spacing w:after="0"/>
              <w:rPr>
                <w:sz w:val="1"/>
                <w:szCs w:val="1"/>
                <w:color w:val="auto"/>
              </w:rPr>
            </w:pPr>
          </w:p>
        </w:tc>
      </w:tr>
      <w:tr>
        <w:trPr>
          <w:trHeight w:val="168"/>
        </w:trPr>
        <w:tc>
          <w:tcPr>
            <w:tcW w:w="23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(3,151)</w:t>
            </w:r>
          </w:p>
        </w:tc>
        <w:tc>
          <w:tcPr>
            <w:tcW w:w="0" w:type="dxa"/>
            <w:vAlign w:val="bottom"/>
          </w:tcPr>
          <w:p>
            <w:pPr>
              <w:spacing w:after="0"/>
              <w:rPr>
                <w:sz w:val="1"/>
                <w:szCs w:val="1"/>
                <w:color w:val="auto"/>
              </w:rPr>
            </w:pPr>
          </w:p>
        </w:tc>
      </w:tr>
      <w:tr>
        <w:trPr>
          <w:trHeight w:val="177"/>
        </w:trPr>
        <w:tc>
          <w:tcPr>
            <w:tcW w:w="2340" w:type="dxa"/>
            <w:vAlign w:val="bottom"/>
            <w:tcBorders>
              <w:bottom w:val="single" w:sz="8" w:color="EBFEFF"/>
            </w:tcBorders>
            <w:shd w:val="clear" w:color="auto" w:fill="EBFEFF"/>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tcBorders>
              <w:bottom w:val="single" w:sz="8" w:color="EBFEFF"/>
            </w:tcBorders>
            <w:shd w:val="clear" w:color="auto" w:fill="EBFEFF"/>
          </w:tcPr>
          <w:p>
            <w:pPr>
              <w:spacing w:after="0"/>
              <w:rPr>
                <w:sz w:val="15"/>
                <w:szCs w:val="15"/>
                <w:color w:val="auto"/>
              </w:rPr>
            </w:pPr>
          </w:p>
        </w:tc>
        <w:tc>
          <w:tcPr>
            <w:tcW w:w="1080" w:type="dxa"/>
            <w:vAlign w:val="bottom"/>
            <w:tcBorders>
              <w:bottom w:val="single" w:sz="8" w:color="EBFEFF"/>
              <w:right w:val="single" w:sz="8" w:color="auto"/>
            </w:tcBorders>
            <w:gridSpan w:val="2"/>
            <w:shd w:val="clear" w:color="auto" w:fill="EBF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BFEFF"/>
            </w:tcBorders>
            <w:shd w:val="clear" w:color="auto" w:fill="EBFEFF"/>
          </w:tcPr>
          <w:p>
            <w:pPr>
              <w:spacing w:after="0"/>
              <w:rPr>
                <w:sz w:val="15"/>
                <w:szCs w:val="15"/>
                <w:color w:val="auto"/>
              </w:rPr>
            </w:pPr>
          </w:p>
        </w:tc>
        <w:tc>
          <w:tcPr>
            <w:tcW w:w="104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BFEFF"/>
            </w:tcBorders>
            <w:shd w:val="clear" w:color="auto" w:fill="EBFEFF"/>
          </w:tcPr>
          <w:p>
            <w:pPr>
              <w:spacing w:after="0"/>
              <w:rPr>
                <w:sz w:val="15"/>
                <w:szCs w:val="15"/>
                <w:color w:val="auto"/>
              </w:rPr>
            </w:pPr>
          </w:p>
        </w:tc>
        <w:tc>
          <w:tcPr>
            <w:tcW w:w="180" w:type="dxa"/>
            <w:vAlign w:val="bottom"/>
            <w:tcBorders>
              <w:bottom w:val="single" w:sz="8" w:color="EBFEFF"/>
            </w:tcBorders>
            <w:shd w:val="clear" w:color="auto" w:fill="EBFEFF"/>
          </w:tcPr>
          <w:p>
            <w:pPr>
              <w:spacing w:after="0"/>
              <w:rPr>
                <w:sz w:val="15"/>
                <w:szCs w:val="15"/>
                <w:color w:val="auto"/>
              </w:rPr>
            </w:pPr>
          </w:p>
        </w:tc>
        <w:tc>
          <w:tcPr>
            <w:tcW w:w="84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BFEFF"/>
            </w:tcBorders>
            <w:shd w:val="clear" w:color="auto" w:fill="EBFEFF"/>
          </w:tcPr>
          <w:p>
            <w:pPr>
              <w:spacing w:after="0"/>
              <w:rPr>
                <w:sz w:val="15"/>
                <w:szCs w:val="15"/>
                <w:color w:val="auto"/>
              </w:rPr>
            </w:pPr>
          </w:p>
        </w:tc>
        <w:tc>
          <w:tcPr>
            <w:tcW w:w="104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BFEFF"/>
            </w:tcBorders>
            <w:shd w:val="clear" w:color="auto" w:fill="EBFEFF"/>
          </w:tcPr>
          <w:p>
            <w:pPr>
              <w:spacing w:after="0"/>
              <w:rPr>
                <w:sz w:val="15"/>
                <w:szCs w:val="15"/>
                <w:color w:val="auto"/>
              </w:rPr>
            </w:pPr>
          </w:p>
        </w:tc>
        <w:tc>
          <w:tcPr>
            <w:tcW w:w="140" w:type="dxa"/>
            <w:vAlign w:val="bottom"/>
            <w:tcBorders>
              <w:bottom w:val="single" w:sz="8" w:color="EBFEFF"/>
            </w:tcBorders>
            <w:shd w:val="clear" w:color="auto" w:fill="EBFEFF"/>
          </w:tcPr>
          <w:p>
            <w:pPr>
              <w:spacing w:after="0"/>
              <w:rPr>
                <w:sz w:val="15"/>
                <w:szCs w:val="15"/>
                <w:color w:val="auto"/>
              </w:rPr>
            </w:pPr>
          </w:p>
        </w:tc>
        <w:tc>
          <w:tcPr>
            <w:tcW w:w="72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BFEFF"/>
            </w:tcBorders>
            <w:shd w:val="clear" w:color="auto" w:fill="EBFEFF"/>
          </w:tcPr>
          <w:p>
            <w:pPr>
              <w:spacing w:after="0"/>
              <w:rPr>
                <w:sz w:val="15"/>
                <w:szCs w:val="15"/>
                <w:color w:val="auto"/>
              </w:rPr>
            </w:pPr>
          </w:p>
        </w:tc>
        <w:tc>
          <w:tcPr>
            <w:tcW w:w="140" w:type="dxa"/>
            <w:vAlign w:val="bottom"/>
            <w:tcBorders>
              <w:bottom w:val="single" w:sz="8" w:color="EBFEFF"/>
            </w:tcBorders>
            <w:shd w:val="clear" w:color="auto" w:fill="EBFEFF"/>
          </w:tcPr>
          <w:p>
            <w:pPr>
              <w:spacing w:after="0"/>
              <w:rPr>
                <w:sz w:val="15"/>
                <w:szCs w:val="15"/>
                <w:color w:val="auto"/>
              </w:rPr>
            </w:pPr>
          </w:p>
        </w:tc>
        <w:tc>
          <w:tcPr>
            <w:tcW w:w="88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167</w:t>
            </w:r>
          </w:p>
        </w:tc>
        <w:tc>
          <w:tcPr>
            <w:tcW w:w="80" w:type="dxa"/>
            <w:vAlign w:val="bottom"/>
            <w:tcBorders>
              <w:bottom w:val="single" w:sz="8" w:color="EBFEFF"/>
            </w:tcBorders>
            <w:shd w:val="clear" w:color="auto" w:fill="EBFEFF"/>
          </w:tcPr>
          <w:p>
            <w:pPr>
              <w:spacing w:after="0"/>
              <w:rPr>
                <w:sz w:val="15"/>
                <w:szCs w:val="15"/>
                <w:color w:val="auto"/>
              </w:rPr>
            </w:pPr>
          </w:p>
        </w:tc>
        <w:tc>
          <w:tcPr>
            <w:tcW w:w="120" w:type="dxa"/>
            <w:vAlign w:val="bottom"/>
            <w:tcBorders>
              <w:bottom w:val="single" w:sz="8" w:color="EBFEFF"/>
            </w:tcBorders>
            <w:shd w:val="clear" w:color="auto" w:fill="EBFEFF"/>
          </w:tcPr>
          <w:p>
            <w:pPr>
              <w:spacing w:after="0"/>
              <w:rPr>
                <w:sz w:val="15"/>
                <w:szCs w:val="15"/>
                <w:color w:val="auto"/>
              </w:rPr>
            </w:pPr>
          </w:p>
        </w:tc>
        <w:tc>
          <w:tcPr>
            <w:tcW w:w="940" w:type="dxa"/>
            <w:vAlign w:val="bottom"/>
            <w:tcBorders>
              <w:bottom w:val="single" w:sz="8" w:color="EBFEFF"/>
            </w:tcBorders>
            <w:shd w:val="clear" w:color="auto" w:fill="EBF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BFEFF"/>
            </w:tcBorders>
            <w:shd w:val="clear" w:color="auto" w:fill="EBFEFF"/>
          </w:tcPr>
          <w:p>
            <w:pPr>
              <w:spacing w:after="0"/>
              <w:rPr>
                <w:sz w:val="15"/>
                <w:szCs w:val="15"/>
                <w:color w:val="auto"/>
              </w:rPr>
            </w:pPr>
          </w:p>
        </w:tc>
        <w:tc>
          <w:tcPr>
            <w:tcW w:w="120" w:type="dxa"/>
            <w:vAlign w:val="bottom"/>
            <w:tcBorders>
              <w:bottom w:val="single" w:sz="8" w:color="EBFEFF"/>
            </w:tcBorders>
            <w:shd w:val="clear" w:color="auto" w:fill="EBFEFF"/>
          </w:tcPr>
          <w:p>
            <w:pPr>
              <w:spacing w:after="0"/>
              <w:rPr>
                <w:sz w:val="15"/>
                <w:szCs w:val="15"/>
                <w:color w:val="auto"/>
              </w:rPr>
            </w:pPr>
          </w:p>
        </w:tc>
        <w:tc>
          <w:tcPr>
            <w:tcW w:w="92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22"/>
        </w:trPr>
        <w:tc>
          <w:tcPr>
            <w:tcW w:w="2340" w:type="dxa"/>
            <w:vAlign w:val="bottom"/>
          </w:tcPr>
          <w:p>
            <w:pPr>
              <w:ind w:left="240"/>
              <w:spacing w:after="0" w:line="122" w:lineRule="exact"/>
              <w:rPr>
                <w:sz w:val="20"/>
                <w:szCs w:val="20"/>
                <w:color w:val="auto"/>
              </w:rPr>
            </w:pPr>
            <w:r>
              <w:rPr>
                <w:rFonts w:ascii="Arial" w:cs="Arial" w:eastAsia="Arial" w:hAnsi="Arial"/>
                <w:sz w:val="13"/>
                <w:szCs w:val="13"/>
                <w:color w:val="auto"/>
                <w:w w:val="95"/>
              </w:rPr>
              <w:t>Issuance of Class A common stock to</w:t>
            </w:r>
          </w:p>
        </w:tc>
        <w:tc>
          <w:tcPr>
            <w:tcW w:w="100" w:type="dxa"/>
            <w:vAlign w:val="bottom"/>
          </w:tcPr>
          <w:p>
            <w:pPr>
              <w:spacing w:after="0"/>
              <w:rPr>
                <w:sz w:val="10"/>
                <w:szCs w:val="10"/>
                <w:color w:val="auto"/>
              </w:rPr>
            </w:pP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10,386,274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4,936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5,040</w:t>
            </w:r>
          </w:p>
        </w:tc>
        <w:tc>
          <w:tcPr>
            <w:tcW w:w="0" w:type="dxa"/>
            <w:vAlign w:val="bottom"/>
          </w:tcPr>
          <w:p>
            <w:pPr>
              <w:spacing w:after="0"/>
              <w:rPr>
                <w:sz w:val="1"/>
                <w:szCs w:val="1"/>
                <w:color w:val="auto"/>
              </w:rPr>
            </w:pPr>
          </w:p>
        </w:tc>
      </w:tr>
      <w:tr>
        <w:trPr>
          <w:trHeight w:val="168"/>
        </w:trPr>
        <w:tc>
          <w:tcPr>
            <w:tcW w:w="2340" w:type="dxa"/>
            <w:vAlign w:val="bottom"/>
          </w:tcPr>
          <w:p>
            <w:pPr>
              <w:ind w:left="240"/>
              <w:spacing w:after="0"/>
              <w:rPr>
                <w:sz w:val="20"/>
                <w:szCs w:val="20"/>
                <w:color w:val="auto"/>
              </w:rPr>
            </w:pPr>
            <w:r>
              <w:rPr>
                <w:rFonts w:ascii="Arial" w:cs="Arial" w:eastAsia="Arial" w:hAnsi="Arial"/>
                <w:sz w:val="13"/>
                <w:szCs w:val="13"/>
                <w:color w:val="auto"/>
              </w:rPr>
              <w:t>collaboration partner</w:t>
            </w:r>
          </w:p>
        </w:tc>
        <w:tc>
          <w:tcPr>
            <w:tcW w:w="100" w:type="dxa"/>
            <w:vAlign w:val="bottom"/>
          </w:tcPr>
          <w:p>
            <w:pPr>
              <w:spacing w:after="0"/>
              <w:rPr>
                <w:sz w:val="14"/>
                <w:szCs w:val="14"/>
                <w:color w:val="auto"/>
              </w:rPr>
            </w:pPr>
          </w:p>
        </w:tc>
        <w:tc>
          <w:tcPr>
            <w:tcW w:w="10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EBFEFF"/>
          </w:tcPr>
          <w:p>
            <w:pPr>
              <w:ind w:left="260"/>
              <w:spacing w:after="0" w:line="142" w:lineRule="exact"/>
              <w:rPr>
                <w:sz w:val="20"/>
                <w:szCs w:val="20"/>
                <w:color w:val="auto"/>
              </w:rPr>
            </w:pPr>
            <w:r>
              <w:rPr>
                <w:rFonts w:ascii="Arial" w:cs="Arial" w:eastAsia="Arial" w:hAnsi="Arial"/>
                <w:sz w:val="13"/>
                <w:szCs w:val="13"/>
                <w:color w:val="auto"/>
              </w:rPr>
              <w:t>Change in redemption value of</w:t>
            </w:r>
          </w:p>
        </w:tc>
        <w:tc>
          <w:tcPr>
            <w:tcW w:w="100" w:type="dxa"/>
            <w:vAlign w:val="bottom"/>
            <w:shd w:val="clear" w:color="auto" w:fill="EBFEFF"/>
          </w:tcPr>
          <w:p>
            <w:pPr>
              <w:spacing w:after="0"/>
              <w:rPr>
                <w:sz w:val="12"/>
                <w:szCs w:val="12"/>
                <w:color w:val="auto"/>
              </w:rPr>
            </w:pPr>
          </w:p>
        </w:tc>
        <w:tc>
          <w:tcPr>
            <w:tcW w:w="96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2,489</w:t>
            </w:r>
          </w:p>
        </w:tc>
        <w:tc>
          <w:tcPr>
            <w:tcW w:w="120" w:type="dxa"/>
            <w:vAlign w:val="bottom"/>
            <w:tcBorders>
              <w:right w:val="single" w:sz="8" w:color="auto"/>
            </w:tcBorders>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0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2"/>
                <w:szCs w:val="12"/>
                <w:color w:val="auto"/>
              </w:rPr>
            </w:pPr>
          </w:p>
        </w:tc>
        <w:tc>
          <w:tcPr>
            <w:tcW w:w="180" w:type="dxa"/>
            <w:vAlign w:val="bottom"/>
            <w:shd w:val="clear" w:color="auto" w:fill="EBFEFF"/>
          </w:tcPr>
          <w:p>
            <w:pPr>
              <w:spacing w:after="0"/>
              <w:rPr>
                <w:sz w:val="12"/>
                <w:szCs w:val="12"/>
                <w:color w:val="auto"/>
              </w:rPr>
            </w:pPr>
          </w:p>
        </w:tc>
        <w:tc>
          <w:tcPr>
            <w:tcW w:w="8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2"/>
                <w:szCs w:val="12"/>
                <w:color w:val="auto"/>
              </w:rPr>
            </w:pPr>
          </w:p>
        </w:tc>
        <w:tc>
          <w:tcPr>
            <w:tcW w:w="10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2"/>
                <w:szCs w:val="12"/>
                <w:color w:val="auto"/>
              </w:rPr>
            </w:pPr>
          </w:p>
        </w:tc>
        <w:tc>
          <w:tcPr>
            <w:tcW w:w="140" w:type="dxa"/>
            <w:vAlign w:val="bottom"/>
            <w:shd w:val="clear" w:color="auto" w:fill="EBFEFF"/>
          </w:tcPr>
          <w:p>
            <w:pPr>
              <w:spacing w:after="0"/>
              <w:rPr>
                <w:sz w:val="12"/>
                <w:szCs w:val="12"/>
                <w:color w:val="auto"/>
              </w:rPr>
            </w:pPr>
          </w:p>
        </w:tc>
        <w:tc>
          <w:tcPr>
            <w:tcW w:w="72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2"/>
                <w:szCs w:val="12"/>
                <w:color w:val="auto"/>
              </w:rPr>
            </w:pPr>
          </w:p>
        </w:tc>
        <w:tc>
          <w:tcPr>
            <w:tcW w:w="140" w:type="dxa"/>
            <w:vAlign w:val="bottom"/>
            <w:shd w:val="clear" w:color="auto" w:fill="EBFEFF"/>
          </w:tcPr>
          <w:p>
            <w:pPr>
              <w:spacing w:after="0"/>
              <w:rPr>
                <w:sz w:val="12"/>
                <w:szCs w:val="12"/>
                <w:color w:val="auto"/>
              </w:rPr>
            </w:pPr>
          </w:p>
        </w:tc>
        <w:tc>
          <w:tcPr>
            <w:tcW w:w="88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2"/>
                <w:szCs w:val="12"/>
                <w:color w:val="auto"/>
              </w:rPr>
            </w:pPr>
          </w:p>
        </w:tc>
        <w:tc>
          <w:tcPr>
            <w:tcW w:w="120" w:type="dxa"/>
            <w:vAlign w:val="bottom"/>
            <w:shd w:val="clear" w:color="auto" w:fill="EBFEFF"/>
          </w:tcPr>
          <w:p>
            <w:pPr>
              <w:spacing w:after="0"/>
              <w:rPr>
                <w:sz w:val="12"/>
                <w:szCs w:val="12"/>
                <w:color w:val="auto"/>
              </w:rPr>
            </w:pPr>
          </w:p>
        </w:tc>
        <w:tc>
          <w:tcPr>
            <w:tcW w:w="9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(2,489)</w:t>
            </w:r>
          </w:p>
        </w:tc>
        <w:tc>
          <w:tcPr>
            <w:tcW w:w="80" w:type="dxa"/>
            <w:vAlign w:val="bottom"/>
            <w:shd w:val="clear" w:color="auto" w:fill="EBFEFF"/>
          </w:tcPr>
          <w:p>
            <w:pPr>
              <w:spacing w:after="0"/>
              <w:rPr>
                <w:sz w:val="12"/>
                <w:szCs w:val="12"/>
                <w:color w:val="auto"/>
              </w:rPr>
            </w:pPr>
          </w:p>
        </w:tc>
        <w:tc>
          <w:tcPr>
            <w:tcW w:w="120" w:type="dxa"/>
            <w:vAlign w:val="bottom"/>
            <w:shd w:val="clear" w:color="auto" w:fill="EBFEFF"/>
          </w:tcPr>
          <w:p>
            <w:pPr>
              <w:spacing w:after="0"/>
              <w:rPr>
                <w:sz w:val="12"/>
                <w:szCs w:val="12"/>
                <w:color w:val="auto"/>
              </w:rPr>
            </w:pPr>
          </w:p>
        </w:tc>
        <w:tc>
          <w:tcPr>
            <w:tcW w:w="92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(2,489)</w:t>
            </w:r>
          </w:p>
        </w:tc>
        <w:tc>
          <w:tcPr>
            <w:tcW w:w="0" w:type="dxa"/>
            <w:vAlign w:val="bottom"/>
          </w:tcPr>
          <w:p>
            <w:pPr>
              <w:spacing w:after="0"/>
              <w:rPr>
                <w:sz w:val="1"/>
                <w:szCs w:val="1"/>
                <w:color w:val="auto"/>
              </w:rPr>
            </w:pPr>
          </w:p>
        </w:tc>
      </w:tr>
      <w:tr>
        <w:trPr>
          <w:trHeight w:val="176"/>
        </w:trPr>
        <w:tc>
          <w:tcPr>
            <w:tcW w:w="2340" w:type="dxa"/>
            <w:vAlign w:val="bottom"/>
            <w:shd w:val="clear" w:color="auto" w:fill="EBFEFF"/>
          </w:tcPr>
          <w:p>
            <w:pPr>
              <w:ind w:left="360"/>
              <w:spacing w:after="0"/>
              <w:rPr>
                <w:sz w:val="20"/>
                <w:szCs w:val="20"/>
                <w:color w:val="auto"/>
              </w:rPr>
            </w:pPr>
            <w:r>
              <w:rPr>
                <w:rFonts w:ascii="Arial" w:cs="Arial" w:eastAsia="Arial" w:hAnsi="Arial"/>
                <w:sz w:val="13"/>
                <w:szCs w:val="13"/>
                <w:color w:val="auto"/>
              </w:rPr>
              <w:t>noncontrolling interest</w:t>
            </w:r>
          </w:p>
        </w:tc>
        <w:tc>
          <w:tcPr>
            <w:tcW w:w="100" w:type="dxa"/>
            <w:vAlign w:val="bottom"/>
            <w:tcBorders>
              <w:bottom w:val="single" w:sz="8" w:color="auto"/>
            </w:tcBorders>
            <w:shd w:val="clear" w:color="auto" w:fill="EBFEFF"/>
          </w:tcPr>
          <w:p>
            <w:pPr>
              <w:spacing w:after="0"/>
              <w:rPr>
                <w:sz w:val="15"/>
                <w:szCs w:val="15"/>
                <w:color w:val="auto"/>
              </w:rPr>
            </w:pPr>
          </w:p>
        </w:tc>
        <w:tc>
          <w:tcPr>
            <w:tcW w:w="960" w:type="dxa"/>
            <w:vAlign w:val="bottom"/>
            <w:tcBorders>
              <w:bottom w:val="single" w:sz="8" w:color="auto"/>
            </w:tcBorders>
            <w:vMerge w:val="continue"/>
            <w:shd w:val="clear" w:color="auto" w:fill="EBFEFF"/>
          </w:tcPr>
          <w:p>
            <w:pPr>
              <w:spacing w:after="0"/>
              <w:rPr>
                <w:sz w:val="15"/>
                <w:szCs w:val="15"/>
                <w:color w:val="auto"/>
              </w:rPr>
            </w:pPr>
          </w:p>
        </w:tc>
        <w:tc>
          <w:tcPr>
            <w:tcW w:w="120" w:type="dxa"/>
            <w:vAlign w:val="bottom"/>
            <w:tcBorders>
              <w:right w:val="single" w:sz="8" w:color="auto"/>
            </w:tcBorders>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040" w:type="dxa"/>
            <w:vAlign w:val="bottom"/>
            <w:tcBorders>
              <w:bottom w:val="single" w:sz="8" w:color="auto"/>
            </w:tcBorders>
            <w:vMerge w:val="continue"/>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180" w:type="dxa"/>
            <w:vAlign w:val="bottom"/>
            <w:tcBorders>
              <w:bottom w:val="single" w:sz="8" w:color="auto"/>
            </w:tcBorders>
            <w:shd w:val="clear" w:color="auto" w:fill="EBFEFF"/>
          </w:tcPr>
          <w:p>
            <w:pPr>
              <w:spacing w:after="0"/>
              <w:rPr>
                <w:sz w:val="15"/>
                <w:szCs w:val="15"/>
                <w:color w:val="auto"/>
              </w:rPr>
            </w:pPr>
          </w:p>
        </w:tc>
        <w:tc>
          <w:tcPr>
            <w:tcW w:w="840" w:type="dxa"/>
            <w:vAlign w:val="bottom"/>
            <w:tcBorders>
              <w:bottom w:val="single" w:sz="8" w:color="auto"/>
            </w:tcBorders>
            <w:vMerge w:val="continue"/>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1040" w:type="dxa"/>
            <w:vAlign w:val="bottom"/>
            <w:tcBorders>
              <w:bottom w:val="single" w:sz="8" w:color="auto"/>
            </w:tcBorders>
            <w:vMerge w:val="continue"/>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40" w:type="dxa"/>
            <w:vAlign w:val="bottom"/>
            <w:tcBorders>
              <w:bottom w:val="single" w:sz="8" w:color="auto"/>
            </w:tcBorders>
            <w:shd w:val="clear" w:color="auto" w:fill="EBFEFF"/>
          </w:tcPr>
          <w:p>
            <w:pPr>
              <w:spacing w:after="0"/>
              <w:rPr>
                <w:sz w:val="15"/>
                <w:szCs w:val="15"/>
                <w:color w:val="auto"/>
              </w:rPr>
            </w:pPr>
          </w:p>
        </w:tc>
        <w:tc>
          <w:tcPr>
            <w:tcW w:w="720" w:type="dxa"/>
            <w:vAlign w:val="bottom"/>
            <w:tcBorders>
              <w:bottom w:val="single" w:sz="8" w:color="auto"/>
            </w:tcBorders>
            <w:vMerge w:val="continue"/>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140" w:type="dxa"/>
            <w:vAlign w:val="bottom"/>
            <w:tcBorders>
              <w:bottom w:val="single" w:sz="8" w:color="auto"/>
            </w:tcBorders>
            <w:shd w:val="clear" w:color="auto" w:fill="EBFEFF"/>
          </w:tcPr>
          <w:p>
            <w:pPr>
              <w:spacing w:after="0"/>
              <w:rPr>
                <w:sz w:val="15"/>
                <w:szCs w:val="15"/>
                <w:color w:val="auto"/>
              </w:rPr>
            </w:pPr>
          </w:p>
        </w:tc>
        <w:tc>
          <w:tcPr>
            <w:tcW w:w="880" w:type="dxa"/>
            <w:vAlign w:val="bottom"/>
            <w:tcBorders>
              <w:bottom w:val="single" w:sz="8" w:color="auto"/>
            </w:tcBorders>
            <w:vMerge w:val="continue"/>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20" w:type="dxa"/>
            <w:vAlign w:val="bottom"/>
            <w:tcBorders>
              <w:bottom w:val="single" w:sz="8" w:color="auto"/>
            </w:tcBorders>
            <w:shd w:val="clear" w:color="auto" w:fill="EBFEFF"/>
          </w:tcPr>
          <w:p>
            <w:pPr>
              <w:spacing w:after="0"/>
              <w:rPr>
                <w:sz w:val="15"/>
                <w:szCs w:val="15"/>
                <w:color w:val="auto"/>
              </w:rPr>
            </w:pPr>
          </w:p>
        </w:tc>
        <w:tc>
          <w:tcPr>
            <w:tcW w:w="940" w:type="dxa"/>
            <w:vAlign w:val="bottom"/>
            <w:tcBorders>
              <w:bottom w:val="single" w:sz="8" w:color="auto"/>
            </w:tcBorders>
            <w:vMerge w:val="continue"/>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20" w:type="dxa"/>
            <w:vAlign w:val="bottom"/>
            <w:tcBorders>
              <w:bottom w:val="single" w:sz="8" w:color="auto"/>
            </w:tcBorders>
            <w:shd w:val="clear" w:color="auto" w:fill="EBFEFF"/>
          </w:tcPr>
          <w:p>
            <w:pPr>
              <w:spacing w:after="0"/>
              <w:rPr>
                <w:sz w:val="15"/>
                <w:szCs w:val="15"/>
                <w:color w:val="auto"/>
              </w:rPr>
            </w:pPr>
          </w:p>
        </w:tc>
        <w:tc>
          <w:tcPr>
            <w:tcW w:w="920" w:type="dxa"/>
            <w:vAlign w:val="bottom"/>
            <w:tcBorders>
              <w:bottom w:val="single" w:sz="8" w:color="auto"/>
            </w:tcBorders>
            <w:vMerge w:val="continue"/>
            <w:shd w:val="clear" w:color="auto" w:fill="EBF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3"/>
                <w:szCs w:val="13"/>
                <w:b w:val="1"/>
                <w:bCs w:val="1"/>
                <w:color w:val="auto"/>
              </w:rPr>
              <w:t>Balances at June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15,916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77,329,051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23,093,860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243,772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(253,303)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six months ended June 30,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Class A Common Stock</w:t>
            </w:r>
          </w:p>
        </w:tc>
        <w:tc>
          <w:tcPr>
            <w:tcW w:w="1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4"/>
          </w:tcPr>
          <w:p>
            <w:pPr>
              <w:jc w:val="right"/>
              <w:ind w:right="357"/>
              <w:spacing w:after="0"/>
              <w:rPr>
                <w:sz w:val="20"/>
                <w:szCs w:val="20"/>
                <w:color w:val="auto"/>
              </w:rPr>
            </w:pPr>
            <w:r>
              <w:rPr>
                <w:rFonts w:ascii="Arial" w:cs="Arial" w:eastAsia="Arial" w:hAnsi="Arial"/>
                <w:sz w:val="13"/>
                <w:szCs w:val="13"/>
                <w:b w:val="1"/>
                <w:bCs w:val="1"/>
                <w:color w:val="auto"/>
              </w:rPr>
              <w:t>Class B Common Stock</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right w:val="single" w:sz="8" w:color="auto"/>
            </w:tcBorders>
            <w:gridSpan w:val="2"/>
            <w:vMerge w:val="restart"/>
          </w:tcPr>
          <w:p>
            <w:pPr>
              <w:jc w:val="center"/>
              <w:ind w:right="220"/>
              <w:spacing w:after="0" w:line="146" w:lineRule="exact"/>
              <w:rPr>
                <w:sz w:val="20"/>
                <w:szCs w:val="20"/>
                <w:color w:val="auto"/>
              </w:rPr>
            </w:pPr>
            <w:r>
              <w:rPr>
                <w:rFonts w:ascii="Arial" w:cs="Arial" w:eastAsia="Arial" w:hAnsi="Arial"/>
                <w:sz w:val="13"/>
                <w:szCs w:val="13"/>
                <w:b w:val="1"/>
                <w:bCs w:val="1"/>
                <w:color w:val="auto"/>
                <w:w w:val="83"/>
              </w:rPr>
              <w:t>Redeemable</w:t>
            </w:r>
          </w:p>
        </w:tc>
        <w:tc>
          <w:tcPr>
            <w:tcW w:w="8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restart"/>
          </w:tcPr>
          <w:p>
            <w:pPr>
              <w:jc w:val="center"/>
              <w:ind w:right="77"/>
              <w:spacing w:after="0" w:line="146"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ind w:right="57"/>
              <w:spacing w:after="0" w:line="14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right w:val="single" w:sz="8" w:color="auto"/>
            </w:tcBorders>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Noncontrolling</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7"/>
              <w:spacing w:after="0" w:line="131"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75"/>
        </w:trPr>
        <w:tc>
          <w:tcPr>
            <w:tcW w:w="2340" w:type="dxa"/>
            <w:vAlign w:val="bottom"/>
            <w:shd w:val="clear" w:color="auto" w:fill="EBFEFF"/>
          </w:tcPr>
          <w:p>
            <w:pPr>
              <w:ind w:left="20"/>
              <w:spacing w:after="0"/>
              <w:rPr>
                <w:sz w:val="20"/>
                <w:szCs w:val="20"/>
                <w:color w:val="auto"/>
              </w:rPr>
            </w:pPr>
            <w:r>
              <w:rPr>
                <w:rFonts w:ascii="Arial" w:cs="Arial" w:eastAsia="Arial" w:hAnsi="Arial"/>
                <w:sz w:val="13"/>
                <w:szCs w:val="13"/>
                <w:b w:val="1"/>
                <w:bCs w:val="1"/>
                <w:color w:val="auto"/>
              </w:rPr>
              <w:t>Balances at December 31, 2022</w:t>
            </w:r>
          </w:p>
        </w:tc>
        <w:tc>
          <w:tcPr>
            <w:tcW w:w="1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16,579</w:t>
            </w:r>
          </w:p>
        </w:tc>
        <w:tc>
          <w:tcPr>
            <w:tcW w:w="120" w:type="dxa"/>
            <w:vAlign w:val="bottom"/>
            <w:tcBorders>
              <w:right w:val="single" w:sz="8" w:color="auto"/>
            </w:tcBorders>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81,483,600</w:t>
            </w:r>
          </w:p>
        </w:tc>
        <w:tc>
          <w:tcPr>
            <w:tcW w:w="280" w:type="dxa"/>
            <w:vAlign w:val="bottom"/>
            <w:gridSpan w:val="2"/>
            <w:shd w:val="clear" w:color="auto" w:fill="EBFEFF"/>
          </w:tcPr>
          <w:p>
            <w:pPr>
              <w:jc w:val="right"/>
              <w:ind w:right="68"/>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815</w:t>
            </w:r>
          </w:p>
        </w:tc>
        <w:tc>
          <w:tcPr>
            <w:tcW w:w="114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23,093,860</w:t>
            </w:r>
          </w:p>
        </w:tc>
        <w:tc>
          <w:tcPr>
            <w:tcW w:w="240" w:type="dxa"/>
            <w:vAlign w:val="bottom"/>
            <w:gridSpan w:val="2"/>
            <w:shd w:val="clear" w:color="auto" w:fill="EBF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232</w:t>
            </w:r>
          </w:p>
        </w:tc>
        <w:tc>
          <w:tcPr>
            <w:tcW w:w="240" w:type="dxa"/>
            <w:vAlign w:val="bottom"/>
            <w:gridSpan w:val="2"/>
            <w:shd w:val="clear" w:color="auto" w:fill="EBF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253,737</w:t>
            </w:r>
          </w:p>
        </w:tc>
        <w:tc>
          <w:tcPr>
            <w:tcW w:w="200" w:type="dxa"/>
            <w:vAlign w:val="bottom"/>
            <w:gridSpan w:val="3"/>
            <w:shd w:val="clear" w:color="auto" w:fill="EBF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(265,524)</w:t>
            </w:r>
          </w:p>
        </w:tc>
        <w:tc>
          <w:tcPr>
            <w:tcW w:w="20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(10,740)</w:t>
            </w:r>
          </w:p>
        </w:tc>
        <w:tc>
          <w:tcPr>
            <w:tcW w:w="0" w:type="dxa"/>
            <w:vAlign w:val="bottom"/>
          </w:tcPr>
          <w:p>
            <w:pPr>
              <w:spacing w:after="0"/>
              <w:rPr>
                <w:sz w:val="1"/>
                <w:szCs w:val="1"/>
                <w:color w:val="auto"/>
              </w:rPr>
            </w:pPr>
          </w:p>
        </w:tc>
      </w:tr>
      <w:tr>
        <w:trPr>
          <w:trHeight w:val="160"/>
        </w:trPr>
        <w:tc>
          <w:tcPr>
            <w:tcW w:w="23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(2,867)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(10,118)</w:t>
            </w:r>
          </w:p>
        </w:tc>
        <w:tc>
          <w:tcPr>
            <w:tcW w:w="0" w:type="dxa"/>
            <w:vAlign w:val="bottom"/>
          </w:tcPr>
          <w:p>
            <w:pPr>
              <w:spacing w:after="0"/>
              <w:rPr>
                <w:sz w:val="1"/>
                <w:szCs w:val="1"/>
                <w:color w:val="auto"/>
              </w:rPr>
            </w:pPr>
          </w:p>
        </w:tc>
      </w:tr>
      <w:tr>
        <w:trPr>
          <w:trHeight w:val="29"/>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340" w:type="dxa"/>
            <w:vAlign w:val="bottom"/>
            <w:shd w:val="clear" w:color="auto" w:fill="EBFEFF"/>
          </w:tcPr>
          <w:p>
            <w:pPr>
              <w:ind w:left="240"/>
              <w:spacing w:after="0"/>
              <w:rPr>
                <w:sz w:val="20"/>
                <w:szCs w:val="20"/>
                <w:color w:val="auto"/>
              </w:rPr>
            </w:pPr>
            <w:r>
              <w:rPr>
                <w:rFonts w:ascii="Arial" w:cs="Arial" w:eastAsia="Arial" w:hAnsi="Arial"/>
                <w:sz w:val="13"/>
                <w:szCs w:val="13"/>
                <w:color w:val="auto"/>
              </w:rPr>
              <w:t>Share-based compensation</w:t>
            </w:r>
          </w:p>
        </w:tc>
        <w:tc>
          <w:tcPr>
            <w:tcW w:w="120" w:type="dxa"/>
            <w:vAlign w:val="bottom"/>
            <w:shd w:val="clear" w:color="auto" w:fill="EBFEFF"/>
          </w:tcPr>
          <w:p>
            <w:pPr>
              <w:spacing w:after="0"/>
              <w:rPr>
                <w:sz w:val="15"/>
                <w:szCs w:val="15"/>
                <w:color w:val="auto"/>
              </w:rPr>
            </w:pPr>
          </w:p>
        </w:tc>
        <w:tc>
          <w:tcPr>
            <w:tcW w:w="1060" w:type="dxa"/>
            <w:vAlign w:val="bottom"/>
            <w:tcBorders>
              <w:right w:val="single" w:sz="8" w:color="auto"/>
            </w:tcBorders>
            <w:gridSpan w:val="2"/>
            <w:shd w:val="clear" w:color="auto" w:fill="EBF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5"/>
                <w:szCs w:val="15"/>
                <w:color w:val="auto"/>
              </w:rPr>
            </w:pPr>
          </w:p>
        </w:tc>
        <w:tc>
          <w:tcPr>
            <w:tcW w:w="180" w:type="dxa"/>
            <w:vAlign w:val="bottom"/>
            <w:shd w:val="clear" w:color="auto" w:fill="EBFEFF"/>
          </w:tcPr>
          <w:p>
            <w:pPr>
              <w:spacing w:after="0"/>
              <w:rPr>
                <w:sz w:val="15"/>
                <w:szCs w:val="15"/>
                <w:color w:val="auto"/>
              </w:rPr>
            </w:pPr>
          </w:p>
        </w:tc>
        <w:tc>
          <w:tcPr>
            <w:tcW w:w="84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5"/>
                <w:szCs w:val="15"/>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60" w:type="dxa"/>
            <w:vAlign w:val="bottom"/>
            <w:shd w:val="clear" w:color="auto" w:fill="EBFEFF"/>
          </w:tcPr>
          <w:p>
            <w:pPr>
              <w:spacing w:after="0"/>
              <w:rPr>
                <w:sz w:val="15"/>
                <w:szCs w:val="15"/>
                <w:color w:val="auto"/>
              </w:rPr>
            </w:pPr>
          </w:p>
        </w:tc>
        <w:tc>
          <w:tcPr>
            <w:tcW w:w="80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60" w:type="dxa"/>
            <w:vAlign w:val="bottom"/>
            <w:shd w:val="clear" w:color="auto" w:fill="EBFEFF"/>
          </w:tcPr>
          <w:p>
            <w:pPr>
              <w:spacing w:after="0"/>
              <w:rPr>
                <w:sz w:val="15"/>
                <w:szCs w:val="15"/>
                <w:color w:val="auto"/>
              </w:rPr>
            </w:pPr>
          </w:p>
        </w:tc>
        <w:tc>
          <w:tcPr>
            <w:tcW w:w="880" w:type="dxa"/>
            <w:vAlign w:val="bottom"/>
            <w:shd w:val="clear" w:color="auto" w:fill="EBFEFF"/>
          </w:tcPr>
          <w:p>
            <w:pPr>
              <w:jc w:val="right"/>
              <w:spacing w:after="0"/>
              <w:rPr>
                <w:sz w:val="20"/>
                <w:szCs w:val="20"/>
                <w:color w:val="auto"/>
              </w:rPr>
            </w:pPr>
            <w:r>
              <w:rPr>
                <w:rFonts w:ascii="Arial" w:cs="Arial" w:eastAsia="Arial" w:hAnsi="Arial"/>
                <w:sz w:val="13"/>
                <w:szCs w:val="13"/>
                <w:color w:val="auto"/>
              </w:rPr>
              <w:t>742</w:t>
            </w:r>
          </w:p>
        </w:tc>
        <w:tc>
          <w:tcPr>
            <w:tcW w:w="80" w:type="dxa"/>
            <w:vAlign w:val="bottom"/>
            <w:shd w:val="clear" w:color="auto" w:fill="EBFEFF"/>
          </w:tcPr>
          <w:p>
            <w:pPr>
              <w:spacing w:after="0"/>
              <w:rPr>
                <w:sz w:val="15"/>
                <w:szCs w:val="15"/>
                <w:color w:val="auto"/>
              </w:rPr>
            </w:pPr>
          </w:p>
        </w:tc>
        <w:tc>
          <w:tcPr>
            <w:tcW w:w="20" w:type="dxa"/>
            <w:vAlign w:val="bottom"/>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860" w:type="dxa"/>
            <w:vAlign w:val="bottom"/>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5"/>
                <w:szCs w:val="15"/>
                <w:color w:val="auto"/>
              </w:rPr>
            </w:pPr>
          </w:p>
        </w:tc>
        <w:tc>
          <w:tcPr>
            <w:tcW w:w="120" w:type="dxa"/>
            <w:vAlign w:val="bottom"/>
            <w:shd w:val="clear" w:color="auto" w:fill="EBFEFF"/>
          </w:tcPr>
          <w:p>
            <w:pPr>
              <w:spacing w:after="0"/>
              <w:rPr>
                <w:sz w:val="15"/>
                <w:szCs w:val="15"/>
                <w:color w:val="auto"/>
              </w:rPr>
            </w:pP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22"/>
        </w:trPr>
        <w:tc>
          <w:tcPr>
            <w:tcW w:w="2340" w:type="dxa"/>
            <w:vAlign w:val="bottom"/>
          </w:tcPr>
          <w:p>
            <w:pPr>
              <w:ind w:left="260"/>
              <w:spacing w:after="0" w:line="122" w:lineRule="exact"/>
              <w:rPr>
                <w:sz w:val="20"/>
                <w:szCs w:val="20"/>
                <w:color w:val="auto"/>
              </w:rPr>
            </w:pPr>
            <w:r>
              <w:rPr>
                <w:rFonts w:ascii="Arial" w:cs="Arial" w:eastAsia="Arial" w:hAnsi="Arial"/>
                <w:sz w:val="13"/>
                <w:szCs w:val="13"/>
                <w:color w:val="auto"/>
              </w:rPr>
              <w:t>Change in redemption value of</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5,167</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(5,167)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(5,167)</w:t>
            </w:r>
          </w:p>
        </w:tc>
        <w:tc>
          <w:tcPr>
            <w:tcW w:w="0" w:type="dxa"/>
            <w:vAlign w:val="bottom"/>
          </w:tcPr>
          <w:p>
            <w:pPr>
              <w:spacing w:after="0"/>
              <w:rPr>
                <w:sz w:val="1"/>
                <w:szCs w:val="1"/>
                <w:color w:val="auto"/>
              </w:rPr>
            </w:pPr>
          </w:p>
        </w:tc>
      </w:tr>
      <w:tr>
        <w:trPr>
          <w:trHeight w:val="169"/>
        </w:trPr>
        <w:tc>
          <w:tcPr>
            <w:tcW w:w="2340" w:type="dxa"/>
            <w:vAlign w:val="bottom"/>
          </w:tcPr>
          <w:p>
            <w:pPr>
              <w:ind w:left="360"/>
              <w:spacing w:after="0"/>
              <w:rPr>
                <w:sz w:val="20"/>
                <w:szCs w:val="20"/>
                <w:color w:val="auto"/>
              </w:rPr>
            </w:pPr>
            <w:r>
              <w:rPr>
                <w:rFonts w:ascii="Arial" w:cs="Arial" w:eastAsia="Arial" w:hAnsi="Arial"/>
                <w:sz w:val="13"/>
                <w:szCs w:val="13"/>
                <w:color w:val="auto"/>
              </w:rPr>
              <w:t>noncontrolling interest</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40" w:type="dxa"/>
            <w:vAlign w:val="bottom"/>
            <w:tcBorders>
              <w:bottom w:val="single" w:sz="8" w:color="EBFEFF"/>
            </w:tcBorders>
            <w:shd w:val="clear" w:color="auto" w:fill="EBFEFF"/>
          </w:tcPr>
          <w:p>
            <w:pPr>
              <w:ind w:left="20"/>
              <w:spacing w:after="0"/>
              <w:rPr>
                <w:sz w:val="20"/>
                <w:szCs w:val="20"/>
                <w:color w:val="auto"/>
              </w:rPr>
            </w:pPr>
            <w:r>
              <w:rPr>
                <w:rFonts w:ascii="Arial" w:cs="Arial" w:eastAsia="Arial" w:hAnsi="Arial"/>
                <w:sz w:val="13"/>
                <w:szCs w:val="13"/>
                <w:b w:val="1"/>
                <w:bCs w:val="1"/>
                <w:color w:val="auto"/>
              </w:rPr>
              <w:t>Balances at June 30, 2023</w:t>
            </w:r>
          </w:p>
        </w:tc>
        <w:tc>
          <w:tcPr>
            <w:tcW w:w="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18,879</w:t>
            </w:r>
          </w:p>
        </w:tc>
        <w:tc>
          <w:tcPr>
            <w:tcW w:w="120" w:type="dxa"/>
            <w:vAlign w:val="bottom"/>
            <w:tcBorders>
              <w:bottom w:val="single" w:sz="8" w:color="EBFEFF"/>
              <w:right w:val="single" w:sz="8" w:color="auto"/>
            </w:tcBorders>
            <w:shd w:val="clear" w:color="auto" w:fill="EBFEFF"/>
          </w:tcPr>
          <w:p>
            <w:pPr>
              <w:spacing w:after="0"/>
              <w:rPr>
                <w:sz w:val="18"/>
                <w:szCs w:val="18"/>
                <w:color w:val="auto"/>
              </w:rPr>
            </w:pPr>
          </w:p>
        </w:tc>
        <w:tc>
          <w:tcPr>
            <w:tcW w:w="80" w:type="dxa"/>
            <w:vAlign w:val="bottom"/>
            <w:tcBorders>
              <w:bottom w:val="single" w:sz="8" w:color="EBFEFF"/>
            </w:tcBorders>
            <w:shd w:val="clear" w:color="auto" w:fill="EBFEFF"/>
          </w:tcPr>
          <w:p>
            <w:pPr>
              <w:spacing w:after="0"/>
              <w:rPr>
                <w:sz w:val="18"/>
                <w:szCs w:val="18"/>
                <w:color w:val="auto"/>
              </w:rPr>
            </w:pPr>
          </w:p>
        </w:tc>
        <w:tc>
          <w:tcPr>
            <w:tcW w:w="10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81,483,600</w:t>
            </w:r>
          </w:p>
        </w:tc>
        <w:tc>
          <w:tcPr>
            <w:tcW w:w="100" w:type="dxa"/>
            <w:vAlign w:val="bottom"/>
            <w:tcBorders>
              <w:bottom w:val="single" w:sz="8" w:color="EBFEFF"/>
            </w:tcBorders>
            <w:shd w:val="clear" w:color="auto" w:fill="EBFEFF"/>
          </w:tcPr>
          <w:p>
            <w:pPr>
              <w:spacing w:after="0"/>
              <w:rPr>
                <w:sz w:val="18"/>
                <w:szCs w:val="18"/>
                <w:color w:val="auto"/>
              </w:rPr>
            </w:pPr>
          </w:p>
        </w:tc>
        <w:tc>
          <w:tcPr>
            <w:tcW w:w="180" w:type="dxa"/>
            <w:vAlign w:val="bottom"/>
            <w:tcBorders>
              <w:bottom w:val="single" w:sz="8" w:color="auto"/>
            </w:tcBorders>
            <w:shd w:val="clear" w:color="auto" w:fill="EBFEFF"/>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815</w:t>
            </w:r>
          </w:p>
        </w:tc>
        <w:tc>
          <w:tcPr>
            <w:tcW w:w="100" w:type="dxa"/>
            <w:vAlign w:val="bottom"/>
            <w:tcBorders>
              <w:bottom w:val="single" w:sz="8" w:color="EBFEFF"/>
            </w:tcBorders>
            <w:shd w:val="clear" w:color="auto" w:fill="EBFEFF"/>
          </w:tcPr>
          <w:p>
            <w:pPr>
              <w:spacing w:after="0"/>
              <w:rPr>
                <w:sz w:val="18"/>
                <w:szCs w:val="18"/>
                <w:color w:val="auto"/>
              </w:rPr>
            </w:pPr>
          </w:p>
        </w:tc>
        <w:tc>
          <w:tcPr>
            <w:tcW w:w="10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23,093,860</w:t>
            </w:r>
          </w:p>
        </w:tc>
        <w:tc>
          <w:tcPr>
            <w:tcW w:w="80" w:type="dxa"/>
            <w:vAlign w:val="bottom"/>
            <w:tcBorders>
              <w:bottom w:val="single" w:sz="8" w:color="EBFEFF"/>
            </w:tcBorders>
            <w:shd w:val="clear" w:color="auto" w:fill="EBFEFF"/>
          </w:tcPr>
          <w:p>
            <w:pPr>
              <w:spacing w:after="0"/>
              <w:rPr>
                <w:sz w:val="18"/>
                <w:szCs w:val="18"/>
                <w:color w:val="auto"/>
              </w:rPr>
            </w:pPr>
          </w:p>
        </w:tc>
        <w:tc>
          <w:tcPr>
            <w:tcW w:w="160" w:type="dxa"/>
            <w:vAlign w:val="bottom"/>
            <w:tcBorders>
              <w:bottom w:val="single" w:sz="8" w:color="auto"/>
            </w:tcBorders>
            <w:shd w:val="clear" w:color="auto" w:fill="EBF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232</w:t>
            </w:r>
          </w:p>
        </w:tc>
        <w:tc>
          <w:tcPr>
            <w:tcW w:w="80" w:type="dxa"/>
            <w:vAlign w:val="bottom"/>
            <w:tcBorders>
              <w:bottom w:val="single" w:sz="8" w:color="EBFEFF"/>
            </w:tcBorders>
            <w:shd w:val="clear" w:color="auto" w:fill="EBFEFF"/>
          </w:tcPr>
          <w:p>
            <w:pPr>
              <w:spacing w:after="0"/>
              <w:rPr>
                <w:sz w:val="18"/>
                <w:szCs w:val="18"/>
                <w:color w:val="auto"/>
              </w:rPr>
            </w:pPr>
          </w:p>
        </w:tc>
        <w:tc>
          <w:tcPr>
            <w:tcW w:w="160" w:type="dxa"/>
            <w:vAlign w:val="bottom"/>
            <w:tcBorders>
              <w:bottom w:val="single" w:sz="8" w:color="auto"/>
            </w:tcBorders>
            <w:shd w:val="clear" w:color="auto" w:fill="EBF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254,479</w:t>
            </w:r>
          </w:p>
        </w:tc>
        <w:tc>
          <w:tcPr>
            <w:tcW w:w="100" w:type="dxa"/>
            <w:vAlign w:val="bottom"/>
            <w:tcBorders>
              <w:bottom w:val="single" w:sz="8" w:color="EBFEFF"/>
            </w:tcBorders>
            <w:gridSpan w:val="2"/>
            <w:shd w:val="clear" w:color="auto" w:fill="EBFEFF"/>
          </w:tcPr>
          <w:p>
            <w:pPr>
              <w:spacing w:after="0"/>
              <w:rPr>
                <w:sz w:val="18"/>
                <w:szCs w:val="18"/>
                <w:color w:val="auto"/>
              </w:rPr>
            </w:pPr>
          </w:p>
        </w:tc>
        <w:tc>
          <w:tcPr>
            <w:tcW w:w="10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(280,809)</w:t>
            </w:r>
          </w:p>
        </w:tc>
        <w:tc>
          <w:tcPr>
            <w:tcW w:w="80" w:type="dxa"/>
            <w:vAlign w:val="bottom"/>
            <w:tcBorders>
              <w:bottom w:val="single" w:sz="8" w:color="EBFEFF"/>
            </w:tcBorders>
            <w:shd w:val="clear" w:color="auto" w:fill="EBFEFF"/>
          </w:tcPr>
          <w:p>
            <w:pPr>
              <w:spacing w:after="0"/>
              <w:rPr>
                <w:sz w:val="18"/>
                <w:szCs w:val="18"/>
                <w:color w:val="auto"/>
              </w:rPr>
            </w:pPr>
          </w:p>
        </w:tc>
        <w:tc>
          <w:tcPr>
            <w:tcW w:w="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3"/>
                <w:szCs w:val="13"/>
                <w:b w:val="1"/>
                <w:bCs w:val="1"/>
                <w:color w:val="auto"/>
              </w:rPr>
              <w:t>(25,283)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6"/>
          </w:tcPr>
          <w:p>
            <w:pPr>
              <w:jc w:val="right"/>
              <w:ind w:right="157"/>
              <w:spacing w:after="0"/>
              <w:rPr>
                <w:sz w:val="20"/>
                <w:szCs w:val="20"/>
                <w:color w:val="auto"/>
              </w:rPr>
            </w:pPr>
            <w:r>
              <w:rPr>
                <w:rFonts w:ascii="Arial" w:cs="Arial" w:eastAsia="Arial" w:hAnsi="Arial"/>
                <w:sz w:val="13"/>
                <w:szCs w:val="13"/>
                <w:b w:val="1"/>
                <w:bCs w:val="1"/>
                <w:color w:val="auto"/>
              </w:rPr>
              <w:t>For the six months ended June 30, 2022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Class A Common Stock</w:t>
            </w:r>
          </w:p>
        </w:tc>
        <w:tc>
          <w:tcPr>
            <w:tcW w:w="10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3"/>
                <w:szCs w:val="13"/>
                <w:b w:val="1"/>
                <w:bCs w:val="1"/>
                <w:color w:val="auto"/>
              </w:rPr>
              <w:t>Class B Common 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83"/>
              </w:rPr>
              <w:t>Redeemable</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77"/>
              <w:spacing w:after="0" w:line="117"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17"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6"/>
              </w:rPr>
              <w:t>Noncontrolling</w:t>
            </w:r>
          </w:p>
        </w:tc>
        <w:tc>
          <w:tcPr>
            <w:tcW w:w="80" w:type="dxa"/>
            <w:vAlign w:val="bottom"/>
          </w:tcPr>
          <w:p>
            <w:pPr>
              <w:spacing w:after="0"/>
              <w:rPr>
                <w:sz w:val="10"/>
                <w:szCs w:val="10"/>
                <w:color w:val="auto"/>
              </w:rPr>
            </w:pPr>
          </w:p>
        </w:tc>
        <w:tc>
          <w:tcPr>
            <w:tcW w:w="104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104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97"/>
              <w:spacing w:after="0" w:line="126"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26"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02"/>
        </w:trPr>
        <w:tc>
          <w:tcPr>
            <w:tcW w:w="2340" w:type="dxa"/>
            <w:vAlign w:val="bottom"/>
            <w:shd w:val="clear" w:color="auto" w:fill="EBFEFF"/>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1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24,962</w:t>
            </w:r>
          </w:p>
        </w:tc>
        <w:tc>
          <w:tcPr>
            <w:tcW w:w="120" w:type="dxa"/>
            <w:vAlign w:val="bottom"/>
            <w:tcBorders>
              <w:right w:val="single" w:sz="8" w:color="auto"/>
            </w:tcBorders>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0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66,942,777</w:t>
            </w:r>
          </w:p>
        </w:tc>
        <w:tc>
          <w:tcPr>
            <w:tcW w:w="280" w:type="dxa"/>
            <w:vAlign w:val="bottom"/>
            <w:gridSpan w:val="2"/>
            <w:shd w:val="clear" w:color="auto" w:fill="EBFEFF"/>
          </w:tcPr>
          <w:p>
            <w:pPr>
              <w:jc w:val="right"/>
              <w:ind w:right="68"/>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669</w:t>
            </w:r>
          </w:p>
        </w:tc>
        <w:tc>
          <w:tcPr>
            <w:tcW w:w="114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23,093,860</w:t>
            </w:r>
          </w:p>
        </w:tc>
        <w:tc>
          <w:tcPr>
            <w:tcW w:w="240" w:type="dxa"/>
            <w:vAlign w:val="bottom"/>
            <w:gridSpan w:val="2"/>
            <w:shd w:val="clear" w:color="auto" w:fill="EBF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232</w:t>
            </w:r>
          </w:p>
        </w:tc>
        <w:tc>
          <w:tcPr>
            <w:tcW w:w="240" w:type="dxa"/>
            <w:vAlign w:val="bottom"/>
            <w:gridSpan w:val="2"/>
            <w:shd w:val="clear" w:color="auto" w:fill="EBF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238,193</w:t>
            </w:r>
          </w:p>
        </w:tc>
        <w:tc>
          <w:tcPr>
            <w:tcW w:w="200" w:type="dxa"/>
            <w:vAlign w:val="bottom"/>
            <w:gridSpan w:val="3"/>
            <w:shd w:val="clear" w:color="auto" w:fill="EBF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(248,834)</w:t>
            </w:r>
          </w:p>
        </w:tc>
        <w:tc>
          <w:tcPr>
            <w:tcW w:w="200" w:type="dxa"/>
            <w:vAlign w:val="bottom"/>
            <w:gridSpan w:val="2"/>
            <w:shd w:val="clear" w:color="auto" w:fill="EBF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EBFEFF"/>
          </w:tcPr>
          <w:p>
            <w:pPr>
              <w:jc w:val="right"/>
              <w:spacing w:after="0"/>
              <w:rPr>
                <w:sz w:val="20"/>
                <w:szCs w:val="20"/>
                <w:color w:val="auto"/>
              </w:rPr>
            </w:pPr>
            <w:r>
              <w:rPr>
                <w:rFonts w:ascii="Arial" w:cs="Arial" w:eastAsia="Arial" w:hAnsi="Arial"/>
                <w:sz w:val="13"/>
                <w:szCs w:val="13"/>
                <w:b w:val="1"/>
                <w:bCs w:val="1"/>
                <w:color w:val="auto"/>
              </w:rPr>
              <w:t>(9,740)</w:t>
            </w:r>
          </w:p>
        </w:tc>
        <w:tc>
          <w:tcPr>
            <w:tcW w:w="0" w:type="dxa"/>
            <w:vAlign w:val="bottom"/>
          </w:tcPr>
          <w:p>
            <w:pPr>
              <w:spacing w:after="0"/>
              <w:rPr>
                <w:sz w:val="1"/>
                <w:szCs w:val="1"/>
                <w:color w:val="auto"/>
              </w:rPr>
            </w:pPr>
          </w:p>
        </w:tc>
      </w:tr>
      <w:tr>
        <w:trPr>
          <w:trHeight w:val="168"/>
        </w:trPr>
        <w:tc>
          <w:tcPr>
            <w:tcW w:w="2340" w:type="dxa"/>
            <w:vAlign w:val="bottom"/>
          </w:tcPr>
          <w:p>
            <w:pPr>
              <w:ind w:left="24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(3,357)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(10,158)</w:t>
            </w:r>
          </w:p>
        </w:tc>
        <w:tc>
          <w:tcPr>
            <w:tcW w:w="0" w:type="dxa"/>
            <w:vAlign w:val="bottom"/>
          </w:tcPr>
          <w:p>
            <w:pPr>
              <w:spacing w:after="0"/>
              <w:rPr>
                <w:sz w:val="1"/>
                <w:szCs w:val="1"/>
                <w:color w:val="auto"/>
              </w:rPr>
            </w:pPr>
          </w:p>
        </w:tc>
      </w:tr>
      <w:tr>
        <w:trPr>
          <w:trHeight w:val="177"/>
        </w:trPr>
        <w:tc>
          <w:tcPr>
            <w:tcW w:w="2340" w:type="dxa"/>
            <w:vAlign w:val="bottom"/>
            <w:tcBorders>
              <w:bottom w:val="single" w:sz="8" w:color="EBFEFF"/>
            </w:tcBorders>
            <w:shd w:val="clear" w:color="auto" w:fill="EBFEFF"/>
          </w:tcPr>
          <w:p>
            <w:pPr>
              <w:ind w:left="240"/>
              <w:spacing w:after="0"/>
              <w:rPr>
                <w:sz w:val="20"/>
                <w:szCs w:val="20"/>
                <w:color w:val="auto"/>
              </w:rPr>
            </w:pPr>
            <w:r>
              <w:rPr>
                <w:rFonts w:ascii="Arial" w:cs="Arial" w:eastAsia="Arial" w:hAnsi="Arial"/>
                <w:sz w:val="13"/>
                <w:szCs w:val="13"/>
                <w:color w:val="auto"/>
              </w:rPr>
              <w:t>Share-based compensation</w:t>
            </w:r>
          </w:p>
        </w:tc>
        <w:tc>
          <w:tcPr>
            <w:tcW w:w="120" w:type="dxa"/>
            <w:vAlign w:val="bottom"/>
            <w:tcBorders>
              <w:bottom w:val="single" w:sz="8" w:color="EBFEFF"/>
            </w:tcBorders>
            <w:shd w:val="clear" w:color="auto" w:fill="EBFEFF"/>
          </w:tcPr>
          <w:p>
            <w:pPr>
              <w:spacing w:after="0"/>
              <w:rPr>
                <w:sz w:val="15"/>
                <w:szCs w:val="15"/>
                <w:color w:val="auto"/>
              </w:rPr>
            </w:pPr>
          </w:p>
        </w:tc>
        <w:tc>
          <w:tcPr>
            <w:tcW w:w="1060" w:type="dxa"/>
            <w:vAlign w:val="bottom"/>
            <w:tcBorders>
              <w:bottom w:val="single" w:sz="8" w:color="EBFEFF"/>
              <w:right w:val="single" w:sz="8" w:color="auto"/>
            </w:tcBorders>
            <w:gridSpan w:val="2"/>
            <w:shd w:val="clear" w:color="auto" w:fill="EBF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BFEFF"/>
            </w:tcBorders>
            <w:shd w:val="clear" w:color="auto" w:fill="EBFEFF"/>
          </w:tcPr>
          <w:p>
            <w:pPr>
              <w:spacing w:after="0"/>
              <w:rPr>
                <w:sz w:val="15"/>
                <w:szCs w:val="15"/>
                <w:color w:val="auto"/>
              </w:rPr>
            </w:pPr>
          </w:p>
        </w:tc>
        <w:tc>
          <w:tcPr>
            <w:tcW w:w="104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BFEFF"/>
            </w:tcBorders>
            <w:shd w:val="clear" w:color="auto" w:fill="EBFEFF"/>
          </w:tcPr>
          <w:p>
            <w:pPr>
              <w:spacing w:after="0"/>
              <w:rPr>
                <w:sz w:val="15"/>
                <w:szCs w:val="15"/>
                <w:color w:val="auto"/>
              </w:rPr>
            </w:pPr>
          </w:p>
        </w:tc>
        <w:tc>
          <w:tcPr>
            <w:tcW w:w="180" w:type="dxa"/>
            <w:vAlign w:val="bottom"/>
            <w:tcBorders>
              <w:bottom w:val="single" w:sz="8" w:color="EBFEFF"/>
            </w:tcBorders>
            <w:shd w:val="clear" w:color="auto" w:fill="EBFEFF"/>
          </w:tcPr>
          <w:p>
            <w:pPr>
              <w:spacing w:after="0"/>
              <w:rPr>
                <w:sz w:val="15"/>
                <w:szCs w:val="15"/>
                <w:color w:val="auto"/>
              </w:rPr>
            </w:pPr>
          </w:p>
        </w:tc>
        <w:tc>
          <w:tcPr>
            <w:tcW w:w="84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BFEFF"/>
            </w:tcBorders>
            <w:shd w:val="clear" w:color="auto" w:fill="EBFEFF"/>
          </w:tcPr>
          <w:p>
            <w:pPr>
              <w:spacing w:after="0"/>
              <w:rPr>
                <w:sz w:val="15"/>
                <w:szCs w:val="15"/>
                <w:color w:val="auto"/>
              </w:rPr>
            </w:pPr>
          </w:p>
        </w:tc>
        <w:tc>
          <w:tcPr>
            <w:tcW w:w="104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BFEFF"/>
            </w:tcBorders>
            <w:shd w:val="clear" w:color="auto" w:fill="EBFEFF"/>
          </w:tcPr>
          <w:p>
            <w:pPr>
              <w:spacing w:after="0"/>
              <w:rPr>
                <w:sz w:val="15"/>
                <w:szCs w:val="15"/>
                <w:color w:val="auto"/>
              </w:rPr>
            </w:pPr>
          </w:p>
        </w:tc>
        <w:tc>
          <w:tcPr>
            <w:tcW w:w="160" w:type="dxa"/>
            <w:vAlign w:val="bottom"/>
            <w:tcBorders>
              <w:bottom w:val="single" w:sz="8" w:color="EBFEFF"/>
            </w:tcBorders>
            <w:shd w:val="clear" w:color="auto" w:fill="EBFEFF"/>
          </w:tcPr>
          <w:p>
            <w:pPr>
              <w:spacing w:after="0"/>
              <w:rPr>
                <w:sz w:val="15"/>
                <w:szCs w:val="15"/>
                <w:color w:val="auto"/>
              </w:rPr>
            </w:pPr>
          </w:p>
        </w:tc>
        <w:tc>
          <w:tcPr>
            <w:tcW w:w="80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BFEFF"/>
            </w:tcBorders>
            <w:shd w:val="clear" w:color="auto" w:fill="EBFEFF"/>
          </w:tcPr>
          <w:p>
            <w:pPr>
              <w:spacing w:after="0"/>
              <w:rPr>
                <w:sz w:val="15"/>
                <w:szCs w:val="15"/>
                <w:color w:val="auto"/>
              </w:rPr>
            </w:pPr>
          </w:p>
        </w:tc>
        <w:tc>
          <w:tcPr>
            <w:tcW w:w="160" w:type="dxa"/>
            <w:vAlign w:val="bottom"/>
            <w:tcBorders>
              <w:bottom w:val="single" w:sz="8" w:color="EBFEFF"/>
            </w:tcBorders>
            <w:shd w:val="clear" w:color="auto" w:fill="EBFEFF"/>
          </w:tcPr>
          <w:p>
            <w:pPr>
              <w:spacing w:after="0"/>
              <w:rPr>
                <w:sz w:val="15"/>
                <w:szCs w:val="15"/>
                <w:color w:val="auto"/>
              </w:rPr>
            </w:pPr>
          </w:p>
        </w:tc>
        <w:tc>
          <w:tcPr>
            <w:tcW w:w="88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643</w:t>
            </w:r>
          </w:p>
        </w:tc>
        <w:tc>
          <w:tcPr>
            <w:tcW w:w="80" w:type="dxa"/>
            <w:vAlign w:val="bottom"/>
            <w:tcBorders>
              <w:bottom w:val="single" w:sz="8" w:color="EBFEFF"/>
            </w:tcBorders>
            <w:shd w:val="clear" w:color="auto" w:fill="EBFEFF"/>
          </w:tcPr>
          <w:p>
            <w:pPr>
              <w:spacing w:after="0"/>
              <w:rPr>
                <w:sz w:val="15"/>
                <w:szCs w:val="15"/>
                <w:color w:val="auto"/>
              </w:rPr>
            </w:pPr>
          </w:p>
        </w:tc>
        <w:tc>
          <w:tcPr>
            <w:tcW w:w="20" w:type="dxa"/>
            <w:vAlign w:val="bottom"/>
            <w:tcBorders>
              <w:bottom w:val="single" w:sz="8" w:color="EBFEFF"/>
            </w:tcBorders>
            <w:shd w:val="clear" w:color="auto" w:fill="EBFEFF"/>
          </w:tcPr>
          <w:p>
            <w:pPr>
              <w:spacing w:after="0"/>
              <w:rPr>
                <w:sz w:val="15"/>
                <w:szCs w:val="15"/>
                <w:color w:val="auto"/>
              </w:rPr>
            </w:pPr>
          </w:p>
        </w:tc>
        <w:tc>
          <w:tcPr>
            <w:tcW w:w="100" w:type="dxa"/>
            <w:vAlign w:val="bottom"/>
            <w:tcBorders>
              <w:bottom w:val="single" w:sz="8" w:color="EBFEFF"/>
            </w:tcBorders>
            <w:shd w:val="clear" w:color="auto" w:fill="EBFEFF"/>
          </w:tcPr>
          <w:p>
            <w:pPr>
              <w:spacing w:after="0"/>
              <w:rPr>
                <w:sz w:val="15"/>
                <w:szCs w:val="15"/>
                <w:color w:val="auto"/>
              </w:rPr>
            </w:pPr>
          </w:p>
        </w:tc>
        <w:tc>
          <w:tcPr>
            <w:tcW w:w="86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BFEFF"/>
            </w:tcBorders>
            <w:shd w:val="clear" w:color="auto" w:fill="EBFEFF"/>
          </w:tcPr>
          <w:p>
            <w:pPr>
              <w:spacing w:after="0"/>
              <w:rPr>
                <w:sz w:val="15"/>
                <w:szCs w:val="15"/>
                <w:color w:val="auto"/>
              </w:rPr>
            </w:pPr>
          </w:p>
        </w:tc>
        <w:tc>
          <w:tcPr>
            <w:tcW w:w="120" w:type="dxa"/>
            <w:vAlign w:val="bottom"/>
            <w:tcBorders>
              <w:bottom w:val="single" w:sz="8" w:color="EBFEFF"/>
            </w:tcBorders>
            <w:shd w:val="clear" w:color="auto" w:fill="EBFEFF"/>
          </w:tcPr>
          <w:p>
            <w:pPr>
              <w:spacing w:after="0"/>
              <w:rPr>
                <w:sz w:val="15"/>
                <w:szCs w:val="15"/>
                <w:color w:val="auto"/>
              </w:rPr>
            </w:pPr>
          </w:p>
        </w:tc>
        <w:tc>
          <w:tcPr>
            <w:tcW w:w="920" w:type="dxa"/>
            <w:vAlign w:val="bottom"/>
            <w:tcBorders>
              <w:bottom w:val="single" w:sz="8" w:color="EBFEFF"/>
            </w:tcBorders>
            <w:shd w:val="clear" w:color="auto" w:fill="EBFEFF"/>
          </w:tcPr>
          <w:p>
            <w:pPr>
              <w:jc w:val="right"/>
              <w:spacing w:after="0"/>
              <w:rPr>
                <w:sz w:val="20"/>
                <w:szCs w:val="20"/>
                <w:color w:val="auto"/>
              </w:rPr>
            </w:pPr>
            <w:r>
              <w:rPr>
                <w:rFonts w:ascii="Arial" w:cs="Arial" w:eastAsia="Arial" w:hAnsi="Arial"/>
                <w:sz w:val="13"/>
                <w:szCs w:val="13"/>
                <w:color w:val="auto"/>
              </w:rPr>
              <w:t>643</w:t>
            </w:r>
          </w:p>
        </w:tc>
        <w:tc>
          <w:tcPr>
            <w:tcW w:w="0" w:type="dxa"/>
            <w:vAlign w:val="bottom"/>
          </w:tcPr>
          <w:p>
            <w:pPr>
              <w:spacing w:after="0"/>
              <w:rPr>
                <w:sz w:val="1"/>
                <w:szCs w:val="1"/>
                <w:color w:val="auto"/>
              </w:rPr>
            </w:pPr>
          </w:p>
        </w:tc>
      </w:tr>
      <w:tr>
        <w:trPr>
          <w:trHeight w:val="121"/>
        </w:trPr>
        <w:tc>
          <w:tcPr>
            <w:tcW w:w="2340" w:type="dxa"/>
            <w:vAlign w:val="bottom"/>
          </w:tcPr>
          <w:p>
            <w:pPr>
              <w:ind w:left="240"/>
              <w:spacing w:after="0" w:line="122" w:lineRule="exact"/>
              <w:rPr>
                <w:sz w:val="20"/>
                <w:szCs w:val="20"/>
                <w:color w:val="auto"/>
              </w:rPr>
            </w:pPr>
            <w:r>
              <w:rPr>
                <w:rFonts w:ascii="Arial" w:cs="Arial" w:eastAsia="Arial" w:hAnsi="Arial"/>
                <w:sz w:val="13"/>
                <w:szCs w:val="13"/>
                <w:color w:val="auto"/>
                <w:w w:val="95"/>
              </w:rPr>
              <w:t>Issuance of Class A common stock to</w:t>
            </w:r>
          </w:p>
        </w:tc>
        <w:tc>
          <w:tcPr>
            <w:tcW w:w="1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10,386,274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4,936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5,040</w:t>
            </w:r>
          </w:p>
        </w:tc>
        <w:tc>
          <w:tcPr>
            <w:tcW w:w="0" w:type="dxa"/>
            <w:vAlign w:val="bottom"/>
          </w:tcPr>
          <w:p>
            <w:pPr>
              <w:spacing w:after="0"/>
              <w:rPr>
                <w:sz w:val="1"/>
                <w:szCs w:val="1"/>
                <w:color w:val="auto"/>
              </w:rPr>
            </w:pPr>
          </w:p>
        </w:tc>
      </w:tr>
      <w:tr>
        <w:trPr>
          <w:trHeight w:val="168"/>
        </w:trPr>
        <w:tc>
          <w:tcPr>
            <w:tcW w:w="2340" w:type="dxa"/>
            <w:vAlign w:val="bottom"/>
          </w:tcPr>
          <w:p>
            <w:pPr>
              <w:ind w:left="240"/>
              <w:spacing w:after="0"/>
              <w:rPr>
                <w:sz w:val="20"/>
                <w:szCs w:val="20"/>
                <w:color w:val="auto"/>
              </w:rPr>
            </w:pPr>
            <w:r>
              <w:rPr>
                <w:rFonts w:ascii="Arial" w:cs="Arial" w:eastAsia="Arial" w:hAnsi="Arial"/>
                <w:sz w:val="13"/>
                <w:szCs w:val="13"/>
                <w:color w:val="auto"/>
              </w:rPr>
              <w:t>collaboration partner</w:t>
            </w:r>
          </w:p>
        </w:tc>
        <w:tc>
          <w:tcPr>
            <w:tcW w:w="1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EBFEFF"/>
          </w:tcPr>
          <w:p>
            <w:pPr>
              <w:ind w:left="260"/>
              <w:spacing w:after="0" w:line="142" w:lineRule="exact"/>
              <w:rPr>
                <w:sz w:val="20"/>
                <w:szCs w:val="20"/>
                <w:color w:val="auto"/>
              </w:rPr>
            </w:pPr>
            <w:r>
              <w:rPr>
                <w:rFonts w:ascii="Arial" w:cs="Arial" w:eastAsia="Arial" w:hAnsi="Arial"/>
                <w:sz w:val="13"/>
                <w:szCs w:val="13"/>
                <w:color w:val="auto"/>
              </w:rPr>
              <w:t>Change in redemption value of</w:t>
            </w:r>
          </w:p>
        </w:tc>
        <w:tc>
          <w:tcPr>
            <w:tcW w:w="120" w:type="dxa"/>
            <w:vAlign w:val="bottom"/>
            <w:shd w:val="clear" w:color="auto" w:fill="EBFEFF"/>
          </w:tcPr>
          <w:p>
            <w:pPr>
              <w:spacing w:after="0"/>
              <w:rPr>
                <w:sz w:val="12"/>
                <w:szCs w:val="12"/>
                <w:color w:val="auto"/>
              </w:rPr>
            </w:pPr>
          </w:p>
        </w:tc>
        <w:tc>
          <w:tcPr>
            <w:tcW w:w="9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(5,689)</w:t>
            </w:r>
          </w:p>
        </w:tc>
        <w:tc>
          <w:tcPr>
            <w:tcW w:w="120" w:type="dxa"/>
            <w:vAlign w:val="bottom"/>
            <w:tcBorders>
              <w:right w:val="single" w:sz="8" w:color="auto"/>
            </w:tcBorders>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0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2"/>
                <w:szCs w:val="12"/>
                <w:color w:val="auto"/>
              </w:rPr>
            </w:pPr>
          </w:p>
        </w:tc>
        <w:tc>
          <w:tcPr>
            <w:tcW w:w="180" w:type="dxa"/>
            <w:vAlign w:val="bottom"/>
            <w:shd w:val="clear" w:color="auto" w:fill="EBFEFF"/>
          </w:tcPr>
          <w:p>
            <w:pPr>
              <w:spacing w:after="0"/>
              <w:rPr>
                <w:sz w:val="12"/>
                <w:szCs w:val="12"/>
                <w:color w:val="auto"/>
              </w:rPr>
            </w:pPr>
          </w:p>
        </w:tc>
        <w:tc>
          <w:tcPr>
            <w:tcW w:w="8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BFEFF"/>
          </w:tcPr>
          <w:p>
            <w:pPr>
              <w:spacing w:after="0"/>
              <w:rPr>
                <w:sz w:val="12"/>
                <w:szCs w:val="12"/>
                <w:color w:val="auto"/>
              </w:rPr>
            </w:pPr>
          </w:p>
        </w:tc>
        <w:tc>
          <w:tcPr>
            <w:tcW w:w="104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80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88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BFEFF"/>
          </w:tcPr>
          <w:p>
            <w:pPr>
              <w:spacing w:after="0"/>
              <w:rPr>
                <w:sz w:val="12"/>
                <w:szCs w:val="12"/>
                <w:color w:val="auto"/>
              </w:rPr>
            </w:pPr>
          </w:p>
        </w:tc>
        <w:tc>
          <w:tcPr>
            <w:tcW w:w="20" w:type="dxa"/>
            <w:vAlign w:val="bottom"/>
            <w:shd w:val="clear" w:color="auto" w:fill="EBFEFF"/>
          </w:tcPr>
          <w:p>
            <w:pPr>
              <w:spacing w:after="0"/>
              <w:rPr>
                <w:sz w:val="12"/>
                <w:szCs w:val="12"/>
                <w:color w:val="auto"/>
              </w:rPr>
            </w:pPr>
          </w:p>
        </w:tc>
        <w:tc>
          <w:tcPr>
            <w:tcW w:w="100" w:type="dxa"/>
            <w:vAlign w:val="bottom"/>
            <w:shd w:val="clear" w:color="auto" w:fill="EBFEFF"/>
          </w:tcPr>
          <w:p>
            <w:pPr>
              <w:spacing w:after="0"/>
              <w:rPr>
                <w:sz w:val="12"/>
                <w:szCs w:val="12"/>
                <w:color w:val="auto"/>
              </w:rPr>
            </w:pPr>
          </w:p>
        </w:tc>
        <w:tc>
          <w:tcPr>
            <w:tcW w:w="86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5,689</w:t>
            </w:r>
          </w:p>
        </w:tc>
        <w:tc>
          <w:tcPr>
            <w:tcW w:w="80" w:type="dxa"/>
            <w:vAlign w:val="bottom"/>
            <w:shd w:val="clear" w:color="auto" w:fill="EBFEFF"/>
          </w:tcPr>
          <w:p>
            <w:pPr>
              <w:spacing w:after="0"/>
              <w:rPr>
                <w:sz w:val="12"/>
                <w:szCs w:val="12"/>
                <w:color w:val="auto"/>
              </w:rPr>
            </w:pPr>
          </w:p>
        </w:tc>
        <w:tc>
          <w:tcPr>
            <w:tcW w:w="120" w:type="dxa"/>
            <w:vAlign w:val="bottom"/>
            <w:shd w:val="clear" w:color="auto" w:fill="EBFEFF"/>
          </w:tcPr>
          <w:p>
            <w:pPr>
              <w:spacing w:after="0"/>
              <w:rPr>
                <w:sz w:val="12"/>
                <w:szCs w:val="12"/>
                <w:color w:val="auto"/>
              </w:rPr>
            </w:pPr>
          </w:p>
        </w:tc>
        <w:tc>
          <w:tcPr>
            <w:tcW w:w="920" w:type="dxa"/>
            <w:vAlign w:val="bottom"/>
            <w:vMerge w:val="restart"/>
            <w:shd w:val="clear" w:color="auto" w:fill="EBFEFF"/>
          </w:tcPr>
          <w:p>
            <w:pPr>
              <w:jc w:val="right"/>
              <w:spacing w:after="0"/>
              <w:rPr>
                <w:sz w:val="20"/>
                <w:szCs w:val="20"/>
                <w:color w:val="auto"/>
              </w:rPr>
            </w:pPr>
            <w:r>
              <w:rPr>
                <w:rFonts w:ascii="Arial" w:cs="Arial" w:eastAsia="Arial" w:hAnsi="Arial"/>
                <w:sz w:val="13"/>
                <w:szCs w:val="13"/>
                <w:color w:val="auto"/>
              </w:rPr>
              <w:t>5,689</w:t>
            </w:r>
          </w:p>
        </w:tc>
        <w:tc>
          <w:tcPr>
            <w:tcW w:w="0" w:type="dxa"/>
            <w:vAlign w:val="bottom"/>
          </w:tcPr>
          <w:p>
            <w:pPr>
              <w:spacing w:after="0"/>
              <w:rPr>
                <w:sz w:val="1"/>
                <w:szCs w:val="1"/>
                <w:color w:val="auto"/>
              </w:rPr>
            </w:pPr>
          </w:p>
        </w:tc>
      </w:tr>
      <w:tr>
        <w:trPr>
          <w:trHeight w:val="176"/>
        </w:trPr>
        <w:tc>
          <w:tcPr>
            <w:tcW w:w="2340" w:type="dxa"/>
            <w:vAlign w:val="bottom"/>
            <w:shd w:val="clear" w:color="auto" w:fill="EBFEFF"/>
          </w:tcPr>
          <w:p>
            <w:pPr>
              <w:ind w:left="360"/>
              <w:spacing w:after="0"/>
              <w:rPr>
                <w:sz w:val="20"/>
                <w:szCs w:val="20"/>
                <w:color w:val="auto"/>
              </w:rPr>
            </w:pPr>
            <w:r>
              <w:rPr>
                <w:rFonts w:ascii="Arial" w:cs="Arial" w:eastAsia="Arial" w:hAnsi="Arial"/>
                <w:sz w:val="13"/>
                <w:szCs w:val="13"/>
                <w:color w:val="auto"/>
              </w:rPr>
              <w:t>noncontrolling interest</w:t>
            </w:r>
          </w:p>
        </w:tc>
        <w:tc>
          <w:tcPr>
            <w:tcW w:w="120" w:type="dxa"/>
            <w:vAlign w:val="bottom"/>
            <w:tcBorders>
              <w:bottom w:val="single" w:sz="8" w:color="auto"/>
            </w:tcBorders>
            <w:shd w:val="clear" w:color="auto" w:fill="EBFEFF"/>
          </w:tcPr>
          <w:p>
            <w:pPr>
              <w:spacing w:after="0"/>
              <w:rPr>
                <w:sz w:val="15"/>
                <w:szCs w:val="15"/>
                <w:color w:val="auto"/>
              </w:rPr>
            </w:pPr>
          </w:p>
        </w:tc>
        <w:tc>
          <w:tcPr>
            <w:tcW w:w="940" w:type="dxa"/>
            <w:vAlign w:val="bottom"/>
            <w:tcBorders>
              <w:bottom w:val="single" w:sz="8" w:color="auto"/>
            </w:tcBorders>
            <w:vMerge w:val="continue"/>
            <w:shd w:val="clear" w:color="auto" w:fill="EBFEFF"/>
          </w:tcPr>
          <w:p>
            <w:pPr>
              <w:spacing w:after="0"/>
              <w:rPr>
                <w:sz w:val="15"/>
                <w:szCs w:val="15"/>
                <w:color w:val="auto"/>
              </w:rPr>
            </w:pPr>
          </w:p>
        </w:tc>
        <w:tc>
          <w:tcPr>
            <w:tcW w:w="120" w:type="dxa"/>
            <w:vAlign w:val="bottom"/>
            <w:tcBorders>
              <w:right w:val="single" w:sz="8" w:color="auto"/>
            </w:tcBorders>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040" w:type="dxa"/>
            <w:vAlign w:val="bottom"/>
            <w:tcBorders>
              <w:bottom w:val="single" w:sz="8" w:color="auto"/>
            </w:tcBorders>
            <w:vMerge w:val="continue"/>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180" w:type="dxa"/>
            <w:vAlign w:val="bottom"/>
            <w:tcBorders>
              <w:bottom w:val="single" w:sz="8" w:color="auto"/>
            </w:tcBorders>
            <w:shd w:val="clear" w:color="auto" w:fill="EBFEFF"/>
          </w:tcPr>
          <w:p>
            <w:pPr>
              <w:spacing w:after="0"/>
              <w:rPr>
                <w:sz w:val="15"/>
                <w:szCs w:val="15"/>
                <w:color w:val="auto"/>
              </w:rPr>
            </w:pPr>
          </w:p>
        </w:tc>
        <w:tc>
          <w:tcPr>
            <w:tcW w:w="840" w:type="dxa"/>
            <w:vAlign w:val="bottom"/>
            <w:tcBorders>
              <w:bottom w:val="single" w:sz="8" w:color="auto"/>
            </w:tcBorders>
            <w:vMerge w:val="continue"/>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1040" w:type="dxa"/>
            <w:vAlign w:val="bottom"/>
            <w:tcBorders>
              <w:bottom w:val="single" w:sz="8" w:color="auto"/>
            </w:tcBorders>
            <w:vMerge w:val="continue"/>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60" w:type="dxa"/>
            <w:vAlign w:val="bottom"/>
            <w:tcBorders>
              <w:bottom w:val="single" w:sz="8" w:color="auto"/>
            </w:tcBorders>
            <w:shd w:val="clear" w:color="auto" w:fill="EBFEFF"/>
          </w:tcPr>
          <w:p>
            <w:pPr>
              <w:spacing w:after="0"/>
              <w:rPr>
                <w:sz w:val="15"/>
                <w:szCs w:val="15"/>
                <w:color w:val="auto"/>
              </w:rPr>
            </w:pPr>
          </w:p>
        </w:tc>
        <w:tc>
          <w:tcPr>
            <w:tcW w:w="800" w:type="dxa"/>
            <w:vAlign w:val="bottom"/>
            <w:tcBorders>
              <w:bottom w:val="single" w:sz="8" w:color="auto"/>
            </w:tcBorders>
            <w:vMerge w:val="continue"/>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60" w:type="dxa"/>
            <w:vAlign w:val="bottom"/>
            <w:tcBorders>
              <w:bottom w:val="single" w:sz="8" w:color="auto"/>
            </w:tcBorders>
            <w:shd w:val="clear" w:color="auto" w:fill="EBFEFF"/>
          </w:tcPr>
          <w:p>
            <w:pPr>
              <w:spacing w:after="0"/>
              <w:rPr>
                <w:sz w:val="15"/>
                <w:szCs w:val="15"/>
                <w:color w:val="auto"/>
              </w:rPr>
            </w:pPr>
          </w:p>
        </w:tc>
        <w:tc>
          <w:tcPr>
            <w:tcW w:w="880" w:type="dxa"/>
            <w:vAlign w:val="bottom"/>
            <w:tcBorders>
              <w:bottom w:val="single" w:sz="8" w:color="auto"/>
            </w:tcBorders>
            <w:vMerge w:val="continue"/>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20" w:type="dxa"/>
            <w:vAlign w:val="bottom"/>
            <w:tcBorders>
              <w:bottom w:val="single" w:sz="8" w:color="auto"/>
            </w:tcBorders>
            <w:shd w:val="clear" w:color="auto" w:fill="EBFEFF"/>
          </w:tcPr>
          <w:p>
            <w:pPr>
              <w:spacing w:after="0"/>
              <w:rPr>
                <w:sz w:val="15"/>
                <w:szCs w:val="15"/>
                <w:color w:val="auto"/>
              </w:rPr>
            </w:pPr>
          </w:p>
        </w:tc>
        <w:tc>
          <w:tcPr>
            <w:tcW w:w="100" w:type="dxa"/>
            <w:vAlign w:val="bottom"/>
            <w:tcBorders>
              <w:bottom w:val="single" w:sz="8" w:color="auto"/>
            </w:tcBorders>
            <w:shd w:val="clear" w:color="auto" w:fill="EBFEFF"/>
          </w:tcPr>
          <w:p>
            <w:pPr>
              <w:spacing w:after="0"/>
              <w:rPr>
                <w:sz w:val="15"/>
                <w:szCs w:val="15"/>
                <w:color w:val="auto"/>
              </w:rPr>
            </w:pPr>
          </w:p>
        </w:tc>
        <w:tc>
          <w:tcPr>
            <w:tcW w:w="860" w:type="dxa"/>
            <w:vAlign w:val="bottom"/>
            <w:tcBorders>
              <w:bottom w:val="single" w:sz="8" w:color="auto"/>
            </w:tcBorders>
            <w:vMerge w:val="continue"/>
            <w:shd w:val="clear" w:color="auto" w:fill="EBFEFF"/>
          </w:tcPr>
          <w:p>
            <w:pPr>
              <w:spacing w:after="0"/>
              <w:rPr>
                <w:sz w:val="15"/>
                <w:szCs w:val="15"/>
                <w:color w:val="auto"/>
              </w:rPr>
            </w:pPr>
          </w:p>
        </w:tc>
        <w:tc>
          <w:tcPr>
            <w:tcW w:w="80" w:type="dxa"/>
            <w:vAlign w:val="bottom"/>
            <w:shd w:val="clear" w:color="auto" w:fill="EBFEFF"/>
          </w:tcPr>
          <w:p>
            <w:pPr>
              <w:spacing w:after="0"/>
              <w:rPr>
                <w:sz w:val="15"/>
                <w:szCs w:val="15"/>
                <w:color w:val="auto"/>
              </w:rPr>
            </w:pPr>
          </w:p>
        </w:tc>
        <w:tc>
          <w:tcPr>
            <w:tcW w:w="120" w:type="dxa"/>
            <w:vAlign w:val="bottom"/>
            <w:tcBorders>
              <w:bottom w:val="single" w:sz="8" w:color="auto"/>
            </w:tcBorders>
            <w:shd w:val="clear" w:color="auto" w:fill="EBFEFF"/>
          </w:tcPr>
          <w:p>
            <w:pPr>
              <w:spacing w:after="0"/>
              <w:rPr>
                <w:sz w:val="15"/>
                <w:szCs w:val="15"/>
                <w:color w:val="auto"/>
              </w:rPr>
            </w:pPr>
          </w:p>
        </w:tc>
        <w:tc>
          <w:tcPr>
            <w:tcW w:w="920" w:type="dxa"/>
            <w:vAlign w:val="bottom"/>
            <w:tcBorders>
              <w:bottom w:val="single" w:sz="8" w:color="auto"/>
            </w:tcBorders>
            <w:vMerge w:val="continue"/>
            <w:shd w:val="clear" w:color="auto" w:fill="EBF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3"/>
                <w:szCs w:val="13"/>
                <w:b w:val="1"/>
                <w:bCs w:val="1"/>
                <w:color w:val="auto"/>
              </w:rPr>
              <w:t>Balances at June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15,916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77,329,051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23,093,860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243,772</w:t>
            </w: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(253,303)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19"/>
                <w:szCs w:val="19"/>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40" w:type="dxa"/>
            <w:vAlign w:val="bottom"/>
          </w:tcPr>
          <w:p>
            <w:pPr>
              <w:spacing w:after="0"/>
              <w:rPr>
                <w:sz w:val="19"/>
                <w:szCs w:val="19"/>
                <w:color w:val="auto"/>
              </w:rPr>
            </w:pPr>
          </w:p>
        </w:tc>
      </w:tr>
      <w:tr>
        <w:trPr>
          <w:trHeight w:val="241"/>
        </w:trPr>
        <w:tc>
          <w:tcPr>
            <w:tcW w:w="77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r>
      <w:tr>
        <w:trPr>
          <w:trHeight w:val="216"/>
        </w:trPr>
        <w:tc>
          <w:tcPr>
            <w:tcW w:w="7780" w:type="dxa"/>
            <w:vAlign w:val="bottom"/>
            <w:tcBorders>
              <w:top w:val="single" w:sz="8" w:color="C9FCFF"/>
            </w:tcBorders>
            <w:shd w:val="clear" w:color="auto" w:fill="C9FC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auto"/>
            </w:tcBorders>
            <w:shd w:val="clear" w:color="auto" w:fill="C9FCFF"/>
          </w:tcPr>
          <w:p>
            <w:pPr>
              <w:spacing w:after="0"/>
              <w:rPr>
                <w:sz w:val="18"/>
                <w:szCs w:val="18"/>
                <w:color w:val="auto"/>
              </w:rPr>
            </w:pPr>
          </w:p>
        </w:tc>
        <w:tc>
          <w:tcPr>
            <w:tcW w:w="640" w:type="dxa"/>
            <w:vAlign w:val="bottom"/>
            <w:tcBorders>
              <w:top w:val="single" w:sz="8" w:color="auto"/>
            </w:tcBorders>
            <w:shd w:val="clear" w:color="auto" w:fill="C9FCFF"/>
          </w:tcPr>
          <w:p>
            <w:pPr>
              <w:spacing w:after="0"/>
              <w:rPr>
                <w:sz w:val="18"/>
                <w:szCs w:val="18"/>
                <w:color w:val="auto"/>
              </w:rPr>
            </w:pPr>
          </w:p>
        </w:tc>
        <w:tc>
          <w:tcPr>
            <w:tcW w:w="100" w:type="dxa"/>
            <w:vAlign w:val="bottom"/>
            <w:tcBorders>
              <w:top w:val="single" w:sz="8" w:color="C9FCFF"/>
            </w:tcBorders>
            <w:shd w:val="clear" w:color="auto" w:fill="C9FCFF"/>
          </w:tcPr>
          <w:p>
            <w:pPr>
              <w:spacing w:after="0"/>
              <w:rPr>
                <w:sz w:val="18"/>
                <w:szCs w:val="18"/>
                <w:color w:val="auto"/>
              </w:rPr>
            </w:pPr>
          </w:p>
        </w:tc>
        <w:tc>
          <w:tcPr>
            <w:tcW w:w="1040" w:type="dxa"/>
            <w:vAlign w:val="bottom"/>
            <w:tcBorders>
              <w:top w:val="single" w:sz="8" w:color="auto"/>
            </w:tcBorders>
            <w:shd w:val="clear" w:color="auto" w:fill="C9FCFF"/>
          </w:tcPr>
          <w:p>
            <w:pPr>
              <w:spacing w:after="0"/>
              <w:rPr>
                <w:sz w:val="18"/>
                <w:szCs w:val="18"/>
                <w:color w:val="auto"/>
              </w:rPr>
            </w:pPr>
          </w:p>
        </w:tc>
        <w:tc>
          <w:tcPr>
            <w:tcW w:w="640" w:type="dxa"/>
            <w:vAlign w:val="bottom"/>
            <w:tcBorders>
              <w:top w:val="single" w:sz="8" w:color="auto"/>
            </w:tcBorders>
            <w:shd w:val="clear" w:color="auto" w:fill="C9FCFF"/>
          </w:tcPr>
          <w:p>
            <w:pPr>
              <w:spacing w:after="0"/>
              <w:rPr>
                <w:sz w:val="18"/>
                <w:szCs w:val="18"/>
                <w:color w:val="auto"/>
              </w:rPr>
            </w:pPr>
          </w:p>
        </w:tc>
      </w:tr>
      <w:tr>
        <w:trPr>
          <w:trHeight w:val="243"/>
        </w:trPr>
        <w:tc>
          <w:tcPr>
            <w:tcW w:w="7780" w:type="dxa"/>
            <w:vAlign w:val="bottom"/>
            <w:shd w:val="clear" w:color="auto" w:fill="EBFEFF"/>
          </w:tcPr>
          <w:p>
            <w:pPr>
              <w:ind w:left="20"/>
              <w:spacing w:after="0"/>
              <w:rPr>
                <w:sz w:val="20"/>
                <w:szCs w:val="20"/>
                <w:color w:val="auto"/>
              </w:rPr>
            </w:pPr>
            <w:r>
              <w:rPr>
                <w:rFonts w:ascii="Arial" w:cs="Arial" w:eastAsia="Arial" w:hAnsi="Arial"/>
                <w:sz w:val="18"/>
                <w:szCs w:val="18"/>
                <w:color w:val="auto"/>
              </w:rPr>
              <w:t>Net loss before noncontrolling interest</w:t>
            </w:r>
          </w:p>
        </w:tc>
        <w:tc>
          <w:tcPr>
            <w:tcW w:w="1020" w:type="dxa"/>
            <w:vAlign w:val="bottom"/>
            <w:shd w:val="clear" w:color="auto" w:fill="EBF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w w:val="89"/>
              </w:rPr>
              <w:t>(12,985)</w:t>
            </w:r>
          </w:p>
        </w:tc>
        <w:tc>
          <w:tcPr>
            <w:tcW w:w="1140" w:type="dxa"/>
            <w:vAlign w:val="bottom"/>
            <w:gridSpan w:val="2"/>
            <w:shd w:val="clear" w:color="auto" w:fill="EBFEFF"/>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w w:val="89"/>
              </w:rPr>
              <w:t>(13,515)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w w:val="94"/>
              </w:rPr>
              <w:t>Adjustments to reconcile net loss before noncontrolling interest to net cash used in operating activities: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80" w:type="dxa"/>
            <w:vAlign w:val="bottom"/>
            <w:shd w:val="clear" w:color="auto" w:fill="EBFEFF"/>
          </w:tcPr>
          <w:p>
            <w:pPr>
              <w:ind w:left="260"/>
              <w:spacing w:after="0"/>
              <w:rPr>
                <w:sz w:val="20"/>
                <w:szCs w:val="20"/>
                <w:color w:val="auto"/>
              </w:rPr>
            </w:pPr>
            <w:r>
              <w:rPr>
                <w:rFonts w:ascii="Arial" w:cs="Arial" w:eastAsia="Arial" w:hAnsi="Arial"/>
                <w:sz w:val="18"/>
                <w:szCs w:val="18"/>
                <w:color w:val="auto"/>
              </w:rPr>
              <w:t>Depreciation expense</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BFEFF"/>
          </w:tcPr>
          <w:p>
            <w:pPr>
              <w:spacing w:after="0"/>
              <w:rPr>
                <w:sz w:val="19"/>
                <w:szCs w:val="19"/>
                <w:color w:val="auto"/>
              </w:rPr>
            </w:pPr>
          </w:p>
        </w:tc>
        <w:tc>
          <w:tcPr>
            <w:tcW w:w="104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7780" w:type="dxa"/>
            <w:vAlign w:val="bottom"/>
          </w:tcPr>
          <w:p>
            <w:pPr>
              <w:ind w:left="260"/>
              <w:spacing w:after="0"/>
              <w:rPr>
                <w:sz w:val="20"/>
                <w:szCs w:val="20"/>
                <w:color w:val="auto"/>
              </w:rPr>
            </w:pPr>
            <w:r>
              <w:rPr>
                <w:rFonts w:ascii="Arial" w:cs="Arial" w:eastAsia="Arial" w:hAnsi="Arial"/>
                <w:sz w:val="18"/>
                <w:szCs w:val="18"/>
                <w:color w:val="auto"/>
              </w:rPr>
              <w:t>Loss from G42 Promissory Note early redemption</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780" w:type="dxa"/>
            <w:vAlign w:val="bottom"/>
            <w:shd w:val="clear" w:color="auto" w:fill="EBFEFF"/>
          </w:tcPr>
          <w:p>
            <w:pPr>
              <w:ind w:left="260"/>
              <w:spacing w:after="0"/>
              <w:rPr>
                <w:sz w:val="20"/>
                <w:szCs w:val="20"/>
                <w:color w:val="auto"/>
              </w:rPr>
            </w:pPr>
            <w:r>
              <w:rPr>
                <w:rFonts w:ascii="Arial" w:cs="Arial" w:eastAsia="Arial" w:hAnsi="Arial"/>
                <w:sz w:val="18"/>
                <w:szCs w:val="18"/>
                <w:color w:val="auto"/>
              </w:rPr>
              <w:t>Non-cash interest income</w:t>
            </w:r>
          </w:p>
        </w:tc>
        <w:tc>
          <w:tcPr>
            <w:tcW w:w="1020" w:type="dxa"/>
            <w:vAlign w:val="bottom"/>
            <w:shd w:val="clear" w:color="auto" w:fill="EBFEFF"/>
          </w:tcPr>
          <w:p>
            <w:pPr>
              <w:spacing w:after="0"/>
              <w:rPr>
                <w:sz w:val="20"/>
                <w:szCs w:val="20"/>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BFEFF"/>
          </w:tcPr>
          <w:p>
            <w:pPr>
              <w:spacing w:after="0"/>
              <w:rPr>
                <w:sz w:val="20"/>
                <w:szCs w:val="20"/>
                <w:color w:val="auto"/>
              </w:rPr>
            </w:pPr>
          </w:p>
        </w:tc>
        <w:tc>
          <w:tcPr>
            <w:tcW w:w="1040" w:type="dxa"/>
            <w:vAlign w:val="bottom"/>
            <w:shd w:val="clear" w:color="auto" w:fill="EBFEFF"/>
          </w:tcPr>
          <w:p>
            <w:pPr>
              <w:spacing w:after="0"/>
              <w:rPr>
                <w:sz w:val="20"/>
                <w:szCs w:val="20"/>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7780" w:type="dxa"/>
            <w:vAlign w:val="bottom"/>
            <w:shd w:val="clear" w:color="auto" w:fill="EBFEFF"/>
          </w:tcPr>
          <w:p>
            <w:pPr>
              <w:ind w:left="260"/>
              <w:spacing w:after="0"/>
              <w:rPr>
                <w:sz w:val="20"/>
                <w:szCs w:val="20"/>
                <w:color w:val="auto"/>
              </w:rPr>
            </w:pPr>
            <w:r>
              <w:rPr>
                <w:rFonts w:ascii="Arial" w:cs="Arial" w:eastAsia="Arial" w:hAnsi="Arial"/>
                <w:sz w:val="18"/>
                <w:szCs w:val="18"/>
                <w:color w:val="auto"/>
              </w:rPr>
              <w:t>Change in fair value of investments</w:t>
            </w:r>
          </w:p>
        </w:tc>
        <w:tc>
          <w:tcPr>
            <w:tcW w:w="1020" w:type="dxa"/>
            <w:vAlign w:val="bottom"/>
            <w:shd w:val="clear" w:color="auto" w:fill="EBFEFF"/>
          </w:tcPr>
          <w:p>
            <w:pPr>
              <w:spacing w:after="0"/>
              <w:rPr>
                <w:sz w:val="21"/>
                <w:szCs w:val="21"/>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EBFEFF"/>
          </w:tcPr>
          <w:p>
            <w:pPr>
              <w:spacing w:after="0"/>
              <w:rPr>
                <w:sz w:val="21"/>
                <w:szCs w:val="21"/>
                <w:color w:val="auto"/>
              </w:rPr>
            </w:pPr>
          </w:p>
        </w:tc>
        <w:tc>
          <w:tcPr>
            <w:tcW w:w="1040" w:type="dxa"/>
            <w:vAlign w:val="bottom"/>
            <w:shd w:val="clear" w:color="auto" w:fill="EBFEFF"/>
          </w:tcPr>
          <w:p>
            <w:pPr>
              <w:spacing w:after="0"/>
              <w:rPr>
                <w:sz w:val="21"/>
                <w:szCs w:val="21"/>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3,401</w:t>
            </w: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Change in fair value of warrants, related party</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29"/>
        </w:trPr>
        <w:tc>
          <w:tcPr>
            <w:tcW w:w="7780" w:type="dxa"/>
            <w:vAlign w:val="bottom"/>
            <w:shd w:val="clear" w:color="auto" w:fill="EBFEFF"/>
          </w:tcPr>
          <w:p>
            <w:pPr>
              <w:ind w:left="6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1040" w:type="dxa"/>
            <w:vAlign w:val="bottom"/>
            <w:shd w:val="clear" w:color="auto" w:fill="EBFEFF"/>
          </w:tcPr>
          <w:p>
            <w:pPr>
              <w:spacing w:after="0"/>
              <w:rPr>
                <w:sz w:val="19"/>
                <w:szCs w:val="19"/>
                <w:color w:val="auto"/>
              </w:rPr>
            </w:pPr>
          </w:p>
        </w:tc>
        <w:tc>
          <w:tcPr>
            <w:tcW w:w="640" w:type="dxa"/>
            <w:vAlign w:val="bottom"/>
            <w:shd w:val="clear" w:color="auto" w:fill="EBFEFF"/>
          </w:tcPr>
          <w:p>
            <w:pPr>
              <w:spacing w:after="0"/>
              <w:rPr>
                <w:sz w:val="19"/>
                <w:szCs w:val="19"/>
                <w:color w:val="auto"/>
              </w:rPr>
            </w:pPr>
          </w:p>
        </w:tc>
      </w:tr>
      <w:tr>
        <w:trPr>
          <w:trHeight w:val="237"/>
        </w:trPr>
        <w:tc>
          <w:tcPr>
            <w:tcW w:w="77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6"/>
        </w:trPr>
        <w:tc>
          <w:tcPr>
            <w:tcW w:w="7780" w:type="dxa"/>
            <w:vAlign w:val="bottom"/>
            <w:shd w:val="clear" w:color="auto" w:fill="EBFEFF"/>
          </w:tcPr>
          <w:p>
            <w:pPr>
              <w:ind w:left="26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shd w:val="clear" w:color="auto" w:fill="EBFEFF"/>
          </w:tcPr>
          <w:p>
            <w:pPr>
              <w:spacing w:after="0"/>
              <w:rPr>
                <w:sz w:val="20"/>
                <w:szCs w:val="20"/>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EBFEFF"/>
          </w:tcPr>
          <w:p>
            <w:pPr>
              <w:spacing w:after="0"/>
              <w:rPr>
                <w:sz w:val="20"/>
                <w:szCs w:val="20"/>
                <w:color w:val="auto"/>
              </w:rPr>
            </w:pPr>
          </w:p>
        </w:tc>
        <w:tc>
          <w:tcPr>
            <w:tcW w:w="1040" w:type="dxa"/>
            <w:vAlign w:val="bottom"/>
            <w:shd w:val="clear" w:color="auto" w:fill="EBFEFF"/>
          </w:tcPr>
          <w:p>
            <w:pPr>
              <w:spacing w:after="0"/>
              <w:rPr>
                <w:sz w:val="20"/>
                <w:szCs w:val="20"/>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43"/>
        </w:trPr>
        <w:tc>
          <w:tcPr>
            <w:tcW w:w="7780" w:type="dxa"/>
            <w:vAlign w:val="bottom"/>
            <w:shd w:val="clear" w:color="auto" w:fill="EBFEFF"/>
          </w:tcPr>
          <w:p>
            <w:pPr>
              <w:ind w:left="260"/>
              <w:spacing w:after="0"/>
              <w:rPr>
                <w:sz w:val="20"/>
                <w:szCs w:val="20"/>
                <w:color w:val="auto"/>
              </w:rPr>
            </w:pPr>
            <w:r>
              <w:rPr>
                <w:rFonts w:ascii="Arial" w:cs="Arial" w:eastAsia="Arial" w:hAnsi="Arial"/>
                <w:sz w:val="18"/>
                <w:szCs w:val="18"/>
                <w:color w:val="auto"/>
              </w:rPr>
              <w:t>Contract liabilities</w:t>
            </w:r>
          </w:p>
        </w:tc>
        <w:tc>
          <w:tcPr>
            <w:tcW w:w="1020" w:type="dxa"/>
            <w:vAlign w:val="bottom"/>
            <w:tcBorders>
              <w:bottom w:val="single" w:sz="8" w:color="auto"/>
            </w:tcBorders>
            <w:shd w:val="clear" w:color="auto" w:fill="EBFEFF"/>
          </w:tcPr>
          <w:p>
            <w:pPr>
              <w:spacing w:after="0"/>
              <w:rPr>
                <w:sz w:val="21"/>
                <w:szCs w:val="21"/>
                <w:color w:val="auto"/>
              </w:rPr>
            </w:pPr>
          </w:p>
        </w:tc>
        <w:tc>
          <w:tcPr>
            <w:tcW w:w="6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21"/>
                <w:szCs w:val="21"/>
                <w:color w:val="auto"/>
              </w:rPr>
            </w:pPr>
          </w:p>
        </w:tc>
        <w:tc>
          <w:tcPr>
            <w:tcW w:w="1040" w:type="dxa"/>
            <w:vAlign w:val="bottom"/>
            <w:tcBorders>
              <w:bottom w:val="single" w:sz="8" w:color="auto"/>
            </w:tcBorders>
            <w:shd w:val="clear" w:color="auto" w:fill="EBFEFF"/>
          </w:tcPr>
          <w:p>
            <w:pPr>
              <w:spacing w:after="0"/>
              <w:rPr>
                <w:sz w:val="21"/>
                <w:szCs w:val="21"/>
                <w:color w:val="auto"/>
              </w:rPr>
            </w:pPr>
          </w:p>
        </w:tc>
        <w:tc>
          <w:tcPr>
            <w:tcW w:w="6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6,769</w:t>
            </w:r>
          </w:p>
        </w:tc>
      </w:tr>
      <w:tr>
        <w:trPr>
          <w:trHeight w:val="223"/>
        </w:trPr>
        <w:tc>
          <w:tcPr>
            <w:tcW w:w="7780" w:type="dxa"/>
            <w:vAlign w:val="bottom"/>
          </w:tcPr>
          <w:p>
            <w:pPr>
              <w:ind w:left="6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(11,333)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7780" w:type="dxa"/>
            <w:vAlign w:val="bottom"/>
            <w:shd w:val="clear" w:color="auto" w:fill="EBF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1040" w:type="dxa"/>
            <w:vAlign w:val="bottom"/>
            <w:shd w:val="clear" w:color="auto" w:fill="EBFEFF"/>
          </w:tcPr>
          <w:p>
            <w:pPr>
              <w:spacing w:after="0"/>
              <w:rPr>
                <w:sz w:val="19"/>
                <w:szCs w:val="19"/>
                <w:color w:val="auto"/>
              </w:rPr>
            </w:pPr>
          </w:p>
        </w:tc>
        <w:tc>
          <w:tcPr>
            <w:tcW w:w="640" w:type="dxa"/>
            <w:vAlign w:val="bottom"/>
            <w:shd w:val="clear" w:color="auto" w:fill="EBFEFF"/>
          </w:tcPr>
          <w:p>
            <w:pPr>
              <w:spacing w:after="0"/>
              <w:rPr>
                <w:sz w:val="19"/>
                <w:szCs w:val="19"/>
                <w:color w:val="auto"/>
              </w:rPr>
            </w:pPr>
          </w:p>
        </w:tc>
      </w:tr>
      <w:tr>
        <w:trPr>
          <w:trHeight w:val="243"/>
        </w:trPr>
        <w:tc>
          <w:tcPr>
            <w:tcW w:w="7780" w:type="dxa"/>
            <w:vAlign w:val="bottom"/>
            <w:tcBorders>
              <w:bottom w:val="single" w:sz="8" w:color="EBFEFF"/>
            </w:tcBorders>
          </w:tcPr>
          <w:p>
            <w:pPr>
              <w:ind w:left="26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BF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780" w:type="dxa"/>
            <w:vAlign w:val="bottom"/>
            <w:shd w:val="clear" w:color="auto" w:fill="EBF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19"/>
                <w:szCs w:val="19"/>
                <w:color w:val="auto"/>
              </w:rPr>
            </w:pPr>
          </w:p>
        </w:tc>
        <w:tc>
          <w:tcPr>
            <w:tcW w:w="104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780" w:type="dxa"/>
            <w:vAlign w:val="bottom"/>
            <w:shd w:val="clear" w:color="auto" w:fill="C9FC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shd w:val="clear" w:color="auto" w:fill="C9FCFF"/>
          </w:tcPr>
          <w:p>
            <w:pPr>
              <w:spacing w:after="0"/>
              <w:rPr>
                <w:sz w:val="19"/>
                <w:szCs w:val="19"/>
                <w:color w:val="auto"/>
              </w:rPr>
            </w:pPr>
          </w:p>
        </w:tc>
        <w:tc>
          <w:tcPr>
            <w:tcW w:w="640" w:type="dxa"/>
            <w:vAlign w:val="bottom"/>
            <w:shd w:val="clear" w:color="auto" w:fill="C9FCFF"/>
          </w:tcPr>
          <w:p>
            <w:pPr>
              <w:spacing w:after="0"/>
              <w:rPr>
                <w:sz w:val="19"/>
                <w:szCs w:val="19"/>
                <w:color w:val="auto"/>
              </w:rPr>
            </w:pPr>
          </w:p>
        </w:tc>
        <w:tc>
          <w:tcPr>
            <w:tcW w:w="100" w:type="dxa"/>
            <w:vAlign w:val="bottom"/>
            <w:shd w:val="clear" w:color="auto" w:fill="C9FCFF"/>
          </w:tcPr>
          <w:p>
            <w:pPr>
              <w:spacing w:after="0"/>
              <w:rPr>
                <w:sz w:val="19"/>
                <w:szCs w:val="19"/>
                <w:color w:val="auto"/>
              </w:rPr>
            </w:pPr>
          </w:p>
        </w:tc>
        <w:tc>
          <w:tcPr>
            <w:tcW w:w="1040" w:type="dxa"/>
            <w:vAlign w:val="bottom"/>
            <w:shd w:val="clear" w:color="auto" w:fill="C9FCFF"/>
          </w:tcPr>
          <w:p>
            <w:pPr>
              <w:spacing w:after="0"/>
              <w:rPr>
                <w:sz w:val="19"/>
                <w:szCs w:val="19"/>
                <w:color w:val="auto"/>
              </w:rPr>
            </w:pPr>
          </w:p>
        </w:tc>
        <w:tc>
          <w:tcPr>
            <w:tcW w:w="640" w:type="dxa"/>
            <w:vAlign w:val="bottom"/>
            <w:shd w:val="clear" w:color="auto" w:fill="C9FCFF"/>
          </w:tcPr>
          <w:p>
            <w:pPr>
              <w:spacing w:after="0"/>
              <w:rPr>
                <w:sz w:val="19"/>
                <w:szCs w:val="19"/>
                <w:color w:val="auto"/>
              </w:rPr>
            </w:pPr>
          </w:p>
        </w:tc>
      </w:tr>
      <w:tr>
        <w:trPr>
          <w:trHeight w:val="188"/>
        </w:trPr>
        <w:tc>
          <w:tcPr>
            <w:tcW w:w="7780" w:type="dxa"/>
            <w:vAlign w:val="bottom"/>
          </w:tcPr>
          <w:p>
            <w:pPr>
              <w:ind w:left="260"/>
              <w:spacing w:after="0" w:line="189" w:lineRule="exact"/>
              <w:rPr>
                <w:sz w:val="20"/>
                <w:szCs w:val="20"/>
                <w:color w:val="auto"/>
              </w:rPr>
            </w:pPr>
            <w:r>
              <w:rPr>
                <w:rFonts w:ascii="Arial" w:cs="Arial" w:eastAsia="Arial" w:hAnsi="Arial"/>
                <w:sz w:val="18"/>
                <w:szCs w:val="18"/>
                <w:color w:val="auto"/>
                <w:w w:val="96"/>
              </w:rPr>
              <w:t>Proceeds from G42 Promissory Note early redemption related to sale of Class A common stock to</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collaboration partner</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12,030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EBFEFF"/>
          </w:tcPr>
          <w:p>
            <w:pPr>
              <w:ind w:left="260"/>
              <w:spacing w:after="0"/>
              <w:rPr>
                <w:sz w:val="20"/>
                <w:szCs w:val="20"/>
                <w:color w:val="auto"/>
              </w:rPr>
            </w:pPr>
            <w:r>
              <w:rPr>
                <w:rFonts w:ascii="Arial" w:cs="Arial" w:eastAsia="Arial" w:hAnsi="Arial"/>
                <w:sz w:val="18"/>
                <w:szCs w:val="18"/>
                <w:color w:val="auto"/>
              </w:rPr>
              <w:t>Proceeds from sale of Class A common stock to collaboration partner, net of offering costs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19"/>
                <w:szCs w:val="19"/>
                <w:color w:val="auto"/>
              </w:rPr>
            </w:pPr>
          </w:p>
        </w:tc>
        <w:tc>
          <w:tcPr>
            <w:tcW w:w="104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5,040</w:t>
            </w:r>
          </w:p>
        </w:tc>
      </w:tr>
      <w:tr>
        <w:trPr>
          <w:trHeight w:val="243"/>
        </w:trPr>
        <w:tc>
          <w:tcPr>
            <w:tcW w:w="7780" w:type="dxa"/>
            <w:vAlign w:val="bottom"/>
            <w:tcBorders>
              <w:bottom w:val="single" w:sz="8" w:color="EBFEFF"/>
            </w:tcBorders>
          </w:tcPr>
          <w:p>
            <w:pPr>
              <w:ind w:left="260"/>
              <w:spacing w:after="0"/>
              <w:rPr>
                <w:sz w:val="20"/>
                <w:szCs w:val="20"/>
                <w:color w:val="auto"/>
              </w:rPr>
            </w:pPr>
            <w:r>
              <w:rPr>
                <w:rFonts w:ascii="Arial" w:cs="Arial" w:eastAsia="Arial" w:hAnsi="Arial"/>
                <w:sz w:val="18"/>
                <w:szCs w:val="18"/>
                <w:color w:val="auto"/>
              </w:rPr>
              <w:t>Repayment of notes payable</w:t>
            </w:r>
          </w:p>
        </w:tc>
        <w:tc>
          <w:tcPr>
            <w:tcW w:w="1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EBF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7780" w:type="dxa"/>
            <w:vAlign w:val="bottom"/>
            <w:shd w:val="clear" w:color="auto" w:fill="EBF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shd w:val="clear" w:color="auto" w:fill="EBFEFF"/>
          </w:tcPr>
          <w:p>
            <w:pPr>
              <w:spacing w:after="0"/>
              <w:rPr>
                <w:sz w:val="19"/>
                <w:szCs w:val="19"/>
                <w:color w:val="auto"/>
              </w:rPr>
            </w:pPr>
          </w:p>
        </w:tc>
        <w:tc>
          <w:tcPr>
            <w:tcW w:w="1040" w:type="dxa"/>
            <w:vAlign w:val="bottom"/>
            <w:shd w:val="clear" w:color="auto" w:fill="EBFEFF"/>
          </w:tcPr>
          <w:p>
            <w:pPr>
              <w:spacing w:after="0"/>
              <w:rPr>
                <w:sz w:val="19"/>
                <w:szCs w:val="19"/>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4,784</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43"/>
        </w:trPr>
        <w:tc>
          <w:tcPr>
            <w:tcW w:w="7780" w:type="dxa"/>
            <w:vAlign w:val="bottom"/>
            <w:shd w:val="clear" w:color="auto" w:fill="EBFEFF"/>
          </w:tcPr>
          <w:p>
            <w:pPr>
              <w:ind w:left="100"/>
              <w:spacing w:after="0"/>
              <w:rPr>
                <w:sz w:val="20"/>
                <w:szCs w:val="20"/>
                <w:color w:val="auto"/>
              </w:rPr>
            </w:pPr>
            <w:r>
              <w:rPr>
                <w:rFonts w:ascii="Arial" w:cs="Arial" w:eastAsia="Arial" w:hAnsi="Arial"/>
                <w:sz w:val="18"/>
                <w:szCs w:val="18"/>
                <w:color w:val="auto"/>
              </w:rPr>
              <w:t>Total cash and cash equivalents, beginning of period</w:t>
            </w:r>
          </w:p>
        </w:tc>
        <w:tc>
          <w:tcPr>
            <w:tcW w:w="1020" w:type="dxa"/>
            <w:vAlign w:val="bottom"/>
            <w:tcBorders>
              <w:bottom w:val="single" w:sz="8" w:color="auto"/>
            </w:tcBorders>
            <w:shd w:val="clear" w:color="auto" w:fill="EBFEFF"/>
          </w:tcPr>
          <w:p>
            <w:pPr>
              <w:spacing w:after="0"/>
              <w:rPr>
                <w:sz w:val="21"/>
                <w:szCs w:val="21"/>
                <w:color w:val="auto"/>
              </w:rPr>
            </w:pPr>
          </w:p>
        </w:tc>
        <w:tc>
          <w:tcPr>
            <w:tcW w:w="6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shd w:val="clear" w:color="auto" w:fill="EBFEFF"/>
          </w:tcPr>
          <w:p>
            <w:pPr>
              <w:spacing w:after="0"/>
              <w:rPr>
                <w:sz w:val="21"/>
                <w:szCs w:val="21"/>
                <w:color w:val="auto"/>
              </w:rPr>
            </w:pPr>
          </w:p>
        </w:tc>
        <w:tc>
          <w:tcPr>
            <w:tcW w:w="1040" w:type="dxa"/>
            <w:vAlign w:val="bottom"/>
            <w:tcBorders>
              <w:bottom w:val="single" w:sz="8" w:color="auto"/>
            </w:tcBorders>
            <w:shd w:val="clear" w:color="auto" w:fill="EBFEFF"/>
          </w:tcPr>
          <w:p>
            <w:pPr>
              <w:spacing w:after="0"/>
              <w:rPr>
                <w:sz w:val="21"/>
                <w:szCs w:val="21"/>
                <w:color w:val="auto"/>
              </w:rPr>
            </w:pPr>
          </w:p>
        </w:tc>
        <w:tc>
          <w:tcPr>
            <w:tcW w:w="6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13,415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cash and cash equivalents, end of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r>
      <w:tr>
        <w:trPr>
          <w:trHeight w:val="20"/>
        </w:trPr>
        <w:tc>
          <w:tcPr>
            <w:tcW w:w="7780" w:type="dxa"/>
            <w:vAlign w:val="bottom"/>
            <w:tcBorders>
              <w:bottom w:val="single" w:sz="8" w:color="EBF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shd w:val="clear" w:color="auto" w:fill="EBFEFF"/>
          </w:tcPr>
          <w:p>
            <w:pPr>
              <w:spacing w:after="0"/>
              <w:rPr>
                <w:sz w:val="20"/>
                <w:szCs w:val="20"/>
                <w:color w:val="auto"/>
              </w:rPr>
            </w:pPr>
          </w:p>
        </w:tc>
        <w:tc>
          <w:tcPr>
            <w:tcW w:w="1020" w:type="dxa"/>
            <w:vAlign w:val="bottom"/>
            <w:shd w:val="clear" w:color="auto" w:fill="EBFEFF"/>
          </w:tcPr>
          <w:p>
            <w:pPr>
              <w:spacing w:after="0"/>
              <w:rPr>
                <w:sz w:val="20"/>
                <w:szCs w:val="20"/>
                <w:color w:val="auto"/>
              </w:rPr>
            </w:pPr>
          </w:p>
        </w:tc>
        <w:tc>
          <w:tcPr>
            <w:tcW w:w="640" w:type="dxa"/>
            <w:vAlign w:val="bottom"/>
            <w:shd w:val="clear" w:color="auto" w:fill="EBFEFF"/>
          </w:tcPr>
          <w:p>
            <w:pPr>
              <w:spacing w:after="0"/>
              <w:rPr>
                <w:sz w:val="20"/>
                <w:szCs w:val="20"/>
                <w:color w:val="auto"/>
              </w:rPr>
            </w:pPr>
          </w:p>
        </w:tc>
        <w:tc>
          <w:tcPr>
            <w:tcW w:w="100" w:type="dxa"/>
            <w:vAlign w:val="bottom"/>
            <w:shd w:val="clear" w:color="auto" w:fill="EBFEFF"/>
          </w:tcPr>
          <w:p>
            <w:pPr>
              <w:spacing w:after="0"/>
              <w:rPr>
                <w:sz w:val="20"/>
                <w:szCs w:val="20"/>
                <w:color w:val="auto"/>
              </w:rPr>
            </w:pPr>
          </w:p>
        </w:tc>
        <w:tc>
          <w:tcPr>
            <w:tcW w:w="1040" w:type="dxa"/>
            <w:vAlign w:val="bottom"/>
            <w:shd w:val="clear" w:color="auto" w:fill="EBFEFF"/>
          </w:tcPr>
          <w:p>
            <w:pPr>
              <w:spacing w:after="0"/>
              <w:rPr>
                <w:sz w:val="20"/>
                <w:szCs w:val="20"/>
                <w:color w:val="auto"/>
              </w:rPr>
            </w:pPr>
          </w:p>
        </w:tc>
        <w:tc>
          <w:tcPr>
            <w:tcW w:w="640" w:type="dxa"/>
            <w:vAlign w:val="bottom"/>
            <w:shd w:val="clear" w:color="auto" w:fill="EBFEFF"/>
          </w:tcPr>
          <w:p>
            <w:pPr>
              <w:spacing w:after="0"/>
              <w:rPr>
                <w:sz w:val="20"/>
                <w:szCs w:val="20"/>
                <w:color w:val="auto"/>
              </w:rPr>
            </w:pPr>
          </w:p>
        </w:tc>
      </w:tr>
      <w:tr>
        <w:trPr>
          <w:trHeight w:val="230"/>
        </w:trPr>
        <w:tc>
          <w:tcPr>
            <w:tcW w:w="7780" w:type="dxa"/>
            <w:vAlign w:val="bottom"/>
            <w:shd w:val="clear" w:color="auto" w:fill="C9FCFF"/>
          </w:tcPr>
          <w:p>
            <w:pPr>
              <w:ind w:left="20"/>
              <w:spacing w:after="0"/>
              <w:rPr>
                <w:sz w:val="20"/>
                <w:szCs w:val="20"/>
                <w:color w:val="auto"/>
              </w:rPr>
            </w:pPr>
            <w:r>
              <w:rPr>
                <w:rFonts w:ascii="Arial" w:cs="Arial" w:eastAsia="Arial" w:hAnsi="Arial"/>
                <w:sz w:val="18"/>
                <w:szCs w:val="18"/>
                <w:color w:val="auto"/>
              </w:rPr>
              <w:t>Non-cash activities:</w:t>
            </w:r>
          </w:p>
        </w:tc>
        <w:tc>
          <w:tcPr>
            <w:tcW w:w="1020" w:type="dxa"/>
            <w:vAlign w:val="bottom"/>
            <w:shd w:val="clear" w:color="auto" w:fill="C9FCFF"/>
          </w:tcPr>
          <w:p>
            <w:pPr>
              <w:spacing w:after="0"/>
              <w:rPr>
                <w:sz w:val="19"/>
                <w:szCs w:val="19"/>
                <w:color w:val="auto"/>
              </w:rPr>
            </w:pPr>
          </w:p>
        </w:tc>
        <w:tc>
          <w:tcPr>
            <w:tcW w:w="640" w:type="dxa"/>
            <w:vAlign w:val="bottom"/>
            <w:shd w:val="clear" w:color="auto" w:fill="C9FCFF"/>
          </w:tcPr>
          <w:p>
            <w:pPr>
              <w:spacing w:after="0"/>
              <w:rPr>
                <w:sz w:val="19"/>
                <w:szCs w:val="19"/>
                <w:color w:val="auto"/>
              </w:rPr>
            </w:pPr>
          </w:p>
        </w:tc>
        <w:tc>
          <w:tcPr>
            <w:tcW w:w="100" w:type="dxa"/>
            <w:vAlign w:val="bottom"/>
            <w:shd w:val="clear" w:color="auto" w:fill="C9FCFF"/>
          </w:tcPr>
          <w:p>
            <w:pPr>
              <w:spacing w:after="0"/>
              <w:rPr>
                <w:sz w:val="19"/>
                <w:szCs w:val="19"/>
                <w:color w:val="auto"/>
              </w:rPr>
            </w:pPr>
          </w:p>
        </w:tc>
        <w:tc>
          <w:tcPr>
            <w:tcW w:w="1040" w:type="dxa"/>
            <w:vAlign w:val="bottom"/>
            <w:shd w:val="clear" w:color="auto" w:fill="C9FCFF"/>
          </w:tcPr>
          <w:p>
            <w:pPr>
              <w:spacing w:after="0"/>
              <w:rPr>
                <w:sz w:val="19"/>
                <w:szCs w:val="19"/>
                <w:color w:val="auto"/>
              </w:rPr>
            </w:pPr>
          </w:p>
        </w:tc>
        <w:tc>
          <w:tcPr>
            <w:tcW w:w="640" w:type="dxa"/>
            <w:vAlign w:val="bottom"/>
            <w:shd w:val="clear" w:color="auto" w:fill="C9FCFF"/>
          </w:tcPr>
          <w:p>
            <w:pPr>
              <w:spacing w:after="0"/>
              <w:rPr>
                <w:sz w:val="19"/>
                <w:szCs w:val="19"/>
                <w:color w:val="auto"/>
              </w:rPr>
            </w:pPr>
          </w:p>
        </w:tc>
      </w:tr>
      <w:tr>
        <w:trPr>
          <w:trHeight w:val="237"/>
        </w:trPr>
        <w:tc>
          <w:tcPr>
            <w:tcW w:w="7780" w:type="dxa"/>
            <w:vAlign w:val="bottom"/>
          </w:tcPr>
          <w:p>
            <w:pPr>
              <w:ind w:left="260"/>
              <w:spacing w:after="0"/>
              <w:rPr>
                <w:sz w:val="20"/>
                <w:szCs w:val="20"/>
                <w:color w:val="auto"/>
              </w:rPr>
            </w:pPr>
            <w:r>
              <w:rPr>
                <w:rFonts w:ascii="Arial" w:cs="Arial" w:eastAsia="Arial" w:hAnsi="Arial"/>
                <w:sz w:val="18"/>
                <w:szCs w:val="18"/>
                <w:color w:val="auto"/>
              </w:rPr>
              <w:t>Change in redemption value of noncontrolling interest</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5,167</w:t>
            </w:r>
          </w:p>
        </w:tc>
        <w:tc>
          <w:tcPr>
            <w:tcW w:w="11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(5,689)</w:t>
            </w:r>
          </w:p>
        </w:tc>
      </w:tr>
      <w:tr>
        <w:trPr>
          <w:trHeight w:val="236"/>
        </w:trPr>
        <w:tc>
          <w:tcPr>
            <w:tcW w:w="7780" w:type="dxa"/>
            <w:vAlign w:val="bottom"/>
            <w:shd w:val="clear" w:color="auto" w:fill="EBFEFF"/>
          </w:tcPr>
          <w:p>
            <w:pPr>
              <w:ind w:left="260"/>
              <w:spacing w:after="0"/>
              <w:rPr>
                <w:sz w:val="20"/>
                <w:szCs w:val="20"/>
                <w:color w:val="auto"/>
              </w:rPr>
            </w:pPr>
            <w:r>
              <w:rPr>
                <w:rFonts w:ascii="Arial" w:cs="Arial" w:eastAsia="Arial" w:hAnsi="Arial"/>
                <w:sz w:val="18"/>
                <w:szCs w:val="18"/>
                <w:color w:val="auto"/>
              </w:rPr>
              <w:t>Notes receivable recorded at fair value from collaboration partner</w:t>
            </w:r>
          </w:p>
        </w:tc>
        <w:tc>
          <w:tcPr>
            <w:tcW w:w="1020" w:type="dxa"/>
            <w:vAlign w:val="bottom"/>
            <w:shd w:val="clear" w:color="auto" w:fill="EBFEFF"/>
          </w:tcPr>
          <w:p>
            <w:pPr>
              <w:spacing w:after="0"/>
              <w:rPr>
                <w:sz w:val="20"/>
                <w:szCs w:val="20"/>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20"/>
                <w:szCs w:val="20"/>
                <w:color w:val="auto"/>
              </w:rPr>
            </w:pPr>
          </w:p>
        </w:tc>
        <w:tc>
          <w:tcPr>
            <w:tcW w:w="1040" w:type="dxa"/>
            <w:vAlign w:val="bottom"/>
            <w:shd w:val="clear" w:color="auto" w:fill="EBFEFF"/>
          </w:tcPr>
          <w:p>
            <w:pPr>
              <w:spacing w:after="0"/>
              <w:rPr>
                <w:sz w:val="20"/>
                <w:szCs w:val="20"/>
                <w:color w:val="auto"/>
              </w:rPr>
            </w:pPr>
          </w:p>
        </w:tc>
        <w:tc>
          <w:tcPr>
            <w:tcW w:w="6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11,891</w:t>
            </w: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25" w:lineRule="exact"/>
        <w:rPr>
          <w:sz w:val="20"/>
          <w:szCs w:val="20"/>
          <w:color w:val="auto"/>
        </w:rPr>
      </w:pPr>
    </w:p>
    <w:p>
      <w:pPr>
        <w:ind w:right="5600"/>
        <w:spacing w:after="0" w:line="378" w:lineRule="auto"/>
        <w:rPr>
          <w:sz w:val="20"/>
          <w:szCs w:val="20"/>
          <w:color w:val="auto"/>
        </w:rPr>
      </w:pPr>
      <w:r>
        <w:rPr>
          <w:rFonts w:ascii="Arial" w:cs="Arial" w:eastAsia="Arial" w:hAnsi="Arial"/>
          <w:sz w:val="18"/>
          <w:szCs w:val="18"/>
          <w:b w:val="1"/>
          <w:bCs w:val="1"/>
          <w:color w:val="auto"/>
        </w:rPr>
        <w:t xml:space="preserve">Note 1: Description of Business, Basis of Presentation and Going Concern </w:t>
      </w:r>
      <w:r>
        <w:rPr>
          <w:rFonts w:ascii="Arial" w:cs="Arial" w:eastAsia="Arial" w:hAnsi="Arial"/>
          <w:sz w:val="18"/>
          <w:szCs w:val="18"/>
          <w:b w:val="1"/>
          <w:bCs w:val="1"/>
          <w:i w:val="1"/>
          <w:iCs w:val="1"/>
          <w:color w:val="auto"/>
        </w:rPr>
        <w:t>Description of Business</w:t>
      </w:r>
    </w:p>
    <w:p>
      <w:pPr>
        <w:jc w:val="both"/>
        <w:ind w:firstLine="486"/>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spacing w:after="0" w:line="76"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Various holders own nonvoting interests in vTv LLC, representing a 22.1% economic interest in vTv LLC, effectively restricting vTv Therapeutics Inc.’s interest to 77.9%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In addition, vTv Therapeutics Inc. also entered into the Controlled Equity Offering</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Sales Agreement (the “Sales Agreement”) with Cantor Fitzgerald &amp; Co. (“Cantor Fitzgerald”) (the “ATM Offering”), the purchase agreement with Lincoln Park Capital Fund, LLC (“Lincoln Park”) (the “LPC Purchase Agreement”), the common stock purchase agreement with G42 Investments AI Holding RSC Ltd (“G42 Investments”) (the “G42 Purchase Agreement”) and the common stock and warrant purchase agreement with CinPax, LLC and CinRx, LLC, respectively (the “CinRx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June 30, 2023,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2023, the Company had an accumulated deficit of $280.8 million and has generated net losses in each year of its existence.</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2023, the Company’s liquidity sources included cash and cash equivalents of $12.6 million. Based on our current operating plan, we believe that our current cash and cash equivalents will allow us to meet our liquidity requirements into the third quarter of 2023. To meet our future funding requirements into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including funding the ongoing and future clinical trials of </w:t>
      </w:r>
      <w:r>
        <w:rPr>
          <w:rFonts w:ascii="Arial" w:cs="Arial" w:eastAsia="Arial" w:hAnsi="Arial"/>
          <w:sz w:val="18"/>
          <w:szCs w:val="18"/>
          <w:i w:val="1"/>
          <w:iCs w:val="1"/>
          <w:color w:val="auto"/>
        </w:rPr>
        <w:t>cadisegliatin</w:t>
      </w:r>
      <w:r>
        <w:rPr>
          <w:rFonts w:ascii="Arial" w:cs="Arial" w:eastAsia="Arial" w:hAnsi="Arial"/>
          <w:sz w:val="18"/>
          <w:szCs w:val="18"/>
          <w:color w:val="auto"/>
        </w:rPr>
        <w:t xml:space="preserv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we are evaluating several financing strategies, including direct equity investments and the potential licensing and monetization of other Company programs.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may also use its remaining availability of $37.3 million under its Sales Agreement with Cantor Fitzgerald pursuant to which the Company may offer and sell, from time to time shares of the Company’s Class A common stock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 See Note 9 for further details.</w:t>
      </w:r>
    </w:p>
    <w:p>
      <w:pPr>
        <w:spacing w:after="0" w:line="8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spacing w:after="0" w:line="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June 30, 2023, Condensed Consolidated Statements of Operations for the three and six months ended June 30, 2023 and 2022, Condensed Consolidated Statement of Changes in Redeemable Noncontrolling Interest and Stockholders’ Deficit for the three and six months ended June 30, 2023 and 2022 and Condensed Consolidated Statements of Cash Flows for the six months ended June 30, 2023 and 2022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2022,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2023, the results of operations for the three and six months ended June 30, 2023 and 2022 and cash flows for the six months ended June 30, 2023 and 2022. The December 31, 2022 Condensed Consolidated Balance Sheet included herein was derived from the audited financial statements but does not include all disclosures or notes required by GAAP for complete financial statements.</w:t>
      </w:r>
    </w:p>
    <w:p>
      <w:pPr>
        <w:spacing w:after="0" w:line="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six months ended June 30, 2023 and 2022 are unaudited. Interim results are not necessarily indicative of results for an entire year.</w:t>
      </w:r>
    </w:p>
    <w:p>
      <w:pPr>
        <w:spacing w:after="0" w:line="6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one financial institution. The balance of the cash account frequently exceed insured limits. The associated risk of concentration for cash and cash equivalents is mitigated by transferring a majority of our cash to a AAA rated money market account with a creditworthy institution.</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One hundred percent (100%) of the revenue earned during the three and six months ended June 30, 2022 was attributable from the satisfaction of a development milestone from the First Huadong Amendment (as defined herein). The Company did not have any revenue during the three and six months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The Company uses the revenue recognition guidance established by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When an agreement falls under the scope of other standards, such as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4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paid to consultants and other entities that conduct certain research and development activities on the Company’s behalf. Research and development costs are expensed as incurred.</w:t>
      </w:r>
    </w:p>
    <w:p>
      <w:pPr>
        <w:spacing w:after="0" w:line="6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5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expenses in the Condensed Consolidated Statements of Operations as the Company receives the related goods or services.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In June 2022, the Financial Accounting Standards Board (FASB) issued Accounting Standards Update (ASU) No. 2022-</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03 </w:t>
      </w:r>
      <w:r>
        <w:rPr>
          <w:rFonts w:ascii="Arial" w:cs="Arial" w:eastAsia="Arial" w:hAnsi="Arial"/>
          <w:sz w:val="16"/>
          <w:szCs w:val="16"/>
          <w:i w:val="1"/>
          <w:iCs w:val="1"/>
          <w:color w:val="auto"/>
        </w:rPr>
        <w:t>Fair Value Measurements (Topic 820): Fair Value Measurement of Equity Securities Subject to Contractual Sale Restrictions.</w:t>
      </w:r>
      <w:r>
        <w:rPr>
          <w:rFonts w:ascii="Arial" w:cs="Arial" w:eastAsia="Arial" w:hAnsi="Arial"/>
          <w:sz w:val="16"/>
          <w:szCs w:val="16"/>
          <w:color w:val="auto"/>
        </w:rPr>
        <w:t xml:space="preserve"> These amendments clarify that a contractual restriction on the sale of an equity security is not considered part of the unit of account of the equity security and, therefore, is not considered in measuring fair value. This guidance is effective for public business entities for fiscal years, including interim periods within those fiscal years, beginning after December 15, 2023. Early adoption is permitted. The Company has assessed ASU 2022-03 and early adopted the guidance during the second quarter of 2022. The adoption did not have a material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G42 Purchase Agreement and Cogna Collaborative and License Agreement</w:t>
      </w:r>
    </w:p>
    <w:p>
      <w:pPr>
        <w:spacing w:after="0" w:line="1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The Company and G42 Investments AI Holding RSC Ltd, a private limited company (“G42 Investments”), entered into a Common Stock Purchase Agreement (the “G42 Purchase Agreement”),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at May 31, 2023 (the “G42 Promissory Note”). As part of the G42 Purchase Agreement, G42 Investments nominated a director as appointee and the Company’s board of directors approved appointing the new director to the Company’s board.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income/(expense)in the Company’s Condensed Consolidated Statements of Operations.</w:t>
      </w:r>
    </w:p>
    <w:p>
      <w:pPr>
        <w:spacing w:after="0" w:line="7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Arial" w:cs="Arial" w:eastAsia="Arial" w:hAnsi="Arial"/>
          <w:sz w:val="16"/>
          <w:szCs w:val="16"/>
          <w:i w:val="1"/>
          <w:iCs w:val="1"/>
          <w:color w:val="auto"/>
        </w:rPr>
        <w:t>cadisegliatin (TTP399)</w:t>
      </w:r>
      <w:r>
        <w:rPr>
          <w:rFonts w:ascii="Arial" w:cs="Arial" w:eastAsia="Arial" w:hAnsi="Arial"/>
          <w:sz w:val="16"/>
          <w:szCs w:val="16"/>
          <w:color w:val="auto"/>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as well as jointly creating a global development plan to develop, market, and commercialize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in certain countries in the Middle East, Africa, and Central Asia (the “Partner Territory”). Under the terms of the Cogna Agreement, Cogna will obtain a license under certain intellectual property controlled by the Company to enable it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fulfill its obligations and exercise its rights under the Cogna agreement, including to develop and commercializ</w:t>
      </w:r>
      <w:r>
        <w:rPr>
          <w:rFonts w:ascii="Arial" w:cs="Arial" w:eastAsia="Arial" w:hAnsi="Arial"/>
          <w:sz w:val="18"/>
          <w:szCs w:val="18"/>
          <w:i w:val="1"/>
          <w:iCs w:val="1"/>
          <w:color w:val="auto"/>
        </w:rPr>
        <w:t>e cadisegliatin (TTP399)</w:t>
      </w:r>
      <w:r>
        <w:rPr>
          <w:rFonts w:ascii="Arial" w:cs="Arial" w:eastAsia="Arial" w:hAnsi="Arial"/>
          <w:sz w:val="18"/>
          <w:szCs w:val="18"/>
          <w:color w:val="auto"/>
        </w:rPr>
        <w:t xml:space="preserve"> in the Partner Territory, but will not have access to the various intellectual property (“IP”) related to the license and </w:t>
      </w:r>
      <w:r>
        <w:rPr>
          <w:rFonts w:ascii="Arial" w:cs="Arial" w:eastAsia="Arial" w:hAnsi="Arial"/>
          <w:sz w:val="18"/>
          <w:szCs w:val="18"/>
          <w:i w:val="1"/>
          <w:iCs w:val="1"/>
          <w:color w:val="auto"/>
        </w:rPr>
        <w:t>cadisegliatin (TTP399)</w:t>
      </w:r>
      <w:r>
        <w:rPr>
          <w:rFonts w:ascii="Arial" w:cs="Arial" w:eastAsia="Arial" w:hAnsi="Arial"/>
          <w:sz w:val="18"/>
          <w:szCs w:val="18"/>
          <w:color w:val="auto"/>
        </w:rPr>
        <w:t xml:space="preserve">. Specifically, the Company will share various protocols with Cogna related to conducting the clinical trials and will provide the patient dosages and placebo of </w:t>
      </w:r>
      <w:r>
        <w:rPr>
          <w:rFonts w:ascii="Arial" w:cs="Arial" w:eastAsia="Arial" w:hAnsi="Arial"/>
          <w:sz w:val="18"/>
          <w:szCs w:val="18"/>
          <w:i w:val="1"/>
          <w:iCs w:val="1"/>
          <w:color w:val="auto"/>
        </w:rPr>
        <w:t>cadisegliatin (TTP399)</w:t>
      </w:r>
      <w:r>
        <w:rPr>
          <w:rFonts w:ascii="Arial" w:cs="Arial" w:eastAsia="Arial" w:hAnsi="Arial"/>
          <w:sz w:val="18"/>
          <w:szCs w:val="18"/>
          <w:color w:val="auto"/>
        </w:rPr>
        <w:t xml:space="preserve"> needed to conduct the trials.</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Under the Cogna Agreement, Cogna has the right to develop and commercialize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Arial" w:cs="Arial" w:eastAsia="Arial" w:hAnsi="Arial"/>
          <w:sz w:val="17"/>
          <w:szCs w:val="17"/>
          <w:i w:val="1"/>
          <w:iCs w:val="1"/>
          <w:color w:val="auto"/>
        </w:rPr>
        <w:t xml:space="preserve">cadisegliatin (TTP399) </w:t>
      </w:r>
      <w:r>
        <w:rPr>
          <w:rFonts w:ascii="Arial" w:cs="Arial" w:eastAsia="Arial" w:hAnsi="Arial"/>
          <w:sz w:val="17"/>
          <w:szCs w:val="17"/>
          <w:color w:val="auto"/>
        </w:rPr>
        <w:t>for commercial sale under terms to be agreed upon by the parties at a later date.</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Separately, the Company will conduct its clinical trials for </w:t>
      </w:r>
      <w:r>
        <w:rPr>
          <w:rFonts w:ascii="Arial" w:cs="Arial" w:eastAsia="Arial" w:hAnsi="Arial"/>
          <w:sz w:val="18"/>
          <w:szCs w:val="18"/>
          <w:i w:val="1"/>
          <w:iCs w:val="1"/>
          <w:color w:val="auto"/>
        </w:rPr>
        <w:t>cadisegliatin (TTP399)</w:t>
      </w:r>
      <w:r>
        <w:rPr>
          <w:rFonts w:ascii="Arial" w:cs="Arial" w:eastAsia="Arial" w:hAnsi="Arial"/>
          <w:sz w:val="18"/>
          <w:szCs w:val="18"/>
          <w:color w:val="auto"/>
        </w:rPr>
        <w:t xml:space="preserve"> outside of the Partner Territory at its own cost. The results of each party’s clinical trials will be combined by the Company to seek FDA approval in the United States for </w:t>
      </w:r>
      <w:r>
        <w:rPr>
          <w:rFonts w:ascii="Arial" w:cs="Arial" w:eastAsia="Arial" w:hAnsi="Arial"/>
          <w:sz w:val="18"/>
          <w:szCs w:val="18"/>
          <w:i w:val="1"/>
          <w:iCs w:val="1"/>
          <w:color w:val="auto"/>
        </w:rPr>
        <w:t>cadisegliatin (TTP399)</w:t>
      </w:r>
      <w:r>
        <w:rPr>
          <w:rFonts w:ascii="Arial" w:cs="Arial" w:eastAsia="Arial" w:hAnsi="Arial"/>
          <w:sz w:val="18"/>
          <w:szCs w:val="18"/>
          <w:color w:val="auto"/>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spacing w:after="0" w:line="8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The G42 Purchase Agreement also provides for, following the receipt of FDA approval of </w:t>
      </w:r>
      <w:r>
        <w:rPr>
          <w:rFonts w:ascii="Arial" w:cs="Arial" w:eastAsia="Arial" w:hAnsi="Arial"/>
          <w:sz w:val="17"/>
          <w:szCs w:val="17"/>
          <w:i w:val="1"/>
          <w:iCs w:val="1"/>
          <w:color w:val="auto"/>
        </w:rPr>
        <w:t>cadisegliatin (TTP399)</w:t>
      </w:r>
      <w:r>
        <w:rPr>
          <w:rFonts w:ascii="Arial" w:cs="Arial" w:eastAsia="Arial" w:hAnsi="Arial"/>
          <w:sz w:val="17"/>
          <w:szCs w:val="17"/>
          <w:color w:val="auto"/>
        </w:rPr>
        <w: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68"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 xml:space="preserve">Once commercialization takes place in the Partner Territory, the Company will receive royalties in the single digits from Cogna on the net sales of </w:t>
      </w:r>
      <w:r>
        <w:rPr>
          <w:rFonts w:ascii="Arial" w:cs="Arial" w:eastAsia="Arial" w:hAnsi="Arial"/>
          <w:sz w:val="17"/>
          <w:szCs w:val="17"/>
          <w:i w:val="1"/>
          <w:iCs w:val="1"/>
          <w:color w:val="auto"/>
        </w:rPr>
        <w:t xml:space="preserve">cadisegliatin (TTP399) </w:t>
      </w:r>
      <w:r>
        <w:rPr>
          <w:rFonts w:ascii="Arial" w:cs="Arial" w:eastAsia="Arial" w:hAnsi="Arial"/>
          <w:sz w:val="17"/>
          <w:szCs w:val="17"/>
          <w:color w:val="auto"/>
        </w:rPr>
        <w:t>for a period of at least ten years after the first commercial sale of</w:t>
      </w:r>
      <w:r>
        <w:rPr>
          <w:rFonts w:ascii="Arial" w:cs="Arial" w:eastAsia="Arial" w:hAnsi="Arial"/>
          <w:sz w:val="17"/>
          <w:szCs w:val="17"/>
          <w:i w:val="1"/>
          <w:iCs w:val="1"/>
          <w:color w:val="auto"/>
        </w:rPr>
        <w:t xml:space="preserve"> cadisegliatin (TTP399) </w:t>
      </w:r>
      <w:r>
        <w:rPr>
          <w:rFonts w:ascii="Arial" w:cs="Arial" w:eastAsia="Arial" w:hAnsi="Arial"/>
          <w:sz w:val="17"/>
          <w:szCs w:val="17"/>
          <w:color w:val="auto"/>
        </w:rPr>
        <w:t>in the Partner Territory.</w:t>
      </w:r>
    </w:p>
    <w:p>
      <w:pPr>
        <w:spacing w:after="0" w:line="3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quarterly report on Form 10-Q for details of the ASU. Accordingly, the Company determined that cash consideration of $5.7 million should be recorded as fair value of the Class A common stock at the effective date, utilizing the Class A common stock closing price of $0.55 at the effective date.</w:t>
      </w:r>
    </w:p>
    <w:p>
      <w:pPr>
        <w:spacing w:after="0" w:line="5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The Company determined that certain commitments under the agreements are in the scope of ASC 808 as both the Company and Cogna are active participants in the clinical trials of </w:t>
      </w:r>
      <w:r>
        <w:rPr>
          <w:rFonts w:ascii="Arial" w:cs="Arial" w:eastAsia="Arial" w:hAnsi="Arial"/>
          <w:sz w:val="17"/>
          <w:szCs w:val="17"/>
          <w:i w:val="1"/>
          <w:iCs w:val="1"/>
          <w:color w:val="auto"/>
        </w:rPr>
        <w:t>cadisegliatin (TTP399)</w:t>
      </w:r>
      <w:r>
        <w:rPr>
          <w:rFonts w:ascii="Arial" w:cs="Arial" w:eastAsia="Arial" w:hAnsi="Arial"/>
          <w:sz w:val="17"/>
          <w:szCs w:val="17"/>
          <w:color w:val="auto"/>
        </w:rPr>
        <w:t>, and both are exposed to significant risks and rewards based on the success of the clinical trials and subsequent FDA approval. Cogna is determined to be a vendor of the Company during the clinical trial phase, working on the Company’s behalf to complete R&amp;D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spacing w:after="0" w:line="6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ASC 808 unit of account are concentrated in the clinical trials. As of June 30, 2023, the clinical trials had not commenced. Accordingly, no collaboration revenue was recognized for the ASC 808 unit of account during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Arial" w:cs="Arial" w:eastAsia="Arial" w:hAnsi="Arial"/>
          <w:sz w:val="16"/>
          <w:szCs w:val="16"/>
          <w:i w:val="1"/>
          <w:iCs w:val="1"/>
          <w:color w:val="auto"/>
        </w:rPr>
        <w:t>cadisegliatin (TTP399)</w:t>
      </w:r>
      <w:r>
        <w:rPr>
          <w:rFonts w:ascii="Arial" w:cs="Arial" w:eastAsia="Arial" w:hAnsi="Arial"/>
          <w:sz w:val="16"/>
          <w:szCs w:val="16"/>
          <w:color w:val="auto"/>
        </w:rPr>
        <w:t xml:space="preserve">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three and six months ended June 30, 2023.</w:t>
      </w:r>
    </w:p>
    <w:p>
      <w:pPr>
        <w:spacing w:after="0" w:line="5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income/(expense) in the Company’s Condensed Consolidated Statements of Operations. The G42 Promissory Note receivable was classified and accounted for under ASC 310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(“ASC 310”) and was initially measured at its fair value of $11.9 million. The Company also recorded the $18.7 million as deferred revenue in the Condensed Consolidated Balance Sheets, as none of the underlying performance obligations had been satisfied as of and for the three and six months ended June 30, 2023.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January 14, 2021, the Company entered into the first amendment to the Huadong License Agreement (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4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606 and performed a reallocation of the transaction price among the remaining performance obligations. This resulted in the recognition of approximately $2.0 million of revenue on a cumulative catch-up basis during the six months ended June 30, 2022.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significant performance obligations under the Huadong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immaterial in nature.</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discernible pattern in which the technology transfer services would be provided during the transfer service period. As such, the Company recognized the revenue related to this combined performance obligation using the straight-line method over the transfer service period. This combined performance obligation was considered complete as of June 30, 2022. The Company recognized $2.0 million of revenue related to this combined performance obligation during the six months ended June 30, 2022. No revenue related to this combined performance obligation was recognized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 portion of the transaction price allocated to the obligation to participate in the JDC to oversee the development of products and the Phase 2 MRCT in accordance with the development plan remained deferred as of June 30, 2023, and revenue will be recognized using the proportional performance model over the period of the Company’s participation on the JDC. The unrecognized amount of the transaction price allocated to this performance obligation as of June 30, 2023 was immaterial. An immaterial amount of revenue for this performance obligation was recognized during the six months ended June 30, 2022. No revenue for this performance obligation has been recognized during the six months ended June 30, 2023.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8080" w:type="dxa"/>
            <w:vAlign w:val="bottom"/>
            <w:tcBorders>
              <w:bottom w:val="single" w:sz="8" w:color="EBF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EBF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EBFEFF"/>
          </w:tcPr>
          <w:p>
            <w:pPr>
              <w:ind w:left="20"/>
              <w:spacing w:after="0"/>
              <w:rPr>
                <w:sz w:val="20"/>
                <w:szCs w:val="20"/>
                <w:color w:val="auto"/>
              </w:rPr>
            </w:pPr>
            <w:r>
              <w:rPr>
                <w:rFonts w:ascii="Arial" w:cs="Arial" w:eastAsia="Arial" w:hAnsi="Arial"/>
                <w:sz w:val="18"/>
                <w:szCs w:val="18"/>
                <w:color w:val="auto"/>
              </w:rPr>
              <w:t>Current portion of contract liabilities</w:t>
            </w:r>
          </w:p>
        </w:tc>
        <w:tc>
          <w:tcPr>
            <w:tcW w:w="220" w:type="dxa"/>
            <w:vAlign w:val="bottom"/>
            <w:shd w:val="clear" w:color="auto" w:fill="EBF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EBFEFF"/>
          </w:tcPr>
          <w:p>
            <w:pPr>
              <w:spacing w:after="0"/>
              <w:rPr>
                <w:sz w:val="19"/>
                <w:szCs w:val="19"/>
                <w:color w:val="auto"/>
              </w:rPr>
            </w:pPr>
          </w:p>
        </w:tc>
        <w:tc>
          <w:tcPr>
            <w:tcW w:w="160" w:type="dxa"/>
            <w:vAlign w:val="bottom"/>
            <w:shd w:val="clear" w:color="auto" w:fill="EBF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Contract liabilities, net of current portion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18,669</w:t>
            </w:r>
          </w:p>
        </w:tc>
      </w:tr>
      <w:tr>
        <w:trPr>
          <w:trHeight w:val="257"/>
        </w:trPr>
        <w:tc>
          <w:tcPr>
            <w:tcW w:w="8080" w:type="dxa"/>
            <w:vAlign w:val="bottom"/>
            <w:shd w:val="clear" w:color="auto" w:fill="EBFEFF"/>
          </w:tcPr>
          <w:p>
            <w:pPr>
              <w:ind w:left="180"/>
              <w:spacing w:after="0"/>
              <w:rPr>
                <w:sz w:val="20"/>
                <w:szCs w:val="20"/>
                <w:color w:val="auto"/>
              </w:rPr>
            </w:pPr>
            <w:r>
              <w:rPr>
                <w:rFonts w:ascii="Arial" w:cs="Arial" w:eastAsia="Arial" w:hAnsi="Arial"/>
                <w:sz w:val="18"/>
                <w:szCs w:val="18"/>
                <w:color w:val="auto"/>
              </w:rPr>
              <w:t>Total contract liabilities</w:t>
            </w:r>
          </w:p>
        </w:tc>
        <w:tc>
          <w:tcPr>
            <w:tcW w:w="220" w:type="dxa"/>
            <w:vAlign w:val="bottom"/>
            <w:shd w:val="clear" w:color="auto" w:fill="EBF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18,686</w:t>
            </w:r>
          </w:p>
        </w:tc>
        <w:tc>
          <w:tcPr>
            <w:tcW w:w="240" w:type="dxa"/>
            <w:vAlign w:val="bottom"/>
            <w:gridSpan w:val="2"/>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18,686</w:t>
            </w:r>
          </w:p>
        </w:tc>
      </w:tr>
      <w:tr>
        <w:trPr>
          <w:trHeight w:val="20"/>
        </w:trPr>
        <w:tc>
          <w:tcPr>
            <w:tcW w:w="8080" w:type="dxa"/>
            <w:vAlign w:val="bottom"/>
            <w:tcBorders>
              <w:top w:val="single" w:sz="8" w:color="EBF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Compensation</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issued nonqualified stock option awards to management, other key employees, consultants, and nonemployee directors. These option awards generally vest ratably over a three-year period and the option awards expire after a term of ten years from the date of grant. As of June 30, 2023, the Company had total unrecognized stock-based compensation expense for its outstanding stock option awards of approximately $2.0 million, which is expected to be recognized over a weighted average period of 2.3 years. The weighted average grant date fair value of options granted during the six months ended June 30, 2023 and 2022 was $0.76 and $0.65 per option, respectively. The aggregate intrinsic value of the in-the-money awards outstanding at June 30, 2023 was immaterial.</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the stock option awards for the six months ended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5"/>
        </w:trPr>
        <w:tc>
          <w:tcPr>
            <w:tcW w:w="8020" w:type="dxa"/>
            <w:vAlign w:val="bottom"/>
            <w:tcBorders>
              <w:bottom w:val="single" w:sz="8" w:color="EBF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EBF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Awards outstanding at December 31, 2022</w:t>
            </w:r>
          </w:p>
        </w:tc>
        <w:tc>
          <w:tcPr>
            <w:tcW w:w="1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8,418,571</w:t>
            </w:r>
          </w:p>
        </w:tc>
        <w:tc>
          <w:tcPr>
            <w:tcW w:w="80" w:type="dxa"/>
            <w:vAlign w:val="bottom"/>
            <w:shd w:val="clear" w:color="auto" w:fill="EBFEFF"/>
          </w:tcPr>
          <w:p>
            <w:pPr>
              <w:spacing w:after="0"/>
              <w:rPr>
                <w:sz w:val="19"/>
                <w:szCs w:val="19"/>
                <w:color w:val="auto"/>
              </w:rPr>
            </w:pPr>
          </w:p>
        </w:tc>
        <w:tc>
          <w:tcPr>
            <w:tcW w:w="280" w:type="dxa"/>
            <w:vAlign w:val="bottom"/>
            <w:shd w:val="clear" w:color="auto" w:fill="EBF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1,176,868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43"/>
        </w:trPr>
        <w:tc>
          <w:tcPr>
            <w:tcW w:w="8020" w:type="dxa"/>
            <w:vAlign w:val="bottom"/>
            <w:shd w:val="clear" w:color="auto" w:fill="EBFEFF"/>
          </w:tcPr>
          <w:p>
            <w:pPr>
              <w:ind w:left="26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shd w:val="clear" w:color="auto" w:fill="EBFEFF"/>
          </w:tcPr>
          <w:p>
            <w:pPr>
              <w:jc w:val="center"/>
              <w:ind w:left="672"/>
              <w:spacing w:after="0"/>
              <w:rPr>
                <w:sz w:val="20"/>
                <w:szCs w:val="20"/>
                <w:color w:val="auto"/>
              </w:rPr>
            </w:pPr>
            <w:r>
              <w:rPr>
                <w:rFonts w:ascii="Arial" w:cs="Arial" w:eastAsia="Arial" w:hAnsi="Arial"/>
                <w:sz w:val="18"/>
                <w:szCs w:val="18"/>
                <w:color w:val="auto"/>
                <w:w w:val="92"/>
              </w:rPr>
              <w:t>(50,000)</w:t>
            </w:r>
          </w:p>
        </w:tc>
        <w:tc>
          <w:tcPr>
            <w:tcW w:w="80" w:type="dxa"/>
            <w:vAlign w:val="bottom"/>
            <w:shd w:val="clear" w:color="auto" w:fill="EBFEFF"/>
          </w:tcPr>
          <w:p>
            <w:pPr>
              <w:spacing w:after="0"/>
              <w:rPr>
                <w:sz w:val="21"/>
                <w:szCs w:val="21"/>
                <w:color w:val="auto"/>
              </w:rPr>
            </w:pPr>
          </w:p>
        </w:tc>
        <w:tc>
          <w:tcPr>
            <w:tcW w:w="280" w:type="dxa"/>
            <w:vAlign w:val="bottom"/>
            <w:tcBorders>
              <w:bottom w:val="single" w:sz="8" w:color="auto"/>
            </w:tcBorders>
            <w:shd w:val="clear" w:color="auto" w:fill="EBFEFF"/>
          </w:tcPr>
          <w:p>
            <w:pPr>
              <w:spacing w:after="0"/>
              <w:rPr>
                <w:sz w:val="21"/>
                <w:szCs w:val="21"/>
                <w:color w:val="auto"/>
              </w:rPr>
            </w:pPr>
          </w:p>
        </w:tc>
        <w:tc>
          <w:tcPr>
            <w:tcW w:w="120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Awards outstanding at June 30, 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9,545,439</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EBF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BF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Options exercisable at June 30, 2023</w:t>
            </w:r>
          </w:p>
        </w:tc>
        <w:tc>
          <w:tcPr>
            <w:tcW w:w="1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4,180,290</w:t>
            </w:r>
          </w:p>
        </w:tc>
        <w:tc>
          <w:tcPr>
            <w:tcW w:w="80" w:type="dxa"/>
            <w:vAlign w:val="bottom"/>
            <w:shd w:val="clear" w:color="auto" w:fill="EBFEFF"/>
          </w:tcPr>
          <w:p>
            <w:pPr>
              <w:spacing w:after="0"/>
              <w:rPr>
                <w:sz w:val="19"/>
                <w:szCs w:val="19"/>
                <w:color w:val="auto"/>
              </w:rPr>
            </w:pPr>
          </w:p>
        </w:tc>
        <w:tc>
          <w:tcPr>
            <w:tcW w:w="280" w:type="dxa"/>
            <w:vAlign w:val="bottom"/>
            <w:shd w:val="clear" w:color="auto" w:fill="EBF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8"/>
                <w:szCs w:val="18"/>
                <w:color w:val="auto"/>
              </w:rPr>
              <w:t>Weighted average remaining contractual term</w:t>
            </w:r>
          </w:p>
        </w:tc>
        <w:tc>
          <w:tcPr>
            <w:tcW w:w="1460" w:type="dxa"/>
            <w:vAlign w:val="bottom"/>
          </w:tcPr>
          <w:p>
            <w:pPr>
              <w:jc w:val="center"/>
              <w:ind w:left="652"/>
              <w:spacing w:after="0"/>
              <w:rPr>
                <w:sz w:val="20"/>
                <w:szCs w:val="20"/>
                <w:color w:val="auto"/>
              </w:rPr>
            </w:pPr>
            <w:r>
              <w:rPr>
                <w:rFonts w:ascii="Arial" w:cs="Arial" w:eastAsia="Arial" w:hAnsi="Arial"/>
                <w:sz w:val="18"/>
                <w:szCs w:val="18"/>
                <w:color w:val="auto"/>
                <w:w w:val="88"/>
              </w:rPr>
              <w:t>6.4 Years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EBFEFF"/>
          </w:tcPr>
          <w:p>
            <w:pPr>
              <w:ind w:left="20"/>
              <w:spacing w:after="0"/>
              <w:rPr>
                <w:sz w:val="20"/>
                <w:szCs w:val="20"/>
                <w:color w:val="auto"/>
              </w:rPr>
            </w:pPr>
            <w:r>
              <w:rPr>
                <w:rFonts w:ascii="Arial" w:cs="Arial" w:eastAsia="Arial" w:hAnsi="Arial"/>
                <w:sz w:val="18"/>
                <w:szCs w:val="18"/>
                <w:color w:val="auto"/>
              </w:rPr>
              <w:t>Options vested and expected to vest at June 30, 2023</w:t>
            </w:r>
          </w:p>
        </w:tc>
        <w:tc>
          <w:tcPr>
            <w:tcW w:w="1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7,916,583</w:t>
            </w:r>
          </w:p>
        </w:tc>
        <w:tc>
          <w:tcPr>
            <w:tcW w:w="360" w:type="dxa"/>
            <w:vAlign w:val="bottom"/>
            <w:gridSpan w:val="2"/>
            <w:shd w:val="clear" w:color="auto" w:fill="EBF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Arial" w:cs="Arial" w:eastAsia="Arial" w:hAnsi="Arial"/>
                <w:sz w:val="18"/>
                <w:szCs w:val="18"/>
                <w:color w:val="auto"/>
              </w:rPr>
              <w:t>Weighted average remaining contractual term</w:t>
            </w:r>
          </w:p>
        </w:tc>
        <w:tc>
          <w:tcPr>
            <w:tcW w:w="1460" w:type="dxa"/>
            <w:vAlign w:val="bottom"/>
          </w:tcPr>
          <w:p>
            <w:pPr>
              <w:jc w:val="center"/>
              <w:ind w:left="652"/>
              <w:spacing w:after="0"/>
              <w:rPr>
                <w:sz w:val="20"/>
                <w:szCs w:val="20"/>
                <w:color w:val="auto"/>
              </w:rPr>
            </w:pPr>
            <w:r>
              <w:rPr>
                <w:rFonts w:ascii="Arial" w:cs="Arial" w:eastAsia="Arial" w:hAnsi="Arial"/>
                <w:sz w:val="18"/>
                <w:szCs w:val="18"/>
                <w:color w:val="auto"/>
                <w:w w:val="88"/>
              </w:rPr>
              <w:t>7.7 Years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2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466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43"/>
        </w:trPr>
        <w:tc>
          <w:tcPr>
            <w:tcW w:w="4660" w:type="dxa"/>
            <w:vAlign w:val="bottom"/>
            <w:shd w:val="clear" w:color="auto" w:fill="EBF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EBFEFF"/>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EBFEFF"/>
          </w:tcPr>
          <w:p>
            <w:pPr>
              <w:jc w:val="right"/>
              <w:ind w:right="799"/>
              <w:spacing w:after="0"/>
              <w:rPr>
                <w:sz w:val="20"/>
                <w:szCs w:val="20"/>
                <w:color w:val="auto"/>
              </w:rPr>
            </w:pPr>
            <w:r>
              <w:rPr>
                <w:rFonts w:ascii="Arial" w:cs="Arial" w:eastAsia="Arial" w:hAnsi="Arial"/>
                <w:sz w:val="18"/>
                <w:szCs w:val="18"/>
                <w:color w:val="auto"/>
              </w:rPr>
              <w:t>$</w:t>
            </w:r>
          </w:p>
        </w:tc>
        <w:tc>
          <w:tcPr>
            <w:tcW w:w="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88</w:t>
            </w:r>
          </w:p>
        </w:tc>
        <w:tc>
          <w:tcPr>
            <w:tcW w:w="580" w:type="dxa"/>
            <w:vAlign w:val="bottom"/>
            <w:gridSpan w:val="2"/>
            <w:shd w:val="clear" w:color="auto" w:fill="EBF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203</w:t>
            </w:r>
          </w:p>
        </w:tc>
        <w:tc>
          <w:tcPr>
            <w:tcW w:w="500" w:type="dxa"/>
            <w:vAlign w:val="bottom"/>
            <w:gridSpan w:val="2"/>
            <w:shd w:val="clear" w:color="auto" w:fill="EBF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4660" w:type="dxa"/>
            <w:vAlign w:val="bottom"/>
            <w:tcBorders>
              <w:bottom w:val="single" w:sz="8" w:color="EBF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EBF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EBF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EBF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48"/>
        </w:trPr>
        <w:tc>
          <w:tcPr>
            <w:tcW w:w="4660" w:type="dxa"/>
            <w:vAlign w:val="bottom"/>
            <w:tcBorders>
              <w:bottom w:val="single" w:sz="8" w:color="EBFEFF"/>
            </w:tcBorders>
            <w:shd w:val="clear" w:color="auto" w:fill="EBF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980" w:type="dxa"/>
            <w:vAlign w:val="bottom"/>
            <w:tcBorders>
              <w:bottom w:val="single" w:sz="8" w:color="auto"/>
            </w:tcBorders>
            <w:shd w:val="clear" w:color="auto" w:fill="EBFEFF"/>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EBFEFF"/>
            </w:tcBorders>
            <w:shd w:val="clear" w:color="auto" w:fill="EBFEFF"/>
          </w:tcPr>
          <w:p>
            <w:pPr>
              <w:spacing w:after="0"/>
              <w:rPr>
                <w:sz w:val="21"/>
                <w:szCs w:val="21"/>
                <w:color w:val="auto"/>
              </w:rPr>
            </w:pPr>
          </w:p>
        </w:tc>
        <w:tc>
          <w:tcPr>
            <w:tcW w:w="980" w:type="dxa"/>
            <w:vAlign w:val="bottom"/>
            <w:tcBorders>
              <w:bottom w:val="single" w:sz="8" w:color="auto"/>
            </w:tcBorders>
            <w:shd w:val="clear" w:color="auto" w:fill="EBFEFF"/>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Borders>
              <w:bottom w:val="single" w:sz="8" w:color="EBFEFF"/>
            </w:tcBorders>
            <w:shd w:val="clear" w:color="auto" w:fill="EBFEFF"/>
          </w:tcPr>
          <w:p>
            <w:pPr>
              <w:spacing w:after="0"/>
              <w:rPr>
                <w:sz w:val="21"/>
                <w:szCs w:val="21"/>
                <w:color w:val="auto"/>
              </w:rPr>
            </w:pPr>
          </w:p>
        </w:tc>
        <w:tc>
          <w:tcPr>
            <w:tcW w:w="400" w:type="dxa"/>
            <w:vAlign w:val="bottom"/>
            <w:tcBorders>
              <w:bottom w:val="single" w:sz="8" w:color="auto"/>
            </w:tcBorders>
            <w:shd w:val="clear" w:color="auto" w:fill="EBF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EBFEFF"/>
            </w:tcBorders>
            <w:shd w:val="clear" w:color="auto" w:fill="EBFEFF"/>
          </w:tcPr>
          <w:p>
            <w:pPr>
              <w:spacing w:after="0"/>
              <w:rPr>
                <w:sz w:val="21"/>
                <w:szCs w:val="21"/>
                <w:color w:val="auto"/>
              </w:rPr>
            </w:pPr>
          </w:p>
        </w:tc>
        <w:tc>
          <w:tcPr>
            <w:tcW w:w="400" w:type="dxa"/>
            <w:vAlign w:val="bottom"/>
            <w:tcBorders>
              <w:bottom w:val="single" w:sz="8" w:color="auto"/>
            </w:tcBorders>
            <w:shd w:val="clear" w:color="auto" w:fill="EBF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643</w:t>
            </w:r>
          </w:p>
        </w:tc>
      </w:tr>
      <w:tr>
        <w:trPr>
          <w:trHeight w:val="20"/>
        </w:trPr>
        <w:tc>
          <w:tcPr>
            <w:tcW w:w="4660" w:type="dxa"/>
            <w:vAlign w:val="bottom"/>
            <w:tcBorders>
              <w:top w:val="single" w:sz="8" w:color="EBFEFF"/>
            </w:tcBorders>
          </w:tcPr>
          <w:p>
            <w:pPr>
              <w:spacing w:after="0" w:line="20" w:lineRule="exact"/>
              <w:rPr>
                <w:sz w:val="1"/>
                <w:szCs w:val="1"/>
                <w:color w:val="auto"/>
              </w:rPr>
            </w:pPr>
          </w:p>
        </w:tc>
        <w:tc>
          <w:tcPr>
            <w:tcW w:w="980" w:type="dxa"/>
            <w:vAlign w:val="bottom"/>
            <w:tcBorders>
              <w:top w:val="single" w:sz="8" w:color="EBFEFF"/>
              <w:bottom w:val="single" w:sz="8" w:color="auto"/>
            </w:tcBorders>
          </w:tcPr>
          <w:p>
            <w:pPr>
              <w:spacing w:after="0" w:line="20" w:lineRule="exact"/>
              <w:rPr>
                <w:sz w:val="1"/>
                <w:szCs w:val="1"/>
                <w:color w:val="auto"/>
              </w:rPr>
            </w:pPr>
          </w:p>
        </w:tc>
        <w:tc>
          <w:tcPr>
            <w:tcW w:w="4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980" w:type="dxa"/>
            <w:vAlign w:val="bottom"/>
            <w:tcBorders>
              <w:top w:val="single" w:sz="8" w:color="EBFEFF"/>
              <w:bottom w:val="single" w:sz="8" w:color="auto"/>
            </w:tcBorders>
          </w:tcPr>
          <w:p>
            <w:pPr>
              <w:spacing w:after="0" w:line="20" w:lineRule="exact"/>
              <w:rPr>
                <w:sz w:val="1"/>
                <w:szCs w:val="1"/>
                <w:color w:val="auto"/>
              </w:rPr>
            </w:pPr>
          </w:p>
        </w:tc>
        <w:tc>
          <w:tcPr>
            <w:tcW w:w="460" w:type="dxa"/>
            <w:vAlign w:val="bottom"/>
            <w:tcBorders>
              <w:top w:val="single" w:sz="8" w:color="EBFEFF"/>
              <w:bottom w:val="single" w:sz="8" w:color="auto"/>
            </w:tcBorders>
          </w:tcPr>
          <w:p>
            <w:pPr>
              <w:spacing w:after="0" w:line="20" w:lineRule="exact"/>
              <w:rPr>
                <w:sz w:val="1"/>
                <w:szCs w:val="1"/>
                <w:color w:val="auto"/>
              </w:rPr>
            </w:pPr>
          </w:p>
        </w:tc>
        <w:tc>
          <w:tcPr>
            <w:tcW w:w="180" w:type="dxa"/>
            <w:vAlign w:val="bottom"/>
            <w:tcBorders>
              <w:top w:val="single" w:sz="8" w:color="EBFEFF"/>
            </w:tcBorders>
          </w:tcPr>
          <w:p>
            <w:pPr>
              <w:spacing w:after="0" w:line="20" w:lineRule="exact"/>
              <w:rPr>
                <w:sz w:val="1"/>
                <w:szCs w:val="1"/>
                <w:color w:val="auto"/>
              </w:rPr>
            </w:pPr>
          </w:p>
        </w:tc>
        <w:tc>
          <w:tcPr>
            <w:tcW w:w="400" w:type="dxa"/>
            <w:vAlign w:val="bottom"/>
            <w:tcBorders>
              <w:top w:val="single" w:sz="8" w:color="EBFEFF"/>
              <w:bottom w:val="single" w:sz="8" w:color="auto"/>
            </w:tcBorders>
          </w:tcPr>
          <w:p>
            <w:pPr>
              <w:spacing w:after="0" w:line="20" w:lineRule="exact"/>
              <w:rPr>
                <w:sz w:val="1"/>
                <w:szCs w:val="1"/>
                <w:color w:val="auto"/>
              </w:rPr>
            </w:pPr>
          </w:p>
        </w:tc>
        <w:tc>
          <w:tcPr>
            <w:tcW w:w="12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400" w:type="dxa"/>
            <w:vAlign w:val="bottom"/>
            <w:tcBorders>
              <w:top w:val="single" w:sz="8" w:color="EBFEFF"/>
              <w:bottom w:val="single" w:sz="8" w:color="auto"/>
            </w:tcBorders>
          </w:tcPr>
          <w:p>
            <w:pPr>
              <w:spacing w:after="0" w:line="20" w:lineRule="exact"/>
              <w:rPr>
                <w:sz w:val="1"/>
                <w:szCs w:val="1"/>
                <w:color w:val="auto"/>
              </w:rPr>
            </w:pPr>
          </w:p>
        </w:tc>
        <w:tc>
          <w:tcPr>
            <w:tcW w:w="1260" w:type="dxa"/>
            <w:vAlign w:val="bottom"/>
            <w:tcBorders>
              <w:top w:val="single" w:sz="8" w:color="EBF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Reneo and Anteris License Agreements, the Company has received equity ownership interests of less than 20% of the voting equity of the investee. Further, the Company does not have the ability to exercise significant influence over the investees. The investments are classified as long-term investments 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Reneo completed its initial public offering in April 2021. Prior to Reneo becoming a publicly 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investment in Anteris does not have a readily determinable fair value and is measured at cost less impairment, adjusted for any changes in observable prices.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investments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780" w:type="dxa"/>
            <w:vAlign w:val="bottom"/>
            <w:tcBorders>
              <w:bottom w:val="single" w:sz="8" w:color="EBF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780" w:type="dxa"/>
            <w:vAlign w:val="bottom"/>
            <w:shd w:val="clear" w:color="auto" w:fill="EBFEFF"/>
          </w:tcPr>
          <w:p>
            <w:pPr>
              <w:ind w:left="20"/>
              <w:spacing w:after="0"/>
              <w:rPr>
                <w:sz w:val="20"/>
                <w:szCs w:val="20"/>
                <w:color w:val="auto"/>
              </w:rPr>
            </w:pPr>
            <w:r>
              <w:rPr>
                <w:rFonts w:ascii="Arial" w:cs="Arial" w:eastAsia="Arial" w:hAnsi="Arial"/>
                <w:sz w:val="18"/>
                <w:szCs w:val="18"/>
                <w:color w:val="auto"/>
              </w:rPr>
              <w:t>Equity investment with readily determinable fair value:</w:t>
            </w:r>
          </w:p>
        </w:tc>
        <w:tc>
          <w:tcPr>
            <w:tcW w:w="260" w:type="dxa"/>
            <w:vAlign w:val="bottom"/>
            <w:shd w:val="clear" w:color="auto" w:fill="EBFEFF"/>
          </w:tcPr>
          <w:p>
            <w:pPr>
              <w:spacing w:after="0"/>
              <w:rPr>
                <w:sz w:val="18"/>
                <w:szCs w:val="18"/>
                <w:color w:val="auto"/>
              </w:rPr>
            </w:pPr>
          </w:p>
        </w:tc>
        <w:tc>
          <w:tcPr>
            <w:tcW w:w="146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160" w:type="dxa"/>
            <w:vAlign w:val="bottom"/>
            <w:shd w:val="clear" w:color="auto" w:fill="EBFEFF"/>
          </w:tcPr>
          <w:p>
            <w:pPr>
              <w:spacing w:after="0"/>
              <w:rPr>
                <w:sz w:val="18"/>
                <w:szCs w:val="18"/>
                <w:color w:val="auto"/>
              </w:rPr>
            </w:pPr>
          </w:p>
        </w:tc>
        <w:tc>
          <w:tcPr>
            <w:tcW w:w="1420" w:type="dxa"/>
            <w:vAlign w:val="bottom"/>
            <w:shd w:val="clear" w:color="auto" w:fill="EBFEFF"/>
          </w:tcPr>
          <w:p>
            <w:pPr>
              <w:spacing w:after="0"/>
              <w:rPr>
                <w:sz w:val="18"/>
                <w:szCs w:val="18"/>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Reneo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3,782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76"/>
        </w:trPr>
        <w:tc>
          <w:tcPr>
            <w:tcW w:w="7780" w:type="dxa"/>
            <w:vAlign w:val="bottom"/>
            <w:shd w:val="clear" w:color="auto" w:fill="EBFEFF"/>
          </w:tcPr>
          <w:p>
            <w:pPr>
              <w:spacing w:after="0"/>
              <w:rPr>
                <w:sz w:val="24"/>
                <w:szCs w:val="24"/>
                <w:color w:val="auto"/>
              </w:rPr>
            </w:pPr>
          </w:p>
        </w:tc>
        <w:tc>
          <w:tcPr>
            <w:tcW w:w="260" w:type="dxa"/>
            <w:vAlign w:val="bottom"/>
            <w:shd w:val="clear" w:color="auto" w:fill="EBFEFF"/>
          </w:tcPr>
          <w:p>
            <w:pPr>
              <w:spacing w:after="0"/>
              <w:rPr>
                <w:sz w:val="24"/>
                <w:szCs w:val="24"/>
                <w:color w:val="auto"/>
              </w:rPr>
            </w:pPr>
          </w:p>
        </w:tc>
        <w:tc>
          <w:tcPr>
            <w:tcW w:w="1460" w:type="dxa"/>
            <w:vAlign w:val="bottom"/>
            <w:shd w:val="clear" w:color="auto" w:fill="EBFEFF"/>
          </w:tcPr>
          <w:p>
            <w:pPr>
              <w:spacing w:after="0"/>
              <w:rPr>
                <w:sz w:val="24"/>
                <w:szCs w:val="24"/>
                <w:color w:val="auto"/>
              </w:rPr>
            </w:pPr>
          </w:p>
        </w:tc>
        <w:tc>
          <w:tcPr>
            <w:tcW w:w="100" w:type="dxa"/>
            <w:vAlign w:val="bottom"/>
            <w:shd w:val="clear" w:color="auto" w:fill="EBFEFF"/>
          </w:tcPr>
          <w:p>
            <w:pPr>
              <w:spacing w:after="0"/>
              <w:rPr>
                <w:sz w:val="24"/>
                <w:szCs w:val="24"/>
                <w:color w:val="auto"/>
              </w:rPr>
            </w:pPr>
          </w:p>
        </w:tc>
        <w:tc>
          <w:tcPr>
            <w:tcW w:w="160" w:type="dxa"/>
            <w:vAlign w:val="bottom"/>
            <w:shd w:val="clear" w:color="auto" w:fill="EBFEFF"/>
          </w:tcPr>
          <w:p>
            <w:pPr>
              <w:spacing w:after="0"/>
              <w:rPr>
                <w:sz w:val="24"/>
                <w:szCs w:val="24"/>
                <w:color w:val="auto"/>
              </w:rPr>
            </w:pPr>
          </w:p>
        </w:tc>
        <w:tc>
          <w:tcPr>
            <w:tcW w:w="1420" w:type="dxa"/>
            <w:vAlign w:val="bottom"/>
            <w:shd w:val="clear" w:color="auto" w:fill="EBFEFF"/>
          </w:tcPr>
          <w:p>
            <w:pPr>
              <w:spacing w:after="0"/>
              <w:rPr>
                <w:sz w:val="24"/>
                <w:szCs w:val="24"/>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w w:val="93"/>
              </w:rPr>
              <w:t>Equity investment without readily determinable fair values assessed under the measurement alternative:</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tcBorders>
              <w:bottom w:val="single" w:sz="8" w:color="EBFEFF"/>
            </w:tcBorders>
            <w:shd w:val="clear" w:color="auto" w:fill="EBFEFF"/>
          </w:tcPr>
          <w:p>
            <w:pPr>
              <w:ind w:left="180"/>
              <w:spacing w:after="0"/>
              <w:rPr>
                <w:sz w:val="20"/>
                <w:szCs w:val="20"/>
                <w:color w:val="auto"/>
              </w:rPr>
            </w:pPr>
            <w:r>
              <w:rPr>
                <w:rFonts w:ascii="Arial" w:cs="Arial" w:eastAsia="Arial" w:hAnsi="Arial"/>
                <w:sz w:val="18"/>
                <w:szCs w:val="18"/>
                <w:color w:val="auto"/>
              </w:rPr>
              <w:t>Anteris preferred stock</w:t>
            </w:r>
          </w:p>
        </w:tc>
        <w:tc>
          <w:tcPr>
            <w:tcW w:w="260" w:type="dxa"/>
            <w:vAlign w:val="bottom"/>
            <w:tcBorders>
              <w:bottom w:val="single" w:sz="8" w:color="auto"/>
            </w:tcBorders>
            <w:shd w:val="clear" w:color="auto" w:fill="EBFEFF"/>
          </w:tcPr>
          <w:p>
            <w:pPr>
              <w:spacing w:after="0"/>
              <w:rPr>
                <w:sz w:val="19"/>
                <w:szCs w:val="19"/>
                <w:color w:val="auto"/>
              </w:rPr>
            </w:pPr>
          </w:p>
        </w:tc>
        <w:tc>
          <w:tcPr>
            <w:tcW w:w="14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EBFEFF"/>
            </w:tcBorders>
            <w:shd w:val="clear" w:color="auto" w:fill="EBFEFF"/>
          </w:tcPr>
          <w:p>
            <w:pPr>
              <w:spacing w:after="0"/>
              <w:rPr>
                <w:sz w:val="19"/>
                <w:szCs w:val="19"/>
                <w:color w:val="auto"/>
              </w:rPr>
            </w:pPr>
          </w:p>
        </w:tc>
        <w:tc>
          <w:tcPr>
            <w:tcW w:w="160" w:type="dxa"/>
            <w:vAlign w:val="bottom"/>
            <w:tcBorders>
              <w:bottom w:val="single" w:sz="8" w:color="auto"/>
            </w:tcBorders>
            <w:shd w:val="clear" w:color="auto" w:fill="EBFEFF"/>
          </w:tcPr>
          <w:p>
            <w:pPr>
              <w:spacing w:after="0"/>
              <w:rPr>
                <w:sz w:val="19"/>
                <w:szCs w:val="19"/>
                <w:color w:val="auto"/>
              </w:rPr>
            </w:pPr>
          </w:p>
        </w:tc>
        <w:tc>
          <w:tcPr>
            <w:tcW w:w="14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4,245</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8,027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5,588</w:t>
            </w:r>
          </w:p>
        </w:tc>
      </w:tr>
      <w:tr>
        <w:trPr>
          <w:trHeight w:val="21"/>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No adjustments have been made to the value of the Company’s investment in Anteris since its initial measurement either due to impairment or based on observable price changes. The Company recognized an unrealized gain on its investment in Reneo of $0.3 million and $2.4 million for the three and six months ended June 30, 2023, respectively. The Company recognized an unrealized loss on its investment in Reneo of $0.2 million and $3.4 million for the three and six months ended June 30, 2022, respectively. These adjustments were recognized as a component of other income/(expense) in the Company’s Condensed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In February 2007, the Company entered into an Agreement Concerning Glucokinase Activator Project with Novo Nordisk A/S (the “Novo License Agreement”)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6"/>
          <w:szCs w:val="16"/>
          <w:i w:val="1"/>
          <w:iCs w:val="1"/>
          <w:color w:val="auto"/>
        </w:rPr>
        <w:t>cadisegliatin (TTP399)</w:t>
      </w:r>
      <w:r>
        <w:rPr>
          <w:rFonts w:ascii="Arial" w:cs="Arial" w:eastAsia="Arial" w:hAnsi="Arial"/>
          <w:sz w:val="16"/>
          <w:szCs w:val="16"/>
          <w:color w:val="auto"/>
        </w:rPr>
        <w:t xml:space="preserve">. This agreement was amended in May 2019 to create milestone payments applicable to certain specific and nonspecific areas of therapeutic use. Under the terms of the amended Novo License Agreement, the Company has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fourth quarter of 2021, the Company made a payment of $2.0 million related to the satisfaction of the milestone to complete the phase 2 trials for </w:t>
      </w:r>
      <w:r>
        <w:rPr>
          <w:rFonts w:ascii="Arial" w:cs="Arial" w:eastAsia="Arial" w:hAnsi="Arial"/>
          <w:sz w:val="16"/>
          <w:szCs w:val="16"/>
          <w:i w:val="1"/>
          <w:iCs w:val="1"/>
          <w:color w:val="auto"/>
        </w:rPr>
        <w:t>cadisegliatin (TTP399)</w:t>
      </w:r>
      <w:r>
        <w:rPr>
          <w:rFonts w:ascii="Arial" w:cs="Arial" w:eastAsia="Arial" w:hAnsi="Arial"/>
          <w:sz w:val="16"/>
          <w:szCs w:val="16"/>
          <w:color w:val="auto"/>
        </w:rPr>
        <w:t xml:space="preserve"> under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August 2019, the Company leased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In November 2022, the Company entered into a second amendment to the lease, (i) to reduce the square footage and (ii) to extend the lease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term, which constituted a modification event under ASC 842 and, the lease classification for the asset remains as an operating lease. As a result of the remeasurement of the associated lease liabilities, the Company recognized additional right of use assets and corresponding lease liabilities of $0.1 million. Further, the second amendment to the lease does not include any material residual value guarantee or restrictive covenants.</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each of June 30, 2023 and December 31, 2022, the weighted average incremental borrowing rate for the operating leases held by the Company was 9.5%. At June 30, 2023 and December 31, 2022, the weighted average remaining lease terms for the operating leases held by the Company were 2.4 years and 2.9 years,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500"/>
              <w:spacing w:after="0"/>
              <w:rPr>
                <w:sz w:val="20"/>
                <w:szCs w:val="20"/>
                <w:color w:val="auto"/>
              </w:rPr>
            </w:pPr>
            <w:r>
              <w:rPr>
                <w:rFonts w:ascii="Arial" w:cs="Arial" w:eastAsia="Arial" w:hAnsi="Arial"/>
                <w:sz w:val="18"/>
                <w:szCs w:val="18"/>
                <w:color w:val="auto"/>
                <w:w w:val="98"/>
              </w:rPr>
              <w:t>Maturities of lease liabilities for the Company’s operating leases as of June 30, 2023 were as follows (in thousands):</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35"/>
        </w:trPr>
        <w:tc>
          <w:tcPr>
            <w:tcW w:w="9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30"/>
        </w:trPr>
        <w:tc>
          <w:tcPr>
            <w:tcW w:w="9560" w:type="dxa"/>
            <w:vAlign w:val="bottom"/>
            <w:shd w:val="clear" w:color="auto" w:fill="EBFEFF"/>
          </w:tcPr>
          <w:p>
            <w:pPr>
              <w:ind w:left="20"/>
              <w:spacing w:after="0"/>
              <w:rPr>
                <w:sz w:val="20"/>
                <w:szCs w:val="20"/>
                <w:color w:val="auto"/>
              </w:rPr>
            </w:pPr>
            <w:r>
              <w:rPr>
                <w:rFonts w:ascii="Arial" w:cs="Arial" w:eastAsia="Arial" w:hAnsi="Arial"/>
                <w:sz w:val="18"/>
                <w:szCs w:val="18"/>
                <w:color w:val="auto"/>
              </w:rPr>
              <w:t>2023 (remaining six months)</w:t>
            </w:r>
          </w:p>
        </w:tc>
        <w:tc>
          <w:tcPr>
            <w:tcW w:w="620" w:type="dxa"/>
            <w:vAlign w:val="bottom"/>
            <w:shd w:val="clear" w:color="auto" w:fill="EBF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956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6"/>
        </w:trPr>
        <w:tc>
          <w:tcPr>
            <w:tcW w:w="9560" w:type="dxa"/>
            <w:vAlign w:val="bottom"/>
            <w:shd w:val="clear" w:color="auto" w:fill="EBF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EBFEFF"/>
          </w:tcPr>
          <w:p>
            <w:pPr>
              <w:spacing w:after="0"/>
              <w:rPr>
                <w:sz w:val="20"/>
                <w:szCs w:val="20"/>
                <w:color w:val="auto"/>
              </w:rPr>
            </w:pPr>
          </w:p>
        </w:tc>
        <w:tc>
          <w:tcPr>
            <w:tcW w:w="8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2026</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560" w:type="dxa"/>
            <w:vAlign w:val="bottom"/>
            <w:shd w:val="clear" w:color="auto" w:fill="EBFEFF"/>
          </w:tcPr>
          <w:p>
            <w:pPr>
              <w:ind w:left="20"/>
              <w:spacing w:after="0"/>
              <w:rPr>
                <w:sz w:val="20"/>
                <w:szCs w:val="20"/>
                <w:color w:val="auto"/>
              </w:rPr>
            </w:pPr>
            <w:r>
              <w:rPr>
                <w:rFonts w:ascii="Arial" w:cs="Arial" w:eastAsia="Arial" w:hAnsi="Arial"/>
                <w:sz w:val="18"/>
                <w:szCs w:val="18"/>
                <w:color w:val="auto"/>
              </w:rPr>
              <w:t>2027</w:t>
            </w:r>
          </w:p>
        </w:tc>
        <w:tc>
          <w:tcPr>
            <w:tcW w:w="620" w:type="dxa"/>
            <w:vAlign w:val="bottom"/>
            <w:shd w:val="clear" w:color="auto" w:fill="EBFEFF"/>
          </w:tcPr>
          <w:p>
            <w:pPr>
              <w:spacing w:after="0"/>
              <w:rPr>
                <w:sz w:val="21"/>
                <w:szCs w:val="21"/>
                <w:color w:val="auto"/>
              </w:rPr>
            </w:pPr>
          </w:p>
        </w:tc>
        <w:tc>
          <w:tcPr>
            <w:tcW w:w="8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Borders>
              <w:bottom w:val="single" w:sz="8" w:color="EBF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560" w:type="dxa"/>
            <w:vAlign w:val="bottom"/>
            <w:shd w:val="clear" w:color="auto" w:fill="EBFEFF"/>
          </w:tcPr>
          <w:p>
            <w:pPr>
              <w:ind w:left="20"/>
              <w:spacing w:after="0"/>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EBFEFF"/>
          </w:tcPr>
          <w:p>
            <w:pPr>
              <w:spacing w:after="0"/>
              <w:rPr>
                <w:sz w:val="19"/>
                <w:szCs w:val="19"/>
                <w:color w:val="auto"/>
              </w:rPr>
            </w:pPr>
          </w:p>
        </w:tc>
        <w:tc>
          <w:tcPr>
            <w:tcW w:w="8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468</w:t>
            </w:r>
          </w:p>
        </w:tc>
      </w:tr>
      <w:tr>
        <w:trPr>
          <w:trHeight w:val="243"/>
        </w:trPr>
        <w:tc>
          <w:tcPr>
            <w:tcW w:w="9560" w:type="dxa"/>
            <w:vAlign w:val="bottom"/>
            <w:tcBorders>
              <w:bottom w:val="single" w:sz="8" w:color="EBFEFF"/>
            </w:tcBorders>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9560" w:type="dxa"/>
            <w:vAlign w:val="bottom"/>
            <w:tcBorders>
              <w:bottom w:val="single" w:sz="8" w:color="EBFEFF"/>
            </w:tcBorders>
            <w:shd w:val="clear" w:color="auto" w:fill="EBFEFF"/>
          </w:tcPr>
          <w:p>
            <w:pPr>
              <w:ind w:left="240"/>
              <w:spacing w:after="0"/>
              <w:rPr>
                <w:sz w:val="20"/>
                <w:szCs w:val="20"/>
                <w:color w:val="auto"/>
              </w:rPr>
            </w:pPr>
            <w:r>
              <w:rPr>
                <w:rFonts w:ascii="Arial" w:cs="Arial" w:eastAsia="Arial" w:hAnsi="Arial"/>
                <w:sz w:val="18"/>
                <w:szCs w:val="18"/>
                <w:color w:val="auto"/>
              </w:rPr>
              <w:t>Present value of lease liabilities</w:t>
            </w:r>
          </w:p>
        </w:tc>
        <w:tc>
          <w:tcPr>
            <w:tcW w:w="620" w:type="dxa"/>
            <w:vAlign w:val="bottom"/>
            <w:tcBorders>
              <w:bottom w:val="single" w:sz="8" w:color="auto"/>
            </w:tcBorders>
            <w:shd w:val="clear" w:color="auto" w:fill="EBF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9560" w:type="dxa"/>
            <w:vAlign w:val="bottom"/>
            <w:tcBorders>
              <w:top w:val="single" w:sz="8" w:color="EBFEFF"/>
            </w:tcBorders>
          </w:tcPr>
          <w:p>
            <w:pPr>
              <w:spacing w:after="0" w:line="20" w:lineRule="exact"/>
              <w:rPr>
                <w:sz w:val="1"/>
                <w:szCs w:val="1"/>
                <w:color w:val="auto"/>
              </w:rPr>
            </w:pPr>
          </w:p>
        </w:tc>
        <w:tc>
          <w:tcPr>
            <w:tcW w:w="620" w:type="dxa"/>
            <w:vAlign w:val="bottom"/>
            <w:tcBorders>
              <w:top w:val="single" w:sz="8" w:color="EBFEFF"/>
              <w:bottom w:val="single" w:sz="8" w:color="auto"/>
            </w:tcBorders>
          </w:tcPr>
          <w:p>
            <w:pPr>
              <w:spacing w:after="0" w:line="20" w:lineRule="exact"/>
              <w:rPr>
                <w:sz w:val="1"/>
                <w:szCs w:val="1"/>
                <w:color w:val="auto"/>
              </w:rPr>
            </w:pPr>
          </w:p>
        </w:tc>
        <w:tc>
          <w:tcPr>
            <w:tcW w:w="860" w:type="dxa"/>
            <w:vAlign w:val="bottom"/>
            <w:tcBorders>
              <w:top w:val="single" w:sz="8" w:color="EBF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lease cost and the related operating cash flows for the six months ended June 30, 2023 and 2022 were immaterial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Noncontrolling Interest</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22.1% noncontrolling interest in vTv LLC outstanding as of June 30, 2023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June 30, 2023 and December 31, 2022, the redeemable noncontrolling interest was recorded based on the redemption value as of the balance sheet date of $18.9 million and $16.6 million, respectively.</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180" w:type="dxa"/>
            <w:vAlign w:val="bottom"/>
            <w:gridSpan w:val="5"/>
          </w:tcPr>
          <w:p>
            <w:pPr>
              <w:jc w:val="right"/>
              <w:ind w:right="335"/>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4760" w:type="dxa"/>
            <w:vAlign w:val="bottom"/>
            <w:tcBorders>
              <w:bottom w:val="single" w:sz="8" w:color="EBF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EBF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760" w:type="dxa"/>
            <w:vAlign w:val="bottom"/>
            <w:shd w:val="clear" w:color="auto" w:fill="EBFEFF"/>
          </w:tcPr>
          <w:p>
            <w:pPr>
              <w:ind w:left="20"/>
              <w:spacing w:after="0" w:line="168" w:lineRule="exact"/>
              <w:rPr>
                <w:sz w:val="20"/>
                <w:szCs w:val="20"/>
                <w:color w:val="auto"/>
              </w:rPr>
            </w:pPr>
            <w:r>
              <w:rPr>
                <w:rFonts w:ascii="Arial" w:cs="Arial" w:eastAsia="Arial" w:hAnsi="Arial"/>
                <w:sz w:val="18"/>
                <w:szCs w:val="18"/>
                <w:color w:val="auto"/>
              </w:rPr>
              <w:t>Net loss attributable to vTv Therapeutics Inc. common</w:t>
            </w:r>
          </w:p>
        </w:tc>
        <w:tc>
          <w:tcPr>
            <w:tcW w:w="960" w:type="dxa"/>
            <w:vAlign w:val="bottom"/>
            <w:shd w:val="clear" w:color="auto" w:fill="EBFEFF"/>
          </w:tcPr>
          <w:p>
            <w:pPr>
              <w:spacing w:after="0"/>
              <w:rPr>
                <w:sz w:val="14"/>
                <w:szCs w:val="14"/>
                <w:color w:val="auto"/>
              </w:rPr>
            </w:pPr>
          </w:p>
        </w:tc>
        <w:tc>
          <w:tcPr>
            <w:tcW w:w="580" w:type="dxa"/>
            <w:vAlign w:val="bottom"/>
            <w:shd w:val="clear" w:color="auto" w:fill="EBFEFF"/>
          </w:tcPr>
          <w:p>
            <w:pPr>
              <w:spacing w:after="0"/>
              <w:rPr>
                <w:sz w:val="14"/>
                <w:szCs w:val="14"/>
                <w:color w:val="auto"/>
              </w:rPr>
            </w:pPr>
          </w:p>
        </w:tc>
        <w:tc>
          <w:tcPr>
            <w:tcW w:w="100" w:type="dxa"/>
            <w:vAlign w:val="bottom"/>
            <w:shd w:val="clear" w:color="auto" w:fill="EBFEFF"/>
          </w:tcPr>
          <w:p>
            <w:pPr>
              <w:spacing w:after="0"/>
              <w:rPr>
                <w:sz w:val="14"/>
                <w:szCs w:val="14"/>
                <w:color w:val="auto"/>
              </w:rPr>
            </w:pPr>
          </w:p>
        </w:tc>
        <w:tc>
          <w:tcPr>
            <w:tcW w:w="360" w:type="dxa"/>
            <w:vAlign w:val="bottom"/>
            <w:shd w:val="clear" w:color="auto" w:fill="EBFEFF"/>
          </w:tcPr>
          <w:p>
            <w:pPr>
              <w:spacing w:after="0"/>
              <w:rPr>
                <w:sz w:val="14"/>
                <w:szCs w:val="14"/>
                <w:color w:val="auto"/>
              </w:rPr>
            </w:pPr>
          </w:p>
        </w:tc>
        <w:tc>
          <w:tcPr>
            <w:tcW w:w="1180" w:type="dxa"/>
            <w:vAlign w:val="bottom"/>
            <w:shd w:val="clear" w:color="auto" w:fill="EBFEFF"/>
          </w:tcPr>
          <w:p>
            <w:pPr>
              <w:spacing w:after="0"/>
              <w:rPr>
                <w:sz w:val="14"/>
                <w:szCs w:val="14"/>
                <w:color w:val="auto"/>
              </w:rPr>
            </w:pPr>
          </w:p>
        </w:tc>
        <w:tc>
          <w:tcPr>
            <w:tcW w:w="100" w:type="dxa"/>
            <w:vAlign w:val="bottom"/>
            <w:shd w:val="clear" w:color="auto" w:fill="EBFEFF"/>
          </w:tcPr>
          <w:p>
            <w:pPr>
              <w:spacing w:after="0"/>
              <w:rPr>
                <w:sz w:val="14"/>
                <w:szCs w:val="14"/>
                <w:color w:val="auto"/>
              </w:rPr>
            </w:pPr>
          </w:p>
        </w:tc>
        <w:tc>
          <w:tcPr>
            <w:tcW w:w="320" w:type="dxa"/>
            <w:vAlign w:val="bottom"/>
            <w:shd w:val="clear" w:color="auto" w:fill="EBFEFF"/>
          </w:tcPr>
          <w:p>
            <w:pPr>
              <w:spacing w:after="0"/>
              <w:rPr>
                <w:sz w:val="14"/>
                <w:szCs w:val="14"/>
                <w:color w:val="auto"/>
              </w:rPr>
            </w:pPr>
          </w:p>
        </w:tc>
        <w:tc>
          <w:tcPr>
            <w:tcW w:w="1240" w:type="dxa"/>
            <w:vAlign w:val="bottom"/>
            <w:shd w:val="clear" w:color="auto" w:fill="EBFEFF"/>
          </w:tcPr>
          <w:p>
            <w:pPr>
              <w:spacing w:after="0"/>
              <w:rPr>
                <w:sz w:val="14"/>
                <w:szCs w:val="14"/>
                <w:color w:val="auto"/>
              </w:rPr>
            </w:pPr>
          </w:p>
        </w:tc>
        <w:tc>
          <w:tcPr>
            <w:tcW w:w="80" w:type="dxa"/>
            <w:vAlign w:val="bottom"/>
            <w:shd w:val="clear" w:color="auto" w:fill="EBFEFF"/>
          </w:tcPr>
          <w:p>
            <w:pPr>
              <w:spacing w:after="0"/>
              <w:rPr>
                <w:sz w:val="14"/>
                <w:szCs w:val="14"/>
                <w:color w:val="auto"/>
              </w:rPr>
            </w:pPr>
          </w:p>
        </w:tc>
        <w:tc>
          <w:tcPr>
            <w:tcW w:w="380" w:type="dxa"/>
            <w:vAlign w:val="bottom"/>
            <w:shd w:val="clear" w:color="auto" w:fill="EBFEFF"/>
          </w:tcPr>
          <w:p>
            <w:pPr>
              <w:spacing w:after="0"/>
              <w:rPr>
                <w:sz w:val="14"/>
                <w:szCs w:val="14"/>
                <w:color w:val="auto"/>
              </w:rPr>
            </w:pPr>
          </w:p>
        </w:tc>
        <w:tc>
          <w:tcPr>
            <w:tcW w:w="1180" w:type="dxa"/>
            <w:vAlign w:val="bottom"/>
            <w:shd w:val="clear" w:color="auto" w:fill="EBF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EBFEFF"/>
          </w:tcPr>
          <w:p>
            <w:pPr>
              <w:ind w:left="180"/>
              <w:spacing w:after="0"/>
              <w:rPr>
                <w:sz w:val="20"/>
                <w:szCs w:val="20"/>
                <w:color w:val="auto"/>
              </w:rPr>
            </w:pPr>
            <w:r>
              <w:rPr>
                <w:rFonts w:ascii="Arial" w:cs="Arial" w:eastAsia="Arial" w:hAnsi="Arial"/>
                <w:sz w:val="18"/>
                <w:szCs w:val="18"/>
                <w:color w:val="auto"/>
              </w:rPr>
              <w:t>shareholders</w:t>
            </w:r>
          </w:p>
        </w:tc>
        <w:tc>
          <w:tcPr>
            <w:tcW w:w="960" w:type="dxa"/>
            <w:vAlign w:val="bottom"/>
            <w:shd w:val="clear" w:color="auto" w:fill="EBFEFF"/>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BFEFF"/>
          </w:tcPr>
          <w:p>
            <w:pPr>
              <w:jc w:val="center"/>
              <w:spacing w:after="0"/>
              <w:rPr>
                <w:sz w:val="20"/>
                <w:szCs w:val="20"/>
                <w:color w:val="auto"/>
              </w:rPr>
            </w:pPr>
            <w:r>
              <w:rPr>
                <w:rFonts w:ascii="Arial" w:cs="Arial" w:eastAsia="Arial" w:hAnsi="Arial"/>
                <w:sz w:val="18"/>
                <w:szCs w:val="18"/>
                <w:color w:val="auto"/>
                <w:w w:val="94"/>
              </w:rPr>
              <w:t>(5,619)</w:t>
            </w:r>
          </w:p>
        </w:tc>
        <w:tc>
          <w:tcPr>
            <w:tcW w:w="460" w:type="dxa"/>
            <w:vAlign w:val="bottom"/>
            <w:gridSpan w:val="2"/>
            <w:shd w:val="clear" w:color="auto" w:fill="EBF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(3,151)</w:t>
            </w:r>
          </w:p>
        </w:tc>
        <w:tc>
          <w:tcPr>
            <w:tcW w:w="420" w:type="dxa"/>
            <w:vAlign w:val="bottom"/>
            <w:gridSpan w:val="2"/>
            <w:shd w:val="clear" w:color="auto" w:fill="EBF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(10,118)</w:t>
            </w:r>
          </w:p>
        </w:tc>
        <w:tc>
          <w:tcPr>
            <w:tcW w:w="460" w:type="dxa"/>
            <w:vAlign w:val="bottom"/>
            <w:gridSpan w:val="2"/>
            <w:shd w:val="clear" w:color="auto" w:fill="EBF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175"/>
        </w:trPr>
        <w:tc>
          <w:tcPr>
            <w:tcW w:w="4760" w:type="dxa"/>
            <w:vAlign w:val="bottom"/>
          </w:tcPr>
          <w:p>
            <w:pPr>
              <w:ind w:left="20"/>
              <w:spacing w:after="0" w:line="176" w:lineRule="exact"/>
              <w:rPr>
                <w:sz w:val="20"/>
                <w:szCs w:val="20"/>
                <w:color w:val="auto"/>
              </w:rPr>
            </w:pPr>
            <w:r>
              <w:rPr>
                <w:rFonts w:ascii="Arial" w:cs="Arial" w:eastAsia="Arial" w:hAnsi="Arial"/>
                <w:sz w:val="18"/>
                <w:szCs w:val="18"/>
                <w:color w:val="auto"/>
                <w:w w:val="91"/>
              </w:rPr>
              <w:t>Decrease/(Increase) in vTv Therapeutics Inc. accumulated deficit</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60" w:type="dxa"/>
            <w:vAlign w:val="bottom"/>
          </w:tcPr>
          <w:p>
            <w:pPr>
              <w:ind w:left="180"/>
              <w:spacing w:after="0" w:line="189" w:lineRule="exact"/>
              <w:rPr>
                <w:sz w:val="20"/>
                <w:szCs w:val="20"/>
                <w:color w:val="auto"/>
              </w:rPr>
            </w:pPr>
            <w:r>
              <w:rPr>
                <w:rFonts w:ascii="Arial" w:cs="Arial" w:eastAsia="Arial" w:hAnsi="Arial"/>
                <w:sz w:val="18"/>
                <w:szCs w:val="18"/>
                <w:color w:val="auto"/>
              </w:rPr>
              <w:t>for purchase of LLC Units as a result of common stock</w:t>
            </w:r>
          </w:p>
        </w:tc>
        <w:tc>
          <w:tcPr>
            <w:tcW w:w="96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8"/>
              </w:rPr>
              <w:t>1,275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2,620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EBFEFF"/>
            </w:tcBorders>
          </w:tcPr>
          <w:p>
            <w:pPr>
              <w:ind w:left="180"/>
              <w:spacing w:after="0"/>
              <w:rPr>
                <w:sz w:val="20"/>
                <w:szCs w:val="20"/>
                <w:color w:val="auto"/>
              </w:rPr>
            </w:pPr>
            <w:r>
              <w:rPr>
                <w:rFonts w:ascii="Arial" w:cs="Arial" w:eastAsia="Arial" w:hAnsi="Arial"/>
                <w:sz w:val="18"/>
                <w:szCs w:val="18"/>
                <w:color w:val="auto"/>
              </w:rPr>
              <w:t>issuances</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EBF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EBF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BF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760" w:type="dxa"/>
            <w:vAlign w:val="bottom"/>
            <w:shd w:val="clear" w:color="auto" w:fill="EBFEFF"/>
          </w:tcPr>
          <w:p>
            <w:pPr>
              <w:ind w:left="20"/>
              <w:spacing w:after="0" w:line="156" w:lineRule="exact"/>
              <w:rPr>
                <w:sz w:val="20"/>
                <w:szCs w:val="20"/>
                <w:color w:val="auto"/>
              </w:rPr>
            </w:pPr>
            <w:r>
              <w:rPr>
                <w:rFonts w:ascii="Arial" w:cs="Arial" w:eastAsia="Arial" w:hAnsi="Arial"/>
                <w:sz w:val="18"/>
                <w:szCs w:val="18"/>
                <w:color w:val="auto"/>
              </w:rPr>
              <w:t>Change from net loss attributable to vTv Therapeutics Inc.</w:t>
            </w:r>
          </w:p>
        </w:tc>
        <w:tc>
          <w:tcPr>
            <w:tcW w:w="960" w:type="dxa"/>
            <w:vAlign w:val="bottom"/>
            <w:vMerge w:val="restart"/>
            <w:shd w:val="clear" w:color="auto" w:fill="EBFEFF"/>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EBFEFF"/>
          </w:tcPr>
          <w:p>
            <w:pPr>
              <w:jc w:val="center"/>
              <w:spacing w:after="0"/>
              <w:rPr>
                <w:sz w:val="20"/>
                <w:szCs w:val="20"/>
                <w:color w:val="auto"/>
              </w:rPr>
            </w:pPr>
            <w:r>
              <w:rPr>
                <w:rFonts w:ascii="Arial" w:cs="Arial" w:eastAsia="Arial" w:hAnsi="Arial"/>
                <w:sz w:val="18"/>
                <w:szCs w:val="18"/>
                <w:color w:val="auto"/>
                <w:w w:val="94"/>
              </w:rPr>
              <w:t>(4,344)</w:t>
            </w:r>
          </w:p>
        </w:tc>
        <w:tc>
          <w:tcPr>
            <w:tcW w:w="460" w:type="dxa"/>
            <w:vAlign w:val="bottom"/>
            <w:gridSpan w:val="2"/>
            <w:vMerge w:val="restart"/>
            <w:shd w:val="clear" w:color="auto" w:fill="EBF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EBFEFF"/>
          </w:tcPr>
          <w:p>
            <w:pPr>
              <w:jc w:val="right"/>
              <w:spacing w:after="0"/>
              <w:rPr>
                <w:sz w:val="20"/>
                <w:szCs w:val="20"/>
                <w:color w:val="auto"/>
              </w:rPr>
            </w:pPr>
            <w:r>
              <w:rPr>
                <w:rFonts w:ascii="Arial" w:cs="Arial" w:eastAsia="Arial" w:hAnsi="Arial"/>
                <w:sz w:val="18"/>
                <w:szCs w:val="18"/>
                <w:color w:val="auto"/>
              </w:rPr>
              <w:t>(4,512)</w:t>
            </w:r>
          </w:p>
        </w:tc>
        <w:tc>
          <w:tcPr>
            <w:tcW w:w="420" w:type="dxa"/>
            <w:vAlign w:val="bottom"/>
            <w:gridSpan w:val="2"/>
            <w:vMerge w:val="restart"/>
            <w:shd w:val="clear" w:color="auto" w:fill="EBF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EBFEFF"/>
          </w:tcPr>
          <w:p>
            <w:pPr>
              <w:jc w:val="right"/>
              <w:spacing w:after="0"/>
              <w:rPr>
                <w:sz w:val="20"/>
                <w:szCs w:val="20"/>
                <w:color w:val="auto"/>
              </w:rPr>
            </w:pPr>
            <w:r>
              <w:rPr>
                <w:rFonts w:ascii="Arial" w:cs="Arial" w:eastAsia="Arial" w:hAnsi="Arial"/>
                <w:sz w:val="18"/>
                <w:szCs w:val="18"/>
                <w:color w:val="auto"/>
              </w:rPr>
              <w:t>(7,498)</w:t>
            </w:r>
          </w:p>
        </w:tc>
        <w:tc>
          <w:tcPr>
            <w:tcW w:w="460" w:type="dxa"/>
            <w:vAlign w:val="bottom"/>
            <w:gridSpan w:val="2"/>
            <w:vMerge w:val="restart"/>
            <w:shd w:val="clear" w:color="auto" w:fill="EBF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EBFEFF"/>
          </w:tcPr>
          <w:p>
            <w:pPr>
              <w:jc w:val="right"/>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36"/>
        </w:trPr>
        <w:tc>
          <w:tcPr>
            <w:tcW w:w="4760" w:type="dxa"/>
            <w:vAlign w:val="bottom"/>
            <w:shd w:val="clear" w:color="auto" w:fill="EBFEFF"/>
          </w:tcPr>
          <w:p>
            <w:pPr>
              <w:ind w:left="180"/>
              <w:spacing w:after="0"/>
              <w:rPr>
                <w:sz w:val="20"/>
                <w:szCs w:val="20"/>
                <w:color w:val="auto"/>
              </w:rPr>
            </w:pPr>
            <w:r>
              <w:rPr>
                <w:rFonts w:ascii="Arial" w:cs="Arial" w:eastAsia="Arial" w:hAnsi="Arial"/>
                <w:sz w:val="18"/>
                <w:szCs w:val="18"/>
                <w:color w:val="auto"/>
                <w:w w:val="93"/>
              </w:rPr>
              <w:t>common shareholders and transfers to noncontrolling interest</w:t>
            </w:r>
          </w:p>
        </w:tc>
        <w:tc>
          <w:tcPr>
            <w:tcW w:w="960" w:type="dxa"/>
            <w:vAlign w:val="bottom"/>
            <w:vMerge w:val="continue"/>
            <w:shd w:val="clear" w:color="auto" w:fill="EBFEFF"/>
          </w:tcPr>
          <w:p>
            <w:pPr>
              <w:spacing w:after="0"/>
              <w:rPr>
                <w:sz w:val="20"/>
                <w:szCs w:val="20"/>
                <w:color w:val="auto"/>
              </w:rPr>
            </w:pPr>
          </w:p>
        </w:tc>
        <w:tc>
          <w:tcPr>
            <w:tcW w:w="580" w:type="dxa"/>
            <w:vAlign w:val="bottom"/>
            <w:vMerge w:val="continue"/>
            <w:shd w:val="clear" w:color="auto" w:fill="EBFEFF"/>
          </w:tcPr>
          <w:p>
            <w:pPr>
              <w:spacing w:after="0"/>
              <w:rPr>
                <w:sz w:val="20"/>
                <w:szCs w:val="20"/>
                <w:color w:val="auto"/>
              </w:rPr>
            </w:pPr>
          </w:p>
        </w:tc>
        <w:tc>
          <w:tcPr>
            <w:tcW w:w="460" w:type="dxa"/>
            <w:vAlign w:val="bottom"/>
            <w:gridSpan w:val="2"/>
            <w:vMerge w:val="continue"/>
            <w:shd w:val="clear" w:color="auto" w:fill="EBFEFF"/>
          </w:tcPr>
          <w:p>
            <w:pPr>
              <w:spacing w:after="0"/>
              <w:rPr>
                <w:sz w:val="20"/>
                <w:szCs w:val="20"/>
                <w:color w:val="auto"/>
              </w:rPr>
            </w:pPr>
          </w:p>
        </w:tc>
        <w:tc>
          <w:tcPr>
            <w:tcW w:w="1180" w:type="dxa"/>
            <w:vAlign w:val="bottom"/>
            <w:vMerge w:val="continue"/>
            <w:shd w:val="clear" w:color="auto" w:fill="EBFEFF"/>
          </w:tcPr>
          <w:p>
            <w:pPr>
              <w:spacing w:after="0"/>
              <w:rPr>
                <w:sz w:val="20"/>
                <w:szCs w:val="20"/>
                <w:color w:val="auto"/>
              </w:rPr>
            </w:pPr>
          </w:p>
        </w:tc>
        <w:tc>
          <w:tcPr>
            <w:tcW w:w="420" w:type="dxa"/>
            <w:vAlign w:val="bottom"/>
            <w:gridSpan w:val="2"/>
            <w:vMerge w:val="continue"/>
            <w:shd w:val="clear" w:color="auto" w:fill="EBFEFF"/>
          </w:tcPr>
          <w:p>
            <w:pPr>
              <w:spacing w:after="0"/>
              <w:rPr>
                <w:sz w:val="20"/>
                <w:szCs w:val="20"/>
                <w:color w:val="auto"/>
              </w:rPr>
            </w:pPr>
          </w:p>
        </w:tc>
        <w:tc>
          <w:tcPr>
            <w:tcW w:w="1240" w:type="dxa"/>
            <w:vAlign w:val="bottom"/>
            <w:vMerge w:val="continue"/>
            <w:shd w:val="clear" w:color="auto" w:fill="EBFEFF"/>
          </w:tcPr>
          <w:p>
            <w:pPr>
              <w:spacing w:after="0"/>
              <w:rPr>
                <w:sz w:val="20"/>
                <w:szCs w:val="20"/>
                <w:color w:val="auto"/>
              </w:rPr>
            </w:pPr>
          </w:p>
        </w:tc>
        <w:tc>
          <w:tcPr>
            <w:tcW w:w="460" w:type="dxa"/>
            <w:vAlign w:val="bottom"/>
            <w:gridSpan w:val="2"/>
            <w:vMerge w:val="continue"/>
            <w:shd w:val="clear" w:color="auto" w:fill="EBFEFF"/>
          </w:tcPr>
          <w:p>
            <w:pPr>
              <w:spacing w:after="0"/>
              <w:rPr>
                <w:sz w:val="20"/>
                <w:szCs w:val="20"/>
                <w:color w:val="auto"/>
              </w:rPr>
            </w:pPr>
          </w:p>
        </w:tc>
        <w:tc>
          <w:tcPr>
            <w:tcW w:w="1180" w:type="dxa"/>
            <w:vAlign w:val="bottom"/>
            <w:vMerge w:val="continue"/>
            <w:shd w:val="clear" w:color="auto" w:fill="EBF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EBF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G42 Investments Transaction</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May 31, 2022, the Company and G42 Investments entered in to the G42 Purchase Agreement (see Note 3), pursuant to which the Company agreed to sell to G42 Investments 10,386,274 shares of the Company's Class A common stock at a price per share of approximately $2.41,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income/(expense) in the Company’s Condensed Consolidated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CinPax and CinRx Transaction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July 22, 2022 (the “Transaction Date”), the Company entered into the CinRx Purchase Agreement with CinPax and CinRx, pursuant to which the Company agreed to sell to CinPax 4,154,549 shares of the Company’s Class A common stock at a price per share of approximately $2.41, for an aggregate purchase price of $10.0 million, which was paid (i) $6.0 million in cash at the closing of the transaction and (ii) $4.0 million in the form of a non-interest-bearing promissory note with CinPax and was paid to the Company on November 22, 2022. The CinRx Purchase Agreement provides CinPax the right to nominate a director to be approved to sit on the Company’s Board of Directors and a board observer, which was subsequently approved by the Company’s board.</w:t>
      </w:r>
    </w:p>
    <w:p>
      <w:pPr>
        <w:spacing w:after="0" w:line="84"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6"/>
          <w:szCs w:val="16"/>
          <w:color w:val="auto"/>
        </w:rPr>
        <w:t>Common stock is generally recorded at fair value at the date of issuance. In determining the fair value of the Class A common stock issued to CinPax, the Company considered the closing price of the common stock on the Transaction Date. The Company did not make an adjustment to the fair value for sale restrictions on the stock in accordance with guidance recently adopted in ASU 2022-03. See the “Recently Issued Accounting Guidance” in</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quarterly report on Form 10-Q for details of the ASU. Accordingly, the Company determined that cash consideration of $3.0 million should be recorded as fair value of the Class A common stock at the effective date, utilizing the Class A common stock closing price of $0.72 at the effective date.</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CinRx Purchase Agreement also provides CinRx warrants to purchase up to 1,200,000 shares of common stock at an initial exercise of price of approximately $0.72 per share (the “CinRx Warrants”). The CinRx Warrants were initially measured at fair value of $0.4 million using the Black-Scholes option model at the time of issuance and will be recorded in Warrant liability related party in the Condensed Consolidated Balance Sheets and will be subsequently remeasured at fair value through earnings on a recurring basis. (see Note 13)</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Arial" w:cs="Arial" w:eastAsia="Arial" w:hAnsi="Arial"/>
          <w:sz w:val="18"/>
          <w:szCs w:val="18"/>
          <w:i w:val="1"/>
          <w:iCs w:val="1"/>
          <w:color w:val="auto"/>
        </w:rPr>
        <w:t>cadisegliatin (TTP399)</w:t>
      </w:r>
      <w:r>
        <w:rPr>
          <w:rFonts w:ascii="Arial" w:cs="Arial" w:eastAsia="Arial" w:hAnsi="Arial"/>
          <w:sz w:val="18"/>
          <w:szCs w:val="18"/>
          <w:color w:val="auto"/>
        </w:rPr>
        <w:t xml:space="preserve"> (the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10)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and six months ended June 30, 2023 and 2022, the Company did not sell any shares under the ATM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Capital Transaction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Purchase Agreement. During the three and six months ended June 30, 2023 and 2022, the Company did not sell any shares under the LPC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MacAndrews directly or indirectly controls 23,084,267 shares of Class B common stock. Further, as of June 30, 2023, MacAndrews directly or indirectly holds 36,519,212 shares of the Company’s Class A common stock. As a result, MacAndrews’ holdings represent approximately 57.0% of the combined voting power of the Company’s outstanding common stock.</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stock splits, stock dividends and reclassifications. Any decision to require an exchange for cash rather than shares of Class A common stock will ultimately be determined by the entire Board of Directors. As of June 30, 2023, MacAndrews had not exchanged any shares under the provisions of the Exchange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June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G42 Investments</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31, 2022, the Company entered into a common stock purchase agreement with G42 Investments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on May 31, 2023 (the “G42 Promissory Note”). As part of the G42 Purchase Agreement, G42 Investments put forward a director as appointee and the Company’s board of directors appointed the new director to the Company’s board on July 11, 2022. On February 28, 2023, the Company and G42 Investments entered into an amendment of the common stock purchase agreement pursuant to which G42 Investments agreed to accelerate payment of the amount due under the G42 Promissory Note. On February 28, 2023, the Company received $12.0 million from G42 Investments, which represented a 3.75% discount to the full amount due under the G42 Promissory Note, in full and final satisfaction of the promissory note, resulting in a loss of $0.3 million and was recognized as a component of other income/(expense) in the Company’s Condensed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CinRx Pharma,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Services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July 22, 2022, the Company entered into a Master Services Agreement with CinRx Pharma, LLC (“CinRx”) (the “CinRx MSA”). Under the CinRx MSA, CinRx provides the Company with consulting and clinical trial services, as enumerated in project proposals negotiated between the Company and CinRx from time to time. As of October 10, 2022, the Company agreed to pay CinRx fees of up to $0.2 million per month until approximately December 2024 in respect of ongoing agreed project proposals under the CinRx MSA, plus out-of-pocket expenses incurred by CinRx on the Company’s behalf. Dr. Jonathan Isaacsohn, who was appointed as chair of the Company’s board of directors on August 9, 2022, is the President and Chief Executive Officer of CinRx. CinPax, LLC, a subsidiary of CinRx, currently holds 4,154,549 shares of the Company’s Class A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is subject to U.S. federal income taxes as well as state taxes. The Company did not record an income tax provision for the three and six months ended June 30, 2023. The Company’s income tax provision for the six months ended June 30, 2022 was $0.2 million representing foreign withholding taxes incurred in connection with payments received under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agreements with foreign entities. The Company did not record an income tax provision for the three months ended June 30, 2022.</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 likely than not that the deferred tax assets will not be realized. The difference between the effective tax rate of the Company and the U.S. statutory tax rate of 21% on June 30, 2023 is due to the valuation allowance against the Company’s expected net operating losses.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94" w:lineRule="exact"/>
        <w:rPr>
          <w:sz w:val="20"/>
          <w:szCs w:val="20"/>
          <w:color w:val="auto"/>
        </w:rPr>
      </w:pPr>
    </w:p>
    <w:p>
      <w:pPr>
        <w:ind w:left="5360"/>
        <w:spacing w:after="0"/>
        <w:tabs>
          <w:tab w:leader="none" w:pos="8600" w:val="left"/>
        </w:tabs>
        <w:rPr>
          <w:sz w:val="20"/>
          <w:szCs w:val="20"/>
          <w:color w:val="auto"/>
        </w:rPr>
      </w:pPr>
      <w:r>
        <w:rPr>
          <w:rFonts w:ascii="Arial" w:cs="Arial" w:eastAsia="Arial" w:hAnsi="Arial"/>
          <w:sz w:val="14"/>
          <w:szCs w:val="14"/>
          <w:b w:val="1"/>
          <w:bCs w:val="1"/>
          <w:color w:val="auto"/>
        </w:rPr>
        <w:t>For the Three Months Ended June 30,</w:t>
      </w:r>
      <w:r>
        <w:rPr>
          <w:sz w:val="20"/>
          <w:szCs w:val="20"/>
          <w:color w:val="auto"/>
        </w:rPr>
        <w:tab/>
      </w:r>
      <w:r>
        <w:rPr>
          <w:rFonts w:ascii="Arial" w:cs="Arial" w:eastAsia="Arial" w:hAnsi="Arial"/>
          <w:sz w:val="12"/>
          <w:szCs w:val="12"/>
          <w:b w:val="1"/>
          <w:bCs w:val="1"/>
          <w:color w:val="auto"/>
        </w:rPr>
        <w:t>For the Six Months Ended June 30,</w:t>
      </w:r>
    </w:p>
    <w:p>
      <w:pPr>
        <w:spacing w:after="0" w:line="42" w:lineRule="exact"/>
        <w:rPr>
          <w:sz w:val="20"/>
          <w:szCs w:val="20"/>
          <w:color w:val="auto"/>
        </w:rPr>
      </w:pPr>
    </w:p>
    <w:p>
      <w:pPr>
        <w:ind w:left="5580"/>
        <w:spacing w:after="0"/>
        <w:tabs>
          <w:tab w:leader="none" w:pos="7160" w:val="left"/>
          <w:tab w:leader="none" w:pos="8740" w:val="left"/>
          <w:tab w:leader="none" w:pos="103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23495</wp:posOffset>
            </wp:positionV>
            <wp:extent cx="3977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42"/>
        </w:trPr>
        <w:tc>
          <w:tcPr>
            <w:tcW w:w="4960" w:type="dxa"/>
            <w:vAlign w:val="bottom"/>
          </w:tcPr>
          <w:p>
            <w:pPr>
              <w:ind w:left="16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160"/>
              <w:spacing w:after="0" w:line="189" w:lineRule="exact"/>
              <w:rPr>
                <w:sz w:val="20"/>
                <w:szCs w:val="20"/>
                <w:color w:val="auto"/>
              </w:rPr>
            </w:pPr>
            <w:r>
              <w:rPr>
                <w:rFonts w:ascii="Arial" w:cs="Arial" w:eastAsia="Arial" w:hAnsi="Arial"/>
                <w:sz w:val="18"/>
                <w:szCs w:val="18"/>
                <w:color w:val="auto"/>
                <w:w w:val="91"/>
              </w:rPr>
              <w:t>Net loss attributable to common shareholders of vTv Therapeutics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340"/>
              <w:spacing w:after="0"/>
              <w:rPr>
                <w:sz w:val="20"/>
                <w:szCs w:val="20"/>
                <w:color w:val="auto"/>
              </w:rPr>
            </w:pPr>
            <w:r>
              <w:rPr>
                <w:rFonts w:ascii="Arial" w:cs="Arial" w:eastAsia="Arial" w:hAnsi="Arial"/>
                <w:sz w:val="18"/>
                <w:szCs w:val="18"/>
                <w:color w:val="auto"/>
              </w:rPr>
              <w:t>Inc., basic and diluted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160"/>
              <w:spacing w:after="0" w:line="189" w:lineRule="exact"/>
              <w:rPr>
                <w:sz w:val="20"/>
                <w:szCs w:val="20"/>
                <w:color w:val="auto"/>
              </w:rPr>
            </w:pPr>
            <w:r>
              <w:rPr>
                <w:rFonts w:ascii="Arial" w:cs="Arial" w:eastAsia="Arial" w:hAnsi="Arial"/>
                <w:sz w:val="18"/>
                <w:szCs w:val="18"/>
                <w:color w:val="auto"/>
                <w:w w:val="92"/>
              </w:rPr>
              <w:t>Weighted average vTv Therapeutics Inc. Class A common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160"/>
              <w:spacing w:after="0" w:line="176" w:lineRule="exact"/>
              <w:rPr>
                <w:sz w:val="20"/>
                <w:szCs w:val="20"/>
                <w:color w:val="auto"/>
              </w:rPr>
            </w:pPr>
            <w:r>
              <w:rPr>
                <w:rFonts w:ascii="Arial" w:cs="Arial" w:eastAsia="Arial" w:hAnsi="Arial"/>
                <w:sz w:val="18"/>
                <w:szCs w:val="18"/>
                <w:color w:val="auto"/>
                <w:w w:val="98"/>
              </w:rPr>
              <w:t>Net loss per share of vTv Therapeutics Inc. Class A common</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30"/>
        </w:trPr>
        <w:tc>
          <w:tcPr>
            <w:tcW w:w="4960" w:type="dxa"/>
            <w:vAlign w:val="bottom"/>
          </w:tcPr>
          <w:p>
            <w:pPr>
              <w:ind w:left="340"/>
              <w:spacing w:after="0"/>
              <w:rPr>
                <w:sz w:val="20"/>
                <w:szCs w:val="20"/>
                <w:color w:val="auto"/>
              </w:rPr>
            </w:pPr>
            <w:r>
              <w:rPr>
                <w:rFonts w:ascii="Arial" w:cs="Arial" w:eastAsia="Arial" w:hAnsi="Arial"/>
                <w:sz w:val="18"/>
                <w:szCs w:val="18"/>
                <w:color w:val="auto"/>
              </w:rPr>
              <w:t>stock, basic and diluted</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30"/>
              <w:spacing w:after="0"/>
              <w:rPr>
                <w:sz w:val="20"/>
                <w:szCs w:val="20"/>
                <w:color w:val="auto"/>
              </w:rPr>
            </w:pPr>
            <w:r>
              <w:rPr>
                <w:rFonts w:ascii="Arial" w:cs="Arial" w:eastAsia="Arial" w:hAnsi="Arial"/>
                <w:sz w:val="18"/>
                <w:szCs w:val="18"/>
                <w:color w:val="auto"/>
              </w:rPr>
              <w:t>(7,211)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(12,985)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(13,515)</w:t>
            </w:r>
          </w:p>
        </w:tc>
      </w:tr>
      <w:tr>
        <w:trPr>
          <w:trHeight w:val="237"/>
        </w:trPr>
        <w:tc>
          <w:tcPr>
            <w:tcW w:w="98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r>
      <w:tr>
        <w:trPr>
          <w:trHeight w:val="391"/>
        </w:trPr>
        <w:tc>
          <w:tcPr>
            <w:tcW w:w="980" w:type="dxa"/>
            <w:vAlign w:val="bottom"/>
          </w:tcPr>
          <w:p>
            <w:pPr>
              <w:jc w:val="right"/>
              <w:ind w:right="30"/>
              <w:spacing w:after="0"/>
              <w:rPr>
                <w:sz w:val="20"/>
                <w:szCs w:val="20"/>
                <w:color w:val="auto"/>
              </w:rPr>
            </w:pPr>
            <w:r>
              <w:rPr>
                <w:rFonts w:ascii="Arial" w:cs="Arial" w:eastAsia="Arial" w:hAnsi="Arial"/>
                <w:sz w:val="18"/>
                <w:szCs w:val="18"/>
                <w:color w:val="auto"/>
              </w:rPr>
              <w:t>(5,619)</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(10,158)</w:t>
            </w:r>
          </w:p>
        </w:tc>
      </w:tr>
      <w:tr>
        <w:trPr>
          <w:trHeight w:val="628"/>
        </w:trPr>
        <w:tc>
          <w:tcPr>
            <w:tcW w:w="980" w:type="dxa"/>
            <w:vAlign w:val="bottom"/>
          </w:tcPr>
          <w:p>
            <w:pPr>
              <w:jc w:val="right"/>
              <w:ind w:right="70"/>
              <w:spacing w:after="0"/>
              <w:rPr>
                <w:sz w:val="20"/>
                <w:szCs w:val="20"/>
                <w:color w:val="auto"/>
              </w:rPr>
            </w:pPr>
            <w:r>
              <w:rPr>
                <w:rFonts w:ascii="Arial" w:cs="Arial" w:eastAsia="Arial" w:hAnsi="Arial"/>
                <w:sz w:val="18"/>
                <w:szCs w:val="18"/>
                <w:color w:val="auto"/>
                <w:w w:val="88"/>
              </w:rPr>
              <w:t>81,483,600</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70,366,823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81,483,600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68,664,259</w:t>
            </w:r>
          </w:p>
        </w:tc>
      </w:tr>
      <w:tr>
        <w:trPr>
          <w:trHeight w:val="379"/>
        </w:trPr>
        <w:tc>
          <w:tcPr>
            <w:tcW w:w="98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9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-1405255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-1113790</wp:posOffset>
            </wp:positionV>
            <wp:extent cx="7132320" cy="565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-290830</wp:posOffset>
            </wp:positionV>
            <wp:extent cx="71323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080" w:space="500"/>
            <w:col w:w="5660"/>
          </w:cols>
          <w:pgMar w:left="320" w:top="233" w:right="339" w:bottom="1440" w:gutter="0" w:footer="0" w:header="0"/>
          <w:type w:val="continuous"/>
        </w:sectPr>
      </w:pPr>
    </w:p>
    <w:p>
      <w:pPr>
        <w:ind w:left="500"/>
        <w:spacing w:after="0"/>
        <w:rPr>
          <w:sz w:val="20"/>
          <w:szCs w:val="20"/>
          <w:color w:val="auto"/>
        </w:rPr>
      </w:pPr>
      <w:r>
        <w:rPr>
          <w:rFonts w:ascii="Arial" w:cs="Arial" w:eastAsia="Arial" w:hAnsi="Arial"/>
          <w:sz w:val="18"/>
          <w:szCs w:val="18"/>
          <w:color w:val="auto"/>
        </w:rPr>
        <w:t>Potentially dilutive securities not included in the calculation of dilutive net loss per share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4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460" w:type="dxa"/>
            <w:vAlign w:val="bottom"/>
          </w:tcPr>
          <w:p>
            <w:pPr>
              <w:jc w:val="right"/>
              <w:ind w:right="236"/>
              <w:spacing w:after="0"/>
              <w:rPr>
                <w:sz w:val="20"/>
                <w:szCs w:val="20"/>
                <w:color w:val="auto"/>
              </w:rPr>
            </w:pPr>
            <w:r>
              <w:rPr>
                <w:rFonts w:ascii="Arial" w:cs="Arial" w:eastAsia="Arial" w:hAnsi="Arial"/>
                <w:sz w:val="14"/>
                <w:szCs w:val="14"/>
                <w:b w:val="1"/>
                <w:bCs w:val="1"/>
                <w:color w:val="auto"/>
              </w:rPr>
              <w:t>June 30, 2022</w:t>
            </w:r>
          </w:p>
        </w:tc>
      </w:tr>
      <w:tr>
        <w:trPr>
          <w:trHeight w:val="25"/>
        </w:trPr>
        <w:tc>
          <w:tcPr>
            <w:tcW w:w="8200" w:type="dxa"/>
            <w:vAlign w:val="bottom"/>
            <w:tcBorders>
              <w:bottom w:val="single" w:sz="8" w:color="EBF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EBFEFF"/>
          </w:tcPr>
          <w:p>
            <w:pPr>
              <w:ind w:left="20"/>
              <w:spacing w:after="0" w:line="223" w:lineRule="exact"/>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23"/>
                <w:szCs w:val="23"/>
                <w:color w:val="auto"/>
                <w:vertAlign w:val="superscript"/>
              </w:rPr>
              <w:t>(1)</w:t>
            </w:r>
          </w:p>
        </w:tc>
        <w:tc>
          <w:tcPr>
            <w:tcW w:w="1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23,093,860</w:t>
            </w:r>
          </w:p>
        </w:tc>
        <w:tc>
          <w:tcPr>
            <w:tcW w:w="100" w:type="dxa"/>
            <w:vAlign w:val="bottom"/>
            <w:shd w:val="clear" w:color="auto" w:fill="EBFEFF"/>
          </w:tcPr>
          <w:p>
            <w:pPr>
              <w:spacing w:after="0"/>
              <w:rPr>
                <w:sz w:val="19"/>
                <w:szCs w:val="19"/>
                <w:color w:val="auto"/>
              </w:rPr>
            </w:pPr>
          </w:p>
        </w:tc>
        <w:tc>
          <w:tcPr>
            <w:tcW w:w="1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23,093,860</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Common stock options granted under the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9,545,439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5,384,527</w:t>
            </w:r>
          </w:p>
        </w:tc>
      </w:tr>
      <w:tr>
        <w:trPr>
          <w:trHeight w:val="236"/>
        </w:trPr>
        <w:tc>
          <w:tcPr>
            <w:tcW w:w="8200" w:type="dxa"/>
            <w:vAlign w:val="bottom"/>
            <w:shd w:val="clear" w:color="auto" w:fill="EBFEFF"/>
          </w:tcPr>
          <w:p>
            <w:pPr>
              <w:ind w:left="20"/>
              <w:spacing w:after="0"/>
              <w:rPr>
                <w:sz w:val="20"/>
                <w:szCs w:val="20"/>
                <w:color w:val="auto"/>
              </w:rPr>
            </w:pPr>
            <w:r>
              <w:rPr>
                <w:rFonts w:ascii="Arial" w:cs="Arial" w:eastAsia="Arial" w:hAnsi="Arial"/>
                <w:sz w:val="18"/>
                <w:szCs w:val="18"/>
                <w:color w:val="auto"/>
              </w:rPr>
              <w:t>Common stock warrants</w:t>
            </w:r>
          </w:p>
        </w:tc>
        <w:tc>
          <w:tcPr>
            <w:tcW w:w="14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3,214,503</w:t>
            </w:r>
          </w:p>
        </w:tc>
        <w:tc>
          <w:tcPr>
            <w:tcW w:w="1560" w:type="dxa"/>
            <w:vAlign w:val="bottom"/>
            <w:gridSpan w:val="2"/>
            <w:shd w:val="clear" w:color="auto" w:fill="EBFEFF"/>
          </w:tcPr>
          <w:p>
            <w:pPr>
              <w:jc w:val="right"/>
              <w:spacing w:after="0"/>
              <w:rPr>
                <w:sz w:val="20"/>
                <w:szCs w:val="20"/>
                <w:color w:val="auto"/>
              </w:rPr>
            </w:pPr>
            <w:r>
              <w:rPr>
                <w:rFonts w:ascii="Arial" w:cs="Arial" w:eastAsia="Arial" w:hAnsi="Arial"/>
                <w:sz w:val="18"/>
                <w:szCs w:val="18"/>
                <w:color w:val="auto"/>
              </w:rPr>
              <w:t>2,014,503</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35,853,802</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30,492,890</w:t>
            </w:r>
          </w:p>
        </w:tc>
      </w:tr>
      <w:tr>
        <w:trPr>
          <w:trHeight w:val="20"/>
        </w:trPr>
        <w:tc>
          <w:tcPr>
            <w:tcW w:w="8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71" w:lineRule="exact"/>
        <w:rPr>
          <w:sz w:val="20"/>
          <w:szCs w:val="20"/>
          <w:color w:val="auto"/>
        </w:rPr>
      </w:pPr>
    </w:p>
    <w:p>
      <w:pPr>
        <w:jc w:val="both"/>
        <w:ind w:left="960" w:right="220" w:hanging="470"/>
        <w:spacing w:after="0" w:line="228" w:lineRule="auto"/>
        <w:tabs>
          <w:tab w:leader="none" w:pos="9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note receivable, accounts payable and other accrued liabilities approximate fair value due to their short-term nature.</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measures the value of its equity investments without readily determinable fair values at cost minus impairment, if any, plus or minus changes resulting from observable price changes in orderly transactions for the identical or similar investment. During the year ended December 31,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Company determined that the G42 Promissory Note receivable was level 2 and the fair value measurement was based on the market yield curves. The following table summarizes the conclusions reached regarding fair value measurements as of June 30, 2023 and December 31, 2022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 Active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0"/>
              </w:rPr>
              <w:t>Balance at June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18"/>
              <w:spacing w:after="0" w:line="145"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38"/>
              <w:spacing w:after="0" w:line="13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right="99"/>
              <w:spacing w:after="0" w:line="13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3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30, 2023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5240" w:type="dxa"/>
            <w:vAlign w:val="bottom"/>
            <w:tcBorders>
              <w:bottom w:val="single" w:sz="8" w:color="EBFEFF"/>
            </w:tcBorders>
          </w:tcPr>
          <w:p>
            <w:pPr>
              <w:spacing w:after="0"/>
              <w:rPr>
                <w:sz w:val="2"/>
                <w:szCs w:val="2"/>
                <w:color w:val="auto"/>
              </w:rPr>
            </w:pPr>
          </w:p>
        </w:tc>
        <w:tc>
          <w:tcPr>
            <w:tcW w:w="20" w:type="dxa"/>
            <w:vAlign w:val="bottom"/>
            <w:tcBorders>
              <w:bottom w:val="single" w:sz="8" w:color="EBF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EBF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BF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EBFEFF"/>
          </w:tcPr>
          <w:p>
            <w:pPr>
              <w:spacing w:after="0"/>
              <w:rPr>
                <w:sz w:val="18"/>
                <w:szCs w:val="18"/>
                <w:color w:val="auto"/>
              </w:rPr>
            </w:pPr>
          </w:p>
        </w:tc>
        <w:tc>
          <w:tcPr>
            <w:tcW w:w="1120" w:type="dxa"/>
            <w:vAlign w:val="bottom"/>
            <w:shd w:val="clear" w:color="auto" w:fill="EBFEFF"/>
          </w:tcPr>
          <w:p>
            <w:pPr>
              <w:spacing w:after="0"/>
              <w:rPr>
                <w:sz w:val="18"/>
                <w:szCs w:val="18"/>
                <w:color w:val="auto"/>
              </w:rPr>
            </w:pPr>
          </w:p>
        </w:tc>
        <w:tc>
          <w:tcPr>
            <w:tcW w:w="80" w:type="dxa"/>
            <w:vAlign w:val="bottom"/>
            <w:shd w:val="clear" w:color="auto" w:fill="EBFEFF"/>
          </w:tcPr>
          <w:p>
            <w:pPr>
              <w:spacing w:after="0"/>
              <w:rPr>
                <w:sz w:val="18"/>
                <w:szCs w:val="18"/>
                <w:color w:val="auto"/>
              </w:rPr>
            </w:pPr>
          </w:p>
        </w:tc>
        <w:tc>
          <w:tcPr>
            <w:tcW w:w="120" w:type="dxa"/>
            <w:vAlign w:val="bottom"/>
            <w:shd w:val="clear" w:color="auto" w:fill="EBFEFF"/>
          </w:tcPr>
          <w:p>
            <w:pPr>
              <w:spacing w:after="0"/>
              <w:rPr>
                <w:sz w:val="18"/>
                <w:szCs w:val="18"/>
                <w:color w:val="auto"/>
              </w:rPr>
            </w:pPr>
          </w:p>
        </w:tc>
        <w:tc>
          <w:tcPr>
            <w:tcW w:w="142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180" w:type="dxa"/>
            <w:vAlign w:val="bottom"/>
            <w:shd w:val="clear" w:color="auto" w:fill="EBFEFF"/>
          </w:tcPr>
          <w:p>
            <w:pPr>
              <w:spacing w:after="0"/>
              <w:rPr>
                <w:sz w:val="18"/>
                <w:szCs w:val="18"/>
                <w:color w:val="auto"/>
              </w:rPr>
            </w:pPr>
          </w:p>
        </w:tc>
        <w:tc>
          <w:tcPr>
            <w:tcW w:w="138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240" w:type="dxa"/>
            <w:vAlign w:val="bottom"/>
            <w:shd w:val="clear" w:color="auto" w:fill="EBFEFF"/>
          </w:tcPr>
          <w:p>
            <w:pPr>
              <w:spacing w:after="0"/>
              <w:rPr>
                <w:sz w:val="18"/>
                <w:szCs w:val="18"/>
                <w:color w:val="auto"/>
              </w:rPr>
            </w:pPr>
          </w:p>
        </w:tc>
        <w:tc>
          <w:tcPr>
            <w:tcW w:w="1140" w:type="dxa"/>
            <w:vAlign w:val="bottom"/>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5260" w:type="dxa"/>
            <w:vAlign w:val="bottom"/>
            <w:tcBorders>
              <w:top w:val="single" w:sz="8" w:color="EBFEFF"/>
              <w:bottom w:val="single" w:sz="8" w:color="EBFEFF"/>
            </w:tcBorders>
            <w:gridSpan w:val="2"/>
            <w:shd w:val="clear" w:color="auto" w:fill="EBFEFF"/>
          </w:tcPr>
          <w:p>
            <w:pPr>
              <w:jc w:val="right"/>
              <w:ind w:right="44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EBF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Borders>
              <w:top w:val="single" w:sz="8" w:color="EBFEFF"/>
              <w:bottom w:val="single" w:sz="8" w:color="EBFEFF"/>
            </w:tcBorders>
            <w:shd w:val="clear" w:color="auto" w:fill="EBFEFF"/>
          </w:tcPr>
          <w:p>
            <w:pPr>
              <w:spacing w:after="0"/>
              <w:rPr>
                <w:sz w:val="21"/>
                <w:szCs w:val="21"/>
                <w:color w:val="auto"/>
              </w:rPr>
            </w:pPr>
          </w:p>
        </w:tc>
        <w:tc>
          <w:tcPr>
            <w:tcW w:w="1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BF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40" w:type="dxa"/>
            <w:vAlign w:val="bottom"/>
            <w:tcBorders>
              <w:top w:val="single" w:sz="8" w:color="auto"/>
              <w:bottom w:val="single" w:sz="8" w:color="auto"/>
            </w:tcBorders>
            <w:shd w:val="clear" w:color="auto" w:fill="EBF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Borders>
              <w:top w:val="single" w:sz="8" w:color="EBFEFF"/>
            </w:tcBorders>
          </w:tcPr>
          <w:p>
            <w:pPr>
              <w:spacing w:after="0" w:line="20" w:lineRule="exact"/>
              <w:rPr>
                <w:sz w:val="1"/>
                <w:szCs w:val="1"/>
                <w:color w:val="auto"/>
              </w:rPr>
            </w:pPr>
          </w:p>
        </w:tc>
        <w:tc>
          <w:tcPr>
            <w:tcW w:w="20" w:type="dxa"/>
            <w:vAlign w:val="bottom"/>
            <w:tcBorders>
              <w:top w:val="single" w:sz="8" w:color="EBFEFF"/>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20" w:type="dxa"/>
            <w:vAlign w:val="bottom"/>
            <w:tcBorders>
              <w:top w:val="single" w:sz="8" w:color="EBFEFF"/>
              <w:bottom w:val="single" w:sz="8" w:color="auto"/>
            </w:tcBorders>
          </w:tcPr>
          <w:p>
            <w:pPr>
              <w:spacing w:after="0" w:line="20" w:lineRule="exact"/>
              <w:rPr>
                <w:sz w:val="1"/>
                <w:szCs w:val="1"/>
                <w:color w:val="auto"/>
              </w:rPr>
            </w:pPr>
          </w:p>
        </w:tc>
        <w:tc>
          <w:tcPr>
            <w:tcW w:w="14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13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40" w:type="dxa"/>
            <w:vAlign w:val="bottom"/>
            <w:tcBorders>
              <w:top w:val="single" w:sz="8" w:color="EBFEFF"/>
              <w:bottom w:val="single" w:sz="8" w:color="auto"/>
            </w:tcBorders>
          </w:tcPr>
          <w:p>
            <w:pPr>
              <w:spacing w:after="0" w:line="20" w:lineRule="exact"/>
              <w:rPr>
                <w:sz w:val="1"/>
                <w:szCs w:val="1"/>
                <w:color w:val="auto"/>
              </w:rPr>
            </w:pPr>
          </w:p>
        </w:tc>
        <w:tc>
          <w:tcPr>
            <w:tcW w:w="114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EBFEFF"/>
          </w:tcPr>
          <w:p>
            <w:pPr>
              <w:jc w:val="right"/>
              <w:ind w:right="4400"/>
              <w:spacing w:after="0"/>
              <w:rPr>
                <w:sz w:val="20"/>
                <w:szCs w:val="20"/>
                <w:color w:val="auto"/>
              </w:rPr>
            </w:pPr>
            <w:r>
              <w:rPr>
                <w:rFonts w:ascii="Arial" w:cs="Arial" w:eastAsia="Arial" w:hAnsi="Arial"/>
                <w:sz w:val="18"/>
                <w:szCs w:val="18"/>
                <w:b w:val="1"/>
                <w:bCs w:val="1"/>
                <w:color w:val="auto"/>
                <w:w w:val="94"/>
              </w:rPr>
              <w:t>Liabilities:</w:t>
            </w:r>
          </w:p>
        </w:tc>
        <w:tc>
          <w:tcPr>
            <w:tcW w:w="100" w:type="dxa"/>
            <w:vAlign w:val="bottom"/>
            <w:shd w:val="clear" w:color="auto" w:fill="EBFEFF"/>
          </w:tcPr>
          <w:p>
            <w:pPr>
              <w:spacing w:after="0"/>
              <w:rPr>
                <w:sz w:val="19"/>
                <w:szCs w:val="19"/>
                <w:color w:val="auto"/>
              </w:rPr>
            </w:pPr>
          </w:p>
        </w:tc>
        <w:tc>
          <w:tcPr>
            <w:tcW w:w="1120" w:type="dxa"/>
            <w:vAlign w:val="bottom"/>
            <w:shd w:val="clear" w:color="auto" w:fill="EBFEFF"/>
          </w:tcPr>
          <w:p>
            <w:pPr>
              <w:spacing w:after="0"/>
              <w:rPr>
                <w:sz w:val="19"/>
                <w:szCs w:val="19"/>
                <w:color w:val="auto"/>
              </w:rPr>
            </w:pPr>
          </w:p>
        </w:tc>
        <w:tc>
          <w:tcPr>
            <w:tcW w:w="80" w:type="dxa"/>
            <w:vAlign w:val="bottom"/>
            <w:shd w:val="clear" w:color="auto" w:fill="EBFEFF"/>
          </w:tcPr>
          <w:p>
            <w:pPr>
              <w:spacing w:after="0"/>
              <w:rPr>
                <w:sz w:val="19"/>
                <w:szCs w:val="19"/>
                <w:color w:val="auto"/>
              </w:rPr>
            </w:pPr>
          </w:p>
        </w:tc>
        <w:tc>
          <w:tcPr>
            <w:tcW w:w="120" w:type="dxa"/>
            <w:vAlign w:val="bottom"/>
            <w:shd w:val="clear" w:color="auto" w:fill="EBFEFF"/>
          </w:tcPr>
          <w:p>
            <w:pPr>
              <w:spacing w:after="0"/>
              <w:rPr>
                <w:sz w:val="19"/>
                <w:szCs w:val="19"/>
                <w:color w:val="auto"/>
              </w:rPr>
            </w:pPr>
          </w:p>
        </w:tc>
        <w:tc>
          <w:tcPr>
            <w:tcW w:w="142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180" w:type="dxa"/>
            <w:vAlign w:val="bottom"/>
            <w:shd w:val="clear" w:color="auto" w:fill="EBFEFF"/>
          </w:tcPr>
          <w:p>
            <w:pPr>
              <w:spacing w:after="0"/>
              <w:rPr>
                <w:sz w:val="19"/>
                <w:szCs w:val="19"/>
                <w:color w:val="auto"/>
              </w:rPr>
            </w:pPr>
          </w:p>
        </w:tc>
        <w:tc>
          <w:tcPr>
            <w:tcW w:w="138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40" w:type="dxa"/>
            <w:vAlign w:val="bottom"/>
            <w:shd w:val="clear" w:color="auto" w:fill="EBFEFF"/>
          </w:tcPr>
          <w:p>
            <w:pPr>
              <w:spacing w:after="0"/>
              <w:rPr>
                <w:sz w:val="19"/>
                <w:szCs w:val="19"/>
                <w:color w:val="auto"/>
              </w:rPr>
            </w:pPr>
          </w:p>
        </w:tc>
        <w:tc>
          <w:tcPr>
            <w:tcW w:w="1140" w:type="dxa"/>
            <w:vAlign w:val="bottom"/>
            <w:shd w:val="clear" w:color="auto" w:fill="EBF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40"/>
              <w:spacing w:after="0" w:line="243" w:lineRule="exact"/>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23"/>
                <w:szCs w:val="23"/>
                <w:color w:val="auto"/>
                <w:vertAlign w:val="superscript"/>
              </w:rPr>
              <w:t>(1)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8"/>
        </w:trPr>
        <w:tc>
          <w:tcPr>
            <w:tcW w:w="5260" w:type="dxa"/>
            <w:vAlign w:val="bottom"/>
            <w:tcBorders>
              <w:top w:val="single" w:sz="8" w:color="EBFEFF"/>
              <w:bottom w:val="single" w:sz="8" w:color="EBFEFF"/>
            </w:tcBorders>
            <w:gridSpan w:val="2"/>
            <w:shd w:val="clear" w:color="auto" w:fill="EBFEFF"/>
          </w:tcPr>
          <w:p>
            <w:pPr>
              <w:jc w:val="right"/>
              <w:ind w:right="44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EBF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top w:val="single" w:sz="8" w:color="EBFEFF"/>
              <w:bottom w:val="single" w:sz="8" w:color="EBFEFF"/>
            </w:tcBorders>
            <w:shd w:val="clear" w:color="auto" w:fill="EBFEFF"/>
          </w:tcPr>
          <w:p>
            <w:pPr>
              <w:spacing w:after="0"/>
              <w:rPr>
                <w:sz w:val="21"/>
                <w:szCs w:val="21"/>
                <w:color w:val="auto"/>
              </w:rPr>
            </w:pPr>
          </w:p>
        </w:tc>
        <w:tc>
          <w:tcPr>
            <w:tcW w:w="1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BF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40" w:type="dxa"/>
            <w:vAlign w:val="bottom"/>
            <w:tcBorders>
              <w:top w:val="single" w:sz="8" w:color="auto"/>
              <w:bottom w:val="single" w:sz="8" w:color="auto"/>
            </w:tcBorders>
            <w:shd w:val="clear" w:color="auto" w:fill="EBF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5240" w:type="dxa"/>
            <w:vAlign w:val="bottom"/>
            <w:tcBorders>
              <w:top w:val="single" w:sz="8" w:color="EBFEFF"/>
            </w:tcBorders>
          </w:tcPr>
          <w:p>
            <w:pPr>
              <w:spacing w:after="0" w:line="20" w:lineRule="exact"/>
              <w:rPr>
                <w:sz w:val="1"/>
                <w:szCs w:val="1"/>
                <w:color w:val="auto"/>
              </w:rPr>
            </w:pPr>
          </w:p>
        </w:tc>
        <w:tc>
          <w:tcPr>
            <w:tcW w:w="20" w:type="dxa"/>
            <w:vAlign w:val="bottom"/>
            <w:tcBorders>
              <w:top w:val="single" w:sz="8" w:color="EBFEFF"/>
            </w:tcBorders>
          </w:tcPr>
          <w:p>
            <w:pPr>
              <w:spacing w:after="0" w:line="20" w:lineRule="exact"/>
              <w:rPr>
                <w:sz w:val="1"/>
                <w:szCs w:val="1"/>
                <w:color w:val="auto"/>
              </w:rPr>
            </w:pPr>
          </w:p>
        </w:tc>
        <w:tc>
          <w:tcPr>
            <w:tcW w:w="10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1540" w:type="dxa"/>
            <w:vAlign w:val="bottom"/>
            <w:tcBorders>
              <w:top w:val="single" w:sz="8" w:color="EBFEFF"/>
              <w:bottom w:val="single" w:sz="8" w:color="auto"/>
            </w:tcBorders>
            <w:gridSpan w:val="2"/>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13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40" w:type="dxa"/>
            <w:vAlign w:val="bottom"/>
            <w:tcBorders>
              <w:top w:val="single" w:sz="8" w:color="EBFEFF"/>
              <w:bottom w:val="single" w:sz="8" w:color="auto"/>
            </w:tcBorders>
          </w:tcPr>
          <w:p>
            <w:pPr>
              <w:spacing w:after="0" w:line="20" w:lineRule="exact"/>
              <w:rPr>
                <w:sz w:val="1"/>
                <w:szCs w:val="1"/>
                <w:color w:val="auto"/>
              </w:rPr>
            </w:pPr>
          </w:p>
        </w:tc>
        <w:tc>
          <w:tcPr>
            <w:tcW w:w="114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 Active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18"/>
              <w:spacing w:after="0" w:line="13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right="79"/>
              <w:spacing w:after="0" w:line="13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EBFEFF"/>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20" w:type="dxa"/>
            <w:vAlign w:val="bottom"/>
            <w:tcBorders>
              <w:bottom w:val="single" w:sz="8" w:color="auto"/>
            </w:tcBorders>
            <w:shd w:val="clear" w:color="auto" w:fill="EBFEFF"/>
          </w:tcPr>
          <w:p>
            <w:pPr>
              <w:spacing w:after="0"/>
              <w:rPr>
                <w:sz w:val="21"/>
                <w:szCs w:val="21"/>
                <w:color w:val="auto"/>
              </w:rPr>
            </w:pPr>
          </w:p>
        </w:tc>
        <w:tc>
          <w:tcPr>
            <w:tcW w:w="100" w:type="dxa"/>
            <w:vAlign w:val="bottom"/>
            <w:tcBorders>
              <w:bottom w:val="single" w:sz="8" w:color="auto"/>
            </w:tcBorders>
            <w:shd w:val="clear" w:color="auto" w:fill="EBF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EBFEFF"/>
          </w:tcPr>
          <w:p>
            <w:pPr>
              <w:spacing w:after="0"/>
              <w:rPr>
                <w:sz w:val="21"/>
                <w:szCs w:val="21"/>
                <w:color w:val="auto"/>
              </w:rPr>
            </w:pPr>
          </w:p>
        </w:tc>
        <w:tc>
          <w:tcPr>
            <w:tcW w:w="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EBFEFF"/>
          </w:tcPr>
          <w:p>
            <w:pPr>
              <w:spacing w:after="0"/>
              <w:rPr>
                <w:sz w:val="21"/>
                <w:szCs w:val="21"/>
                <w:color w:val="auto"/>
              </w:rPr>
            </w:pPr>
          </w:p>
        </w:tc>
        <w:tc>
          <w:tcPr>
            <w:tcW w:w="18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BFEFF"/>
          </w:tcPr>
          <w:p>
            <w:pPr>
              <w:ind w:left="1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21"/>
                <w:szCs w:val="21"/>
                <w:color w:val="auto"/>
              </w:rPr>
            </w:pPr>
          </w:p>
        </w:tc>
        <w:tc>
          <w:tcPr>
            <w:tcW w:w="240" w:type="dxa"/>
            <w:vAlign w:val="bottom"/>
            <w:tcBorders>
              <w:bottom w:val="single" w:sz="8" w:color="auto"/>
            </w:tcBorders>
            <w:shd w:val="clear" w:color="auto" w:fill="EBF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gridSpan w:val="2"/>
          </w:tcPr>
          <w:p>
            <w:pPr>
              <w:jc w:val="right"/>
              <w:ind w:right="44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Borders>
              <w:bottom w:val="single" w:sz="8" w:color="EBF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BF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EBFEFF"/>
          </w:tcPr>
          <w:p>
            <w:pPr>
              <w:spacing w:after="0"/>
              <w:rPr>
                <w:sz w:val="20"/>
                <w:szCs w:val="20"/>
                <w:color w:val="auto"/>
              </w:rPr>
            </w:pPr>
          </w:p>
        </w:tc>
        <w:tc>
          <w:tcPr>
            <w:tcW w:w="20" w:type="dxa"/>
            <w:vAlign w:val="bottom"/>
            <w:shd w:val="clear" w:color="auto" w:fill="EBFEFF"/>
          </w:tcPr>
          <w:p>
            <w:pPr>
              <w:spacing w:after="0"/>
              <w:rPr>
                <w:sz w:val="20"/>
                <w:szCs w:val="20"/>
                <w:color w:val="auto"/>
              </w:rPr>
            </w:pPr>
          </w:p>
        </w:tc>
        <w:tc>
          <w:tcPr>
            <w:tcW w:w="100" w:type="dxa"/>
            <w:vAlign w:val="bottom"/>
            <w:shd w:val="clear" w:color="auto" w:fill="EBFEFF"/>
          </w:tcPr>
          <w:p>
            <w:pPr>
              <w:spacing w:after="0"/>
              <w:rPr>
                <w:sz w:val="20"/>
                <w:szCs w:val="20"/>
                <w:color w:val="auto"/>
              </w:rPr>
            </w:pPr>
          </w:p>
        </w:tc>
        <w:tc>
          <w:tcPr>
            <w:tcW w:w="1120" w:type="dxa"/>
            <w:vAlign w:val="bottom"/>
            <w:shd w:val="clear" w:color="auto" w:fill="EBFEFF"/>
          </w:tcPr>
          <w:p>
            <w:pPr>
              <w:spacing w:after="0"/>
              <w:rPr>
                <w:sz w:val="20"/>
                <w:szCs w:val="20"/>
                <w:color w:val="auto"/>
              </w:rPr>
            </w:pPr>
          </w:p>
        </w:tc>
        <w:tc>
          <w:tcPr>
            <w:tcW w:w="80" w:type="dxa"/>
            <w:vAlign w:val="bottom"/>
            <w:shd w:val="clear" w:color="auto" w:fill="EBFEFF"/>
          </w:tcPr>
          <w:p>
            <w:pPr>
              <w:spacing w:after="0"/>
              <w:rPr>
                <w:sz w:val="20"/>
                <w:szCs w:val="20"/>
                <w:color w:val="auto"/>
              </w:rPr>
            </w:pPr>
          </w:p>
        </w:tc>
        <w:tc>
          <w:tcPr>
            <w:tcW w:w="120" w:type="dxa"/>
            <w:vAlign w:val="bottom"/>
            <w:shd w:val="clear" w:color="auto" w:fill="EBFEFF"/>
          </w:tcPr>
          <w:p>
            <w:pPr>
              <w:spacing w:after="0"/>
              <w:rPr>
                <w:sz w:val="20"/>
                <w:szCs w:val="20"/>
                <w:color w:val="auto"/>
              </w:rPr>
            </w:pPr>
          </w:p>
        </w:tc>
        <w:tc>
          <w:tcPr>
            <w:tcW w:w="1420" w:type="dxa"/>
            <w:vAlign w:val="bottom"/>
            <w:shd w:val="clear" w:color="auto" w:fill="EBFEFF"/>
          </w:tcPr>
          <w:p>
            <w:pPr>
              <w:spacing w:after="0"/>
              <w:rPr>
                <w:sz w:val="20"/>
                <w:szCs w:val="20"/>
                <w:color w:val="auto"/>
              </w:rPr>
            </w:pPr>
          </w:p>
        </w:tc>
        <w:tc>
          <w:tcPr>
            <w:tcW w:w="100" w:type="dxa"/>
            <w:vAlign w:val="bottom"/>
            <w:shd w:val="clear" w:color="auto" w:fill="EBFEFF"/>
          </w:tcPr>
          <w:p>
            <w:pPr>
              <w:spacing w:after="0"/>
              <w:rPr>
                <w:sz w:val="20"/>
                <w:szCs w:val="20"/>
                <w:color w:val="auto"/>
              </w:rPr>
            </w:pPr>
          </w:p>
        </w:tc>
        <w:tc>
          <w:tcPr>
            <w:tcW w:w="180" w:type="dxa"/>
            <w:vAlign w:val="bottom"/>
            <w:shd w:val="clear" w:color="auto" w:fill="EBFEFF"/>
          </w:tcPr>
          <w:p>
            <w:pPr>
              <w:spacing w:after="0"/>
              <w:rPr>
                <w:sz w:val="20"/>
                <w:szCs w:val="20"/>
                <w:color w:val="auto"/>
              </w:rPr>
            </w:pPr>
          </w:p>
        </w:tc>
        <w:tc>
          <w:tcPr>
            <w:tcW w:w="1380" w:type="dxa"/>
            <w:vAlign w:val="bottom"/>
            <w:shd w:val="clear" w:color="auto" w:fill="EBFEFF"/>
          </w:tcPr>
          <w:p>
            <w:pPr>
              <w:spacing w:after="0"/>
              <w:rPr>
                <w:sz w:val="20"/>
                <w:szCs w:val="20"/>
                <w:color w:val="auto"/>
              </w:rPr>
            </w:pPr>
          </w:p>
        </w:tc>
        <w:tc>
          <w:tcPr>
            <w:tcW w:w="100" w:type="dxa"/>
            <w:vAlign w:val="bottom"/>
            <w:shd w:val="clear" w:color="auto" w:fill="EBFEFF"/>
          </w:tcPr>
          <w:p>
            <w:pPr>
              <w:spacing w:after="0"/>
              <w:rPr>
                <w:sz w:val="20"/>
                <w:szCs w:val="20"/>
                <w:color w:val="auto"/>
              </w:rPr>
            </w:pPr>
          </w:p>
        </w:tc>
        <w:tc>
          <w:tcPr>
            <w:tcW w:w="240" w:type="dxa"/>
            <w:vAlign w:val="bottom"/>
            <w:shd w:val="clear" w:color="auto" w:fill="EBFEFF"/>
          </w:tcPr>
          <w:p>
            <w:pPr>
              <w:spacing w:after="0"/>
              <w:rPr>
                <w:sz w:val="20"/>
                <w:szCs w:val="20"/>
                <w:color w:val="auto"/>
              </w:rPr>
            </w:pPr>
          </w:p>
        </w:tc>
        <w:tc>
          <w:tcPr>
            <w:tcW w:w="1140" w:type="dxa"/>
            <w:vAlign w:val="bottom"/>
            <w:shd w:val="clear" w:color="auto" w:fill="EBF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jc w:val="right"/>
              <w:ind w:right="4400"/>
              <w:spacing w:after="0"/>
              <w:rPr>
                <w:sz w:val="20"/>
                <w:szCs w:val="20"/>
                <w:color w:val="auto"/>
              </w:rPr>
            </w:pPr>
            <w:r>
              <w:rPr>
                <w:rFonts w:ascii="Arial" w:cs="Arial" w:eastAsia="Arial" w:hAnsi="Arial"/>
                <w:sz w:val="18"/>
                <w:szCs w:val="18"/>
                <w:b w:val="1"/>
                <w:bCs w:val="1"/>
                <w:color w:val="auto"/>
                <w:w w:val="94"/>
              </w:rPr>
              <w:t>Liabilities: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EBFEFF"/>
          </w:tcPr>
          <w:p>
            <w:pPr>
              <w:ind w:left="240"/>
              <w:spacing w:after="0" w:line="243" w:lineRule="exact"/>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EBFEFF"/>
          </w:tcPr>
          <w:p>
            <w:pPr>
              <w:spacing w:after="0"/>
              <w:rPr>
                <w:sz w:val="21"/>
                <w:szCs w:val="21"/>
                <w:color w:val="auto"/>
              </w:rPr>
            </w:pPr>
          </w:p>
        </w:tc>
        <w:tc>
          <w:tcPr>
            <w:tcW w:w="100" w:type="dxa"/>
            <w:vAlign w:val="bottom"/>
            <w:tcBorders>
              <w:bottom w:val="single" w:sz="8" w:color="auto"/>
            </w:tcBorders>
            <w:shd w:val="clear" w:color="auto" w:fill="EBF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EBFEFF"/>
          </w:tcPr>
          <w:p>
            <w:pPr>
              <w:spacing w:after="0"/>
              <w:rPr>
                <w:sz w:val="21"/>
                <w:szCs w:val="21"/>
                <w:color w:val="auto"/>
              </w:rPr>
            </w:pPr>
          </w:p>
        </w:tc>
        <w:tc>
          <w:tcPr>
            <w:tcW w:w="1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21"/>
                <w:szCs w:val="21"/>
                <w:color w:val="auto"/>
              </w:rPr>
            </w:pPr>
          </w:p>
        </w:tc>
        <w:tc>
          <w:tcPr>
            <w:tcW w:w="18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BFEFF"/>
          </w:tcPr>
          <w:p>
            <w:pPr>
              <w:ind w:left="1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21"/>
                <w:szCs w:val="21"/>
                <w:color w:val="auto"/>
              </w:rPr>
            </w:pPr>
          </w:p>
        </w:tc>
        <w:tc>
          <w:tcPr>
            <w:tcW w:w="240" w:type="dxa"/>
            <w:vAlign w:val="bottom"/>
            <w:tcBorders>
              <w:bottom w:val="single" w:sz="8" w:color="auto"/>
            </w:tcBorders>
            <w:shd w:val="clear" w:color="auto" w:fill="EBF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5260" w:type="dxa"/>
            <w:vAlign w:val="bottom"/>
            <w:gridSpan w:val="2"/>
          </w:tcPr>
          <w:p>
            <w:pPr>
              <w:jc w:val="right"/>
              <w:ind w:right="44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600" w:right="220" w:hanging="574"/>
        <w:spacing w:after="0" w:line="237" w:lineRule="auto"/>
        <w:tabs>
          <w:tab w:leader="none" w:pos="60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60" w:type="dxa"/>
            <w:vAlign w:val="bottom"/>
            <w:gridSpan w:val="9"/>
          </w:tcPr>
          <w:p>
            <w:pPr>
              <w:ind w:left="80"/>
              <w:spacing w:after="0"/>
              <w:rPr>
                <w:sz w:val="20"/>
                <w:szCs w:val="20"/>
                <w:color w:val="auto"/>
              </w:rPr>
            </w:pPr>
            <w:r>
              <w:rPr>
                <w:rFonts w:ascii="Arial" w:cs="Arial" w:eastAsia="Arial" w:hAnsi="Arial"/>
                <w:sz w:val="14"/>
                <w:szCs w:val="14"/>
                <w:b w:val="1"/>
                <w:bCs w:val="1"/>
                <w:color w:val="auto"/>
                <w:w w:val="91"/>
              </w:rPr>
              <w:t>Changes in Level 3 instruments for the three months ended June 30,</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98"/>
              <w:spacing w:after="0" w:line="129" w:lineRule="exact"/>
              <w:rPr>
                <w:sz w:val="20"/>
                <w:szCs w:val="20"/>
                <w:color w:val="auto"/>
              </w:rPr>
            </w:pPr>
            <w:r>
              <w:rPr>
                <w:rFonts w:ascii="Arial" w:cs="Arial" w:eastAsia="Arial" w:hAnsi="Arial"/>
                <w:sz w:val="14"/>
                <w:szCs w:val="14"/>
                <w:b w:val="1"/>
                <w:bCs w:val="1"/>
                <w:color w:val="auto"/>
                <w:w w:val="93"/>
              </w:rPr>
              <w:t>Net Change in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Purchases /</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60" w:type="dxa"/>
            <w:vAlign w:val="bottom"/>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Balance at January 1</w:t>
            </w:r>
          </w:p>
        </w:tc>
        <w:tc>
          <w:tcPr>
            <w:tcW w:w="100" w:type="dxa"/>
            <w:vAlign w:val="bottom"/>
          </w:tcPr>
          <w:p>
            <w:pPr>
              <w:spacing w:after="0"/>
              <w:rPr>
                <w:sz w:val="12"/>
                <w:szCs w:val="12"/>
                <w:color w:val="auto"/>
              </w:rPr>
            </w:pPr>
          </w:p>
        </w:tc>
        <w:tc>
          <w:tcPr>
            <w:tcW w:w="14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3"/>
              </w:rPr>
              <w:t>fair value included in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6"/>
              </w:rPr>
              <w:t>Balance at June 30,</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earnings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Repurchases</w:t>
            </w:r>
          </w:p>
        </w:tc>
        <w:tc>
          <w:tcPr>
            <w:tcW w:w="2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60" w:type="dxa"/>
            <w:vAlign w:val="bottom"/>
            <w:tcBorders>
              <w:bottom w:val="single" w:sz="8" w:color="EBF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BF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EBFEFF"/>
          </w:tcPr>
          <w:p>
            <w:pPr>
              <w:jc w:val="right"/>
              <w:ind w:right="2990"/>
              <w:spacing w:after="0"/>
              <w:rPr>
                <w:sz w:val="20"/>
                <w:szCs w:val="20"/>
                <w:color w:val="auto"/>
              </w:rPr>
            </w:pPr>
            <w:r>
              <w:rPr>
                <w:rFonts w:ascii="Arial" w:cs="Arial" w:eastAsia="Arial" w:hAnsi="Arial"/>
                <w:sz w:val="18"/>
                <w:szCs w:val="18"/>
                <w:b w:val="1"/>
                <w:bCs w:val="1"/>
                <w:color w:val="auto"/>
                <w:w w:val="89"/>
              </w:rPr>
              <w:t>2023</w:t>
            </w:r>
          </w:p>
        </w:tc>
        <w:tc>
          <w:tcPr>
            <w:tcW w:w="520" w:type="dxa"/>
            <w:vAlign w:val="bottom"/>
            <w:shd w:val="clear" w:color="auto" w:fill="EBFEFF"/>
          </w:tcPr>
          <w:p>
            <w:pPr>
              <w:spacing w:after="0"/>
              <w:rPr>
                <w:sz w:val="18"/>
                <w:szCs w:val="18"/>
                <w:color w:val="auto"/>
              </w:rPr>
            </w:pPr>
          </w:p>
        </w:tc>
        <w:tc>
          <w:tcPr>
            <w:tcW w:w="90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200" w:type="dxa"/>
            <w:vAlign w:val="bottom"/>
            <w:shd w:val="clear" w:color="auto" w:fill="EBFEFF"/>
          </w:tcPr>
          <w:p>
            <w:pPr>
              <w:spacing w:after="0"/>
              <w:rPr>
                <w:sz w:val="18"/>
                <w:szCs w:val="18"/>
                <w:color w:val="auto"/>
              </w:rPr>
            </w:pPr>
          </w:p>
        </w:tc>
        <w:tc>
          <w:tcPr>
            <w:tcW w:w="1220" w:type="dxa"/>
            <w:vAlign w:val="bottom"/>
            <w:shd w:val="clear" w:color="auto" w:fill="EBFEFF"/>
          </w:tcPr>
          <w:p>
            <w:pPr>
              <w:spacing w:after="0"/>
              <w:rPr>
                <w:sz w:val="18"/>
                <w:szCs w:val="18"/>
                <w:color w:val="auto"/>
              </w:rPr>
            </w:pPr>
          </w:p>
        </w:tc>
        <w:tc>
          <w:tcPr>
            <w:tcW w:w="120" w:type="dxa"/>
            <w:vAlign w:val="bottom"/>
            <w:shd w:val="clear" w:color="auto" w:fill="EBFEFF"/>
          </w:tcPr>
          <w:p>
            <w:pPr>
              <w:spacing w:after="0"/>
              <w:rPr>
                <w:sz w:val="18"/>
                <w:szCs w:val="18"/>
                <w:color w:val="auto"/>
              </w:rPr>
            </w:pPr>
          </w:p>
        </w:tc>
        <w:tc>
          <w:tcPr>
            <w:tcW w:w="200" w:type="dxa"/>
            <w:vAlign w:val="bottom"/>
            <w:shd w:val="clear" w:color="auto" w:fill="EBFEFF"/>
          </w:tcPr>
          <w:p>
            <w:pPr>
              <w:spacing w:after="0"/>
              <w:rPr>
                <w:sz w:val="18"/>
                <w:szCs w:val="18"/>
                <w:color w:val="auto"/>
              </w:rPr>
            </w:pPr>
          </w:p>
        </w:tc>
        <w:tc>
          <w:tcPr>
            <w:tcW w:w="114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200" w:type="dxa"/>
            <w:vAlign w:val="bottom"/>
            <w:shd w:val="clear" w:color="auto" w:fill="EBFEFF"/>
          </w:tcPr>
          <w:p>
            <w:pPr>
              <w:spacing w:after="0"/>
              <w:rPr>
                <w:sz w:val="18"/>
                <w:szCs w:val="18"/>
                <w:color w:val="auto"/>
              </w:rPr>
            </w:pPr>
          </w:p>
        </w:tc>
        <w:tc>
          <w:tcPr>
            <w:tcW w:w="116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20" w:type="dxa"/>
            <w:vAlign w:val="bottom"/>
            <w:shd w:val="clear" w:color="auto" w:fill="EBFEFF"/>
          </w:tcPr>
          <w:p>
            <w:pPr>
              <w:spacing w:after="0"/>
              <w:rPr>
                <w:sz w:val="18"/>
                <w:szCs w:val="18"/>
                <w:color w:val="auto"/>
              </w:rPr>
            </w:pPr>
          </w:p>
        </w:tc>
        <w:tc>
          <w:tcPr>
            <w:tcW w:w="200" w:type="dxa"/>
            <w:vAlign w:val="bottom"/>
            <w:shd w:val="clear" w:color="auto" w:fill="EBFEFF"/>
          </w:tcPr>
          <w:p>
            <w:pPr>
              <w:spacing w:after="0"/>
              <w:rPr>
                <w:sz w:val="18"/>
                <w:szCs w:val="18"/>
                <w:color w:val="auto"/>
              </w:rPr>
            </w:pPr>
          </w:p>
        </w:tc>
        <w:tc>
          <w:tcPr>
            <w:tcW w:w="1600" w:type="dxa"/>
            <w:vAlign w:val="bottom"/>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tcPr>
          <w:p>
            <w:pPr>
              <w:jc w:val="right"/>
              <w:ind w:right="970"/>
              <w:spacing w:after="0"/>
              <w:rPr>
                <w:sz w:val="20"/>
                <w:szCs w:val="20"/>
                <w:color w:val="auto"/>
              </w:rPr>
            </w:pPr>
            <w:r>
              <w:rPr>
                <w:rFonts w:ascii="Arial" w:cs="Arial" w:eastAsia="Arial" w:hAnsi="Arial"/>
                <w:sz w:val="18"/>
                <w:szCs w:val="18"/>
                <w:color w:val="auto"/>
              </w:rPr>
              <w:t>Warrant liability, related party</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684</w:t>
            </w:r>
          </w:p>
        </w:tc>
        <w:tc>
          <w:tcPr>
            <w:tcW w:w="30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8"/>
        </w:trPr>
        <w:tc>
          <w:tcPr>
            <w:tcW w:w="3460" w:type="dxa"/>
            <w:vAlign w:val="bottom"/>
            <w:tcBorders>
              <w:top w:val="single" w:sz="8" w:color="EBFEFF"/>
              <w:bottom w:val="single" w:sz="8" w:color="EBFEFF"/>
            </w:tcBorders>
            <w:shd w:val="clear" w:color="auto" w:fill="EBFEFF"/>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shd w:val="clear" w:color="auto" w:fill="EBFEFF"/>
          </w:tcPr>
          <w:p>
            <w:pPr>
              <w:jc w:val="right"/>
              <w:ind w:right="33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BF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BF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 w:type="dxa"/>
            <w:vAlign w:val="bottom"/>
            <w:tcBorders>
              <w:top w:val="single" w:sz="8" w:color="auto"/>
              <w:bottom w:val="single" w:sz="8" w:color="auto"/>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3460" w:type="dxa"/>
            <w:vAlign w:val="bottom"/>
            <w:tcBorders>
              <w:top w:val="single" w:sz="8" w:color="EBFEFF"/>
            </w:tcBorders>
          </w:tcPr>
          <w:p>
            <w:pPr>
              <w:spacing w:after="0" w:line="20" w:lineRule="exact"/>
              <w:rPr>
                <w:sz w:val="1"/>
                <w:szCs w:val="1"/>
                <w:color w:val="auto"/>
              </w:rPr>
            </w:pPr>
          </w:p>
        </w:tc>
        <w:tc>
          <w:tcPr>
            <w:tcW w:w="520" w:type="dxa"/>
            <w:vAlign w:val="bottom"/>
            <w:tcBorders>
              <w:top w:val="single" w:sz="8" w:color="EBFEFF"/>
              <w:bottom w:val="single" w:sz="8" w:color="auto"/>
            </w:tcBorders>
          </w:tcPr>
          <w:p>
            <w:pPr>
              <w:spacing w:after="0" w:line="20" w:lineRule="exact"/>
              <w:rPr>
                <w:sz w:val="1"/>
                <w:szCs w:val="1"/>
                <w:color w:val="auto"/>
              </w:rPr>
            </w:pPr>
          </w:p>
        </w:tc>
        <w:tc>
          <w:tcPr>
            <w:tcW w:w="90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220" w:type="dxa"/>
            <w:vAlign w:val="bottom"/>
            <w:tcBorders>
              <w:top w:val="single" w:sz="8" w:color="EBFEFF"/>
              <w:bottom w:val="single" w:sz="8" w:color="auto"/>
            </w:tcBorders>
          </w:tcPr>
          <w:p>
            <w:pPr>
              <w:spacing w:after="0" w:line="20" w:lineRule="exact"/>
              <w:rPr>
                <w:sz w:val="1"/>
                <w:szCs w:val="1"/>
                <w:color w:val="auto"/>
              </w:rPr>
            </w:pPr>
          </w:p>
        </w:tc>
        <w:tc>
          <w:tcPr>
            <w:tcW w:w="12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14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1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 w:type="dxa"/>
            <w:vAlign w:val="bottom"/>
            <w:tcBorders>
              <w:top w:val="single" w:sz="8" w:color="EBFEFF"/>
              <w:bottom w:val="single" w:sz="8" w:color="auto"/>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60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EBFEFF"/>
          </w:tcPr>
          <w:p>
            <w:pPr>
              <w:jc w:val="right"/>
              <w:ind w:right="2990"/>
              <w:spacing w:after="0"/>
              <w:rPr>
                <w:sz w:val="20"/>
                <w:szCs w:val="20"/>
                <w:color w:val="auto"/>
              </w:rPr>
            </w:pPr>
            <w:r>
              <w:rPr>
                <w:rFonts w:ascii="Arial" w:cs="Arial" w:eastAsia="Arial" w:hAnsi="Arial"/>
                <w:sz w:val="18"/>
                <w:szCs w:val="18"/>
                <w:b w:val="1"/>
                <w:bCs w:val="1"/>
                <w:color w:val="auto"/>
                <w:w w:val="89"/>
              </w:rPr>
              <w:t>2022</w:t>
            </w:r>
          </w:p>
        </w:tc>
        <w:tc>
          <w:tcPr>
            <w:tcW w:w="520" w:type="dxa"/>
            <w:vAlign w:val="bottom"/>
            <w:shd w:val="clear" w:color="auto" w:fill="EBFEFF"/>
          </w:tcPr>
          <w:p>
            <w:pPr>
              <w:spacing w:after="0"/>
              <w:rPr>
                <w:sz w:val="19"/>
                <w:szCs w:val="19"/>
                <w:color w:val="auto"/>
              </w:rPr>
            </w:pPr>
          </w:p>
        </w:tc>
        <w:tc>
          <w:tcPr>
            <w:tcW w:w="90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20" w:type="dxa"/>
            <w:vAlign w:val="bottom"/>
            <w:shd w:val="clear" w:color="auto" w:fill="EBFEFF"/>
          </w:tcPr>
          <w:p>
            <w:pPr>
              <w:spacing w:after="0"/>
              <w:rPr>
                <w:sz w:val="19"/>
                <w:szCs w:val="19"/>
                <w:color w:val="auto"/>
              </w:rPr>
            </w:pPr>
          </w:p>
        </w:tc>
        <w:tc>
          <w:tcPr>
            <w:tcW w:w="12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14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16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600" w:type="dxa"/>
            <w:vAlign w:val="bottom"/>
            <w:shd w:val="clear" w:color="auto" w:fill="EBF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jc w:val="right"/>
              <w:ind w:right="970"/>
              <w:spacing w:after="0"/>
              <w:rPr>
                <w:sz w:val="20"/>
                <w:szCs w:val="20"/>
                <w:color w:val="auto"/>
              </w:rPr>
            </w:pPr>
            <w:r>
              <w:rPr>
                <w:rFonts w:ascii="Arial" w:cs="Arial" w:eastAsia="Arial" w:hAnsi="Arial"/>
                <w:sz w:val="18"/>
                <w:szCs w:val="18"/>
                <w:color w:val="auto"/>
              </w:rPr>
              <w:t>Warrant liability, related party</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1,262</w:t>
            </w:r>
          </w:p>
        </w:tc>
        <w:tc>
          <w:tcPr>
            <w:tcW w:w="30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8"/>
        </w:trPr>
        <w:tc>
          <w:tcPr>
            <w:tcW w:w="3460" w:type="dxa"/>
            <w:vAlign w:val="bottom"/>
            <w:tcBorders>
              <w:top w:val="single" w:sz="8" w:color="EBFEFF"/>
              <w:bottom w:val="single" w:sz="8" w:color="EBFEFF"/>
            </w:tcBorders>
            <w:shd w:val="clear" w:color="auto" w:fill="EBFEFF"/>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shd w:val="clear" w:color="auto" w:fill="EBFEFF"/>
          </w:tcPr>
          <w:p>
            <w:pPr>
              <w:jc w:val="right"/>
              <w:ind w:right="33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BF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BF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 w:type="dxa"/>
            <w:vAlign w:val="bottom"/>
            <w:tcBorders>
              <w:top w:val="single" w:sz="8" w:color="auto"/>
              <w:bottom w:val="single" w:sz="8" w:color="auto"/>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3460" w:type="dxa"/>
            <w:vAlign w:val="bottom"/>
            <w:tcBorders>
              <w:top w:val="single" w:sz="8" w:color="EBFEFF"/>
            </w:tcBorders>
          </w:tcPr>
          <w:p>
            <w:pPr>
              <w:spacing w:after="0" w:line="20" w:lineRule="exact"/>
              <w:rPr>
                <w:sz w:val="1"/>
                <w:szCs w:val="1"/>
                <w:color w:val="auto"/>
              </w:rPr>
            </w:pPr>
          </w:p>
        </w:tc>
        <w:tc>
          <w:tcPr>
            <w:tcW w:w="520" w:type="dxa"/>
            <w:vAlign w:val="bottom"/>
            <w:tcBorders>
              <w:top w:val="single" w:sz="8" w:color="EBFEFF"/>
              <w:bottom w:val="single" w:sz="8" w:color="auto"/>
            </w:tcBorders>
          </w:tcPr>
          <w:p>
            <w:pPr>
              <w:spacing w:after="0" w:line="20" w:lineRule="exact"/>
              <w:rPr>
                <w:sz w:val="1"/>
                <w:szCs w:val="1"/>
                <w:color w:val="auto"/>
              </w:rPr>
            </w:pPr>
          </w:p>
        </w:tc>
        <w:tc>
          <w:tcPr>
            <w:tcW w:w="90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220" w:type="dxa"/>
            <w:vAlign w:val="bottom"/>
            <w:tcBorders>
              <w:top w:val="single" w:sz="8" w:color="EBFEFF"/>
              <w:bottom w:val="single" w:sz="8" w:color="auto"/>
            </w:tcBorders>
          </w:tcPr>
          <w:p>
            <w:pPr>
              <w:spacing w:after="0" w:line="20" w:lineRule="exact"/>
              <w:rPr>
                <w:sz w:val="1"/>
                <w:szCs w:val="1"/>
                <w:color w:val="auto"/>
              </w:rPr>
            </w:pPr>
          </w:p>
        </w:tc>
        <w:tc>
          <w:tcPr>
            <w:tcW w:w="12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14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1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 w:type="dxa"/>
            <w:vAlign w:val="bottom"/>
            <w:tcBorders>
              <w:top w:val="single" w:sz="8" w:color="EBFEFF"/>
              <w:bottom w:val="single" w:sz="8" w:color="auto"/>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60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transfers into or out of level 3 instruments and/or between level 1 and level 2 instruments during the three and six months ended June 30, 2023. Gains and losses recognized due to the change in fair value of the warrant liability, related party are recognized as a component of other income – related party in the Company’s Condensed Consolidated Statements of Operations.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as of June 30, 2023 and December 31, 2022 were:</w:t>
      </w:r>
    </w:p>
    <w:p>
      <w:pPr>
        <w:sectPr>
          <w:pgSz w:w="11900" w:h="16838" w:orient="portrait"/>
          <w:cols w:equalWidth="0" w:num="1">
            <w:col w:w="11240"/>
          </w:cols>
          <w:pgMar w:left="320" w:top="233" w:right="339" w:bottom="1440" w:gutter="0" w:footer="0" w:header="0"/>
        </w:sectPr>
      </w:pPr>
    </w:p>
    <w:p>
      <w:pPr>
        <w:spacing w:after="0" w:line="111"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23495</wp:posOffset>
            </wp:positionV>
            <wp:extent cx="2391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2" w:lineRule="exact"/>
        <w:rPr>
          <w:sz w:val="20"/>
          <w:szCs w:val="20"/>
          <w:color w:val="auto"/>
        </w:rPr>
      </w:pPr>
    </w:p>
    <w:p>
      <w:pPr>
        <w:ind w:left="4300"/>
        <w:spacing w:after="0"/>
        <w:tabs>
          <w:tab w:leader="none" w:pos="5800" w:val="left"/>
        </w:tabs>
        <w:rPr>
          <w:sz w:val="20"/>
          <w:szCs w:val="20"/>
          <w:color w:val="auto"/>
        </w:rPr>
      </w:pPr>
      <w:r>
        <w:rPr>
          <w:rFonts w:ascii="Arial" w:cs="Arial" w:eastAsia="Arial" w:hAnsi="Arial"/>
          <w:sz w:val="12"/>
          <w:szCs w:val="12"/>
          <w:b w:val="1"/>
          <w:bCs w:val="1"/>
          <w:color w:val="auto"/>
        </w:rPr>
        <w:t>Range</w:t>
      </w:r>
      <w:r>
        <w:rPr>
          <w:sz w:val="20"/>
          <w:szCs w:val="20"/>
          <w:color w:val="auto"/>
        </w:rPr>
        <w:tab/>
      </w:r>
      <w:r>
        <w:rPr>
          <w:rFonts w:ascii="Arial" w:cs="Arial" w:eastAsia="Arial" w:hAnsi="Arial"/>
          <w:sz w:val="12"/>
          <w:szCs w:val="12"/>
          <w:b w:val="1"/>
          <w:bCs w:val="1"/>
          <w:color w:val="auto"/>
        </w:rPr>
        <w:t>Weighted Average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23495</wp:posOffset>
            </wp:positionV>
            <wp:extent cx="23920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22"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Range</w:t>
      </w:r>
      <w:r>
        <w:rPr>
          <w:sz w:val="20"/>
          <w:szCs w:val="20"/>
          <w:color w:val="auto"/>
        </w:rPr>
        <w:tab/>
      </w:r>
      <w:r>
        <w:rPr>
          <w:rFonts w:ascii="Arial" w:cs="Arial" w:eastAsia="Arial" w:hAnsi="Arial"/>
          <w:sz w:val="12"/>
          <w:szCs w:val="12"/>
          <w:b w:val="1"/>
          <w:bCs w:val="1"/>
          <w:color w:val="auto"/>
        </w:rPr>
        <w:t>Weighted Average</w:t>
      </w:r>
    </w:p>
    <w:p>
      <w:pPr>
        <w:spacing w:after="0" w:line="54" w:lineRule="exact"/>
        <w:rPr>
          <w:sz w:val="20"/>
          <w:szCs w:val="20"/>
          <w:color w:val="auto"/>
        </w:rPr>
      </w:pPr>
    </w:p>
    <w:p>
      <w:pPr>
        <w:sectPr>
          <w:pgSz w:w="11900" w:h="16838" w:orient="portrait"/>
          <w:cols w:equalWidth="0" w:num="2">
            <w:col w:w="7440" w:space="720"/>
            <w:col w:w="30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540" w:type="dxa"/>
            <w:vAlign w:val="bottom"/>
            <w:shd w:val="clear" w:color="auto" w:fill="EBFEFF"/>
          </w:tcPr>
          <w:p>
            <w:pPr>
              <w:ind w:left="240"/>
              <w:spacing w:after="0"/>
              <w:rPr>
                <w:sz w:val="20"/>
                <w:szCs w:val="20"/>
                <w:color w:val="auto"/>
              </w:rPr>
            </w:pPr>
            <w:r>
              <w:rPr>
                <w:rFonts w:ascii="Arial" w:cs="Arial" w:eastAsia="Arial" w:hAnsi="Arial"/>
                <w:sz w:val="18"/>
                <w:szCs w:val="18"/>
                <w:color w:val="auto"/>
              </w:rPr>
              <w:t>Expected volatility</w:t>
            </w:r>
          </w:p>
        </w:tc>
        <w:tc>
          <w:tcPr>
            <w:tcW w:w="900" w:type="dxa"/>
            <w:vAlign w:val="bottom"/>
            <w:tcBorders>
              <w:top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70.33%</w:t>
            </w:r>
          </w:p>
        </w:tc>
        <w:tc>
          <w:tcPr>
            <w:tcW w:w="1160" w:type="dxa"/>
            <w:vAlign w:val="bottom"/>
            <w:tcBorders>
              <w:top w:val="single" w:sz="8" w:color="auto"/>
            </w:tcBorders>
            <w:shd w:val="clear" w:color="auto" w:fill="EBFEFF"/>
          </w:tcPr>
          <w:p>
            <w:pPr>
              <w:ind w:left="20"/>
              <w:spacing w:after="0"/>
              <w:rPr>
                <w:sz w:val="20"/>
                <w:szCs w:val="20"/>
                <w:color w:val="auto"/>
              </w:rPr>
            </w:pPr>
            <w:r>
              <w:rPr>
                <w:rFonts w:ascii="Arial" w:cs="Arial" w:eastAsia="Arial" w:hAnsi="Arial"/>
                <w:sz w:val="18"/>
                <w:szCs w:val="18"/>
                <w:color w:val="auto"/>
              </w:rPr>
              <w:t>- 83.61%</w:t>
            </w:r>
          </w:p>
        </w:tc>
        <w:tc>
          <w:tcPr>
            <w:tcW w:w="1720" w:type="dxa"/>
            <w:vAlign w:val="bottom"/>
            <w:tcBorders>
              <w:top w:val="single" w:sz="8" w:color="auto"/>
            </w:tcBorders>
            <w:shd w:val="clear" w:color="auto" w:fill="EBFEFF"/>
          </w:tcPr>
          <w:p>
            <w:pPr>
              <w:jc w:val="right"/>
              <w:ind w:right="570"/>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EBFEFF"/>
          </w:tcPr>
          <w:p>
            <w:pPr>
              <w:spacing w:after="0"/>
              <w:rPr>
                <w:sz w:val="21"/>
                <w:szCs w:val="21"/>
                <w:color w:val="auto"/>
              </w:rPr>
            </w:pPr>
          </w:p>
        </w:tc>
        <w:tc>
          <w:tcPr>
            <w:tcW w:w="880" w:type="dxa"/>
            <w:vAlign w:val="bottom"/>
            <w:tcBorders>
              <w:top w:val="single" w:sz="8" w:color="auto"/>
            </w:tcBorders>
            <w:shd w:val="clear" w:color="auto" w:fill="EBFEFF"/>
          </w:tcPr>
          <w:p>
            <w:pPr>
              <w:jc w:val="right"/>
              <w:spacing w:after="0"/>
              <w:rPr>
                <w:sz w:val="20"/>
                <w:szCs w:val="20"/>
                <w:color w:val="auto"/>
              </w:rPr>
            </w:pPr>
            <w:r>
              <w:rPr>
                <w:rFonts w:ascii="Arial" w:cs="Arial" w:eastAsia="Arial" w:hAnsi="Arial"/>
                <w:sz w:val="18"/>
                <w:szCs w:val="18"/>
                <w:color w:val="auto"/>
              </w:rPr>
              <w:t>76.94%</w:t>
            </w:r>
          </w:p>
        </w:tc>
        <w:tc>
          <w:tcPr>
            <w:tcW w:w="1180" w:type="dxa"/>
            <w:vAlign w:val="bottom"/>
            <w:tcBorders>
              <w:top w:val="single" w:sz="8" w:color="auto"/>
            </w:tcBorders>
            <w:shd w:val="clear" w:color="auto" w:fill="EBFEFF"/>
          </w:tcPr>
          <w:p>
            <w:pPr>
              <w:ind w:left="20"/>
              <w:spacing w:after="0"/>
              <w:rPr>
                <w:sz w:val="20"/>
                <w:szCs w:val="20"/>
                <w:color w:val="auto"/>
              </w:rPr>
            </w:pPr>
            <w:r>
              <w:rPr>
                <w:rFonts w:ascii="Arial" w:cs="Arial" w:eastAsia="Arial" w:hAnsi="Arial"/>
                <w:sz w:val="18"/>
                <w:szCs w:val="18"/>
                <w:color w:val="auto"/>
              </w:rPr>
              <w:t>- 85.88%</w:t>
            </w:r>
          </w:p>
        </w:tc>
        <w:tc>
          <w:tcPr>
            <w:tcW w:w="1700" w:type="dxa"/>
            <w:vAlign w:val="bottom"/>
            <w:tcBorders>
              <w:top w:val="single" w:sz="8" w:color="auto"/>
            </w:tcBorders>
            <w:shd w:val="clear" w:color="auto" w:fill="EBFEFF"/>
          </w:tcPr>
          <w:p>
            <w:pPr>
              <w:jc w:val="right"/>
              <w:ind w:right="570"/>
              <w:spacing w:after="0"/>
              <w:rPr>
                <w:sz w:val="20"/>
                <w:szCs w:val="20"/>
                <w:color w:val="auto"/>
              </w:rPr>
            </w:pPr>
            <w:r>
              <w:rPr>
                <w:rFonts w:ascii="Arial" w:cs="Arial" w:eastAsia="Arial" w:hAnsi="Arial"/>
                <w:sz w:val="18"/>
                <w:szCs w:val="18"/>
                <w:color w:val="auto"/>
              </w:rPr>
              <w:t>82.17%</w:t>
            </w: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8"/>
                <w:szCs w:val="18"/>
                <w:color w:val="auto"/>
              </w:rPr>
              <w:t>4.40%</w:t>
            </w:r>
          </w:p>
        </w:tc>
        <w:tc>
          <w:tcPr>
            <w:tcW w:w="1160" w:type="dxa"/>
            <w:vAlign w:val="bottom"/>
          </w:tcPr>
          <w:p>
            <w:pPr>
              <w:ind w:left="20"/>
              <w:spacing w:after="0"/>
              <w:rPr>
                <w:sz w:val="20"/>
                <w:szCs w:val="20"/>
                <w:color w:val="auto"/>
              </w:rPr>
            </w:pPr>
            <w:r>
              <w:rPr>
                <w:rFonts w:ascii="Arial" w:cs="Arial" w:eastAsia="Arial" w:hAnsi="Arial"/>
                <w:sz w:val="18"/>
                <w:szCs w:val="18"/>
                <w:color w:val="auto"/>
              </w:rPr>
              <w:t>- 5.17%</w:t>
            </w:r>
          </w:p>
        </w:tc>
        <w:tc>
          <w:tcPr>
            <w:tcW w:w="1720" w:type="dxa"/>
            <w:vAlign w:val="bottom"/>
          </w:tcPr>
          <w:p>
            <w:pPr>
              <w:jc w:val="right"/>
              <w:ind w:right="630"/>
              <w:spacing w:after="0"/>
              <w:rPr>
                <w:sz w:val="20"/>
                <w:szCs w:val="20"/>
                <w:color w:val="auto"/>
              </w:rPr>
            </w:pPr>
            <w:r>
              <w:rPr>
                <w:rFonts w:ascii="Arial" w:cs="Arial" w:eastAsia="Arial" w:hAnsi="Arial"/>
                <w:sz w:val="18"/>
                <w:szCs w:val="18"/>
                <w:color w:val="auto"/>
              </w:rPr>
              <w:t>4.57%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1180" w:type="dxa"/>
            <w:vAlign w:val="bottom"/>
          </w:tcPr>
          <w:p>
            <w:pPr>
              <w:ind w:left="20"/>
              <w:spacing w:after="0"/>
              <w:rPr>
                <w:sz w:val="20"/>
                <w:szCs w:val="20"/>
                <w:color w:val="auto"/>
              </w:rPr>
            </w:pPr>
            <w:r>
              <w:rPr>
                <w:rFonts w:ascii="Arial" w:cs="Arial" w:eastAsia="Arial" w:hAnsi="Arial"/>
                <w:sz w:val="18"/>
                <w:szCs w:val="18"/>
                <w:color w:val="auto"/>
              </w:rPr>
              <w:t>- 4.43%</w:t>
            </w:r>
          </w:p>
        </w:tc>
        <w:tc>
          <w:tcPr>
            <w:tcW w:w="1700" w:type="dxa"/>
            <w:vAlign w:val="bottom"/>
          </w:tcPr>
          <w:p>
            <w:pPr>
              <w:jc w:val="right"/>
              <w:ind w:right="610"/>
              <w:spacing w:after="0"/>
              <w:rPr>
                <w:sz w:val="20"/>
                <w:szCs w:val="20"/>
                <w:color w:val="auto"/>
              </w:rPr>
            </w:pPr>
            <w:r>
              <w:rPr>
                <w:rFonts w:ascii="Arial" w:cs="Arial" w:eastAsia="Arial" w:hAnsi="Arial"/>
                <w:sz w:val="18"/>
                <w:szCs w:val="18"/>
                <w:color w:val="auto"/>
              </w:rPr>
              <w:t>4.19%</w:t>
            </w:r>
          </w:p>
        </w:tc>
      </w:tr>
    </w:tbl>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June 30, 2023 were: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shd w:val="clear" w:color="auto" w:fill="EBFEFF"/>
          </w:tcPr>
          <w:p>
            <w:pPr>
              <w:ind w:left="20"/>
              <w:spacing w:after="0"/>
              <w:rPr>
                <w:sz w:val="20"/>
                <w:szCs w:val="20"/>
                <w:color w:val="auto"/>
              </w:rPr>
            </w:pPr>
            <w:r>
              <w:rPr>
                <w:rFonts w:ascii="Arial" w:cs="Arial" w:eastAsia="Arial" w:hAnsi="Arial"/>
                <w:sz w:val="18"/>
                <w:szCs w:val="18"/>
                <w:color w:val="auto"/>
              </w:rPr>
              <w:t>Expected volatility</w:t>
            </w:r>
          </w:p>
        </w:tc>
        <w:tc>
          <w:tcPr>
            <w:tcW w:w="470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80.6 %</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Expected life of options in years</w:t>
            </w:r>
          </w:p>
        </w:tc>
        <w:tc>
          <w:tcPr>
            <w:tcW w:w="4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540" w:type="dxa"/>
            <w:vAlign w:val="bottom"/>
            <w:shd w:val="clear" w:color="auto" w:fill="EBFEFF"/>
          </w:tcPr>
          <w:p>
            <w:pPr>
              <w:ind w:left="20"/>
              <w:spacing w:after="0"/>
              <w:rPr>
                <w:sz w:val="20"/>
                <w:szCs w:val="20"/>
                <w:color w:val="auto"/>
              </w:rPr>
            </w:pPr>
            <w:r>
              <w:rPr>
                <w:rFonts w:ascii="Arial" w:cs="Arial" w:eastAsia="Arial" w:hAnsi="Arial"/>
                <w:sz w:val="18"/>
                <w:szCs w:val="18"/>
                <w:color w:val="auto"/>
              </w:rPr>
              <w:t>Risk-free interest rate</w:t>
            </w:r>
          </w:p>
        </w:tc>
        <w:tc>
          <w:tcPr>
            <w:tcW w:w="470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7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July 17, 2023, the Company received notice from Nasdaq that, based upon the completed questionnaire and the expedited review process, it had approved the Company’s request to extend the period for the Company to regain compliance with the Minimum Bid Requirement until December 18, 2023. Nasdaq noted that the extension was based upon the Company’s representation that it would complete a reverse stock split no later than November 22, 2023, at a ratio between 1:10 and 1:20, and that it would obtain stockholder approval for such a reverse stock split on or before October 30, 2023.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Arial" w:cs="Arial" w:eastAsia="Arial" w:hAnsi="Arial"/>
          <w:sz w:val="18"/>
          <w:szCs w:val="18"/>
          <w:i w:val="1"/>
          <w:iCs w:val="1"/>
          <w:color w:val="auto"/>
        </w:rPr>
        <w:t>cadisegliatin (TTP399)</w:t>
      </w:r>
      <w:r>
        <w:rPr>
          <w:rFonts w:ascii="Arial" w:cs="Arial" w:eastAsia="Arial" w:hAnsi="Arial"/>
          <w:sz w:val="18"/>
          <w:szCs w:val="18"/>
          <w:color w:val="auto"/>
        </w:rPr>
        <w:t>, an orally administered, small molecule, liver-selective glucokinase activator (“GKA”) as an adjunctive therapy to insulin for the treatment of type 1 diabetes (“T1D”).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June 21, 2023, Nasdaq notified the Company that because it had not satisfied the Minimum Bid Requirement within the initial 180-day compliance period the Company’s common stock would be delisted from the Nasdaq Capital Market at the opening of business on June 30, 2023, unless the Company requested a hearing before the Nasdaq Hearings Panel.</w:t>
      </w:r>
    </w:p>
    <w:p>
      <w:pPr>
        <w:spacing w:after="0" w:line="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June 22, 2023, the Company requested a hearing to appeal the delisting determination. In response, Nasdaq set a hearing date of August 17, 2023, and offered the Company an expedited review process, which required the Company to complete a questionnaire regarding the Company’s plan to regain compliance with the Minimum Bid Requirement. The Company submitted the questionnaire on June 28, 2023, which included the representation that, if necessary, the Company will effect a reverse stock split on or before November 22, 2023, to regain compliance with the Minimum Bid Requirement.</w:t>
      </w:r>
    </w:p>
    <w:p>
      <w:pPr>
        <w:spacing w:after="0" w:line="4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July 17, 2023, the Company received notice from Nasdaq that, based upon the completed questionnaire and the expedited review process, it had approved the Company’s request to extend the period for the Company to regain compliance with the Minimum Bid Requirement until December 18, 2023. Nasdaq noted that the extension was based upon the Company’s representation that it would complete a reverse stock split no later than November 22, 2023, at a ratio between 1:10 and 1:20, and that it would obtain stockholder approval for such a reverse stock split on or before October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12155" cy="3265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215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Type 1 Diabetes Program – </w:t>
      </w:r>
      <w:r>
        <w:rPr>
          <w:rFonts w:ascii="Arial" w:cs="Arial" w:eastAsia="Arial" w:hAnsi="Arial"/>
          <w:sz w:val="18"/>
          <w:szCs w:val="18"/>
          <w:b w:val="1"/>
          <w:bCs w:val="1"/>
          <w:i w:val="1"/>
          <w:iCs w:val="1"/>
          <w:color w:val="auto"/>
        </w:rPr>
        <w:t>Cadisegliatin (TTP399)</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The Company has alignment with the FDA on trial designs that will support an efficient regulatory pathway to support registration of </w:t>
      </w:r>
      <w:r>
        <w:rPr>
          <w:rFonts w:ascii="Arial" w:cs="Arial" w:eastAsia="Arial" w:hAnsi="Arial"/>
          <w:sz w:val="17"/>
          <w:szCs w:val="17"/>
          <w:i w:val="1"/>
          <w:iCs w:val="1"/>
          <w:color w:val="auto"/>
        </w:rPr>
        <w:t>cadisegliatin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(TTP399) </w:t>
      </w:r>
      <w:r>
        <w:rPr>
          <w:rFonts w:ascii="Arial" w:cs="Arial" w:eastAsia="Arial" w:hAnsi="Arial"/>
          <w:sz w:val="17"/>
          <w:szCs w:val="17"/>
          <w:color w:val="auto"/>
        </w:rPr>
        <w:t>as an adjunctive therapy to insulin for the treatment of type 1 diabetes consistent with the breakthrough therapy designation granted by the FDA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expects to initiate study activities in the second half of 2023. The FDA and the Company have agreed on the primary endpoint for the studies as the reduction in the number of hypoglycemic events between placebo and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treated groups.</w:t>
      </w:r>
    </w:p>
    <w:p>
      <w:pPr>
        <w:spacing w:after="0" w:line="6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In October 2021, we announced positive results of a mechanistic study of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in patients with T1D. The study demonstrated that patients with T1D taking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treated group during the week of treatment prior to the insulin withdrawal test. The results of the mechanistic study provided additional evidence to support the idea that treatment with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will not increase the risk of diabetic ketoacidosis (“DKA”) in patients with T1D. The data demonstrate that in contrast to agents such as SGLT2 inhibitors and GLP-1RAs, </w:t>
      </w:r>
      <w:r>
        <w:rPr>
          <w:rFonts w:ascii="Arial" w:cs="Arial" w:eastAsia="Arial" w:hAnsi="Arial"/>
          <w:sz w:val="17"/>
          <w:szCs w:val="17"/>
          <w:i w:val="1"/>
          <w:iCs w:val="1"/>
          <w:color w:val="auto"/>
        </w:rPr>
        <w:t>cadisegliatin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(TTP399) </w:t>
      </w:r>
      <w:r>
        <w:rPr>
          <w:rFonts w:ascii="Arial" w:cs="Arial" w:eastAsia="Arial" w:hAnsi="Arial"/>
          <w:sz w:val="17"/>
          <w:szCs w:val="17"/>
          <w:color w:val="auto"/>
        </w:rPr>
        <w:t>does not increase the risk of ketoacidosis when used as an adjunctive therapy to insulin in individuals with T1D. Moreover, these findings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support prior studies that demonstrate that </w:t>
      </w:r>
      <w:r>
        <w:rPr>
          <w:rFonts w:ascii="Arial" w:cs="Arial" w:eastAsia="Arial" w:hAnsi="Arial"/>
          <w:sz w:val="17"/>
          <w:szCs w:val="17"/>
          <w:i w:val="1"/>
          <w:iCs w:val="1"/>
          <w:color w:val="auto"/>
        </w:rPr>
        <w:t>cadisegliatin (TTP399)</w:t>
      </w:r>
      <w:r>
        <w:rPr>
          <w:rFonts w:ascii="Arial" w:cs="Arial" w:eastAsia="Arial" w:hAnsi="Arial"/>
          <w:sz w:val="17"/>
          <w:szCs w:val="17"/>
          <w:color w:val="auto"/>
        </w:rPr>
        <w:t xml:space="preserve"> improves glucose control and reduces hypoglycemia and suggests a protective effect of </w:t>
      </w:r>
      <w:r>
        <w:rPr>
          <w:rFonts w:ascii="Arial" w:cs="Arial" w:eastAsia="Arial" w:hAnsi="Arial"/>
          <w:sz w:val="17"/>
          <w:szCs w:val="17"/>
          <w:i w:val="1"/>
          <w:iCs w:val="1"/>
          <w:color w:val="auto"/>
        </w:rPr>
        <w:t xml:space="preserve">cadisegliatin (TTP399) </w:t>
      </w:r>
      <w:r>
        <w:rPr>
          <w:rFonts w:ascii="Arial" w:cs="Arial" w:eastAsia="Arial" w:hAnsi="Arial"/>
          <w:sz w:val="17"/>
          <w:szCs w:val="17"/>
          <w:color w:val="auto"/>
        </w:rPr>
        <w:t>against acidosis in people with T1D. Full study results were published in the</w:t>
      </w:r>
      <w:r>
        <w:rPr>
          <w:rFonts w:ascii="Arial" w:cs="Arial" w:eastAsia="Arial" w:hAnsi="Arial"/>
          <w:sz w:val="17"/>
          <w:szCs w:val="17"/>
          <w:i w:val="1"/>
          <w:iCs w:val="1"/>
          <w:color w:val="auto"/>
        </w:rPr>
        <w:t xml:space="preserve"> Diabetes Obesity and Metabolism </w:t>
      </w:r>
      <w:r>
        <w:rPr>
          <w:rFonts w:ascii="Arial" w:cs="Arial" w:eastAsia="Arial" w:hAnsi="Arial"/>
          <w:sz w:val="17"/>
          <w:szCs w:val="17"/>
          <w:color w:val="auto"/>
        </w:rPr>
        <w:t>journal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the 82nd American Diabetes Association Scientific Sessions on June 6, 2022.</w:t>
      </w:r>
    </w:p>
    <w:p>
      <w:pPr>
        <w:spacing w:after="0" w:line="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In April 2021, we announced that the FDA granted Breakthrough Therapy Designation (“BTD) for </w:t>
      </w:r>
      <w:r>
        <w:rPr>
          <w:rFonts w:ascii="Arial" w:cs="Arial" w:eastAsia="Arial" w:hAnsi="Arial"/>
          <w:sz w:val="18"/>
          <w:szCs w:val="18"/>
          <w:i w:val="1"/>
          <w:iCs w:val="1"/>
          <w:color w:val="auto"/>
        </w:rPr>
        <w:t>cadisegliatin (TTP399)</w:t>
      </w:r>
      <w:r>
        <w:rPr>
          <w:rFonts w:ascii="Arial" w:cs="Arial" w:eastAsia="Arial" w:hAnsi="Arial"/>
          <w:sz w:val="18"/>
          <w:szCs w:val="18"/>
          <w:color w:val="auto"/>
        </w:rPr>
        <w:t xml:space="preserve"> as an adjunctive therapy to insulin for the treatment of T1D. This designation provides a sponsor with added support and the potential to expedite development and review timelines for a promising new investigational medicine.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milestone payments, up-front proceeds and research fees under collaboration and license agreements.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our inception, including our predecessor companies, through June 30, 2023, we have incurred approximately $621.1 million in research and development expenses.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research and development expenses by project for the three and six months ended June 30, 2023 and 2022 were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47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49"/>
        </w:trPr>
        <w:tc>
          <w:tcPr>
            <w:tcW w:w="4740" w:type="dxa"/>
            <w:vAlign w:val="bottom"/>
            <w:shd w:val="clear" w:color="auto" w:fill="EBFEFF"/>
          </w:tcPr>
          <w:p>
            <w:pPr>
              <w:ind w:left="20"/>
              <w:spacing w:after="0"/>
              <w:rPr>
                <w:sz w:val="20"/>
                <w:szCs w:val="20"/>
                <w:color w:val="auto"/>
              </w:rPr>
            </w:pPr>
            <w:r>
              <w:rPr>
                <w:rFonts w:ascii="Arial" w:cs="Arial" w:eastAsia="Arial" w:hAnsi="Arial"/>
                <w:sz w:val="18"/>
                <w:szCs w:val="18"/>
                <w:color w:val="auto"/>
              </w:rPr>
              <w:t>Direct research and development expense:</w:t>
            </w:r>
          </w:p>
        </w:tc>
        <w:tc>
          <w:tcPr>
            <w:tcW w:w="920" w:type="dxa"/>
            <w:vAlign w:val="bottom"/>
            <w:shd w:val="clear" w:color="auto" w:fill="EBFEFF"/>
          </w:tcPr>
          <w:p>
            <w:pPr>
              <w:spacing w:after="0"/>
              <w:rPr>
                <w:sz w:val="21"/>
                <w:szCs w:val="21"/>
                <w:color w:val="auto"/>
              </w:rPr>
            </w:pPr>
          </w:p>
        </w:tc>
        <w:tc>
          <w:tcPr>
            <w:tcW w:w="520" w:type="dxa"/>
            <w:vAlign w:val="bottom"/>
            <w:shd w:val="clear" w:color="auto" w:fill="EBFEFF"/>
          </w:tcPr>
          <w:p>
            <w:pPr>
              <w:spacing w:after="0"/>
              <w:rPr>
                <w:sz w:val="21"/>
                <w:szCs w:val="21"/>
                <w:color w:val="auto"/>
              </w:rPr>
            </w:pPr>
          </w:p>
        </w:tc>
        <w:tc>
          <w:tcPr>
            <w:tcW w:w="100" w:type="dxa"/>
            <w:vAlign w:val="bottom"/>
            <w:shd w:val="clear" w:color="auto" w:fill="EBFEFF"/>
          </w:tcPr>
          <w:p>
            <w:pPr>
              <w:spacing w:after="0"/>
              <w:rPr>
                <w:sz w:val="21"/>
                <w:szCs w:val="21"/>
                <w:color w:val="auto"/>
              </w:rPr>
            </w:pPr>
          </w:p>
        </w:tc>
        <w:tc>
          <w:tcPr>
            <w:tcW w:w="920" w:type="dxa"/>
            <w:vAlign w:val="bottom"/>
            <w:shd w:val="clear" w:color="auto" w:fill="EBFEFF"/>
          </w:tcPr>
          <w:p>
            <w:pPr>
              <w:spacing w:after="0"/>
              <w:rPr>
                <w:sz w:val="21"/>
                <w:szCs w:val="21"/>
                <w:color w:val="auto"/>
              </w:rPr>
            </w:pPr>
          </w:p>
        </w:tc>
        <w:tc>
          <w:tcPr>
            <w:tcW w:w="520" w:type="dxa"/>
            <w:vAlign w:val="bottom"/>
            <w:shd w:val="clear" w:color="auto" w:fill="EBFEFF"/>
          </w:tcPr>
          <w:p>
            <w:pPr>
              <w:spacing w:after="0"/>
              <w:rPr>
                <w:sz w:val="21"/>
                <w:szCs w:val="21"/>
                <w:color w:val="auto"/>
              </w:rPr>
            </w:pPr>
          </w:p>
        </w:tc>
        <w:tc>
          <w:tcPr>
            <w:tcW w:w="100" w:type="dxa"/>
            <w:vAlign w:val="bottom"/>
            <w:shd w:val="clear" w:color="auto" w:fill="EBFEFF"/>
          </w:tcPr>
          <w:p>
            <w:pPr>
              <w:spacing w:after="0"/>
              <w:rPr>
                <w:sz w:val="21"/>
                <w:szCs w:val="21"/>
                <w:color w:val="auto"/>
              </w:rPr>
            </w:pPr>
          </w:p>
        </w:tc>
        <w:tc>
          <w:tcPr>
            <w:tcW w:w="400" w:type="dxa"/>
            <w:vAlign w:val="bottom"/>
            <w:shd w:val="clear" w:color="auto" w:fill="EBFEFF"/>
          </w:tcPr>
          <w:p>
            <w:pPr>
              <w:spacing w:after="0"/>
              <w:rPr>
                <w:sz w:val="21"/>
                <w:szCs w:val="21"/>
                <w:color w:val="auto"/>
              </w:rPr>
            </w:pPr>
          </w:p>
        </w:tc>
        <w:tc>
          <w:tcPr>
            <w:tcW w:w="1260" w:type="dxa"/>
            <w:vAlign w:val="bottom"/>
            <w:shd w:val="clear" w:color="auto" w:fill="EBFEFF"/>
          </w:tcPr>
          <w:p>
            <w:pPr>
              <w:spacing w:after="0"/>
              <w:rPr>
                <w:sz w:val="21"/>
                <w:szCs w:val="21"/>
                <w:color w:val="auto"/>
              </w:rPr>
            </w:pPr>
          </w:p>
        </w:tc>
        <w:tc>
          <w:tcPr>
            <w:tcW w:w="100" w:type="dxa"/>
            <w:vAlign w:val="bottom"/>
            <w:shd w:val="clear" w:color="auto" w:fill="EBFEFF"/>
          </w:tcPr>
          <w:p>
            <w:pPr>
              <w:spacing w:after="0"/>
              <w:rPr>
                <w:sz w:val="21"/>
                <w:szCs w:val="21"/>
                <w:color w:val="auto"/>
              </w:rPr>
            </w:pPr>
          </w:p>
        </w:tc>
        <w:tc>
          <w:tcPr>
            <w:tcW w:w="400" w:type="dxa"/>
            <w:vAlign w:val="bottom"/>
            <w:shd w:val="clear" w:color="auto" w:fill="EBFEFF"/>
          </w:tcPr>
          <w:p>
            <w:pPr>
              <w:spacing w:after="0"/>
              <w:rPr>
                <w:sz w:val="21"/>
                <w:szCs w:val="21"/>
                <w:color w:val="auto"/>
              </w:rPr>
            </w:pPr>
          </w:p>
        </w:tc>
        <w:tc>
          <w:tcPr>
            <w:tcW w:w="1260" w:type="dxa"/>
            <w:vAlign w:val="bottom"/>
            <w:shd w:val="clear" w:color="auto" w:fill="EBFEFF"/>
          </w:tcPr>
          <w:p>
            <w:pPr>
              <w:spacing w:after="0"/>
              <w:rPr>
                <w:sz w:val="21"/>
                <w:szCs w:val="2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i w:val="1"/>
                <w:iCs w:val="1"/>
                <w:color w:val="auto"/>
              </w:rPr>
              <w:t>Cadisegliatin (TTP399)</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4,033</w:t>
            </w:r>
          </w:p>
        </w:tc>
        <w:tc>
          <w:tcPr>
            <w:tcW w:w="10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1,633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7,089</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4,129</w:t>
            </w:r>
          </w:p>
        </w:tc>
      </w:tr>
      <w:tr>
        <w:trPr>
          <w:trHeight w:val="229"/>
        </w:trPr>
        <w:tc>
          <w:tcPr>
            <w:tcW w:w="4740" w:type="dxa"/>
            <w:vAlign w:val="bottom"/>
            <w:shd w:val="clear" w:color="auto" w:fill="EBFEFF"/>
          </w:tcPr>
          <w:p>
            <w:pPr>
              <w:ind w:left="140"/>
              <w:spacing w:after="0"/>
              <w:rPr>
                <w:sz w:val="20"/>
                <w:szCs w:val="20"/>
                <w:color w:val="auto"/>
              </w:rPr>
            </w:pPr>
            <w:r>
              <w:rPr>
                <w:rFonts w:ascii="Arial" w:cs="Arial" w:eastAsia="Arial" w:hAnsi="Arial"/>
                <w:sz w:val="18"/>
                <w:szCs w:val="18"/>
                <w:i w:val="1"/>
                <w:iCs w:val="1"/>
                <w:color w:val="auto"/>
              </w:rPr>
              <w:t>HPP737</w:t>
            </w:r>
          </w:p>
        </w:tc>
        <w:tc>
          <w:tcPr>
            <w:tcW w:w="920" w:type="dxa"/>
            <w:vAlign w:val="bottom"/>
            <w:shd w:val="clear" w:color="auto" w:fill="EBFEFF"/>
          </w:tcPr>
          <w:p>
            <w:pPr>
              <w:spacing w:after="0"/>
              <w:rPr>
                <w:sz w:val="19"/>
                <w:szCs w:val="19"/>
                <w:color w:val="auto"/>
              </w:rPr>
            </w:pPr>
          </w:p>
        </w:tc>
        <w:tc>
          <w:tcPr>
            <w:tcW w:w="5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19"/>
                <w:szCs w:val="19"/>
                <w:color w:val="auto"/>
              </w:rPr>
            </w:pPr>
          </w:p>
        </w:tc>
        <w:tc>
          <w:tcPr>
            <w:tcW w:w="920" w:type="dxa"/>
            <w:vAlign w:val="bottom"/>
            <w:shd w:val="clear" w:color="auto" w:fill="EBFEFF"/>
          </w:tcPr>
          <w:p>
            <w:pPr>
              <w:spacing w:after="0"/>
              <w:rPr>
                <w:sz w:val="19"/>
                <w:szCs w:val="19"/>
                <w:color w:val="auto"/>
              </w:rPr>
            </w:pPr>
          </w:p>
        </w:tc>
        <w:tc>
          <w:tcPr>
            <w:tcW w:w="5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BFEFF"/>
          </w:tcPr>
          <w:p>
            <w:pPr>
              <w:spacing w:after="0"/>
              <w:rPr>
                <w:sz w:val="19"/>
                <w:szCs w:val="19"/>
                <w:color w:val="auto"/>
              </w:rPr>
            </w:pPr>
          </w:p>
        </w:tc>
        <w:tc>
          <w:tcPr>
            <w:tcW w:w="4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BFEFF"/>
          </w:tcPr>
          <w:p>
            <w:pPr>
              <w:spacing w:after="0"/>
              <w:rPr>
                <w:sz w:val="19"/>
                <w:szCs w:val="19"/>
                <w:color w:val="auto"/>
              </w:rPr>
            </w:pPr>
          </w:p>
        </w:tc>
        <w:tc>
          <w:tcPr>
            <w:tcW w:w="4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4740" w:type="dxa"/>
            <w:vAlign w:val="bottom"/>
          </w:tcPr>
          <w:p>
            <w:pPr>
              <w:ind w:left="140"/>
              <w:spacing w:after="0"/>
              <w:rPr>
                <w:sz w:val="20"/>
                <w:szCs w:val="20"/>
                <w:color w:val="auto"/>
              </w:rPr>
            </w:pPr>
            <w:r>
              <w:rPr>
                <w:rFonts w:ascii="Arial" w:cs="Arial" w:eastAsia="Arial" w:hAnsi="Arial"/>
                <w:sz w:val="18"/>
                <w:szCs w:val="18"/>
                <w:i w:val="1"/>
                <w:iCs w:val="1"/>
                <w:color w:val="auto"/>
              </w:rPr>
              <w:t>Azeliragon</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6"/>
        </w:trPr>
        <w:tc>
          <w:tcPr>
            <w:tcW w:w="4740" w:type="dxa"/>
            <w:vAlign w:val="bottom"/>
            <w:shd w:val="clear" w:color="auto" w:fill="EBFEFF"/>
          </w:tcPr>
          <w:p>
            <w:pPr>
              <w:ind w:left="140"/>
              <w:spacing w:after="0"/>
              <w:rPr>
                <w:sz w:val="20"/>
                <w:szCs w:val="20"/>
                <w:color w:val="auto"/>
              </w:rPr>
            </w:pPr>
            <w:r>
              <w:rPr>
                <w:rFonts w:ascii="Arial" w:cs="Arial" w:eastAsia="Arial" w:hAnsi="Arial"/>
                <w:sz w:val="18"/>
                <w:szCs w:val="18"/>
                <w:color w:val="auto"/>
              </w:rPr>
              <w:t>Other projects</w:t>
            </w:r>
          </w:p>
        </w:tc>
        <w:tc>
          <w:tcPr>
            <w:tcW w:w="920" w:type="dxa"/>
            <w:vAlign w:val="bottom"/>
            <w:shd w:val="clear" w:color="auto" w:fill="EBFEFF"/>
          </w:tcPr>
          <w:p>
            <w:pPr>
              <w:spacing w:after="0"/>
              <w:rPr>
                <w:sz w:val="20"/>
                <w:szCs w:val="20"/>
                <w:color w:val="auto"/>
              </w:rPr>
            </w:pPr>
          </w:p>
        </w:tc>
        <w:tc>
          <w:tcPr>
            <w:tcW w:w="5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EBFEFF"/>
          </w:tcPr>
          <w:p>
            <w:pPr>
              <w:spacing w:after="0"/>
              <w:rPr>
                <w:sz w:val="20"/>
                <w:szCs w:val="20"/>
                <w:color w:val="auto"/>
              </w:rPr>
            </w:pPr>
          </w:p>
        </w:tc>
        <w:tc>
          <w:tcPr>
            <w:tcW w:w="920" w:type="dxa"/>
            <w:vAlign w:val="bottom"/>
            <w:shd w:val="clear" w:color="auto" w:fill="EBFEFF"/>
          </w:tcPr>
          <w:p>
            <w:pPr>
              <w:spacing w:after="0"/>
              <w:rPr>
                <w:sz w:val="20"/>
                <w:szCs w:val="20"/>
                <w:color w:val="auto"/>
              </w:rPr>
            </w:pPr>
          </w:p>
        </w:tc>
        <w:tc>
          <w:tcPr>
            <w:tcW w:w="5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EBFEFF"/>
          </w:tcPr>
          <w:p>
            <w:pPr>
              <w:spacing w:after="0"/>
              <w:rPr>
                <w:sz w:val="20"/>
                <w:szCs w:val="20"/>
                <w:color w:val="auto"/>
              </w:rPr>
            </w:pPr>
          </w:p>
        </w:tc>
        <w:tc>
          <w:tcPr>
            <w:tcW w:w="400" w:type="dxa"/>
            <w:vAlign w:val="bottom"/>
            <w:shd w:val="clear" w:color="auto" w:fill="EBFEFF"/>
          </w:tcPr>
          <w:p>
            <w:pPr>
              <w:spacing w:after="0"/>
              <w:rPr>
                <w:sz w:val="20"/>
                <w:szCs w:val="20"/>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EBFEFF"/>
          </w:tcPr>
          <w:p>
            <w:pPr>
              <w:spacing w:after="0"/>
              <w:rPr>
                <w:sz w:val="20"/>
                <w:szCs w:val="20"/>
                <w:color w:val="auto"/>
              </w:rPr>
            </w:pPr>
          </w:p>
        </w:tc>
        <w:tc>
          <w:tcPr>
            <w:tcW w:w="400" w:type="dxa"/>
            <w:vAlign w:val="bottom"/>
            <w:shd w:val="clear" w:color="auto" w:fill="EBFEFF"/>
          </w:tcPr>
          <w:p>
            <w:pPr>
              <w:spacing w:after="0"/>
              <w:rPr>
                <w:sz w:val="20"/>
                <w:szCs w:val="20"/>
                <w:color w:val="auto"/>
              </w:rPr>
            </w:pP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Indirect research and development expense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57"/>
        </w:trPr>
        <w:tc>
          <w:tcPr>
            <w:tcW w:w="4740" w:type="dxa"/>
            <w:vAlign w:val="bottom"/>
            <w:shd w:val="clear" w:color="auto" w:fill="EBFEFF"/>
          </w:tcPr>
          <w:p>
            <w:pPr>
              <w:ind w:left="20"/>
              <w:spacing w:after="0"/>
              <w:rPr>
                <w:sz w:val="20"/>
                <w:szCs w:val="20"/>
                <w:color w:val="auto"/>
              </w:rPr>
            </w:pPr>
            <w:r>
              <w:rPr>
                <w:rFonts w:ascii="Arial" w:cs="Arial" w:eastAsia="Arial" w:hAnsi="Arial"/>
                <w:sz w:val="18"/>
                <w:szCs w:val="18"/>
                <w:color w:val="auto"/>
              </w:rPr>
              <w:t>Total research and development expense</w:t>
            </w:r>
          </w:p>
        </w:tc>
        <w:tc>
          <w:tcPr>
            <w:tcW w:w="920" w:type="dxa"/>
            <w:vAlign w:val="bottom"/>
            <w:shd w:val="clear" w:color="auto" w:fill="EBFEFF"/>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BFEFF"/>
          </w:tcPr>
          <w:p>
            <w:pPr>
              <w:jc w:val="right"/>
              <w:spacing w:after="0"/>
              <w:rPr>
                <w:sz w:val="20"/>
                <w:szCs w:val="20"/>
                <w:color w:val="auto"/>
              </w:rPr>
            </w:pPr>
            <w:r>
              <w:rPr>
                <w:rFonts w:ascii="Arial" w:cs="Arial" w:eastAsia="Arial" w:hAnsi="Arial"/>
                <w:sz w:val="18"/>
                <w:szCs w:val="18"/>
                <w:color w:val="auto"/>
                <w:w w:val="93"/>
              </w:rPr>
              <w:t>4,691</w:t>
            </w:r>
          </w:p>
        </w:tc>
        <w:tc>
          <w:tcPr>
            <w:tcW w:w="1020" w:type="dxa"/>
            <w:vAlign w:val="bottom"/>
            <w:gridSpan w:val="2"/>
            <w:shd w:val="clear" w:color="auto" w:fill="EBF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BFEFF"/>
          </w:tcPr>
          <w:p>
            <w:pPr>
              <w:jc w:val="right"/>
              <w:spacing w:after="0"/>
              <w:rPr>
                <w:sz w:val="20"/>
                <w:szCs w:val="20"/>
                <w:color w:val="auto"/>
              </w:rPr>
            </w:pPr>
            <w:r>
              <w:rPr>
                <w:rFonts w:ascii="Arial" w:cs="Arial" w:eastAsia="Arial" w:hAnsi="Arial"/>
                <w:sz w:val="18"/>
                <w:szCs w:val="18"/>
                <w:color w:val="auto"/>
                <w:w w:val="97"/>
              </w:rPr>
              <w:t>2,205</w:t>
            </w:r>
          </w:p>
        </w:tc>
        <w:tc>
          <w:tcPr>
            <w:tcW w:w="500" w:type="dxa"/>
            <w:vAlign w:val="bottom"/>
            <w:gridSpan w:val="2"/>
            <w:shd w:val="clear" w:color="auto" w:fill="EBF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8,633</w:t>
            </w:r>
          </w:p>
        </w:tc>
        <w:tc>
          <w:tcPr>
            <w:tcW w:w="500" w:type="dxa"/>
            <w:vAlign w:val="bottom"/>
            <w:gridSpan w:val="2"/>
            <w:shd w:val="clear" w:color="auto" w:fill="EBF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BFEFF"/>
          </w:tcPr>
          <w:p>
            <w:pPr>
              <w:jc w:val="right"/>
              <w:spacing w:after="0"/>
              <w:rPr>
                <w:sz w:val="20"/>
                <w:szCs w:val="20"/>
                <w:color w:val="auto"/>
              </w:rPr>
            </w:pPr>
            <w:r>
              <w:rPr>
                <w:rFonts w:ascii="Arial" w:cs="Arial" w:eastAsia="Arial" w:hAnsi="Arial"/>
                <w:sz w:val="18"/>
                <w:szCs w:val="18"/>
                <w:color w:val="auto"/>
              </w:rPr>
              <w:t>5,338</w:t>
            </w:r>
          </w:p>
        </w:tc>
      </w:tr>
      <w:tr>
        <w:trPr>
          <w:trHeight w:val="20"/>
        </w:trPr>
        <w:tc>
          <w:tcPr>
            <w:tcW w:w="4740" w:type="dxa"/>
            <w:vAlign w:val="bottom"/>
            <w:tcBorders>
              <w:top w:val="single" w:sz="8" w:color="EBF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 xml:space="preserve">cadisegliatin (TTP399) </w:t>
      </w:r>
      <w:r>
        <w:rPr>
          <w:rFonts w:ascii="Arial" w:cs="Arial" w:eastAsia="Arial" w:hAnsi="Arial"/>
          <w:sz w:val="17"/>
          <w:szCs w:val="17"/>
          <w:color w:val="auto"/>
        </w:rPr>
        <w:t>and further advance the development of our other drug candidates, subject to the availability of additional funding.</w:t>
      </w:r>
    </w:p>
    <w:p>
      <w:pPr>
        <w:spacing w:after="0" w:line="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these drug candidates may commence. This is due to the numerous risks and uncertainties associated with the development of our drug candidates, including:</w:t>
      </w:r>
    </w:p>
    <w:p>
      <w:pPr>
        <w:spacing w:after="0" w:line="62" w:lineRule="exact"/>
        <w:rPr>
          <w:sz w:val="20"/>
          <w:szCs w:val="20"/>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Interest income represents noncash interest income related to the imputed interest from the G42 Promissory Note receivable, using the effective interest method. Cash interest income represents dividends and interest from our money market accounts, all of which are recognized in our Condensed Consolidated Statement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interest expense is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income/expense primarily consists of unrealized gains or losses attributable to the changes in fair value of the equity investments held by our licensees, the recognition of changes in fair value of the warrants to purchase shares of our Class A common stock held by related parties and the loss from the G42 Promissory Note early redemption on February 28,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19"/>
                <w:szCs w:val="19"/>
                <w:color w:val="auto"/>
              </w:rPr>
            </w:pPr>
          </w:p>
        </w:tc>
        <w:tc>
          <w:tcPr>
            <w:tcW w:w="318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080" w:type="dxa"/>
            <w:vAlign w:val="bottom"/>
          </w:tcPr>
          <w:p>
            <w:pPr>
              <w:spacing w:after="0"/>
              <w:rPr>
                <w:sz w:val="19"/>
                <w:szCs w:val="19"/>
                <w:color w:val="auto"/>
              </w:rPr>
            </w:pPr>
          </w:p>
        </w:tc>
      </w:tr>
      <w:tr>
        <w:trPr>
          <w:trHeight w:val="248"/>
        </w:trPr>
        <w:tc>
          <w:tcPr>
            <w:tcW w:w="6660" w:type="dxa"/>
            <w:vAlign w:val="bottom"/>
            <w:tcBorders>
              <w:bottom w:val="single" w:sz="8" w:color="EBFEFF"/>
            </w:tcBorders>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EBF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BF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3"/>
              </w:rPr>
              <w:t>Change</w:t>
            </w:r>
          </w:p>
        </w:tc>
      </w:tr>
      <w:tr>
        <w:trPr>
          <w:trHeight w:val="223"/>
        </w:trPr>
        <w:tc>
          <w:tcPr>
            <w:tcW w:w="6660" w:type="dxa"/>
            <w:vAlign w:val="bottom"/>
            <w:shd w:val="clear" w:color="auto" w:fill="EBFEFF"/>
          </w:tcPr>
          <w:p>
            <w:pPr>
              <w:ind w:left="2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BF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19"/>
                <w:szCs w:val="19"/>
                <w:color w:val="auto"/>
              </w:rPr>
            </w:pPr>
          </w:p>
        </w:tc>
        <w:tc>
          <w:tcPr>
            <w:tcW w:w="320" w:type="dxa"/>
            <w:vAlign w:val="bottom"/>
            <w:shd w:val="clear" w:color="auto" w:fill="EBF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(9)</w:t>
            </w:r>
          </w:p>
        </w:tc>
      </w:tr>
      <w:tr>
        <w:trPr>
          <w:trHeight w:val="229"/>
        </w:trPr>
        <w:tc>
          <w:tcPr>
            <w:tcW w:w="666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6660" w:type="dxa"/>
            <w:vAlign w:val="bottom"/>
            <w:shd w:val="clear" w:color="auto" w:fill="EBF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EBFEFF"/>
          </w:tcPr>
          <w:p>
            <w:pPr>
              <w:spacing w:after="0"/>
              <w:rPr>
                <w:sz w:val="21"/>
                <w:szCs w:val="21"/>
                <w:color w:val="auto"/>
              </w:rPr>
            </w:pPr>
          </w:p>
        </w:tc>
        <w:tc>
          <w:tcPr>
            <w:tcW w:w="11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EBFEFF"/>
          </w:tcPr>
          <w:p>
            <w:pPr>
              <w:spacing w:after="0"/>
              <w:rPr>
                <w:sz w:val="21"/>
                <w:szCs w:val="21"/>
                <w:color w:val="auto"/>
              </w:rPr>
            </w:pPr>
          </w:p>
        </w:tc>
        <w:tc>
          <w:tcPr>
            <w:tcW w:w="320" w:type="dxa"/>
            <w:vAlign w:val="bottom"/>
            <w:shd w:val="clear" w:color="auto" w:fill="EBFEFF"/>
          </w:tcPr>
          <w:p>
            <w:pPr>
              <w:spacing w:after="0"/>
              <w:rPr>
                <w:sz w:val="21"/>
                <w:szCs w:val="21"/>
                <w:color w:val="auto"/>
              </w:rPr>
            </w:pPr>
          </w:p>
        </w:tc>
        <w:tc>
          <w:tcPr>
            <w:tcW w:w="11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EBFEFF"/>
          </w:tcPr>
          <w:p>
            <w:pPr>
              <w:spacing w:after="0"/>
              <w:rPr>
                <w:sz w:val="21"/>
                <w:szCs w:val="21"/>
                <w:color w:val="auto"/>
              </w:rPr>
            </w:pPr>
          </w:p>
        </w:tc>
        <w:tc>
          <w:tcPr>
            <w:tcW w:w="380" w:type="dxa"/>
            <w:vAlign w:val="bottom"/>
            <w:shd w:val="clear" w:color="auto" w:fill="EBFEFF"/>
          </w:tcPr>
          <w:p>
            <w:pPr>
              <w:spacing w:after="0"/>
              <w:rPr>
                <w:sz w:val="21"/>
                <w:szCs w:val="21"/>
                <w:color w:val="auto"/>
              </w:rPr>
            </w:pPr>
          </w:p>
        </w:tc>
        <w:tc>
          <w:tcPr>
            <w:tcW w:w="108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2,486</w:t>
            </w:r>
          </w:p>
        </w:tc>
      </w:tr>
      <w:tr>
        <w:trPr>
          <w:trHeight w:val="229"/>
        </w:trPr>
        <w:tc>
          <w:tcPr>
            <w:tcW w:w="6660" w:type="dxa"/>
            <w:vAlign w:val="bottom"/>
            <w:tcBorders>
              <w:bottom w:val="single" w:sz="8" w:color="EBF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EBF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EBF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1,478</w:t>
            </w:r>
          </w:p>
        </w:tc>
      </w:tr>
      <w:tr>
        <w:trPr>
          <w:trHeight w:val="223"/>
        </w:trPr>
        <w:tc>
          <w:tcPr>
            <w:tcW w:w="6660" w:type="dxa"/>
            <w:vAlign w:val="bottom"/>
            <w:tcBorders>
              <w:bottom w:val="single" w:sz="8" w:color="EBFEFF"/>
            </w:tcBorders>
            <w:shd w:val="clear" w:color="auto" w:fill="EBF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EBFEFF"/>
            </w:tcBorders>
            <w:shd w:val="clear" w:color="auto" w:fill="EBFEFF"/>
          </w:tcPr>
          <w:p>
            <w:pPr>
              <w:spacing w:after="0"/>
              <w:rPr>
                <w:sz w:val="19"/>
                <w:szCs w:val="19"/>
                <w:color w:val="auto"/>
              </w:rPr>
            </w:pP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EBFEFF"/>
            </w:tcBorders>
            <w:shd w:val="clear" w:color="auto" w:fill="EBFEFF"/>
          </w:tcPr>
          <w:p>
            <w:pPr>
              <w:spacing w:after="0"/>
              <w:rPr>
                <w:sz w:val="19"/>
                <w:szCs w:val="19"/>
                <w:color w:val="auto"/>
              </w:rPr>
            </w:pPr>
          </w:p>
        </w:tc>
        <w:tc>
          <w:tcPr>
            <w:tcW w:w="380" w:type="dxa"/>
            <w:vAlign w:val="bottom"/>
            <w:tcBorders>
              <w:bottom w:val="single" w:sz="8" w:color="auto"/>
            </w:tcBorders>
            <w:shd w:val="clear" w:color="auto" w:fill="EBFEFF"/>
          </w:tcPr>
          <w:p>
            <w:pPr>
              <w:spacing w:after="0"/>
              <w:rPr>
                <w:sz w:val="19"/>
                <w:szCs w:val="19"/>
                <w:color w:val="auto"/>
              </w:rPr>
            </w:pPr>
          </w:p>
        </w:tc>
        <w:tc>
          <w:tcPr>
            <w:tcW w:w="108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3,964</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(3,973)</w:t>
            </w:r>
          </w:p>
        </w:tc>
      </w:tr>
      <w:tr>
        <w:trPr>
          <w:trHeight w:val="236"/>
        </w:trPr>
        <w:tc>
          <w:tcPr>
            <w:tcW w:w="6660" w:type="dxa"/>
            <w:vAlign w:val="bottom"/>
            <w:shd w:val="clear" w:color="auto" w:fill="EBF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EBFEFF"/>
          </w:tcPr>
          <w:p>
            <w:pPr>
              <w:spacing w:after="0"/>
              <w:rPr>
                <w:sz w:val="20"/>
                <w:szCs w:val="20"/>
                <w:color w:val="auto"/>
              </w:rPr>
            </w:pPr>
          </w:p>
        </w:tc>
        <w:tc>
          <w:tcPr>
            <w:tcW w:w="11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EBFEFF"/>
          </w:tcPr>
          <w:p>
            <w:pPr>
              <w:spacing w:after="0"/>
              <w:rPr>
                <w:sz w:val="20"/>
                <w:szCs w:val="20"/>
                <w:color w:val="auto"/>
              </w:rPr>
            </w:pPr>
          </w:p>
        </w:tc>
        <w:tc>
          <w:tcPr>
            <w:tcW w:w="320" w:type="dxa"/>
            <w:vAlign w:val="bottom"/>
            <w:shd w:val="clear" w:color="auto" w:fill="EBFEFF"/>
          </w:tcPr>
          <w:p>
            <w:pPr>
              <w:spacing w:after="0"/>
              <w:rPr>
                <w:sz w:val="20"/>
                <w:szCs w:val="20"/>
                <w:color w:val="auto"/>
              </w:rPr>
            </w:pPr>
          </w:p>
        </w:tc>
        <w:tc>
          <w:tcPr>
            <w:tcW w:w="114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BFEFF"/>
          </w:tcPr>
          <w:p>
            <w:pPr>
              <w:spacing w:after="0"/>
              <w:rPr>
                <w:sz w:val="20"/>
                <w:szCs w:val="20"/>
                <w:color w:val="auto"/>
              </w:rPr>
            </w:pPr>
          </w:p>
        </w:tc>
        <w:tc>
          <w:tcPr>
            <w:tcW w:w="380" w:type="dxa"/>
            <w:vAlign w:val="bottom"/>
            <w:shd w:val="clear" w:color="auto" w:fill="EBFEFF"/>
          </w:tcPr>
          <w:p>
            <w:pPr>
              <w:spacing w:after="0"/>
              <w:rPr>
                <w:sz w:val="20"/>
                <w:szCs w:val="20"/>
                <w:color w:val="auto"/>
              </w:rPr>
            </w:pPr>
          </w:p>
        </w:tc>
        <w:tc>
          <w:tcPr>
            <w:tcW w:w="108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103</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6660" w:type="dxa"/>
            <w:vAlign w:val="bottom"/>
            <w:shd w:val="clear" w:color="auto" w:fill="EBFEFF"/>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EBFEFF"/>
          </w:tcPr>
          <w:p>
            <w:pPr>
              <w:spacing w:after="0"/>
              <w:rPr>
                <w:sz w:val="21"/>
                <w:szCs w:val="21"/>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EBFEFF"/>
          </w:tcPr>
          <w:p>
            <w:pPr>
              <w:spacing w:after="0"/>
              <w:rPr>
                <w:sz w:val="21"/>
                <w:szCs w:val="21"/>
                <w:color w:val="auto"/>
              </w:rPr>
            </w:pPr>
          </w:p>
        </w:tc>
        <w:tc>
          <w:tcPr>
            <w:tcW w:w="320" w:type="dxa"/>
            <w:vAlign w:val="bottom"/>
            <w:tcBorders>
              <w:bottom w:val="single" w:sz="8" w:color="auto"/>
            </w:tcBorders>
            <w:shd w:val="clear" w:color="auto" w:fill="EBFEFF"/>
          </w:tcPr>
          <w:p>
            <w:pPr>
              <w:spacing w:after="0"/>
              <w:rPr>
                <w:sz w:val="21"/>
                <w:szCs w:val="21"/>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BFEFF"/>
          </w:tcPr>
          <w:p>
            <w:pPr>
              <w:spacing w:after="0"/>
              <w:rPr>
                <w:sz w:val="21"/>
                <w:szCs w:val="21"/>
                <w:color w:val="auto"/>
              </w:rPr>
            </w:pPr>
          </w:p>
        </w:tc>
        <w:tc>
          <w:tcPr>
            <w:tcW w:w="380" w:type="dxa"/>
            <w:vAlign w:val="bottom"/>
            <w:tcBorders>
              <w:bottom w:val="single" w:sz="8" w:color="auto"/>
            </w:tcBorders>
            <w:shd w:val="clear" w:color="auto" w:fill="EBFEFF"/>
          </w:tcPr>
          <w:p>
            <w:pPr>
              <w:spacing w:after="0"/>
              <w:rPr>
                <w:sz w:val="21"/>
                <w:szCs w:val="21"/>
                <w:color w:val="auto"/>
              </w:rPr>
            </w:pPr>
          </w:p>
        </w:tc>
        <w:tc>
          <w:tcPr>
            <w:tcW w:w="108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752</w:t>
            </w:r>
          </w:p>
        </w:tc>
      </w:tr>
      <w:tr>
        <w:trPr>
          <w:trHeight w:val="223"/>
        </w:trPr>
        <w:tc>
          <w:tcPr>
            <w:tcW w:w="6660" w:type="dxa"/>
            <w:vAlign w:val="bottom"/>
          </w:tcPr>
          <w:p>
            <w:pPr>
              <w:ind w:left="240"/>
              <w:spacing w:after="0"/>
              <w:rPr>
                <w:sz w:val="20"/>
                <w:szCs w:val="20"/>
                <w:color w:val="auto"/>
              </w:rPr>
            </w:pPr>
            <w:r>
              <w:rPr>
                <w:rFonts w:ascii="Arial" w:cs="Arial" w:eastAsia="Arial" w:hAnsi="Arial"/>
                <w:sz w:val="18"/>
                <w:szCs w:val="18"/>
                <w:color w:val="auto"/>
              </w:rPr>
              <w:t>Loss before income taxes and noncontrolling interest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(3,120)</w:t>
            </w:r>
          </w:p>
        </w:tc>
      </w:tr>
      <w:tr>
        <w:trPr>
          <w:trHeight w:val="229"/>
        </w:trPr>
        <w:tc>
          <w:tcPr>
            <w:tcW w:w="6660" w:type="dxa"/>
            <w:vAlign w:val="bottom"/>
            <w:tcBorders>
              <w:bottom w:val="single" w:sz="8" w:color="EBFEFF"/>
            </w:tcBorders>
            <w:shd w:val="clear" w:color="auto" w:fill="EBFEFF"/>
          </w:tcPr>
          <w:p>
            <w:pPr>
              <w:ind w:left="24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BFEFF"/>
            </w:tcBorders>
            <w:shd w:val="clear" w:color="auto" w:fill="EBFEFF"/>
          </w:tcPr>
          <w:p>
            <w:pPr>
              <w:spacing w:after="0"/>
              <w:rPr>
                <w:sz w:val="19"/>
                <w:szCs w:val="19"/>
                <w:color w:val="auto"/>
              </w:rPr>
            </w:pP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BFEFF"/>
            </w:tcBorders>
            <w:shd w:val="clear" w:color="auto" w:fill="EBFEFF"/>
          </w:tcPr>
          <w:p>
            <w:pPr>
              <w:spacing w:after="0"/>
              <w:rPr>
                <w:sz w:val="19"/>
                <w:szCs w:val="19"/>
                <w:color w:val="auto"/>
              </w:rPr>
            </w:pPr>
          </w:p>
        </w:tc>
        <w:tc>
          <w:tcPr>
            <w:tcW w:w="380" w:type="dxa"/>
            <w:vAlign w:val="bottom"/>
            <w:tcBorders>
              <w:bottom w:val="single" w:sz="8" w:color="auto"/>
            </w:tcBorders>
            <w:shd w:val="clear" w:color="auto" w:fill="EBFEFF"/>
          </w:tcPr>
          <w:p>
            <w:pPr>
              <w:spacing w:after="0"/>
              <w:rPr>
                <w:sz w:val="19"/>
                <w:szCs w:val="19"/>
                <w:color w:val="auto"/>
              </w:rPr>
            </w:pPr>
          </w:p>
        </w:tc>
        <w:tc>
          <w:tcPr>
            <w:tcW w:w="108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(3,120)</w:t>
            </w:r>
          </w:p>
        </w:tc>
      </w:tr>
      <w:tr>
        <w:trPr>
          <w:trHeight w:val="236"/>
        </w:trPr>
        <w:tc>
          <w:tcPr>
            <w:tcW w:w="6660" w:type="dxa"/>
            <w:vAlign w:val="bottom"/>
            <w:shd w:val="clear" w:color="auto" w:fill="EBFEFF"/>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Borders>
              <w:bottom w:val="single" w:sz="8" w:color="auto"/>
            </w:tcBorders>
            <w:shd w:val="clear" w:color="auto" w:fill="EBFEFF"/>
          </w:tcPr>
          <w:p>
            <w:pPr>
              <w:spacing w:after="0"/>
              <w:rPr>
                <w:sz w:val="20"/>
                <w:szCs w:val="20"/>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EBFEFF"/>
          </w:tcPr>
          <w:p>
            <w:pPr>
              <w:spacing w:after="0"/>
              <w:rPr>
                <w:sz w:val="20"/>
                <w:szCs w:val="20"/>
                <w:color w:val="auto"/>
              </w:rPr>
            </w:pPr>
          </w:p>
        </w:tc>
        <w:tc>
          <w:tcPr>
            <w:tcW w:w="320" w:type="dxa"/>
            <w:vAlign w:val="bottom"/>
            <w:tcBorders>
              <w:bottom w:val="single" w:sz="8" w:color="auto"/>
            </w:tcBorders>
            <w:shd w:val="clear" w:color="auto" w:fill="EBFEFF"/>
          </w:tcPr>
          <w:p>
            <w:pPr>
              <w:spacing w:after="0"/>
              <w:rPr>
                <w:sz w:val="20"/>
                <w:szCs w:val="20"/>
                <w:color w:val="auto"/>
              </w:rPr>
            </w:pPr>
          </w:p>
        </w:tc>
        <w:tc>
          <w:tcPr>
            <w:tcW w:w="114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EBFEFF"/>
          </w:tcPr>
          <w:p>
            <w:pPr>
              <w:spacing w:after="0"/>
              <w:rPr>
                <w:sz w:val="20"/>
                <w:szCs w:val="20"/>
                <w:color w:val="auto"/>
              </w:rPr>
            </w:pPr>
          </w:p>
        </w:tc>
        <w:tc>
          <w:tcPr>
            <w:tcW w:w="380" w:type="dxa"/>
            <w:vAlign w:val="bottom"/>
            <w:tcBorders>
              <w:bottom w:val="single" w:sz="8" w:color="auto"/>
            </w:tcBorders>
            <w:shd w:val="clear" w:color="auto" w:fill="EBFEFF"/>
          </w:tcPr>
          <w:p>
            <w:pPr>
              <w:spacing w:after="0"/>
              <w:rPr>
                <w:sz w:val="20"/>
                <w:szCs w:val="20"/>
                <w:color w:val="auto"/>
              </w:rPr>
            </w:pPr>
          </w:p>
        </w:tc>
        <w:tc>
          <w:tcPr>
            <w:tcW w:w="108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(652)</w:t>
            </w:r>
          </w:p>
        </w:tc>
      </w:tr>
      <w:tr>
        <w:trPr>
          <w:trHeight w:val="223"/>
        </w:trPr>
        <w:tc>
          <w:tcPr>
            <w:tcW w:w="666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(2,468)</w:t>
            </w:r>
          </w:p>
        </w:tc>
      </w:tr>
      <w:tr>
        <w:trPr>
          <w:trHeight w:val="21"/>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for the three months ended June 30, 2023 and June 30, 2022 was insignificant.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Research and development expenses were $4.7 million and $2.2 million for the three months ended June 30, 2023 and 2022, respectively. The increase in research and development expenses during this period of $2.5 million, or 112.7%, was primarily driven by i) higher spending on </w:t>
      </w:r>
      <w:r>
        <w:rPr>
          <w:rFonts w:ascii="Arial" w:cs="Arial" w:eastAsia="Arial" w:hAnsi="Arial"/>
          <w:sz w:val="18"/>
          <w:szCs w:val="18"/>
          <w:i w:val="1"/>
          <w:iCs w:val="1"/>
          <w:color w:val="auto"/>
        </w:rPr>
        <w:t>cadisegliatin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(TTP399) </w:t>
      </w:r>
      <w:r>
        <w:rPr>
          <w:rFonts w:ascii="Arial" w:cs="Arial" w:eastAsia="Arial" w:hAnsi="Arial"/>
          <w:sz w:val="18"/>
          <w:szCs w:val="18"/>
          <w:color w:val="auto"/>
        </w:rPr>
        <w:t>of $2.4 million, due to increases in drug product related costs as well as higher spending on trial preparation costs, and ii) an increase in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other projects of $0.1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r>
        <w:rPr>
          <w:rFonts w:ascii="Arial" w:cs="Arial" w:eastAsia="Arial" w:hAnsi="Arial"/>
          <w:sz w:val="18"/>
          <w:szCs w:val="18"/>
          <w:i w:val="1"/>
          <w:iCs w:val="1"/>
          <w:color w:val="auto"/>
        </w:rPr>
        <w: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General and administrative expenses were $3.3 million and $1.8 million for the three months ended June 30, 2023 and 2022, respectively. The increase in general and administrative expenses during this period of $1.5 million, or 80.7%, was primarily driven by i) increases of $1.0 million in payroll costs, ii) increases of $0.2 million in share-based expense, iii) increases of $0.6 million in other general and administrative costs, partially offset by iv) decreases of $0.3 million in legal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for the three months ended June 30, 2023 of $0.2 million is related to dividend income from our money market account. Interest income for the three months ended June 30, 2022 was insignificant.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for the three months ended June 30, 2023 and 2022 was insignificant.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 Net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income was $0.6 million for the three months ended June 30, 2023 and was driven by an unrealized gain related to our investment in Reneo, as well as gains related to the change in the fair value of the outstanding warrants to purchase shares of our own stock issued to related parties (“Related Party Warrants”). Other expense was $0.1 million for the three months ended June 30, 2022 and was related to the unrealized loss recognized related to our investment in Reneo as well as gains related to the change in the fair value of the outstanding warrants to purchase shares of our own stock held by a related party.</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8560" w:type="dxa"/>
            <w:vAlign w:val="bottom"/>
            <w:gridSpan w:val="5"/>
          </w:tcPr>
          <w:p>
            <w:pPr>
              <w:ind w:left="560"/>
              <w:spacing w:after="0"/>
              <w:rPr>
                <w:sz w:val="20"/>
                <w:szCs w:val="20"/>
                <w:color w:val="auto"/>
              </w:rPr>
            </w:pPr>
            <w:r>
              <w:rPr>
                <w:rFonts w:ascii="Arial" w:cs="Arial" w:eastAsia="Arial" w:hAnsi="Arial"/>
                <w:sz w:val="18"/>
                <w:szCs w:val="18"/>
                <w:color w:val="auto"/>
                <w:w w:val="93"/>
              </w:rPr>
              <w:t>The following table sets forth certain information concerning our results of operations for the periods shown:</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4"/>
                <w:szCs w:val="24"/>
                <w:color w:val="auto"/>
              </w:rPr>
            </w:pPr>
          </w:p>
        </w:tc>
        <w:tc>
          <w:tcPr>
            <w:tcW w:w="31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1120" w:type="dxa"/>
            <w:vAlign w:val="bottom"/>
          </w:tcPr>
          <w:p>
            <w:pPr>
              <w:spacing w:after="0"/>
              <w:rPr>
                <w:sz w:val="24"/>
                <w:szCs w:val="24"/>
                <w:color w:val="auto"/>
              </w:rPr>
            </w:pPr>
          </w:p>
        </w:tc>
      </w:tr>
      <w:tr>
        <w:trPr>
          <w:trHeight w:val="248"/>
        </w:trPr>
        <w:tc>
          <w:tcPr>
            <w:tcW w:w="6600" w:type="dxa"/>
            <w:vAlign w:val="bottom"/>
            <w:tcBorders>
              <w:bottom w:val="single" w:sz="8" w:color="EBFEFF"/>
            </w:tcBorders>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EBF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EBF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00" w:type="dxa"/>
            <w:vAlign w:val="bottom"/>
            <w:shd w:val="clear" w:color="auto" w:fill="EBFEFF"/>
          </w:tcPr>
          <w:p>
            <w:pPr>
              <w:ind w:left="2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EBF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BFEFF"/>
          </w:tcPr>
          <w:p>
            <w:pPr>
              <w:spacing w:after="0"/>
              <w:rPr>
                <w:sz w:val="19"/>
                <w:szCs w:val="19"/>
                <w:color w:val="auto"/>
              </w:rPr>
            </w:pPr>
          </w:p>
        </w:tc>
        <w:tc>
          <w:tcPr>
            <w:tcW w:w="400" w:type="dxa"/>
            <w:vAlign w:val="bottom"/>
            <w:shd w:val="clear" w:color="auto" w:fill="EBF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BFEFF"/>
          </w:tcPr>
          <w:p>
            <w:pPr>
              <w:jc w:val="right"/>
              <w:ind w:right="50"/>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(2,009)</w:t>
            </w: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6600" w:type="dxa"/>
            <w:vAlign w:val="bottom"/>
            <w:shd w:val="clear" w:color="auto" w:fill="EBF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EBFEFF"/>
          </w:tcPr>
          <w:p>
            <w:pPr>
              <w:spacing w:after="0"/>
              <w:rPr>
                <w:sz w:val="21"/>
                <w:szCs w:val="21"/>
                <w:color w:val="auto"/>
              </w:rPr>
            </w:pPr>
          </w:p>
        </w:tc>
        <w:tc>
          <w:tcPr>
            <w:tcW w:w="112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8,633</w:t>
            </w:r>
          </w:p>
        </w:tc>
        <w:tc>
          <w:tcPr>
            <w:tcW w:w="100" w:type="dxa"/>
            <w:vAlign w:val="bottom"/>
            <w:shd w:val="clear" w:color="auto" w:fill="EBFEFF"/>
          </w:tcPr>
          <w:p>
            <w:pPr>
              <w:spacing w:after="0"/>
              <w:rPr>
                <w:sz w:val="21"/>
                <w:szCs w:val="21"/>
                <w:color w:val="auto"/>
              </w:rPr>
            </w:pPr>
          </w:p>
        </w:tc>
        <w:tc>
          <w:tcPr>
            <w:tcW w:w="400" w:type="dxa"/>
            <w:vAlign w:val="bottom"/>
            <w:shd w:val="clear" w:color="auto" w:fill="EBFEFF"/>
          </w:tcPr>
          <w:p>
            <w:pPr>
              <w:spacing w:after="0"/>
              <w:rPr>
                <w:sz w:val="21"/>
                <w:szCs w:val="21"/>
                <w:color w:val="auto"/>
              </w:rPr>
            </w:pPr>
          </w:p>
        </w:tc>
        <w:tc>
          <w:tcPr>
            <w:tcW w:w="1080" w:type="dxa"/>
            <w:vAlign w:val="bottom"/>
            <w:shd w:val="clear" w:color="auto" w:fill="EBFEFF"/>
          </w:tcPr>
          <w:p>
            <w:pPr>
              <w:jc w:val="right"/>
              <w:ind w:right="50"/>
              <w:spacing w:after="0"/>
              <w:rPr>
                <w:sz w:val="20"/>
                <w:szCs w:val="20"/>
                <w:color w:val="auto"/>
              </w:rPr>
            </w:pPr>
            <w:r>
              <w:rPr>
                <w:rFonts w:ascii="Arial" w:cs="Arial" w:eastAsia="Arial" w:hAnsi="Arial"/>
                <w:sz w:val="18"/>
                <w:szCs w:val="18"/>
                <w:color w:val="auto"/>
              </w:rPr>
              <w:t>5,338</w:t>
            </w:r>
          </w:p>
        </w:tc>
        <w:tc>
          <w:tcPr>
            <w:tcW w:w="80" w:type="dxa"/>
            <w:vAlign w:val="bottom"/>
            <w:shd w:val="clear" w:color="auto" w:fill="EBFEFF"/>
          </w:tcPr>
          <w:p>
            <w:pPr>
              <w:spacing w:after="0"/>
              <w:rPr>
                <w:sz w:val="21"/>
                <w:szCs w:val="21"/>
                <w:color w:val="auto"/>
              </w:rPr>
            </w:pPr>
          </w:p>
        </w:tc>
        <w:tc>
          <w:tcPr>
            <w:tcW w:w="340" w:type="dxa"/>
            <w:vAlign w:val="bottom"/>
            <w:shd w:val="clear" w:color="auto" w:fill="EBFEFF"/>
          </w:tcPr>
          <w:p>
            <w:pPr>
              <w:spacing w:after="0"/>
              <w:rPr>
                <w:sz w:val="21"/>
                <w:szCs w:val="21"/>
                <w:color w:val="auto"/>
              </w:rPr>
            </w:pPr>
          </w:p>
        </w:tc>
        <w:tc>
          <w:tcPr>
            <w:tcW w:w="112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3,295</w:t>
            </w:r>
          </w:p>
        </w:tc>
      </w:tr>
      <w:tr>
        <w:trPr>
          <w:trHeight w:val="229"/>
        </w:trPr>
        <w:tc>
          <w:tcPr>
            <w:tcW w:w="6600" w:type="dxa"/>
            <w:vAlign w:val="bottom"/>
            <w:tcBorders>
              <w:bottom w:val="single" w:sz="8" w:color="EBF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EBF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7,179</w:t>
            </w:r>
          </w:p>
        </w:tc>
        <w:tc>
          <w:tcPr>
            <w:tcW w:w="80" w:type="dxa"/>
            <w:vAlign w:val="bottom"/>
            <w:tcBorders>
              <w:bottom w:val="single" w:sz="8" w:color="EBF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w:t>
            </w:r>
          </w:p>
        </w:tc>
      </w:tr>
      <w:tr>
        <w:trPr>
          <w:trHeight w:val="223"/>
        </w:trPr>
        <w:tc>
          <w:tcPr>
            <w:tcW w:w="6600" w:type="dxa"/>
            <w:vAlign w:val="bottom"/>
            <w:tcBorders>
              <w:bottom w:val="single" w:sz="8" w:color="EBFEFF"/>
            </w:tcBorders>
            <w:shd w:val="clear" w:color="auto" w:fill="EBF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15,427</w:t>
            </w:r>
          </w:p>
        </w:tc>
        <w:tc>
          <w:tcPr>
            <w:tcW w:w="100" w:type="dxa"/>
            <w:vAlign w:val="bottom"/>
            <w:tcBorders>
              <w:bottom w:val="single" w:sz="8" w:color="EBFEFF"/>
            </w:tcBorders>
            <w:shd w:val="clear" w:color="auto" w:fill="EBFEFF"/>
          </w:tcPr>
          <w:p>
            <w:pPr>
              <w:spacing w:after="0"/>
              <w:rPr>
                <w:sz w:val="19"/>
                <w:szCs w:val="19"/>
                <w:color w:val="auto"/>
              </w:rPr>
            </w:pPr>
          </w:p>
        </w:tc>
        <w:tc>
          <w:tcPr>
            <w:tcW w:w="400" w:type="dxa"/>
            <w:vAlign w:val="bottom"/>
            <w:tcBorders>
              <w:bottom w:val="single" w:sz="8" w:color="auto"/>
            </w:tcBorders>
            <w:shd w:val="clear" w:color="auto" w:fill="EBFEFF"/>
          </w:tcPr>
          <w:p>
            <w:pPr>
              <w:spacing w:after="0"/>
              <w:rPr>
                <w:sz w:val="19"/>
                <w:szCs w:val="19"/>
                <w:color w:val="auto"/>
              </w:rPr>
            </w:pPr>
          </w:p>
        </w:tc>
        <w:tc>
          <w:tcPr>
            <w:tcW w:w="1080" w:type="dxa"/>
            <w:vAlign w:val="bottom"/>
            <w:tcBorders>
              <w:bottom w:val="single" w:sz="8" w:color="auto"/>
            </w:tcBorders>
            <w:shd w:val="clear" w:color="auto" w:fill="EBFEFF"/>
          </w:tcPr>
          <w:p>
            <w:pPr>
              <w:jc w:val="right"/>
              <w:ind w:right="50"/>
              <w:spacing w:after="0"/>
              <w:rPr>
                <w:sz w:val="20"/>
                <w:szCs w:val="20"/>
                <w:color w:val="auto"/>
              </w:rPr>
            </w:pPr>
            <w:r>
              <w:rPr>
                <w:rFonts w:ascii="Arial" w:cs="Arial" w:eastAsia="Arial" w:hAnsi="Arial"/>
                <w:sz w:val="18"/>
                <w:szCs w:val="18"/>
                <w:color w:val="auto"/>
              </w:rPr>
              <w:t>12,517</w:t>
            </w:r>
          </w:p>
        </w:tc>
        <w:tc>
          <w:tcPr>
            <w:tcW w:w="80" w:type="dxa"/>
            <w:vAlign w:val="bottom"/>
            <w:tcBorders>
              <w:bottom w:val="single" w:sz="8" w:color="EBFEFF"/>
            </w:tcBorders>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2,910</w:t>
            </w: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(15,427)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(10,508)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(4,919)</w:t>
            </w:r>
          </w:p>
        </w:tc>
      </w:tr>
      <w:tr>
        <w:trPr>
          <w:trHeight w:val="236"/>
        </w:trPr>
        <w:tc>
          <w:tcPr>
            <w:tcW w:w="6600" w:type="dxa"/>
            <w:vAlign w:val="bottom"/>
            <w:shd w:val="clear" w:color="auto" w:fill="EBFEFF"/>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EBFEFF"/>
          </w:tcPr>
          <w:p>
            <w:pPr>
              <w:spacing w:after="0"/>
              <w:rPr>
                <w:sz w:val="20"/>
                <w:szCs w:val="20"/>
                <w:color w:val="auto"/>
              </w:rPr>
            </w:pPr>
          </w:p>
        </w:tc>
        <w:tc>
          <w:tcPr>
            <w:tcW w:w="112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EBFEFF"/>
          </w:tcPr>
          <w:p>
            <w:pPr>
              <w:spacing w:after="0"/>
              <w:rPr>
                <w:sz w:val="20"/>
                <w:szCs w:val="20"/>
                <w:color w:val="auto"/>
              </w:rPr>
            </w:pPr>
          </w:p>
        </w:tc>
        <w:tc>
          <w:tcPr>
            <w:tcW w:w="400" w:type="dxa"/>
            <w:vAlign w:val="bottom"/>
            <w:shd w:val="clear" w:color="auto" w:fill="EBFEFF"/>
          </w:tcPr>
          <w:p>
            <w:pPr>
              <w:spacing w:after="0"/>
              <w:rPr>
                <w:sz w:val="20"/>
                <w:szCs w:val="20"/>
                <w:color w:val="auto"/>
              </w:rPr>
            </w:pPr>
          </w:p>
        </w:tc>
        <w:tc>
          <w:tcPr>
            <w:tcW w:w="1080" w:type="dxa"/>
            <w:vAlign w:val="bottom"/>
            <w:shd w:val="clear" w:color="auto" w:fill="EBFEFF"/>
          </w:tcPr>
          <w:p>
            <w:pPr>
              <w:jc w:val="right"/>
              <w:ind w:right="50"/>
              <w:spacing w:after="0"/>
              <w:rPr>
                <w:sz w:val="20"/>
                <w:szCs w:val="20"/>
                <w:color w:val="auto"/>
              </w:rPr>
            </w:pPr>
            <w:r>
              <w:rPr>
                <w:rFonts w:ascii="Arial" w:cs="Arial" w:eastAsia="Arial" w:hAnsi="Arial"/>
                <w:sz w:val="18"/>
                <w:szCs w:val="18"/>
                <w:color w:val="auto"/>
              </w:rPr>
              <w:t>50</w:t>
            </w:r>
          </w:p>
        </w:tc>
        <w:tc>
          <w:tcPr>
            <w:tcW w:w="80" w:type="dxa"/>
            <w:vAlign w:val="bottom"/>
            <w:shd w:val="clear" w:color="auto" w:fill="EBFEFF"/>
          </w:tcPr>
          <w:p>
            <w:pPr>
              <w:spacing w:after="0"/>
              <w:rPr>
                <w:sz w:val="20"/>
                <w:szCs w:val="20"/>
                <w:color w:val="auto"/>
              </w:rPr>
            </w:pPr>
          </w:p>
        </w:tc>
        <w:tc>
          <w:tcPr>
            <w:tcW w:w="340" w:type="dxa"/>
            <w:vAlign w:val="bottom"/>
            <w:shd w:val="clear" w:color="auto" w:fill="EBFEFF"/>
          </w:tcPr>
          <w:p>
            <w:pPr>
              <w:spacing w:after="0"/>
              <w:rPr>
                <w:sz w:val="20"/>
                <w:szCs w:val="20"/>
                <w:color w:val="auto"/>
              </w:rPr>
            </w:pPr>
          </w:p>
        </w:tc>
        <w:tc>
          <w:tcPr>
            <w:tcW w:w="1120" w:type="dxa"/>
            <w:vAlign w:val="bottom"/>
            <w:shd w:val="clear" w:color="auto" w:fill="EBFEFF"/>
          </w:tcPr>
          <w:p>
            <w:pPr>
              <w:jc w:val="right"/>
              <w:ind w:right="30"/>
              <w:spacing w:after="0"/>
              <w:rPr>
                <w:sz w:val="20"/>
                <w:szCs w:val="20"/>
                <w:color w:val="auto"/>
              </w:rPr>
            </w:pPr>
            <w:r>
              <w:rPr>
                <w:rFonts w:ascii="Arial" w:cs="Arial" w:eastAsia="Arial" w:hAnsi="Arial"/>
                <w:sz w:val="18"/>
                <w:szCs w:val="18"/>
                <w:color w:val="auto"/>
              </w:rPr>
              <w:t>203</w:t>
            </w: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6600" w:type="dxa"/>
            <w:vAlign w:val="bottom"/>
            <w:shd w:val="clear" w:color="auto" w:fill="EBFEFF"/>
          </w:tcPr>
          <w:p>
            <w:pPr>
              <w:ind w:left="2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EBFEFF"/>
          </w:tcPr>
          <w:p>
            <w:pPr>
              <w:spacing w:after="0"/>
              <w:rPr>
                <w:sz w:val="21"/>
                <w:szCs w:val="21"/>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EBFEFF"/>
          </w:tcPr>
          <w:p>
            <w:pPr>
              <w:spacing w:after="0"/>
              <w:rPr>
                <w:sz w:val="21"/>
                <w:szCs w:val="21"/>
                <w:color w:val="auto"/>
              </w:rPr>
            </w:pPr>
          </w:p>
        </w:tc>
        <w:tc>
          <w:tcPr>
            <w:tcW w:w="400" w:type="dxa"/>
            <w:vAlign w:val="bottom"/>
            <w:tcBorders>
              <w:bottom w:val="single" w:sz="8" w:color="auto"/>
            </w:tcBorders>
            <w:shd w:val="clear" w:color="auto" w:fill="EBFEFF"/>
          </w:tcPr>
          <w:p>
            <w:pPr>
              <w:spacing w:after="0"/>
              <w:rPr>
                <w:sz w:val="21"/>
                <w:szCs w:val="21"/>
                <w:color w:val="auto"/>
              </w:rPr>
            </w:pPr>
          </w:p>
        </w:tc>
        <w:tc>
          <w:tcPr>
            <w:tcW w:w="1080" w:type="dxa"/>
            <w:vAlign w:val="bottom"/>
            <w:tcBorders>
              <w:bottom w:val="single" w:sz="8" w:color="auto"/>
            </w:tcBorders>
            <w:shd w:val="clear" w:color="auto" w:fill="EBFEFF"/>
          </w:tcPr>
          <w:p>
            <w:pPr>
              <w:jc w:val="right"/>
              <w:ind w:right="50"/>
              <w:spacing w:after="0"/>
              <w:rPr>
                <w:sz w:val="20"/>
                <w:szCs w:val="20"/>
                <w:color w:val="auto"/>
              </w:rPr>
            </w:pPr>
            <w:r>
              <w:rPr>
                <w:rFonts w:ascii="Arial" w:cs="Arial" w:eastAsia="Arial" w:hAnsi="Arial"/>
                <w:sz w:val="18"/>
                <w:szCs w:val="18"/>
                <w:color w:val="auto"/>
              </w:rPr>
              <w:t>(2,856)</w:t>
            </w:r>
          </w:p>
        </w:tc>
        <w:tc>
          <w:tcPr>
            <w:tcW w:w="80" w:type="dxa"/>
            <w:vAlign w:val="bottom"/>
            <w:shd w:val="clear" w:color="auto" w:fill="EBFEFF"/>
          </w:tcPr>
          <w:p>
            <w:pPr>
              <w:spacing w:after="0"/>
              <w:rPr>
                <w:sz w:val="21"/>
                <w:szCs w:val="21"/>
                <w:color w:val="auto"/>
              </w:rPr>
            </w:pPr>
          </w:p>
        </w:tc>
        <w:tc>
          <w:tcPr>
            <w:tcW w:w="340" w:type="dxa"/>
            <w:vAlign w:val="bottom"/>
            <w:tcBorders>
              <w:bottom w:val="single" w:sz="8" w:color="auto"/>
            </w:tcBorders>
            <w:shd w:val="clear" w:color="auto" w:fill="EBFEFF"/>
          </w:tcPr>
          <w:p>
            <w:pPr>
              <w:spacing w:after="0"/>
              <w:rPr>
                <w:sz w:val="21"/>
                <w:szCs w:val="21"/>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5,047</w:t>
            </w:r>
          </w:p>
        </w:tc>
      </w:tr>
      <w:tr>
        <w:trPr>
          <w:trHeight w:val="223"/>
        </w:trPr>
        <w:tc>
          <w:tcPr>
            <w:tcW w:w="6600" w:type="dxa"/>
            <w:vAlign w:val="bottom"/>
          </w:tcPr>
          <w:p>
            <w:pPr>
              <w:ind w:left="240"/>
              <w:spacing w:after="0"/>
              <w:rPr>
                <w:sz w:val="20"/>
                <w:szCs w:val="20"/>
                <w:color w:val="auto"/>
              </w:rPr>
            </w:pPr>
            <w:r>
              <w:rPr>
                <w:rFonts w:ascii="Arial" w:cs="Arial" w:eastAsia="Arial" w:hAnsi="Arial"/>
                <w:sz w:val="18"/>
                <w:szCs w:val="18"/>
                <w:color w:val="auto"/>
              </w:rPr>
              <w:t>Loss before income taxes and noncontrolling interest</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(13,315)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330</w:t>
            </w:r>
          </w:p>
        </w:tc>
      </w:tr>
      <w:tr>
        <w:trPr>
          <w:trHeight w:val="230"/>
        </w:trPr>
        <w:tc>
          <w:tcPr>
            <w:tcW w:w="6600" w:type="dxa"/>
            <w:vAlign w:val="bottom"/>
            <w:tcBorders>
              <w:bottom w:val="single" w:sz="8" w:color="EBFEFF"/>
            </w:tcBorders>
            <w:shd w:val="clear" w:color="auto" w:fill="EBFEFF"/>
          </w:tcPr>
          <w:p>
            <w:pPr>
              <w:ind w:left="2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BFEFF"/>
            </w:tcBorders>
            <w:shd w:val="clear" w:color="auto" w:fill="EBFEFF"/>
          </w:tcPr>
          <w:p>
            <w:pPr>
              <w:spacing w:after="0"/>
              <w:rPr>
                <w:sz w:val="19"/>
                <w:szCs w:val="19"/>
                <w:color w:val="auto"/>
              </w:rPr>
            </w:pPr>
          </w:p>
        </w:tc>
        <w:tc>
          <w:tcPr>
            <w:tcW w:w="400" w:type="dxa"/>
            <w:vAlign w:val="bottom"/>
            <w:tcBorders>
              <w:bottom w:val="single" w:sz="8" w:color="auto"/>
            </w:tcBorders>
            <w:shd w:val="clear" w:color="auto" w:fill="EBFEFF"/>
          </w:tcPr>
          <w:p>
            <w:pPr>
              <w:spacing w:after="0"/>
              <w:rPr>
                <w:sz w:val="19"/>
                <w:szCs w:val="19"/>
                <w:color w:val="auto"/>
              </w:rPr>
            </w:pPr>
          </w:p>
        </w:tc>
        <w:tc>
          <w:tcPr>
            <w:tcW w:w="1080" w:type="dxa"/>
            <w:vAlign w:val="bottom"/>
            <w:tcBorders>
              <w:bottom w:val="single" w:sz="8" w:color="auto"/>
            </w:tcBorders>
            <w:shd w:val="clear" w:color="auto" w:fill="EBFEFF"/>
          </w:tcPr>
          <w:p>
            <w:pPr>
              <w:jc w:val="right"/>
              <w:ind w:right="50"/>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EBFEFF"/>
            </w:tcBorders>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(200)</w:t>
            </w: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(13,515)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530</w:t>
            </w:r>
          </w:p>
        </w:tc>
      </w:tr>
      <w:tr>
        <w:trPr>
          <w:trHeight w:val="236"/>
        </w:trPr>
        <w:tc>
          <w:tcPr>
            <w:tcW w:w="6600" w:type="dxa"/>
            <w:vAlign w:val="bottom"/>
            <w:shd w:val="clear" w:color="auto" w:fill="EBFEFF"/>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340" w:type="dxa"/>
            <w:vAlign w:val="bottom"/>
            <w:tcBorders>
              <w:bottom w:val="single" w:sz="8" w:color="auto"/>
            </w:tcBorders>
            <w:shd w:val="clear" w:color="auto" w:fill="EBFEFF"/>
          </w:tcPr>
          <w:p>
            <w:pPr>
              <w:spacing w:after="0"/>
              <w:rPr>
                <w:sz w:val="20"/>
                <w:szCs w:val="20"/>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EBFEFF"/>
          </w:tcPr>
          <w:p>
            <w:pPr>
              <w:spacing w:after="0"/>
              <w:rPr>
                <w:sz w:val="20"/>
                <w:szCs w:val="20"/>
                <w:color w:val="auto"/>
              </w:rPr>
            </w:pPr>
          </w:p>
        </w:tc>
        <w:tc>
          <w:tcPr>
            <w:tcW w:w="400" w:type="dxa"/>
            <w:vAlign w:val="bottom"/>
            <w:tcBorders>
              <w:bottom w:val="single" w:sz="8" w:color="auto"/>
            </w:tcBorders>
            <w:shd w:val="clear" w:color="auto" w:fill="EBFEFF"/>
          </w:tcPr>
          <w:p>
            <w:pPr>
              <w:spacing w:after="0"/>
              <w:rPr>
                <w:sz w:val="20"/>
                <w:szCs w:val="20"/>
                <w:color w:val="auto"/>
              </w:rPr>
            </w:pPr>
          </w:p>
        </w:tc>
        <w:tc>
          <w:tcPr>
            <w:tcW w:w="1080" w:type="dxa"/>
            <w:vAlign w:val="bottom"/>
            <w:tcBorders>
              <w:bottom w:val="single" w:sz="8" w:color="auto"/>
            </w:tcBorders>
            <w:shd w:val="clear" w:color="auto" w:fill="EBFEFF"/>
          </w:tcPr>
          <w:p>
            <w:pPr>
              <w:jc w:val="right"/>
              <w:ind w:right="50"/>
              <w:spacing w:after="0"/>
              <w:rPr>
                <w:sz w:val="20"/>
                <w:szCs w:val="20"/>
                <w:color w:val="auto"/>
              </w:rPr>
            </w:pPr>
            <w:r>
              <w:rPr>
                <w:rFonts w:ascii="Arial" w:cs="Arial" w:eastAsia="Arial" w:hAnsi="Arial"/>
                <w:sz w:val="18"/>
                <w:szCs w:val="18"/>
                <w:color w:val="auto"/>
              </w:rPr>
              <w:t>(3,357)</w:t>
            </w:r>
          </w:p>
        </w:tc>
        <w:tc>
          <w:tcPr>
            <w:tcW w:w="80" w:type="dxa"/>
            <w:vAlign w:val="bottom"/>
            <w:shd w:val="clear" w:color="auto" w:fill="EBFEFF"/>
          </w:tcPr>
          <w:p>
            <w:pPr>
              <w:spacing w:after="0"/>
              <w:rPr>
                <w:sz w:val="20"/>
                <w:szCs w:val="20"/>
                <w:color w:val="auto"/>
              </w:rPr>
            </w:pPr>
          </w:p>
        </w:tc>
        <w:tc>
          <w:tcPr>
            <w:tcW w:w="340" w:type="dxa"/>
            <w:vAlign w:val="bottom"/>
            <w:tcBorders>
              <w:bottom w:val="single" w:sz="8" w:color="auto"/>
            </w:tcBorders>
            <w:shd w:val="clear" w:color="auto" w:fill="EBFEFF"/>
          </w:tcPr>
          <w:p>
            <w:pPr>
              <w:spacing w:after="0"/>
              <w:rPr>
                <w:sz w:val="20"/>
                <w:szCs w:val="20"/>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Arial" w:cs="Arial" w:eastAsia="Arial" w:hAnsi="Arial"/>
                <w:sz w:val="18"/>
                <w:szCs w:val="18"/>
                <w:color w:val="auto"/>
              </w:rPr>
              <w:t>490</w:t>
            </w:r>
          </w:p>
        </w:tc>
      </w:tr>
      <w:tr>
        <w:trPr>
          <w:trHeight w:val="223"/>
        </w:trPr>
        <w:tc>
          <w:tcPr>
            <w:tcW w:w="660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(10,158)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was no revenue for the six months ended June 30, 2023. Revenue for the six months ended June 30, 2022 relates to the increase in the transaction price for the license performance obligations under the amended license agreement with Huadong due to the satisfaction of a development milestone.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Research and development expenses were $8.6 million and $5.3 million for the six months ended June 30, 2023 and 2022, respectively. The increase in research and development expenses during the period of $3.3 million, or 61.7%, was primarily driven by i) higher spending on </w:t>
      </w:r>
      <w:r>
        <w:rPr>
          <w:rFonts w:ascii="Arial" w:cs="Arial" w:eastAsia="Arial" w:hAnsi="Arial"/>
          <w:sz w:val="18"/>
          <w:szCs w:val="18"/>
          <w:i w:val="1"/>
          <w:iCs w:val="1"/>
          <w:color w:val="auto"/>
        </w:rPr>
        <w:t>cadisegliatin (TTP399)</w:t>
      </w:r>
      <w:r>
        <w:rPr>
          <w:rFonts w:ascii="Arial" w:cs="Arial" w:eastAsia="Arial" w:hAnsi="Arial"/>
          <w:sz w:val="18"/>
          <w:szCs w:val="18"/>
          <w:color w:val="auto"/>
        </w:rPr>
        <w:t xml:space="preserve"> of $3.0 million due to increases in drug product related costs as well as higher spending on trial preparation costs, and ii) an increase of $0.3 million in indirect costs and other projects.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r>
        <w:rPr>
          <w:rFonts w:ascii="Arial" w:cs="Arial" w:eastAsia="Arial" w:hAnsi="Arial"/>
          <w:sz w:val="18"/>
          <w:szCs w:val="18"/>
          <w:i w:val="1"/>
          <w:iCs w:val="1"/>
          <w:color w:val="auto"/>
        </w:rPr>
        <w: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General and administrative expenses were $6.8 million and $7.2 million for the six months ended June 30, 2023 and 2022, respectively. The decrease of $0.4 million has been primarily driven by i) decreases of $2.3 million in legal expense, ii) decreases of $0.8 million in severance costs, partially offset by iii) increases of $1.4 million in other general and administrative costs, iv) increases of $1.2 million in payroll costs, and v) increases of $0.1 million share-based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for the six months ended June 30, 2023 of $0.3 million is related to imputed interest on the G42 Promissory Note and dividend income from our money market account. Interest income for the six months ended June 30, 2022 was insignificant.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for the six months ended June 30, 2023 and 2022 was insignificant.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income was $2.2 million for the six months ended June 30, 2023 and is driven by an unrealized gain recognized related to the Company’s investment in Reneo as well as gains related to the change in the fair value of the outstanding warrants to purchase shares of our own stock held by related parties. Other expense was $2.9 million for the six months ended June 30, 2022 and was related to an unrealized loss recognized related to the Company’s investment in Reneo as well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as gains related to the change in fair value of the outstanding warrants to purchase shares of our own stock held by a related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As of June 30, 2023, we had an accumulated deficit of $280.8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As of June 30, 2023, we had cash and cash equivalents of $12.6 million. In addition to available cash and cash equivalents, we are evaluating several financing strategies to fund the ongoing and future clinical trials of </w:t>
      </w:r>
      <w:r>
        <w:rPr>
          <w:rFonts w:ascii="Arial" w:cs="Arial" w:eastAsia="Arial" w:hAnsi="Arial"/>
          <w:sz w:val="17"/>
          <w:szCs w:val="17"/>
          <w:i w:val="1"/>
          <w:iCs w:val="1"/>
          <w:color w:val="auto"/>
        </w:rPr>
        <w:t>cadisegliatin</w:t>
      </w:r>
      <w:r>
        <w:rPr>
          <w:rFonts w:ascii="Arial" w:cs="Arial" w:eastAsia="Arial" w:hAnsi="Arial"/>
          <w:sz w:val="17"/>
          <w:szCs w:val="17"/>
          <w:color w:val="auto"/>
        </w:rPr>
        <w:t xml:space="preserve"> </w:t>
      </w:r>
      <w:r>
        <w:rPr>
          <w:rFonts w:ascii="Arial" w:cs="Arial" w:eastAsia="Arial" w:hAnsi="Arial"/>
          <w:sz w:val="17"/>
          <w:szCs w:val="17"/>
          <w:i w:val="1"/>
          <w:iCs w:val="1"/>
          <w:color w:val="auto"/>
        </w:rPr>
        <w:t>(TTP399)</w:t>
      </w:r>
      <w:r>
        <w:rPr>
          <w:rFonts w:ascii="Arial" w:cs="Arial" w:eastAsia="Arial" w:hAnsi="Arial"/>
          <w:sz w:val="17"/>
          <w:szCs w:val="17"/>
          <w:color w:val="auto"/>
        </w:rPr>
        <w:t>, including direct equity investments and the potential licensing and monetization of other Company programs. The Company received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of $12.0 million from the G42 Promissory Note on February 28, 2023 (see Note 9).</w:t>
      </w:r>
    </w:p>
    <w:p>
      <w:pPr>
        <w:spacing w:after="0" w:line="6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Based on our current operating plan, we may rely on the remaining availability of $37.3 million under our Controlled Equity Offering</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w:t>
      </w:r>
    </w:p>
    <w:p>
      <w:pPr>
        <w:spacing w:after="0" w:line="9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financing are not yet known. We are currently in active discussions with respect to financing, partnering and licensing transactions for the future development of </w:t>
      </w:r>
      <w:r>
        <w:rPr>
          <w:rFonts w:ascii="Arial" w:cs="Arial" w:eastAsia="Arial" w:hAnsi="Arial"/>
          <w:sz w:val="16"/>
          <w:szCs w:val="16"/>
          <w:i w:val="1"/>
          <w:iCs w:val="1"/>
          <w:color w:val="auto"/>
        </w:rPr>
        <w:t>cadisegliatin (TTP399)</w:t>
      </w:r>
      <w:r>
        <w:rPr>
          <w:rFonts w:ascii="Arial" w:cs="Arial" w:eastAsia="Arial" w:hAnsi="Arial"/>
          <w:sz w:val="16"/>
          <w:szCs w:val="16"/>
          <w:color w:val="auto"/>
        </w:rPr>
        <w:t>, but we may not be successful in completing such transactions. These factors raise substantial doubt about our ability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June 30, 2023, we have sold $31.2 million worth of Class A common stock under the ATM Offering for net proceeds of $30.3 million, leaving $37.3 million available to be sold.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Purchase Agreement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entered into the LPC Purchase Agreement, pursuant to which we have the right to sell to Lincoln Park shares of the Company’s Class A common stock having an aggregate value of up to $47.0 million. As of June 30, 2023, we have issued 5,331,306 of these shares for gross proceeds of approximately $11.1 million, leaving $35.9 million available to be sold.</w:t>
      </w:r>
    </w:p>
    <w:p>
      <w:pPr>
        <w:spacing w:after="0" w:line="7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7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17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9"/>
        </w:trPr>
        <w:tc>
          <w:tcPr>
            <w:tcW w:w="8020" w:type="dxa"/>
            <w:vAlign w:val="bottom"/>
            <w:shd w:val="clear" w:color="auto" w:fill="EBF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EBF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(11,333)</w:t>
            </w:r>
          </w:p>
        </w:tc>
        <w:tc>
          <w:tcPr>
            <w:tcW w:w="440" w:type="dxa"/>
            <w:vAlign w:val="bottom"/>
            <w:gridSpan w:val="2"/>
            <w:shd w:val="clear" w:color="auto" w:fill="EBF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BF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r>
      <w:tr>
        <w:trPr>
          <w:trHeight w:val="237"/>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1"/>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For the six months ended June 30, 2023, our net cash used in operating activities increased by $11.0 million from the six months ended June 30, 2022. The significant contributor to the change in cash used was driven by working capital changes offset by cash received of $6.8 million in excess of the fair value of the Class A common stock issued to G42 investments in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There were no cash flows from investing activities for the six months ended June 30, 2023. For the six months ended June 30, 2022, net cash used in investing activities was insignificant.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00"/>
        <w:spacing w:after="0" w:line="311" w:lineRule="auto"/>
        <w:rPr>
          <w:sz w:val="20"/>
          <w:szCs w:val="20"/>
          <w:color w:val="auto"/>
        </w:rPr>
      </w:pPr>
      <w:r>
        <w:rPr>
          <w:rFonts w:ascii="Arial" w:cs="Arial" w:eastAsia="Arial" w:hAnsi="Arial"/>
          <w:sz w:val="16"/>
          <w:szCs w:val="16"/>
          <w:color w:val="auto"/>
        </w:rPr>
        <w:t>For the six months ended June 30, 2023, net cash provided by financing activities increased by $7.0 million from the six months ended June 30, 2022, driven by the receipt of proceeds of $12.0 million from the G42 Promissory Note early redemption during the six months ended June 30, 2023. For the six months ended June 30, 2022, net cash provided by financing activities was driven by sales of our Class A common stock to a collaboration partner.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Based on our current operating plan, we believe that our current cash and cash equivalents will allow us to meet our liquidity requirements into the third quarter of 2023. We plan to finance our operations into the second quarter of 2024 through the use of our cash and cash equivalents and, based on current operating plans, we are evaluating several financing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strategies to fund the ongoing and future clinical trials of </w:t>
      </w:r>
      <w:r>
        <w:rPr>
          <w:rFonts w:ascii="Arial" w:cs="Arial" w:eastAsia="Arial" w:hAnsi="Arial"/>
          <w:sz w:val="17"/>
          <w:szCs w:val="17"/>
          <w:i w:val="1"/>
          <w:iCs w:val="1"/>
          <w:color w:val="auto"/>
        </w:rPr>
        <w:t>cadisegliatin (TTP399)</w:t>
      </w:r>
      <w:r>
        <w:rPr>
          <w:rFonts w:ascii="Arial" w:cs="Arial" w:eastAsia="Arial" w:hAnsi="Arial"/>
          <w:sz w:val="17"/>
          <w:szCs w:val="17"/>
          <w:color w:val="auto"/>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cadisegliatin (TTP399)</w:t>
      </w:r>
      <w:r>
        <w:rPr>
          <w:rFonts w:ascii="Arial" w:cs="Arial" w:eastAsia="Arial" w:hAnsi="Arial"/>
          <w:sz w:val="18"/>
          <w:szCs w:val="18"/>
          <w:color w:val="auto"/>
        </w:rPr>
        <w:t xml:space="preserve"> as a potential adjunctive therapy for the treatment of type 1 diabetes;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of any payments we are required to make to M&amp;F TTP Holdings Two LLC in the future under the Tax Receivable Agreement.</w:t>
      </w:r>
    </w:p>
    <w:p>
      <w:pPr>
        <w:spacing w:after="0" w:line="14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currently have committed external source of funds available through the ATM Offering and LPC Purchase Agreement. However, the ability to use these sources of capital is dependent on a number of factors, including the prevailing market price of and the volume of trading in the Company’s Class A common stock.</w:t>
      </w:r>
    </w:p>
    <w:p>
      <w:pPr>
        <w:spacing w:after="0" w:line="4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pacing w:after="0" w:line="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recurring losses, accumulated deficit and our current levels of cash and cash equivalents raise substantial doubt about our ability to continue as a going concern as of the date of this Quarterly Report on Form 10-Q. If we are unable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2022. There have been no material changes to our critical accounting policies and estimates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6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currently have any material interest rate exposure.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in a financial institution that management believes to be of high credit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quality. Because of the short-term maturities of our investments, we do not believe that an increase in market rates would have a material negative impact on the value of our investment portfolio.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any material foreign currency exposure.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June 30, 2023. Based upon that evaluation, our Chief Executive Officer and Chief Financial Officer concluded that, as of June 30,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risk factors are set forth under the heading “Risk Factors” under Item 1A of Part I in our Annual Report on Form 10-K for the year ended December 31, 2022. There have been no material changes to our risk factors from those previously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sales of unregistered equity securities during the three months ended June 30, 2023.</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60" w:type="dxa"/>
            <w:vAlign w:val="bottom"/>
            <w:gridSpan w:val="10"/>
          </w:tcPr>
          <w:p>
            <w:pPr>
              <w:ind w:left="6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040" w:type="dxa"/>
            <w:vAlign w:val="bottom"/>
            <w:gridSpan w:val="11"/>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0"/>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4"/>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0" w:type="dxa"/>
            <w:vAlign w:val="bottom"/>
            <w:gridSpan w:val="5"/>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0000FF"/>
                <w:w w:val="93"/>
              </w:rPr>
              <w:t>Certification of President and Chief Executive Officer required by Rule 13a-14(a)/15d-14(a) under the Securities Exchange Act of</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1934, as amended, as adopted pursuant to Section 302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0000FF"/>
                <w:w w:val="97"/>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amended, as adopted pursuant to Section 302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0000FF"/>
                <w:w w:val="93"/>
              </w:rPr>
              <w:t>Certification of President and Chief Executive Officer pursuant to 18 U.S.C. Section 1350, as adopted pursuant to Section 906 of</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9"/>
              </w:rPr>
              <w:t>the Sarbanes-Oxley Act of 2002.</w:t>
            </w:r>
          </w:p>
        </w:tc>
        <w:tc>
          <w:tcPr>
            <w:tcW w:w="6920" w:type="dxa"/>
            <w:vAlign w:val="bottom"/>
            <w:tcBorders>
              <w:top w:val="single" w:sz="8" w:color="0000FF"/>
            </w:tcBorders>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0000FF"/>
                <w:w w:val="93"/>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2"/>
              </w:rPr>
              <w:t>Oxley Act of 2002.</w:t>
            </w:r>
          </w:p>
        </w:tc>
        <w:tc>
          <w:tcPr>
            <w:tcW w:w="81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80" w:type="dxa"/>
            <w:vAlign w:val="bottom"/>
          </w:tcPr>
          <w:p>
            <w:pPr>
              <w:ind w:left="20"/>
              <w:spacing w:after="0"/>
              <w:rPr>
                <w:sz w:val="20"/>
                <w:szCs w:val="20"/>
                <w:color w:val="auto"/>
              </w:rPr>
            </w:pPr>
            <w:r>
              <w:rPr>
                <w:rFonts w:ascii="Arial" w:cs="Arial" w:eastAsia="Arial" w:hAnsi="Arial"/>
                <w:sz w:val="18"/>
                <w:szCs w:val="18"/>
                <w:color w:val="auto"/>
              </w:rPr>
              <w:t>101.INS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101.SCH</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101.CAL</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101.DEF</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101.LAB</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101.PRE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80" w:hanging="1454"/>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33" w:right="5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158" w:lineRule="exact"/>
        <w:rPr>
          <w:sz w:val="20"/>
          <w:szCs w:val="20"/>
          <w:color w:val="auto"/>
        </w:rPr>
      </w:pPr>
    </w:p>
    <w:p>
      <w:pPr>
        <w:jc w:val="center"/>
        <w:ind w:left="6800"/>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jc w:val="center"/>
        <w:ind w:left="6800"/>
        <w:spacing w:after="0"/>
        <w:rPr>
          <w:sz w:val="20"/>
          <w:szCs w:val="20"/>
          <w:color w:val="auto"/>
        </w:rPr>
      </w:pPr>
      <w:r>
        <w:rPr>
          <w:rFonts w:ascii="Arial" w:cs="Arial" w:eastAsia="Arial" w:hAnsi="Arial"/>
          <w:sz w:val="18"/>
          <w:szCs w:val="18"/>
          <w:color w:val="auto"/>
        </w:rPr>
        <w:t>(Registrant)</w:t>
      </w:r>
    </w:p>
    <w:p>
      <w:pPr>
        <w:spacing w:after="0" w:line="305"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5463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Paul J. Sekhri</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President and Chief Executive Officer</w:t>
      </w:r>
    </w:p>
    <w:p>
      <w:pPr>
        <w:spacing w:after="0" w:line="305"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5463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Steven Tuch</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33"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J. Sekhri, certify that:</w:t>
      </w:r>
    </w:p>
    <w:p>
      <w:pPr>
        <w:spacing w:after="0" w:line="117"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342" w:lineRule="auto"/>
        <w:tabs>
          <w:tab w:leader="none" w:pos="14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480"/>
        <w:spacing w:after="0" w:line="263"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460" w:hanging="480"/>
        <w:spacing w:after="0" w:line="308" w:lineRule="auto"/>
        <w:tabs>
          <w:tab w:leader="none" w:pos="146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480"/>
        <w:spacing w:after="0" w:line="277"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171" w:lineRule="exact"/>
        <w:rPr>
          <w:sz w:val="20"/>
          <w:szCs w:val="20"/>
          <w:color w:val="auto"/>
        </w:rPr>
      </w:pPr>
    </w:p>
    <w:p>
      <w:pPr>
        <w:ind w:left="6920"/>
        <w:spacing w:after="0"/>
        <w:tabs>
          <w:tab w:leader="none" w:pos="7380" w:val="left"/>
        </w:tabs>
        <w:rPr>
          <w:sz w:val="20"/>
          <w:szCs w:val="20"/>
          <w:color w:val="auto"/>
        </w:rPr>
      </w:pPr>
      <w:r>
        <w:rPr>
          <w:rFonts w:ascii="Arial" w:cs="Arial" w:eastAsia="Arial" w:hAnsi="Arial"/>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Paul J. Sekhri</w:t>
      </w:r>
    </w:p>
    <w:p>
      <w:pPr>
        <w:spacing w:after="0" w:line="3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39"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Steven Tuch, certify that:</w:t>
      </w:r>
    </w:p>
    <w:p>
      <w:pPr>
        <w:spacing w:after="0" w:line="117"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342" w:lineRule="auto"/>
        <w:tabs>
          <w:tab w:leader="none" w:pos="14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480"/>
        <w:spacing w:after="0" w:line="263"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460" w:hanging="480"/>
        <w:spacing w:after="0" w:line="308" w:lineRule="auto"/>
        <w:tabs>
          <w:tab w:leader="none" w:pos="146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480"/>
        <w:spacing w:after="0" w:line="277"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171" w:lineRule="exact"/>
        <w:rPr>
          <w:sz w:val="20"/>
          <w:szCs w:val="20"/>
          <w:color w:val="auto"/>
        </w:rPr>
      </w:pPr>
    </w:p>
    <w:p>
      <w:pPr>
        <w:ind w:left="6920"/>
        <w:spacing w:after="0"/>
        <w:tabs>
          <w:tab w:leader="none" w:pos="7380" w:val="left"/>
        </w:tabs>
        <w:rPr>
          <w:sz w:val="20"/>
          <w:szCs w:val="20"/>
          <w:color w:val="auto"/>
        </w:rPr>
      </w:pPr>
      <w:r>
        <w:rPr>
          <w:rFonts w:ascii="Arial" w:cs="Arial" w:eastAsia="Arial" w:hAnsi="Arial"/>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Steven Tuch</w:t>
      </w:r>
    </w:p>
    <w:p>
      <w:pPr>
        <w:spacing w:after="0" w:line="5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39"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2023,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171" w:lineRule="exact"/>
        <w:rPr>
          <w:sz w:val="20"/>
          <w:szCs w:val="20"/>
          <w:color w:val="auto"/>
        </w:rPr>
      </w:pPr>
    </w:p>
    <w:p>
      <w:pPr>
        <w:ind w:left="6920"/>
        <w:spacing w:after="0"/>
        <w:tabs>
          <w:tab w:leader="none" w:pos="7380" w:val="left"/>
        </w:tabs>
        <w:rPr>
          <w:sz w:val="20"/>
          <w:szCs w:val="20"/>
          <w:color w:val="auto"/>
        </w:rPr>
      </w:pPr>
      <w:r>
        <w:rPr>
          <w:rFonts w:ascii="Arial" w:cs="Arial" w:eastAsia="Arial" w:hAnsi="Arial"/>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Paul J. Sekhri</w:t>
      </w:r>
    </w:p>
    <w:p>
      <w:pPr>
        <w:spacing w:after="0" w:line="3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39" w:right="339" w:bottom="1440" w:gutter="0" w:footer="0" w:header="0"/>
        </w:sectPr>
      </w:pPr>
    </w:p>
    <w:bookmarkStart w:id="39" w:name="page40"/>
    <w:bookmarkEnd w:id="39"/>
    <w:p>
      <w:pPr>
        <w:ind w:left="10320"/>
        <w:spacing w:after="0"/>
        <w:rPr>
          <w:sz w:val="20"/>
          <w:szCs w:val="20"/>
          <w:color w:val="auto"/>
        </w:rPr>
      </w:pPr>
      <w:r>
        <w:rPr>
          <w:rFonts w:ascii="Arial" w:cs="Arial" w:eastAsia="Arial" w:hAnsi="Arial"/>
          <w:sz w:val="16"/>
          <w:szCs w:val="16"/>
          <w:b w:val="1"/>
          <w:bCs w:val="1"/>
          <w:color w:val="auto"/>
        </w:rPr>
        <w:t>Exhibit 32.2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2023,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158" w:lineRule="exact"/>
        <w:rPr>
          <w:sz w:val="20"/>
          <w:szCs w:val="20"/>
          <w:color w:val="auto"/>
        </w:rPr>
      </w:pPr>
    </w:p>
    <w:p>
      <w:pPr>
        <w:ind w:left="6920"/>
        <w:spacing w:after="0"/>
        <w:tabs>
          <w:tab w:leader="none" w:pos="7380" w:val="left"/>
        </w:tabs>
        <w:rPr>
          <w:sz w:val="20"/>
          <w:szCs w:val="20"/>
          <w:color w:val="auto"/>
        </w:rPr>
      </w:pPr>
      <w:r>
        <w:rPr>
          <w:rFonts w:ascii="Arial" w:cs="Arial" w:eastAsia="Arial" w:hAnsi="Arial"/>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Steven Tuch</w:t>
      </w:r>
    </w:p>
    <w:p>
      <w:pPr>
        <w:spacing w:after="0" w:line="3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2"/>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2023-08-11T15:54:48Z</dcterms:created>
  <dcterms:modified xsi:type="dcterms:W3CDTF">2023-08-11T15:54:48Z</dcterms:modified>
</cp:coreProperties>
</file>