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2110" cy="571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182245</wp:posOffset>
            </wp:positionV>
            <wp:extent cx="6166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66485" cy="571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199390</wp:posOffset>
            </wp:positionV>
            <wp:extent cx="6166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66485" cy="5715"/>
                    </a:xfrm>
                    <a:prstGeom prst="rect">
                      <a:avLst/>
                    </a:prstGeom>
                    <a:noFill/>
                  </pic:spPr>
                </pic:pic>
              </a:graphicData>
            </a:graphic>
          </wp:anchor>
        </w:drawing>
      </w:r>
    </w:p>
    <w:p>
      <w:pPr>
        <w:spacing w:after="0" w:line="3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_____________________________________________________________________________________________________</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1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_____________________________________________________________________________________________________</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41" w:lineRule="exact"/>
        <w:rPr>
          <w:sz w:val="24"/>
          <w:szCs w:val="24"/>
          <w:color w:val="auto"/>
        </w:rPr>
      </w:pPr>
    </w:p>
    <w:p>
      <w:pPr>
        <w:ind w:left="400" w:hanging="396"/>
        <w:spacing w:after="0"/>
        <w:tabs>
          <w:tab w:leader="none" w:pos="400" w:val="left"/>
        </w:tabs>
        <w:numPr>
          <w:ilvl w:val="0"/>
          <w:numId w:val="1"/>
        </w:numPr>
        <w:rPr>
          <w:rFonts w:ascii="Wingdings" w:cs="Wingdings" w:eastAsia="Wingdings" w:hAnsi="Wingdings"/>
          <w:sz w:val="12"/>
          <w:szCs w:val="12"/>
          <w:b w:val="1"/>
          <w:bCs w:val="1"/>
          <w:color w:val="auto"/>
          <w:highlight w:val="black"/>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2025</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68" w:lineRule="exact"/>
        <w:rPr>
          <w:sz w:val="24"/>
          <w:szCs w:val="24"/>
          <w:color w:val="auto"/>
        </w:rPr>
      </w:pPr>
    </w:p>
    <w:p>
      <w:pPr>
        <w:ind w:left="400" w:hanging="396"/>
        <w:spacing w:after="0"/>
        <w:tabs>
          <w:tab w:leader="none" w:pos="400" w:val="left"/>
        </w:tabs>
        <w:numPr>
          <w:ilvl w:val="0"/>
          <w:numId w:val="2"/>
        </w:numPr>
        <w:rPr>
          <w:rFonts w:ascii="Wingdings" w:cs="Wingdings" w:eastAsia="Wingdings" w:hAnsi="Wingdings"/>
          <w:sz w:val="12"/>
          <w:szCs w:val="12"/>
          <w:b w:val="1"/>
          <w:bCs w:val="1"/>
          <w:color w:val="auto"/>
          <w:highlight w:val="black"/>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12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_______ to _______</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Commission file number: 001-37524</w:t>
      </w:r>
    </w:p>
    <w:p>
      <w:pPr>
        <w:spacing w:after="0" w:line="3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_____________________________________________________________________________________________________</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vTv Therapeutics Inc.</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3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_____________________________________________________________________________________________________</w:t>
      </w:r>
    </w:p>
    <w:p>
      <w:pPr>
        <w:spacing w:after="0" w:line="70" w:lineRule="exact"/>
        <w:rPr>
          <w:sz w:val="24"/>
          <w:szCs w:val="24"/>
          <w:color w:val="auto"/>
        </w:rPr>
      </w:pPr>
    </w:p>
    <w:tbl>
      <w:tblPr>
        <w:tblLayout w:type="fixed"/>
        <w:tblInd w:w="840" w:type="dxa"/>
        <w:tblCellMar>
          <w:top w:w="0" w:type="dxa"/>
          <w:left w:w="0" w:type="dxa"/>
          <w:bottom w:w="0" w:type="dxa"/>
          <w:right w:w="0" w:type="dxa"/>
        </w:tblCellMar>
      </w:tblPr>
      <w:tr>
        <w:trPr>
          <w:trHeight w:val="142"/>
        </w:trPr>
        <w:tc>
          <w:tcPr>
            <w:tcW w:w="1920" w:type="dxa"/>
            <w:vAlign w:val="bottom"/>
          </w:tcPr>
          <w:p>
            <w:pPr>
              <w:spacing w:after="0"/>
              <w:rPr>
                <w:sz w:val="12"/>
                <w:szCs w:val="12"/>
                <w:color w:val="auto"/>
              </w:rPr>
            </w:pPr>
          </w:p>
        </w:tc>
        <w:tc>
          <w:tcPr>
            <w:tcW w:w="1520" w:type="dxa"/>
            <w:vAlign w:val="bottom"/>
          </w:tcPr>
          <w:p>
            <w:pPr>
              <w:jc w:val="center"/>
              <w:ind w:right="526"/>
              <w:spacing w:after="0"/>
              <w:rPr>
                <w:sz w:val="20"/>
                <w:szCs w:val="20"/>
                <w:color w:val="auto"/>
              </w:rPr>
            </w:pPr>
            <w:r>
              <w:rPr>
                <w:rFonts w:ascii="Times New Roman" w:cs="Times New Roman" w:eastAsia="Times New Roman" w:hAnsi="Times New Roman"/>
                <w:sz w:val="11"/>
                <w:szCs w:val="11"/>
                <w:b w:val="1"/>
                <w:bCs w:val="1"/>
                <w:color w:val="auto"/>
                <w:w w:val="94"/>
              </w:rPr>
              <w:t>Delaware</w:t>
            </w:r>
          </w:p>
        </w:tc>
        <w:tc>
          <w:tcPr>
            <w:tcW w:w="3040" w:type="dxa"/>
            <w:vAlign w:val="bottom"/>
          </w:tcPr>
          <w:p>
            <w:pPr>
              <w:spacing w:after="0"/>
              <w:rPr>
                <w:sz w:val="12"/>
                <w:szCs w:val="12"/>
                <w:color w:val="auto"/>
              </w:rPr>
            </w:pPr>
          </w:p>
        </w:tc>
        <w:tc>
          <w:tcPr>
            <w:tcW w:w="1240" w:type="dxa"/>
            <w:vAlign w:val="bottom"/>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47-3916571</w:t>
            </w:r>
          </w:p>
        </w:tc>
        <w:tc>
          <w:tcPr>
            <w:tcW w:w="1880" w:type="dxa"/>
            <w:vAlign w:val="bottom"/>
          </w:tcPr>
          <w:p>
            <w:pPr>
              <w:spacing w:after="0"/>
              <w:rPr>
                <w:sz w:val="12"/>
                <w:szCs w:val="12"/>
                <w:color w:val="auto"/>
              </w:rPr>
            </w:pPr>
          </w:p>
        </w:tc>
      </w:tr>
      <w:tr>
        <w:trPr>
          <w:trHeight w:val="123"/>
        </w:trPr>
        <w:tc>
          <w:tcPr>
            <w:tcW w:w="3440" w:type="dxa"/>
            <w:vAlign w:val="bottom"/>
            <w:gridSpan w:val="2"/>
          </w:tcPr>
          <w:p>
            <w:pPr>
              <w:jc w:val="center"/>
              <w:ind w:left="1312"/>
              <w:spacing w:after="0"/>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3040" w:type="dxa"/>
            <w:vAlign w:val="bottom"/>
          </w:tcPr>
          <w:p>
            <w:pPr>
              <w:spacing w:after="0"/>
              <w:rPr>
                <w:sz w:val="10"/>
                <w:szCs w:val="10"/>
                <w:color w:val="auto"/>
              </w:rPr>
            </w:pPr>
          </w:p>
        </w:tc>
        <w:tc>
          <w:tcPr>
            <w:tcW w:w="3120" w:type="dxa"/>
            <w:vAlign w:val="bottom"/>
            <w:gridSpan w:val="2"/>
          </w:tcPr>
          <w:p>
            <w:pPr>
              <w:jc w:val="center"/>
              <w:ind w:right="1660"/>
              <w:spacing w:after="0"/>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25"/>
        </w:trPr>
        <w:tc>
          <w:tcPr>
            <w:tcW w:w="3440" w:type="dxa"/>
            <w:vAlign w:val="bottom"/>
            <w:gridSpan w:val="2"/>
          </w:tcPr>
          <w:p>
            <w:pPr>
              <w:jc w:val="center"/>
              <w:ind w:left="1292"/>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3040" w:type="dxa"/>
            <w:vAlign w:val="bottom"/>
          </w:tcPr>
          <w:p>
            <w:pPr>
              <w:spacing w:after="0"/>
              <w:rPr>
                <w:sz w:val="10"/>
                <w:szCs w:val="10"/>
                <w:color w:val="auto"/>
              </w:rPr>
            </w:pPr>
          </w:p>
        </w:tc>
        <w:tc>
          <w:tcPr>
            <w:tcW w:w="3120" w:type="dxa"/>
            <w:vAlign w:val="bottom"/>
            <w:gridSpan w:val="2"/>
          </w:tcPr>
          <w:p>
            <w:pPr>
              <w:jc w:val="center"/>
              <w:ind w:right="1640"/>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181"/>
        </w:trPr>
        <w:tc>
          <w:tcPr>
            <w:tcW w:w="3440" w:type="dxa"/>
            <w:vAlign w:val="bottom"/>
            <w:gridSpan w:val="2"/>
          </w:tcPr>
          <w:p>
            <w:pPr>
              <w:jc w:val="center"/>
              <w:ind w:left="1312"/>
              <w:spacing w:after="0"/>
              <w:rPr>
                <w:sz w:val="20"/>
                <w:szCs w:val="20"/>
                <w:color w:val="auto"/>
              </w:rPr>
            </w:pPr>
            <w:r>
              <w:rPr>
                <w:rFonts w:ascii="Times New Roman" w:cs="Times New Roman" w:eastAsia="Times New Roman" w:hAnsi="Times New Roman"/>
                <w:sz w:val="11"/>
                <w:szCs w:val="11"/>
                <w:b w:val="1"/>
                <w:bCs w:val="1"/>
                <w:color w:val="auto"/>
                <w:w w:val="97"/>
              </w:rPr>
              <w:t>3980 Premier Dr, Suite 110, High Point, NC</w:t>
            </w:r>
          </w:p>
        </w:tc>
        <w:tc>
          <w:tcPr>
            <w:tcW w:w="3040" w:type="dxa"/>
            <w:vAlign w:val="bottom"/>
          </w:tcPr>
          <w:p>
            <w:pPr>
              <w:spacing w:after="0"/>
              <w:rPr>
                <w:sz w:val="15"/>
                <w:szCs w:val="15"/>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27265</w:t>
            </w:r>
          </w:p>
        </w:tc>
        <w:tc>
          <w:tcPr>
            <w:tcW w:w="1880" w:type="dxa"/>
            <w:vAlign w:val="bottom"/>
          </w:tcPr>
          <w:p>
            <w:pPr>
              <w:spacing w:after="0"/>
              <w:rPr>
                <w:sz w:val="15"/>
                <w:szCs w:val="15"/>
                <w:color w:val="auto"/>
              </w:rPr>
            </w:pPr>
          </w:p>
        </w:tc>
      </w:tr>
      <w:tr>
        <w:trPr>
          <w:trHeight w:val="125"/>
        </w:trPr>
        <w:tc>
          <w:tcPr>
            <w:tcW w:w="3440" w:type="dxa"/>
            <w:vAlign w:val="bottom"/>
            <w:gridSpan w:val="2"/>
          </w:tcPr>
          <w:p>
            <w:pPr>
              <w:jc w:val="center"/>
              <w:ind w:left="1292"/>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3040" w:type="dxa"/>
            <w:vAlign w:val="bottom"/>
          </w:tcPr>
          <w:p>
            <w:pPr>
              <w:spacing w:after="0"/>
              <w:rPr>
                <w:sz w:val="10"/>
                <w:szCs w:val="10"/>
                <w:color w:val="auto"/>
              </w:rPr>
            </w:pPr>
          </w:p>
        </w:tc>
        <w:tc>
          <w:tcPr>
            <w:tcW w:w="3120" w:type="dxa"/>
            <w:vAlign w:val="bottom"/>
            <w:gridSpan w:val="2"/>
          </w:tcPr>
          <w:p>
            <w:pPr>
              <w:jc w:val="center"/>
              <w:ind w:right="1640"/>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r>
        <w:trPr>
          <w:trHeight w:val="208"/>
        </w:trPr>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40" w:type="dxa"/>
            <w:vAlign w:val="bottom"/>
          </w:tcPr>
          <w:p>
            <w:pPr>
              <w:jc w:val="center"/>
              <w:ind w:right="271"/>
              <w:spacing w:after="0"/>
              <w:rPr>
                <w:sz w:val="20"/>
                <w:szCs w:val="20"/>
                <w:color w:val="auto"/>
              </w:rPr>
            </w:pPr>
            <w:r>
              <w:rPr>
                <w:rFonts w:ascii="Times New Roman" w:cs="Times New Roman" w:eastAsia="Times New Roman" w:hAnsi="Times New Roman"/>
                <w:sz w:val="11"/>
                <w:szCs w:val="11"/>
                <w:b w:val="1"/>
                <w:bCs w:val="1"/>
                <w:color w:val="auto"/>
                <w:w w:val="98"/>
              </w:rPr>
              <w:t>(336) 841-0300</w:t>
            </w:r>
          </w:p>
        </w:tc>
        <w:tc>
          <w:tcPr>
            <w:tcW w:w="12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22"/>
        </w:trPr>
        <w:tc>
          <w:tcPr>
            <w:tcW w:w="1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040" w:type="dxa"/>
            <w:vAlign w:val="bottom"/>
          </w:tcPr>
          <w:p>
            <w:pPr>
              <w:jc w:val="center"/>
              <w:ind w:right="271"/>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w:t>
            </w:r>
          </w:p>
        </w:tc>
        <w:tc>
          <w:tcPr>
            <w:tcW w:w="1240" w:type="dxa"/>
            <w:vAlign w:val="bottom"/>
          </w:tcPr>
          <w:p>
            <w:pPr>
              <w:spacing w:after="0"/>
              <w:rPr>
                <w:sz w:val="10"/>
                <w:szCs w:val="10"/>
                <w:color w:val="auto"/>
              </w:rPr>
            </w:pPr>
          </w:p>
        </w:tc>
        <w:tc>
          <w:tcPr>
            <w:tcW w:w="1880" w:type="dxa"/>
            <w:vAlign w:val="bottom"/>
          </w:tcPr>
          <w:p>
            <w:pPr>
              <w:spacing w:after="0"/>
              <w:rPr>
                <w:sz w:val="10"/>
                <w:szCs w:val="10"/>
                <w:color w:val="auto"/>
              </w:rPr>
            </w:pPr>
          </w:p>
        </w:tc>
      </w:tr>
      <w:tr>
        <w:trPr>
          <w:trHeight w:val="142"/>
        </w:trPr>
        <w:tc>
          <w:tcPr>
            <w:tcW w:w="1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40" w:type="dxa"/>
            <w:vAlign w:val="bottom"/>
          </w:tcPr>
          <w:p>
            <w:pPr>
              <w:jc w:val="center"/>
              <w:ind w:right="271"/>
              <w:spacing w:after="0"/>
              <w:rPr>
                <w:sz w:val="20"/>
                <w:szCs w:val="20"/>
                <w:color w:val="auto"/>
              </w:rPr>
            </w:pPr>
            <w:r>
              <w:rPr>
                <w:rFonts w:ascii="Times New Roman" w:cs="Times New Roman" w:eastAsia="Times New Roman" w:hAnsi="Times New Roman"/>
                <w:sz w:val="11"/>
                <w:szCs w:val="11"/>
                <w:b w:val="1"/>
                <w:bCs w:val="1"/>
                <w:color w:val="auto"/>
                <w:w w:val="97"/>
              </w:rPr>
              <w:t>Securities registered pursuant to Section 12(b) of the Act:</w:t>
            </w:r>
          </w:p>
        </w:tc>
        <w:tc>
          <w:tcPr>
            <w:tcW w:w="124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142"/>
        </w:trPr>
        <w:tc>
          <w:tcPr>
            <w:tcW w:w="3440" w:type="dxa"/>
            <w:vAlign w:val="bottom"/>
            <w:tcBorders>
              <w:bottom w:val="single" w:sz="8" w:color="auto"/>
            </w:tcBorders>
            <w:gridSpan w:val="2"/>
          </w:tcPr>
          <w:p>
            <w:pPr>
              <w:jc w:val="center"/>
              <w:ind w:left="332"/>
              <w:spacing w:after="0"/>
              <w:rPr>
                <w:sz w:val="20"/>
                <w:szCs w:val="20"/>
                <w:color w:val="auto"/>
              </w:rPr>
            </w:pPr>
            <w:r>
              <w:rPr>
                <w:rFonts w:ascii="Times New Roman" w:cs="Times New Roman" w:eastAsia="Times New Roman" w:hAnsi="Times New Roman"/>
                <w:sz w:val="8"/>
                <w:szCs w:val="8"/>
                <w:b w:val="1"/>
                <w:bCs w:val="1"/>
                <w:color w:val="auto"/>
              </w:rPr>
              <w:t>Title of each Class</w:t>
            </w:r>
          </w:p>
        </w:tc>
        <w:tc>
          <w:tcPr>
            <w:tcW w:w="3040" w:type="dxa"/>
            <w:vAlign w:val="bottom"/>
            <w:tcBorders>
              <w:bottom w:val="single" w:sz="8" w:color="auto"/>
            </w:tcBorders>
          </w:tcPr>
          <w:p>
            <w:pPr>
              <w:jc w:val="center"/>
              <w:ind w:right="291"/>
              <w:spacing w:after="0"/>
              <w:rPr>
                <w:sz w:val="20"/>
                <w:szCs w:val="20"/>
                <w:color w:val="auto"/>
              </w:rPr>
            </w:pPr>
            <w:r>
              <w:rPr>
                <w:rFonts w:ascii="Times New Roman" w:cs="Times New Roman" w:eastAsia="Times New Roman" w:hAnsi="Times New Roman"/>
                <w:sz w:val="8"/>
                <w:szCs w:val="8"/>
                <w:b w:val="1"/>
                <w:bCs w:val="1"/>
                <w:color w:val="auto"/>
              </w:rPr>
              <w:t>Trading Symbol</w:t>
            </w:r>
          </w:p>
        </w:tc>
        <w:tc>
          <w:tcPr>
            <w:tcW w:w="3120" w:type="dxa"/>
            <w:vAlign w:val="bottom"/>
            <w:tcBorders>
              <w:bottom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tc>
      </w:tr>
      <w:tr>
        <w:trPr>
          <w:trHeight w:val="118"/>
        </w:trPr>
        <w:tc>
          <w:tcPr>
            <w:tcW w:w="3440" w:type="dxa"/>
            <w:vAlign w:val="bottom"/>
            <w:gridSpan w:val="2"/>
          </w:tcPr>
          <w:p>
            <w:pPr>
              <w:jc w:val="center"/>
              <w:ind w:left="332"/>
              <w:spacing w:after="0"/>
              <w:rPr>
                <w:sz w:val="20"/>
                <w:szCs w:val="20"/>
                <w:color w:val="auto"/>
              </w:rPr>
            </w:pPr>
            <w:r>
              <w:rPr>
                <w:rFonts w:ascii="Times New Roman" w:cs="Times New Roman" w:eastAsia="Times New Roman" w:hAnsi="Times New Roman"/>
                <w:sz w:val="10"/>
                <w:szCs w:val="10"/>
                <w:color w:val="auto"/>
                <w:w w:val="95"/>
              </w:rPr>
              <w:t>Class A Common Stock, par value $0.01 per share</w:t>
            </w:r>
          </w:p>
        </w:tc>
        <w:tc>
          <w:tcPr>
            <w:tcW w:w="3040" w:type="dxa"/>
            <w:vAlign w:val="bottom"/>
          </w:tcPr>
          <w:p>
            <w:pPr>
              <w:jc w:val="center"/>
              <w:ind w:right="271"/>
              <w:spacing w:after="0"/>
              <w:rPr>
                <w:sz w:val="20"/>
                <w:szCs w:val="20"/>
                <w:color w:val="auto"/>
              </w:rPr>
            </w:pPr>
            <w:r>
              <w:rPr>
                <w:rFonts w:ascii="Times New Roman" w:cs="Times New Roman" w:eastAsia="Times New Roman" w:hAnsi="Times New Roman"/>
                <w:sz w:val="10"/>
                <w:szCs w:val="10"/>
                <w:color w:val="auto"/>
                <w:w w:val="89"/>
              </w:rPr>
              <w:t>VTVT</w:t>
            </w:r>
          </w:p>
        </w:tc>
        <w:tc>
          <w:tcPr>
            <w:tcW w:w="3120" w:type="dxa"/>
            <w:vAlign w:val="bottom"/>
            <w:gridSpan w:val="2"/>
          </w:tcPr>
          <w:p>
            <w:pPr>
              <w:jc w:val="center"/>
              <w:ind w:right="700"/>
              <w:spacing w:after="0"/>
              <w:rPr>
                <w:sz w:val="20"/>
                <w:szCs w:val="20"/>
                <w:color w:val="auto"/>
              </w:rPr>
            </w:pPr>
            <w:r>
              <w:rPr>
                <w:rFonts w:ascii="Times New Roman" w:cs="Times New Roman" w:eastAsia="Times New Roman" w:hAnsi="Times New Roman"/>
                <w:sz w:val="10"/>
                <w:szCs w:val="10"/>
                <w:color w:val="auto"/>
                <w:w w:val="96"/>
              </w:rPr>
              <w:t>Nasdaq Capital Market</w:t>
            </w:r>
          </w:p>
        </w:tc>
      </w:tr>
      <w:tr>
        <w:trPr>
          <w:trHeight w:val="274"/>
        </w:trPr>
        <w:tc>
          <w:tcPr>
            <w:tcW w:w="19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040" w:type="dxa"/>
            <w:vAlign w:val="bottom"/>
          </w:tcPr>
          <w:p>
            <w:pPr>
              <w:jc w:val="center"/>
              <w:ind w:right="251"/>
              <w:spacing w:after="0"/>
              <w:rPr>
                <w:sz w:val="20"/>
                <w:szCs w:val="20"/>
                <w:color w:val="auto"/>
              </w:rPr>
            </w:pPr>
            <w:r>
              <w:rPr>
                <w:rFonts w:ascii="Times New Roman" w:cs="Times New Roman" w:eastAsia="Times New Roman" w:hAnsi="Times New Roman"/>
                <w:sz w:val="10"/>
                <w:szCs w:val="10"/>
                <w:b w:val="1"/>
                <w:bCs w:val="1"/>
                <w:color w:val="auto"/>
                <w:w w:val="95"/>
              </w:rPr>
              <w:t>Securities registered pursuant to Section 12(g) of the Act: None</w:t>
            </w:r>
          </w:p>
        </w:tc>
        <w:tc>
          <w:tcPr>
            <w:tcW w:w="124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6"/>
        </w:trPr>
        <w:tc>
          <w:tcPr>
            <w:tcW w:w="19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r>
    </w:tbl>
    <w:p>
      <w:pPr>
        <w:spacing w:after="0" w:line="25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0"/>
          <w:szCs w:val="10"/>
          <w:color w:val="auto"/>
        </w:rPr>
        <w:t xml:space="preserve">Indicate by check mark if the Registrant is a well-known seasoned issuer, as defined in Rule 405 of the Securities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3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0"/>
          <w:szCs w:val="10"/>
          <w:color w:val="auto"/>
        </w:rPr>
        <w:t xml:space="preserve">Indicate by check mark if the Registrant is not required to file reports pursuant to Section 13 or Section 15(d) of the Exchange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3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o</w:t>
      </w:r>
    </w:p>
    <w:p>
      <w:pPr>
        <w:spacing w:after="0" w:line="29" w:lineRule="exact"/>
        <w:rPr>
          <w:sz w:val="24"/>
          <w:szCs w:val="24"/>
          <w:color w:val="auto"/>
        </w:rPr>
      </w:pPr>
    </w:p>
    <w:p>
      <w:pPr>
        <w:ind w:right="280" w:firstLine="324"/>
        <w:spacing w:after="0" w:line="243"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o</w:t>
      </w:r>
    </w:p>
    <w:p>
      <w:pPr>
        <w:spacing w:after="0" w:line="19" w:lineRule="exact"/>
        <w:rPr>
          <w:sz w:val="24"/>
          <w:szCs w:val="24"/>
          <w:color w:val="auto"/>
        </w:rPr>
      </w:pPr>
    </w:p>
    <w:p>
      <w:pPr>
        <w:ind w:right="160" w:firstLine="324"/>
        <w:spacing w:after="0" w:line="222"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780" w:type="dxa"/>
        <w:tblCellMar>
          <w:top w:w="0" w:type="dxa"/>
          <w:left w:w="0" w:type="dxa"/>
          <w:bottom w:w="0" w:type="dxa"/>
          <w:right w:w="0" w:type="dxa"/>
        </w:tblCellMar>
      </w:tblPr>
      <w:tr>
        <w:trPr>
          <w:trHeight w:val="124"/>
        </w:trPr>
        <w:tc>
          <w:tcPr>
            <w:tcW w:w="2040" w:type="dxa"/>
            <w:vAlign w:val="bottom"/>
          </w:tcPr>
          <w:p>
            <w:pPr>
              <w:spacing w:after="0"/>
              <w:rPr>
                <w:sz w:val="20"/>
                <w:szCs w:val="20"/>
                <w:color w:val="auto"/>
              </w:rPr>
            </w:pPr>
            <w:r>
              <w:rPr>
                <w:rFonts w:ascii="Times New Roman" w:cs="Times New Roman" w:eastAsia="Times New Roman" w:hAnsi="Times New Roman"/>
                <w:sz w:val="10"/>
                <w:szCs w:val="10"/>
                <w:color w:val="auto"/>
              </w:rPr>
              <w:t>Large accelerated filer</w:t>
            </w:r>
          </w:p>
        </w:tc>
        <w:tc>
          <w:tcPr>
            <w:tcW w:w="2720" w:type="dxa"/>
            <w:vAlign w:val="bottom"/>
          </w:tcPr>
          <w:p>
            <w:pPr>
              <w:ind w:left="1000"/>
              <w:spacing w:after="0"/>
              <w:rPr>
                <w:sz w:val="20"/>
                <w:szCs w:val="20"/>
                <w:color w:val="auto"/>
              </w:rPr>
            </w:pPr>
            <w:r>
              <w:rPr>
                <w:rFonts w:ascii="Wingdings" w:cs="Wingdings" w:eastAsia="Wingdings" w:hAnsi="Wingdings"/>
                <w:sz w:val="10"/>
                <w:szCs w:val="10"/>
                <w:b w:val="1"/>
                <w:bCs w:val="1"/>
                <w:color w:val="auto"/>
              </w:rPr>
              <w:t>o</w:t>
            </w:r>
          </w:p>
        </w:tc>
        <w:tc>
          <w:tcPr>
            <w:tcW w:w="3660" w:type="dxa"/>
            <w:vAlign w:val="bottom"/>
          </w:tcPr>
          <w:p>
            <w:pPr>
              <w:ind w:left="1620"/>
              <w:spacing w:after="0"/>
              <w:rPr>
                <w:sz w:val="20"/>
                <w:szCs w:val="20"/>
                <w:color w:val="auto"/>
              </w:rPr>
            </w:pPr>
            <w:r>
              <w:rPr>
                <w:rFonts w:ascii="Times New Roman" w:cs="Times New Roman" w:eastAsia="Times New Roman" w:hAnsi="Times New Roman"/>
                <w:sz w:val="10"/>
                <w:szCs w:val="10"/>
                <w:color w:val="auto"/>
              </w:rPr>
              <w:t>Accelerated filer</w:t>
            </w:r>
          </w:p>
        </w:tc>
        <w:tc>
          <w:tcPr>
            <w:tcW w:w="1100" w:type="dxa"/>
            <w:vAlign w:val="bottom"/>
          </w:tcPr>
          <w:p>
            <w:pPr>
              <w:ind w:left="1000"/>
              <w:spacing w:after="0"/>
              <w:rPr>
                <w:sz w:val="20"/>
                <w:szCs w:val="20"/>
                <w:color w:val="auto"/>
              </w:rPr>
            </w:pPr>
            <w:r>
              <w:rPr>
                <w:rFonts w:ascii="Wingdings" w:cs="Wingdings" w:eastAsia="Wingdings" w:hAnsi="Wingdings"/>
                <w:sz w:val="10"/>
                <w:szCs w:val="10"/>
                <w:b w:val="1"/>
                <w:bCs w:val="1"/>
                <w:color w:val="auto"/>
                <w:w w:val="89"/>
              </w:rPr>
              <w:t>o</w:t>
            </w:r>
          </w:p>
        </w:tc>
      </w:tr>
      <w:tr>
        <w:trPr>
          <w:trHeight w:val="135"/>
        </w:trPr>
        <w:tc>
          <w:tcPr>
            <w:tcW w:w="2040" w:type="dxa"/>
            <w:vAlign w:val="bottom"/>
          </w:tcPr>
          <w:p>
            <w:pPr>
              <w:spacing w:after="0"/>
              <w:rPr>
                <w:sz w:val="20"/>
                <w:szCs w:val="20"/>
                <w:color w:val="auto"/>
              </w:rPr>
            </w:pPr>
            <w:r>
              <w:rPr>
                <w:rFonts w:ascii="Times New Roman" w:cs="Times New Roman" w:eastAsia="Times New Roman" w:hAnsi="Times New Roman"/>
                <w:sz w:val="10"/>
                <w:szCs w:val="10"/>
                <w:color w:val="auto"/>
              </w:rPr>
              <w:t>Non-accelerated filer</w:t>
            </w:r>
          </w:p>
        </w:tc>
        <w:tc>
          <w:tcPr>
            <w:tcW w:w="2720" w:type="dxa"/>
            <w:vAlign w:val="bottom"/>
          </w:tcPr>
          <w:p>
            <w:pPr>
              <w:ind w:left="1000"/>
              <w:spacing w:after="0"/>
              <w:rPr>
                <w:sz w:val="20"/>
                <w:szCs w:val="20"/>
                <w:color w:val="auto"/>
              </w:rPr>
            </w:pPr>
            <w:r>
              <w:rPr>
                <w:rFonts w:ascii="Wingdings" w:cs="Wingdings" w:eastAsia="Wingdings" w:hAnsi="Wingdings"/>
                <w:sz w:val="10"/>
                <w:szCs w:val="10"/>
                <w:b w:val="1"/>
                <w:bCs w:val="1"/>
                <w:color w:val="auto"/>
              </w:rPr>
              <w:t>x</w:t>
            </w:r>
          </w:p>
        </w:tc>
        <w:tc>
          <w:tcPr>
            <w:tcW w:w="3660" w:type="dxa"/>
            <w:vAlign w:val="bottom"/>
          </w:tcPr>
          <w:p>
            <w:pPr>
              <w:ind w:left="162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1100" w:type="dxa"/>
            <w:vAlign w:val="bottom"/>
          </w:tcPr>
          <w:p>
            <w:pPr>
              <w:ind w:left="1000"/>
              <w:spacing w:after="0"/>
              <w:rPr>
                <w:sz w:val="20"/>
                <w:szCs w:val="20"/>
                <w:color w:val="auto"/>
              </w:rPr>
            </w:pPr>
            <w:r>
              <w:rPr>
                <w:rFonts w:ascii="Wingdings" w:cs="Wingdings" w:eastAsia="Wingdings" w:hAnsi="Wingdings"/>
                <w:sz w:val="10"/>
                <w:szCs w:val="10"/>
                <w:b w:val="1"/>
                <w:bCs w:val="1"/>
                <w:color w:val="auto"/>
                <w:w w:val="74"/>
              </w:rPr>
              <w:t>x</w:t>
            </w:r>
          </w:p>
        </w:tc>
      </w:tr>
      <w:tr>
        <w:trPr>
          <w:trHeight w:val="135"/>
        </w:trPr>
        <w:tc>
          <w:tcPr>
            <w:tcW w:w="2040" w:type="dxa"/>
            <w:vAlign w:val="bottom"/>
          </w:tcPr>
          <w:p>
            <w:pPr>
              <w:spacing w:after="0"/>
              <w:rPr>
                <w:sz w:val="20"/>
                <w:szCs w:val="20"/>
                <w:color w:val="auto"/>
              </w:rPr>
            </w:pPr>
            <w:r>
              <w:rPr>
                <w:rFonts w:ascii="Times New Roman" w:cs="Times New Roman" w:eastAsia="Times New Roman" w:hAnsi="Times New Roman"/>
                <w:sz w:val="10"/>
                <w:szCs w:val="10"/>
                <w:color w:val="auto"/>
              </w:rPr>
              <w:t>Emerging growth company</w:t>
            </w:r>
          </w:p>
        </w:tc>
        <w:tc>
          <w:tcPr>
            <w:tcW w:w="2720" w:type="dxa"/>
            <w:vAlign w:val="bottom"/>
          </w:tcPr>
          <w:p>
            <w:pPr>
              <w:ind w:left="1000"/>
              <w:spacing w:after="0"/>
              <w:rPr>
                <w:sz w:val="20"/>
                <w:szCs w:val="20"/>
                <w:color w:val="auto"/>
              </w:rPr>
            </w:pPr>
            <w:r>
              <w:rPr>
                <w:rFonts w:ascii="Wingdings" w:cs="Wingdings" w:eastAsia="Wingdings" w:hAnsi="Wingdings"/>
                <w:sz w:val="10"/>
                <w:szCs w:val="10"/>
                <w:b w:val="1"/>
                <w:bCs w:val="1"/>
                <w:color w:val="auto"/>
              </w:rPr>
              <w:t>o</w:t>
            </w:r>
          </w:p>
        </w:tc>
        <w:tc>
          <w:tcPr>
            <w:tcW w:w="366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11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0"/>
          <w:szCs w:val="10"/>
          <w:b w:val="1"/>
          <w:bCs w:val="1"/>
          <w:color w:val="auto"/>
        </w:rPr>
        <w:t>o</w:t>
      </w:r>
    </w:p>
    <w:p>
      <w:pPr>
        <w:spacing w:after="0" w:line="29" w:lineRule="exact"/>
        <w:rPr>
          <w:sz w:val="24"/>
          <w:szCs w:val="24"/>
          <w:color w:val="auto"/>
        </w:rPr>
      </w:pPr>
    </w:p>
    <w:p>
      <w:pPr>
        <w:ind w:firstLine="324"/>
        <w:spacing w:after="0" w:line="243"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0"/>
          <w:szCs w:val="10"/>
          <w:b w:val="1"/>
          <w:bCs w:val="1"/>
          <w:color w:val="auto"/>
        </w:rPr>
        <w:t>o</w:t>
      </w:r>
    </w:p>
    <w:p>
      <w:pPr>
        <w:spacing w:after="0" w:line="43" w:lineRule="exact"/>
        <w:rPr>
          <w:sz w:val="24"/>
          <w:szCs w:val="24"/>
          <w:color w:val="auto"/>
        </w:rPr>
      </w:pPr>
    </w:p>
    <w:p>
      <w:pPr>
        <w:ind w:left="320"/>
        <w:spacing w:after="0" w:line="115" w:lineRule="exact"/>
        <w:rPr>
          <w:sz w:val="20"/>
          <w:szCs w:val="20"/>
          <w:color w:val="auto"/>
        </w:rPr>
      </w:pPr>
      <w:r>
        <w:rPr>
          <w:rFonts w:ascii="Times New Roman" w:cs="Times New Roman" w:eastAsia="Times New Roman" w:hAnsi="Times New Roman"/>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74" w:lineRule="exact"/>
        <w:rPr>
          <w:sz w:val="24"/>
          <w:szCs w:val="24"/>
          <w:color w:val="auto"/>
        </w:rPr>
      </w:pPr>
    </w:p>
    <w:p>
      <w:pPr>
        <w:ind w:left="320" w:right="760"/>
        <w:spacing w:after="0" w:line="154" w:lineRule="exact"/>
        <w:rPr>
          <w:sz w:val="20"/>
          <w:szCs w:val="20"/>
          <w:color w:val="auto"/>
        </w:rPr>
      </w:pPr>
      <w:r>
        <w:rPr>
          <w:rFonts w:ascii="Times New Roman" w:cs="Times New Roman" w:eastAsia="Times New Roman" w:hAnsi="Times New Roman"/>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Indicate by check mark if the Registrant is a shell company (as defined in Rule 12b-2 of the Exchange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2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8"/>
          <w:szCs w:val="8"/>
          <w:color w:val="auto"/>
        </w:rPr>
        <w:t>The aggregate market value of the registrant’s Class A Common Stock held by non-affiliates on the last business day of the Registrant’s most recently completed second quarter, June 30, 2025, was $22,364,235 (based on the closing sale price as reported on the Nasdaq on such date).</w:t>
      </w:r>
    </w:p>
    <w:p>
      <w:pPr>
        <w:spacing w:after="0" w:line="5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0"/>
          <w:szCs w:val="10"/>
          <w:color w:val="auto"/>
        </w:rPr>
        <w:t>Indicate the number of shares outstanding of each of the Registrant’s classes of common stock, as of March 10, 2026.</w:t>
      </w:r>
    </w:p>
    <w:p>
      <w:pPr>
        <w:spacing w:after="0" w:line="55" w:lineRule="exact"/>
        <w:rPr>
          <w:sz w:val="24"/>
          <w:szCs w:val="24"/>
          <w:color w:val="auto"/>
        </w:rPr>
      </w:pPr>
    </w:p>
    <w:tbl>
      <w:tblPr>
        <w:tblLayout w:type="fixed"/>
        <w:tblInd w:w="800"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0"/>
                <w:szCs w:val="10"/>
                <w:color w:val="auto"/>
                <w:w w:val="93"/>
              </w:rPr>
              <w:t>Class of Stock</w:t>
            </w:r>
          </w:p>
        </w:tc>
        <w:tc>
          <w:tcPr>
            <w:tcW w:w="2120" w:type="dxa"/>
            <w:vAlign w:val="bottom"/>
          </w:tcPr>
          <w:p>
            <w:pPr>
              <w:spacing w:after="0"/>
              <w:rPr>
                <w:sz w:val="10"/>
                <w:szCs w:val="10"/>
                <w:color w:val="auto"/>
              </w:rPr>
            </w:pPr>
          </w:p>
        </w:tc>
        <w:tc>
          <w:tcPr>
            <w:tcW w:w="4880" w:type="dxa"/>
            <w:vAlign w:val="bottom"/>
            <w:gridSpan w:val="3"/>
          </w:tcPr>
          <w:p>
            <w:pPr>
              <w:jc w:val="right"/>
              <w:ind w:right="1972"/>
              <w:spacing w:after="0"/>
              <w:rPr>
                <w:sz w:val="20"/>
                <w:szCs w:val="20"/>
                <w:color w:val="auto"/>
              </w:rPr>
            </w:pPr>
            <w:r>
              <w:rPr>
                <w:rFonts w:ascii="Times New Roman" w:cs="Times New Roman" w:eastAsia="Times New Roman" w:hAnsi="Times New Roman"/>
                <w:sz w:val="10"/>
                <w:szCs w:val="10"/>
                <w:color w:val="auto"/>
              </w:rPr>
              <w:t>Shares Outstanding</w:t>
            </w:r>
          </w:p>
        </w:tc>
      </w:tr>
      <w:tr>
        <w:trPr>
          <w:trHeight w:val="134"/>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Class A common stock, par value $0.01 per share</w:t>
            </w:r>
          </w:p>
        </w:tc>
        <w:tc>
          <w:tcPr>
            <w:tcW w:w="560" w:type="dxa"/>
            <w:vAlign w:val="bottom"/>
            <w:tcBorders>
              <w:top w:val="single" w:sz="8" w:color="auto"/>
            </w:tcBorders>
          </w:tcPr>
          <w:p>
            <w:pPr>
              <w:spacing w:after="0"/>
              <w:rPr>
                <w:sz w:val="11"/>
                <w:szCs w:val="11"/>
                <w:color w:val="auto"/>
              </w:rPr>
            </w:pPr>
          </w:p>
        </w:tc>
        <w:tc>
          <w:tcPr>
            <w:tcW w:w="2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3,938,654</w:t>
            </w:r>
          </w:p>
        </w:tc>
      </w:tr>
      <w:tr>
        <w:trPr>
          <w:trHeight w:val="135"/>
        </w:trPr>
        <w:tc>
          <w:tcPr>
            <w:tcW w:w="48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Class B common stock, par value $0.01 per share</w:t>
            </w:r>
          </w:p>
        </w:tc>
        <w:tc>
          <w:tcPr>
            <w:tcW w:w="48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241</w:t>
            </w:r>
          </w:p>
        </w:tc>
      </w:tr>
    </w:tbl>
    <w:p>
      <w:pPr>
        <w:spacing w:after="0" w:line="10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9"/>
          <w:szCs w:val="9"/>
          <w:b w:val="1"/>
          <w:bCs w:val="1"/>
          <w:color w:val="auto"/>
        </w:rPr>
        <w:t>DOCUMENTS INCORPORATED BY REFERENCE</w:t>
      </w:r>
    </w:p>
    <w:p>
      <w:pPr>
        <w:spacing w:after="0" w:line="3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9"/>
          <w:szCs w:val="9"/>
          <w:color w:val="auto"/>
        </w:rPr>
        <w:t>Portions of the registrant’s Definitive Proxy Statement relating to its 2026 Annual Meeting of Stockholders to be filed within 120 days after December 31, 2025,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287655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54610</wp:posOffset>
            </wp:positionV>
            <wp:extent cx="616648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66485" cy="571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71755</wp:posOffset>
            </wp:positionV>
            <wp:extent cx="616648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66485" cy="5715"/>
                    </a:xfrm>
                    <a:prstGeom prst="rect">
                      <a:avLst/>
                    </a:prstGeom>
                    <a:noFill/>
                  </pic:spPr>
                </pic:pic>
              </a:graphicData>
            </a:graphic>
          </wp:anchor>
        </w:drawing>
      </w:r>
    </w:p>
    <w:p>
      <w:pPr>
        <w:sectPr>
          <w:pgSz w:w="11900" w:h="16838" w:orient="portrait"/>
          <w:cols w:equalWidth="0" w:num="1">
            <w:col w:w="11260"/>
          </w:cols>
          <w:pgMar w:left="300" w:top="201" w:right="339" w:bottom="1440" w:gutter="0" w:footer="0" w:header="0"/>
        </w:sectPr>
      </w:pPr>
    </w:p>
    <w:bookmarkStart w:id="1" w:name="page2"/>
    <w:bookmarkEnd w:id="1"/>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780" w:type="dxa"/>
            <w:vAlign w:val="bottom"/>
            <w:gridSpan w:val="6"/>
          </w:tcPr>
          <w:p>
            <w:pPr>
              <w:jc w:val="center"/>
              <w:ind w:right="3080"/>
              <w:spacing w:after="0"/>
              <w:rPr>
                <w:sz w:val="20"/>
                <w:szCs w:val="20"/>
                <w:color w:val="auto"/>
              </w:rPr>
            </w:pPr>
            <w:r>
              <w:rPr>
                <w:rFonts w:ascii="Times New Roman" w:cs="Times New Roman" w:eastAsia="Times New Roman" w:hAnsi="Times New Roman"/>
                <w:sz w:val="12"/>
                <w:szCs w:val="12"/>
                <w:b w:val="1"/>
                <w:bCs w:val="1"/>
                <w:color w:val="auto"/>
                <w:w w:val="99"/>
              </w:rPr>
              <w:t>vTv THERAPEUTICS INC. AND SUBSIDIARIES</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20" w:type="dxa"/>
            <w:vAlign w:val="bottom"/>
            <w:gridSpan w:val="5"/>
          </w:tcPr>
          <w:p>
            <w:pPr>
              <w:jc w:val="center"/>
              <w:ind w:right="3440"/>
              <w:spacing w:after="0"/>
              <w:rPr>
                <w:sz w:val="20"/>
                <w:szCs w:val="20"/>
                <w:color w:val="auto"/>
              </w:rPr>
            </w:pPr>
            <w:r>
              <w:rPr>
                <w:rFonts w:ascii="Times New Roman" w:cs="Times New Roman" w:eastAsia="Times New Roman" w:hAnsi="Times New Roman"/>
                <w:sz w:val="12"/>
                <w:szCs w:val="12"/>
                <w:b w:val="1"/>
                <w:bCs w:val="1"/>
                <w:color w:val="auto"/>
                <w:w w:val="99"/>
              </w:rPr>
              <w:t>INDEX TO FORM 10-K</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40" w:type="dxa"/>
            <w:vAlign w:val="bottom"/>
            <w:gridSpan w:val="7"/>
          </w:tcPr>
          <w:p>
            <w:pPr>
              <w:jc w:val="center"/>
              <w:ind w:right="2720"/>
              <w:spacing w:after="0"/>
              <w:rPr>
                <w:sz w:val="20"/>
                <w:szCs w:val="20"/>
                <w:color w:val="auto"/>
              </w:rPr>
            </w:pPr>
            <w:r>
              <w:rPr>
                <w:rFonts w:ascii="Times New Roman" w:cs="Times New Roman" w:eastAsia="Times New Roman" w:hAnsi="Times New Roman"/>
                <w:sz w:val="12"/>
                <w:szCs w:val="12"/>
                <w:b w:val="1"/>
                <w:bCs w:val="1"/>
                <w:color w:val="auto"/>
                <w:w w:val="99"/>
              </w:rPr>
              <w:t>FOR THE FISCAL YEAR ENDED December 31, 2025</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1"/>
              </w:rPr>
              <w:t>PAGE</w:t>
            </w: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3"/>
              </w:rPr>
              <w:t>NUMBER</w:t>
            </w:r>
          </w:p>
        </w:tc>
        <w:tc>
          <w:tcPr>
            <w:tcW w:w="0" w:type="dxa"/>
            <w:vAlign w:val="bottom"/>
          </w:tcPr>
          <w:p>
            <w:pPr>
              <w:spacing w:after="0"/>
              <w:rPr>
                <w:sz w:val="1"/>
                <w:szCs w:val="1"/>
                <w:color w:val="auto"/>
              </w:rPr>
            </w:pPr>
          </w:p>
        </w:tc>
      </w:tr>
      <w:tr>
        <w:trPr>
          <w:trHeight w:val="26"/>
        </w:trPr>
        <w:tc>
          <w:tcPr>
            <w:tcW w:w="100" w:type="dxa"/>
            <w:vAlign w:val="bottom"/>
            <w:vMerge w:val="restart"/>
          </w:tcPr>
          <w:p>
            <w:pPr>
              <w:spacing w:after="0"/>
              <w:rPr>
                <w:sz w:val="2"/>
                <w:szCs w:val="2"/>
                <w:color w:val="auto"/>
              </w:rPr>
            </w:pPr>
          </w:p>
        </w:tc>
        <w:tc>
          <w:tcPr>
            <w:tcW w:w="94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color w:val="0000FF"/>
              </w:rPr>
              <w:t>PART I</w:t>
            </w: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100" w:type="dxa"/>
            <w:vAlign w:val="bottom"/>
            <w:vMerge w:val="continue"/>
          </w:tcPr>
          <w:p>
            <w:pPr>
              <w:spacing w:after="0"/>
              <w:rPr>
                <w:sz w:val="9"/>
                <w:szCs w:val="9"/>
                <w:color w:val="auto"/>
              </w:rPr>
            </w:pPr>
          </w:p>
        </w:tc>
        <w:tc>
          <w:tcPr>
            <w:tcW w:w="94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2"/>
                <w:szCs w:val="12"/>
                <w:color w:val="auto"/>
                <w:w w:val="99"/>
              </w:rPr>
              <w:t>Item 1.</w:t>
            </w:r>
          </w:p>
        </w:tc>
        <w:tc>
          <w:tcPr>
            <w:tcW w:w="580" w:type="dxa"/>
            <w:vAlign w:val="bottom"/>
            <w:gridSpan w:val="4"/>
          </w:tcPr>
          <w:p>
            <w:pPr>
              <w:spacing w:after="0"/>
              <w:rPr>
                <w:sz w:val="14"/>
                <w:szCs w:val="14"/>
                <w:color w:val="auto"/>
              </w:rPr>
            </w:pP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Business</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1A.</w:t>
            </w:r>
          </w:p>
        </w:tc>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6"/>
              </w:rPr>
              <w:t>Risk Factors</w:t>
            </w:r>
          </w:p>
        </w:tc>
        <w:tc>
          <w:tcPr>
            <w:tcW w:w="8440" w:type="dxa"/>
            <w:vAlign w:val="bottom"/>
            <w:gridSpan w:val="19"/>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1B.</w:t>
            </w:r>
          </w:p>
        </w:tc>
        <w:tc>
          <w:tcPr>
            <w:tcW w:w="1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2"/>
                <w:szCs w:val="12"/>
                <w:color w:val="0000FF"/>
                <w:w w:val="98"/>
              </w:rPr>
              <w:t>Unresolved Staff Comments</w:t>
            </w:r>
          </w:p>
        </w:tc>
        <w:tc>
          <w:tcPr>
            <w:tcW w:w="7680" w:type="dxa"/>
            <w:vAlign w:val="bottom"/>
            <w:gridSpan w:val="12"/>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1C</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Cybersecurity</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2.</w:t>
            </w:r>
          </w:p>
        </w:tc>
        <w:tc>
          <w:tcPr>
            <w:tcW w:w="6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2"/>
                <w:szCs w:val="12"/>
                <w:color w:val="0000FF"/>
              </w:rPr>
              <w:t>Properties</w:t>
            </w:r>
          </w:p>
        </w:tc>
        <w:tc>
          <w:tcPr>
            <w:tcW w:w="8380" w:type="dxa"/>
            <w:vAlign w:val="bottom"/>
            <w:gridSpan w:val="18"/>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3.</w:t>
            </w:r>
          </w:p>
        </w:tc>
        <w:tc>
          <w:tcPr>
            <w:tcW w:w="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2"/>
                <w:szCs w:val="12"/>
                <w:color w:val="0000FF"/>
                <w:w w:val="98"/>
              </w:rPr>
              <w:t>Legal Proceedings</w:t>
            </w:r>
          </w:p>
        </w:tc>
        <w:tc>
          <w:tcPr>
            <w:tcW w:w="8140" w:type="dxa"/>
            <w:vAlign w:val="bottom"/>
            <w:gridSpan w:val="16"/>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4.</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Mine Safety Disclosures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0000FF"/>
              </w:rPr>
              <w:t>PART II</w:t>
            </w:r>
          </w:p>
        </w:tc>
        <w:tc>
          <w:tcPr>
            <w:tcW w:w="4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auto"/>
              </w:rPr>
              <w:t>Item 5.</w:t>
            </w:r>
          </w:p>
        </w:tc>
        <w:tc>
          <w:tcPr>
            <w:tcW w:w="540" w:type="dxa"/>
            <w:vAlign w:val="bottom"/>
            <w:gridSpan w:val="3"/>
          </w:tcPr>
          <w:p>
            <w:pPr>
              <w:spacing w:after="0"/>
              <w:rPr>
                <w:sz w:val="14"/>
                <w:szCs w:val="14"/>
                <w:color w:val="auto"/>
              </w:rPr>
            </w:pPr>
          </w:p>
        </w:tc>
        <w:tc>
          <w:tcPr>
            <w:tcW w:w="53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2"/>
                <w:szCs w:val="12"/>
                <w:color w:val="0000FF"/>
                <w:w w:val="99"/>
              </w:rPr>
              <w:t>Market for Registrant’s Common Equity, Related Stockholder Matters and Issuer Purchases of Equity Securities</w:t>
            </w:r>
          </w:p>
        </w:tc>
        <w:tc>
          <w:tcPr>
            <w:tcW w:w="36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6.</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[Reserved]</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7.</w:t>
            </w:r>
          </w:p>
        </w:tc>
        <w:tc>
          <w:tcPr>
            <w:tcW w:w="4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2"/>
                <w:szCs w:val="12"/>
                <w:color w:val="0000FF"/>
                <w:w w:val="99"/>
              </w:rPr>
              <w:t>Management’s Discussion and Analysis of Financial Condition and Results of Operations</w:t>
            </w:r>
          </w:p>
        </w:tc>
        <w:tc>
          <w:tcPr>
            <w:tcW w:w="4740" w:type="dxa"/>
            <w:vAlign w:val="bottom"/>
            <w:gridSpan w:val="4"/>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7A.</w:t>
            </w:r>
          </w:p>
        </w:tc>
        <w:tc>
          <w:tcPr>
            <w:tcW w:w="2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2"/>
                <w:szCs w:val="12"/>
                <w:color w:val="0000FF"/>
                <w:w w:val="99"/>
              </w:rPr>
              <w:t>Quantitative and Qualitative Disclosures About Market Risk</w:t>
            </w:r>
          </w:p>
        </w:tc>
        <w:tc>
          <w:tcPr>
            <w:tcW w:w="6140" w:type="dxa"/>
            <w:vAlign w:val="bottom"/>
            <w:gridSpan w:val="7"/>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8.</w:t>
            </w:r>
          </w:p>
        </w:tc>
        <w:tc>
          <w:tcPr>
            <w:tcW w:w="2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2"/>
                <w:szCs w:val="12"/>
                <w:color w:val="0000FF"/>
                <w:w w:val="99"/>
              </w:rPr>
              <w:t>Financial Statements and Supplementary Data</w:t>
            </w:r>
          </w:p>
        </w:tc>
        <w:tc>
          <w:tcPr>
            <w:tcW w:w="6820" w:type="dxa"/>
            <w:vAlign w:val="bottom"/>
            <w:gridSpan w:val="9"/>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9.</w:t>
            </w:r>
          </w:p>
        </w:tc>
        <w:tc>
          <w:tcPr>
            <w:tcW w:w="43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2"/>
                <w:szCs w:val="12"/>
                <w:color w:val="0000FF"/>
                <w:w w:val="99"/>
              </w:rPr>
              <w:t>Changes in and Disagreements with Accountants on Accounting and Financial Disclosure</w:t>
            </w:r>
          </w:p>
        </w:tc>
        <w:tc>
          <w:tcPr>
            <w:tcW w:w="4720" w:type="dxa"/>
            <w:vAlign w:val="bottom"/>
            <w:gridSpan w:val="3"/>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9A.</w:t>
            </w:r>
          </w:p>
        </w:tc>
        <w:tc>
          <w:tcPr>
            <w:tcW w:w="11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2"/>
                <w:szCs w:val="12"/>
                <w:color w:val="0000FF"/>
                <w:w w:val="98"/>
              </w:rPr>
              <w:t>Controls and Procedures</w:t>
            </w:r>
          </w:p>
        </w:tc>
        <w:tc>
          <w:tcPr>
            <w:tcW w:w="7860" w:type="dxa"/>
            <w:vAlign w:val="bottom"/>
            <w:gridSpan w:val="14"/>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9B.</w:t>
            </w:r>
          </w:p>
        </w:tc>
        <w:tc>
          <w:tcPr>
            <w:tcW w:w="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w w:val="98"/>
              </w:rPr>
              <w:t>Other Information</w:t>
            </w:r>
          </w:p>
        </w:tc>
        <w:tc>
          <w:tcPr>
            <w:tcW w:w="8160" w:type="dxa"/>
            <w:vAlign w:val="bottom"/>
            <w:gridSpan w:val="17"/>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9C.</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Disclosure Regarding Foreign Jurisdictions that Prevent Inspections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0000FF"/>
              </w:rPr>
              <w:t>PART III</w:t>
            </w:r>
          </w:p>
        </w:tc>
        <w:tc>
          <w:tcPr>
            <w:tcW w:w="4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auto"/>
              </w:rPr>
              <w:t>Item 10.</w:t>
            </w:r>
          </w:p>
        </w:tc>
        <w:tc>
          <w:tcPr>
            <w:tcW w:w="500" w:type="dxa"/>
            <w:vAlign w:val="bottom"/>
            <w:gridSpan w:val="2"/>
          </w:tcPr>
          <w:p>
            <w:pPr>
              <w:spacing w:after="0"/>
              <w:rPr>
                <w:sz w:val="14"/>
                <w:szCs w:val="14"/>
                <w:color w:val="auto"/>
              </w:rPr>
            </w:pP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Directors, Executive Officers and Corporate Governance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11.</w:t>
            </w:r>
          </w:p>
        </w:tc>
        <w:tc>
          <w:tcPr>
            <w:tcW w:w="12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2"/>
                <w:szCs w:val="12"/>
                <w:color w:val="0000FF"/>
                <w:w w:val="98"/>
              </w:rPr>
              <w:t>Executive Compensation</w:t>
            </w:r>
          </w:p>
        </w:tc>
        <w:tc>
          <w:tcPr>
            <w:tcW w:w="1520" w:type="dxa"/>
            <w:vAlign w:val="bottom"/>
            <w:tcBorders>
              <w:top w:val="single" w:sz="8" w:color="0000FF"/>
            </w:tcBorders>
            <w:gridSpan w:val="5"/>
          </w:tcPr>
          <w:p>
            <w:pPr>
              <w:spacing w:after="0"/>
              <w:rPr>
                <w:sz w:val="14"/>
                <w:szCs w:val="14"/>
                <w:color w:val="auto"/>
              </w:rPr>
            </w:pPr>
          </w:p>
        </w:tc>
        <w:tc>
          <w:tcPr>
            <w:tcW w:w="6320" w:type="dxa"/>
            <w:vAlign w:val="bottom"/>
            <w:gridSpan w:val="8"/>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12.</w:t>
            </w:r>
          </w:p>
        </w:tc>
        <w:tc>
          <w:tcPr>
            <w:tcW w:w="48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2"/>
                <w:szCs w:val="12"/>
                <w:color w:val="0000FF"/>
                <w:w w:val="99"/>
              </w:rPr>
              <w:t>Security Ownership of Certain Beneficial Owners and Management and Related Stockholder Matters</w:t>
            </w:r>
          </w:p>
        </w:tc>
        <w:tc>
          <w:tcPr>
            <w:tcW w:w="4180" w:type="dxa"/>
            <w:vAlign w:val="bottom"/>
            <w:gridSpan w:val="2"/>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13.</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Certain Relationships and Related Transactions, and Director Independence</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14.</w:t>
            </w:r>
          </w:p>
        </w:tc>
        <w:tc>
          <w:tcPr>
            <w:tcW w:w="36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2"/>
                <w:szCs w:val="12"/>
                <w:color w:val="0000FF"/>
              </w:rPr>
              <w:t>Principal Accountant Fees and Services</w:t>
            </w:r>
          </w:p>
        </w:tc>
        <w:tc>
          <w:tcPr>
            <w:tcW w:w="5420" w:type="dxa"/>
            <w:vAlign w:val="bottom"/>
            <w:gridSpan w:val="5"/>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4"/>
              </w:rPr>
              <w:t>PART IV</w:t>
            </w:r>
          </w:p>
        </w:tc>
        <w:tc>
          <w:tcPr>
            <w:tcW w:w="480" w:type="dxa"/>
            <w:vAlign w:val="bottom"/>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15.</w:t>
            </w:r>
          </w:p>
        </w:tc>
        <w:tc>
          <w:tcPr>
            <w:tcW w:w="21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2"/>
                <w:szCs w:val="12"/>
                <w:color w:val="0000FF"/>
                <w:w w:val="98"/>
              </w:rPr>
              <w:t>Exhibits and Financial Statement Schedules</w:t>
            </w:r>
          </w:p>
        </w:tc>
        <w:tc>
          <w:tcPr>
            <w:tcW w:w="6940" w:type="dxa"/>
            <w:vAlign w:val="bottom"/>
            <w:gridSpan w:val="10"/>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16.</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Form 10-K Summary</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8"/>
        </w:trPr>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Borders>
              <w:top w:val="single" w:sz="8" w:color="0000FF"/>
            </w:tcBorders>
            <w:gridSpan w:val="8"/>
          </w:tcPr>
          <w:p>
            <w:pPr>
              <w:spacing w:after="0"/>
              <w:rPr>
                <w:sz w:val="24"/>
                <w:szCs w:val="24"/>
                <w:color w:val="auto"/>
              </w:rPr>
            </w:pPr>
          </w:p>
        </w:tc>
        <w:tc>
          <w:tcPr>
            <w:tcW w:w="3840" w:type="dxa"/>
            <w:vAlign w:val="bottom"/>
            <w:gridSpan w:val="13"/>
          </w:tcPr>
          <w:p>
            <w:pPr>
              <w:jc w:val="center"/>
              <w:ind w:left="3280"/>
              <w:spacing w:after="0"/>
              <w:rPr>
                <w:sz w:val="20"/>
                <w:szCs w:val="20"/>
                <w:color w:val="auto"/>
              </w:rPr>
            </w:pPr>
            <w:r>
              <w:rPr>
                <w:rFonts w:ascii="Times New Roman" w:cs="Times New Roman" w:eastAsia="Times New Roman" w:hAnsi="Times New Roman"/>
                <w:sz w:val="12"/>
                <w:szCs w:val="12"/>
                <w:color w:val="auto"/>
                <w:w w:val="99"/>
              </w:rPr>
              <w:t>2</w:t>
            </w:r>
          </w:p>
        </w:tc>
        <w:tc>
          <w:tcPr>
            <w:tcW w:w="5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36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 w:name="page3"/>
    <w:bookmarkEnd w:id="2"/>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i w:val="1"/>
          <w:iCs w:val="1"/>
          <w:color w:val="auto"/>
        </w:rPr>
        <w:t>As used in this Annual Report on Form 10-K,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 w:name="page4"/>
    <w:bookmarkEnd w:id="3"/>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7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 xml:space="preserve">We are a late-stage biopharmaceutical company focused on developing orally administered therapies for metabolic and inflammatory diseases with the goal of improving patient outcomes. Our lead product candidate, </w:t>
      </w:r>
      <w:r>
        <w:rPr>
          <w:rFonts w:ascii="Times New Roman" w:cs="Times New Roman" w:eastAsia="Times New Roman" w:hAnsi="Times New Roman"/>
          <w:sz w:val="12"/>
          <w:szCs w:val="12"/>
          <w:i w:val="1"/>
          <w:iCs w:val="1"/>
          <w:color w:val="auto"/>
        </w:rPr>
        <w:t>cadisegliatin (TTP399)</w:t>
      </w:r>
      <w:r>
        <w:rPr>
          <w:rFonts w:ascii="Times New Roman" w:cs="Times New Roman" w:eastAsia="Times New Roman" w:hAnsi="Times New Roman"/>
          <w:sz w:val="12"/>
          <w:szCs w:val="12"/>
          <w:color w:val="auto"/>
        </w:rPr>
        <w:t>, is a novel, small-molecule, liver-selective glucokinase activator (GKA) currently being evaluated in a Phase 3 clinical trial as a potential oral adjunctive therapy to insulin for the treatment of type 1 diabetes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(T1D).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Adjunctive Therapy to Insulin in Participants with Type 1 Diabetes ("CATT1") Phase 3 clinical trial is a randomized, double-blind, placebo-controlled trial designed to evaluate the effect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on hypoglycemia outcomes in patients with T1D. The primary endpoint is the reduction in the frequency of Level 2 hypoglycemia (blood glucose &lt;54 mg/dL) and Level 3 (severe) hypoglycemia over a six-month treatment period. A key secondary endpoint is change in hemoglobin A1c (HbA1c), a standard measure of glycemic control, to assess </w:t>
      </w:r>
      <w:r>
        <w:rPr>
          <w:rFonts w:ascii="Times New Roman" w:cs="Times New Roman" w:eastAsia="Times New Roman" w:hAnsi="Times New Roman"/>
          <w:sz w:val="12"/>
          <w:szCs w:val="12"/>
          <w:i w:val="1"/>
          <w:iCs w:val="1"/>
          <w:color w:val="auto"/>
        </w:rPr>
        <w:t>cadisegliatin’s</w:t>
      </w:r>
      <w:r>
        <w:rPr>
          <w:rFonts w:ascii="Times New Roman" w:cs="Times New Roman" w:eastAsia="Times New Roman" w:hAnsi="Times New Roman"/>
          <w:sz w:val="12"/>
          <w:szCs w:val="12"/>
          <w:color w:val="auto"/>
        </w:rPr>
        <w:t xml:space="preserve"> potential to reduce hyperglycemia. The CATT1 trial will randomize 150 patients with T1D on a 1:1:1 basis (50 patients per study arm) to receive 800 mg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daily, 800 mg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twice daily, or placebo.</w:t>
      </w:r>
    </w:p>
    <w:p>
      <w:pPr>
        <w:spacing w:after="0" w:line="5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 xml:space="preserve">In 2021, the FDA granted Breakthrough Therapy designation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an adjunctive therapy to insulin for the treatment of T1D. Breakthrough Therapy designation is a process designed to expedite the development and review of drugs that are intended to treat a serious condition and preliminary clinical evidence indicates that the drug may demonstrate substantial improvement over available therapy on a clinically significant endpoint(s). The Breakthrough Therapy designation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T1D was supported by the positive results from the Phase 2 SimpliciT-1 Study, a multi-center, randomized, double-blind, adaptive study assessing the safety and efficacy of </w:t>
      </w: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as an adjunct to insulin therapy in adults with T1D. In this trial, treatment with</w:t>
      </w:r>
      <w:r>
        <w:rPr>
          <w:rFonts w:ascii="Times New Roman" w:cs="Times New Roman" w:eastAsia="Times New Roman" w:hAnsi="Times New Roman"/>
          <w:sz w:val="12"/>
          <w:szCs w:val="12"/>
          <w:i w:val="1"/>
          <w:iCs w:val="1"/>
          <w:color w:val="auto"/>
        </w:rPr>
        <w:t xml:space="preserve"> cadisegliatin </w:t>
      </w:r>
      <w:r>
        <w:rPr>
          <w:rFonts w:ascii="Times New Roman" w:cs="Times New Roman" w:eastAsia="Times New Roman" w:hAnsi="Times New Roman"/>
          <w:sz w:val="12"/>
          <w:szCs w:val="12"/>
          <w:color w:val="auto"/>
        </w:rPr>
        <w:t>resulted in a clinically meaningful decrease (40%) in the frequency of severe and symptomatic hypoglycemia and in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statistically significant improvement in HbA1c relative to placebo.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demonstrated a favorable safety profile, in which abnormal levels of serum or urine ketones were detected less frequently in patients taking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than those taking placebo.</w:t>
      </w:r>
    </w:p>
    <w:p>
      <w:pPr>
        <w:spacing w:after="0" w:line="49"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2"/>
          <w:szCs w:val="12"/>
          <w:color w:val="auto"/>
        </w:rPr>
        <w:t xml:space="preserve">A Phase 1 mechanistic study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patients with T1D showed no increased risk of ketoacidosis with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during acute insulin withdrawal in patients. Additionally, a Phase 1 study in healthy male subjects to investigate the absorption, metabolism, and excretion of[</w:t>
      </w:r>
      <w:r>
        <w:rPr>
          <w:rFonts w:ascii="Times New Roman" w:cs="Times New Roman" w:eastAsia="Times New Roman" w:hAnsi="Times New Roman"/>
          <w:sz w:val="15"/>
          <w:szCs w:val="15"/>
          <w:color w:val="auto"/>
          <w:vertAlign w:val="superscript"/>
        </w:rPr>
        <w:t>14</w:t>
      </w:r>
      <w:r>
        <w:rPr>
          <w:rFonts w:ascii="Times New Roman" w:cs="Times New Roman" w:eastAsia="Times New Roman" w:hAnsi="Times New Roman"/>
          <w:sz w:val="12"/>
          <w:szCs w:val="12"/>
          <w:color w:val="auto"/>
        </w:rPr>
        <w:t>C]-</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following single dose oral administration (the "ADME study") was conducted. The ADME study results were consistent with expectations from prior research but also included a radiochromatographic signal that, at the time, could not be further characterized, which led the FDA to impose a clinical hold on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development program in July 2024. Based upon extensive testing by two independent laboratories, the Company determined that the radiochromatographic signal was an experimental artifact (duplicate peak) of a known metabolite. As a result, the FDA lifted the clinical hold in March 2025, allowing the Company to resume its clinical development plan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w:t>
      </w:r>
    </w:p>
    <w:p>
      <w:pPr>
        <w:spacing w:after="0" w:line="58" w:lineRule="exact"/>
        <w:rPr>
          <w:sz w:val="20"/>
          <w:szCs w:val="20"/>
          <w:color w:val="auto"/>
        </w:rPr>
      </w:pPr>
    </w:p>
    <w:p>
      <w:pPr>
        <w:jc w:val="both"/>
        <w:ind w:right="20" w:firstLine="324"/>
        <w:spacing w:after="0" w:line="283" w:lineRule="auto"/>
        <w:rPr>
          <w:sz w:val="20"/>
          <w:szCs w:val="20"/>
          <w:color w:val="auto"/>
        </w:rPr>
      </w:pPr>
      <w:r>
        <w:rPr>
          <w:rFonts w:ascii="Times New Roman" w:cs="Times New Roman" w:eastAsia="Times New Roman" w:hAnsi="Times New Roman"/>
          <w:sz w:val="12"/>
          <w:szCs w:val="12"/>
          <w:color w:val="auto"/>
        </w:rPr>
        <w:t xml:space="preserve">In 2025, we completed a food effect study in healthy volunteers that investigated the effect of fasting, low fat, and high fat meals on the absorption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The results of the food effect study confirmed the current recommendation in the CATT1 trial that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be taken with food to maximize its absorption.</w:t>
      </w:r>
    </w:p>
    <w:p>
      <w:pPr>
        <w:spacing w:after="0" w:line="3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 xml:space="preserve">In December 2025, together with our partner G42 Investments AI Holding RSC Ltd. (“G42 Investments”), we initiated a double-blind, randomized, controlled Phase 2 trial in the Middle East region in people with type 2 diabetes ("T2D"). The Company is the sponsor of this study that will be fully funded by G42 Investments. The study will randomize 300 patients to assess the potential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an adjunct therapy to insulin in people with T2D, and is expected to start screening in 2026.</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xml:space="preserve">We continue to work on the design of additional international registrational studies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T1D.</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xml:space="preserve">In addition to our clinical development program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we continue to advance the research and development of our other pipeline candidates through collaborations with academic partners and license agreements.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 w:name="page5"/>
    <w:bookmarkEnd w:id="4"/>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Pipeline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3634740" cy="2137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34740" cy="2137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Strategy</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2"/>
          <w:szCs w:val="12"/>
          <w:color w:val="auto"/>
        </w:rPr>
        <w:t xml:space="preserve">Our primary goal is to advance the development of our lead program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 novel, oral, liver-selective glucokinase activator. In September 2025, we closed (the “Closing”) a private placement (the “2025 Private Placement”) of our Class A common stock and pre-funded warrants, pursuant to which we received aggregate gross proceeds of approximately $80.0 million, before deducting offering expenses payable by us. Investors in the 2025 Private Placement also received warrants to purchase our Class A common stock at a 50% premium to the stock price on the day of Closing, bringing total potential gross proceeds from the 2025 Private Placement to $200.0 million. The 2025 Private Placement allowed us to continue to advance our lead program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TTP399</w:t>
      </w:r>
      <w:r>
        <w:rPr>
          <w:rFonts w:ascii="Times New Roman" w:cs="Times New Roman" w:eastAsia="Times New Roman" w:hAnsi="Times New Roman"/>
          <w:sz w:val="12"/>
          <w:szCs w:val="12"/>
          <w:color w:val="auto"/>
        </w:rPr>
        <w:t>) and, together with cash on hand and the upfront payment received from the recent amendment to the license agreement covering our PDE4 inhibitor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we expect it to provide funding well past topline data from the CATT1 clinical trial.</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key components of our business strategy are:</w:t>
      </w:r>
    </w:p>
    <w:p>
      <w:pPr>
        <w:spacing w:after="0" w:line="65" w:lineRule="exact"/>
        <w:rPr>
          <w:sz w:val="20"/>
          <w:szCs w:val="20"/>
          <w:color w:val="auto"/>
        </w:rPr>
      </w:pPr>
    </w:p>
    <w:p>
      <w:pPr>
        <w:jc w:val="both"/>
        <w:ind w:left="640" w:hanging="324"/>
        <w:spacing w:after="0" w:line="259" w:lineRule="auto"/>
        <w:tabs>
          <w:tab w:leader="none" w:pos="63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Continuing to advance cadisegliatin (TTP399) as a potential treatment for diabetes</w:t>
      </w:r>
      <w:r>
        <w:rPr>
          <w:rFonts w:ascii="Times New Roman" w:cs="Times New Roman" w:eastAsia="Times New Roman" w:hAnsi="Times New Roman"/>
          <w:sz w:val="12"/>
          <w:szCs w:val="12"/>
          <w:color w:val="auto"/>
        </w:rPr>
        <w:t>. In 2021</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received Breakthrough Therapy designation as an adjunctive therapy to insulin for the treatment of T1D based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upon the positive results from the Phase 2 SimpliciT-1 Study, a multi-center, randomized, double-blind, adaptive study assessing the safety and efficacy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an adjunct to insulin therapy in adults with T1D. In May 2025, we resumed our CATT1 Phase 3 clinical trial investigating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an adjunctive therapy to insulin in people living with T1D. The CATT1 trial continues to enroll patients and we expect to complete enrollment in the third quarter of 2026. We also continue to work on the design and execution of additional supportive trials in human volunteers, including studies to examine the effects of food on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's pharmacology and the potential effects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on cardiac function (thorough QT study) as required by FDA.</w:t>
      </w:r>
    </w:p>
    <w:p>
      <w:pPr>
        <w:spacing w:after="0" w:line="51" w:lineRule="exact"/>
        <w:rPr>
          <w:rFonts w:ascii="Times New Roman" w:cs="Times New Roman" w:eastAsia="Times New Roman" w:hAnsi="Times New Roman"/>
          <w:sz w:val="12"/>
          <w:szCs w:val="12"/>
          <w:color w:val="auto"/>
        </w:rPr>
      </w:pPr>
    </w:p>
    <w:p>
      <w:pPr>
        <w:ind w:left="64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December 2025, together with our partner, G42 Investments, we initiated a double-blind randomized controlled Phase 2 trial in the Middle East region in 300 insulin-dependent people with T2D. The study is expected to start screening patients in 2026.</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 w:name="page6"/>
    <w:bookmarkEnd w:id="5"/>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ind w:left="640" w:hanging="324"/>
        <w:spacing w:after="0" w:line="262" w:lineRule="auto"/>
        <w:tabs>
          <w:tab w:leader="none" w:pos="63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Seeking additional strategic collaborations and additional funding to support the continued development and commercialization of our pipeline development programs</w:t>
      </w:r>
      <w:r>
        <w:rPr>
          <w:rFonts w:ascii="Times New Roman" w:cs="Times New Roman" w:eastAsia="Times New Roman" w:hAnsi="Times New Roman"/>
          <w:sz w:val="12"/>
          <w:szCs w:val="12"/>
          <w:color w:val="auto"/>
        </w:rPr>
        <w:t>. We continue to seek additional funding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support the development of our pipeline drug candidates as current internal resources are focused mainly on the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We recently amended our license agreement with our partner, Newsoara BioPharma Co., Ltd. ("Newsoara"), to make it a global license to our PDE4 inhibitor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which included a $20.0 million upfront payment. Under the amendment, we are conditionally entitled to receive milestone payments totaling up to $115.0 million and royalties in the mid single digits on sales.</w:t>
      </w:r>
    </w:p>
    <w:p>
      <w:pPr>
        <w:spacing w:after="0" w:line="49" w:lineRule="exact"/>
        <w:rPr>
          <w:rFonts w:ascii="Times New Roman" w:cs="Times New Roman" w:eastAsia="Times New Roman" w:hAnsi="Times New Roman"/>
          <w:sz w:val="12"/>
          <w:szCs w:val="12"/>
          <w:color w:val="auto"/>
        </w:rPr>
      </w:pPr>
    </w:p>
    <w:p>
      <w:pPr>
        <w:ind w:left="64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also continue to seek strategic collaborations with other pharmaceutical companies, such as our partnerships with Cantex and Newsoara, or academic or other research organizations for the development of our pipeline assets which have not been partnered.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Our Type 1 Diabetes Program – </w:t>
      </w:r>
      <w:r>
        <w:rPr>
          <w:rFonts w:ascii="Times New Roman" w:cs="Times New Roman" w:eastAsia="Times New Roman" w:hAnsi="Times New Roman"/>
          <w:sz w:val="12"/>
          <w:szCs w:val="12"/>
          <w:b w:val="1"/>
          <w:bCs w:val="1"/>
          <w:i w:val="1"/>
          <w:iCs w:val="1"/>
          <w:color w:val="auto"/>
        </w:rPr>
        <w:t>Cadisegliatin (TTP399)</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Diabetes Overview</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Type 1 diabetes is an autoimmune disease in which a person’s pancreas stops producing insulin. T1D results when the body’s immune system attacks and destroys the insulin-producing cells in the pancreas called beta cells. While the causes of T1D are not yet entirely understood, scientists believe that both genetic factors and environmental triggers are involved. The onset of T1D is not believed to be affected by diet or lifestyle. According to the T1D Index, an estimated 1.5 million individuals live with T1D in the U.S. as of 2026, a number which is expected to grow to 2.0 million by 2040. Globally, an estimated 9.9 million individuals live with T1D as of 2026.</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Current Treatments for T1D and Their Limitations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Patients with T1D have difficulty achieving and maintaining glycemic control, defined as HbA1c &lt;7% as recommended by the American Diabetes Association ("ADA"). To maintain appropriate glycemic control, patients with T1D are required to constantly monitor their blood glucose levels, closely manage their diet, and administer insulin via injection or an insulin pump at meal times and in response to changing blood glucose levels. While technology such as continuous glucose monitors, insulin pumps, and automated insulin delivery systems has advanced to help people with T1D manage this burden, approximately 75% of Americans living with T1D do not achieve the ADA’s recommended HbA1c level &lt;7. Failure to maintain glycemic control can raise a patient’s risk of serious and life-threatening long-term complications, such as cardiovascular disease, blindness, kidney failure, and nerve damage. Blood sugar management for individuals living with T1D is a balancing act between reducing hyperglycemia while avoiding hypoglycemia. In fact, the ADA Standard of Care 2026 states that hypoglycemia is often the major limiting factor in the glycemic management of T1D and T2D.</w:t>
      </w:r>
    </w:p>
    <w:p>
      <w:pPr>
        <w:spacing w:after="0" w:line="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Given the lack of adjunctive treatments for T1D, several existing treatment options for T2D have been investigated in T1D with limited success. SGLT-1/2 and SGLT-2 inhibitors were temporarily approved in Europe and are approved in Japan for certain sub-groups of people with T1D; however, they have not been approved in the U.S. for T1D primarily due to safety risks related to increased risk of diabetic ketoacidosis (“DKA”).</w:t>
      </w:r>
    </w:p>
    <w:p>
      <w:pPr>
        <w:spacing w:after="0" w:line="36"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2"/>
          <w:szCs w:val="12"/>
          <w:color w:val="auto"/>
        </w:rPr>
        <w:t>In 2022, the FDA approved teplizumab (Tzield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a humanized anti-CD3 monoclonal antibody for the treatment of patients with two or more diabetes-related auto-antibodies to delay onset of Stage 3 T1D, and donislecel (Lantidra™), an allogeneic (donor) pancreatic islet cellular therapy for the treatment of patients with T1D who are in poor glycemic control because of recurrent severe hypoglycemia. Teplizumab does not address the unmet need of existing patients with diagnosed T1D or those that will eventually develop T1D, and donislecel requires long-term concurrent immunosuppressive therapy and is restricted to T1D patients with recurrent severe hypoglycemic episodes.</w:t>
      </w:r>
    </w:p>
    <w:p>
      <w:pPr>
        <w:spacing w:after="0" w:line="63"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Despite the availability of these therapies, serious unmet medical need remains for people with T1D which could be addressed by a safe oral treatment option that reduces the incidence of hypoglycemia and improves glycemic control (HbA1c) without the risk of DKA or other serious adverse effects.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Role of Glucokinase Activation in Diabetes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Glucokinase (“GK”) is a key regulator of glucose homeostasis and acts as the physiological glucose sensor, changing its conformation, activity, and/or intracellular location commensurate with changes in blood glucose concentrations. GK has two distinctive characteristics that make it a good therapeutic target for improving blood glucose control. First, its expression is mostly limited to glucose-sensing tissues (mainly liver cells and pancreatic β-cells), allowing for a focused therapeutic effect. Second, GK acts as a biological sensor for changes in serum glucose levels, modulating changes in the liver's uptake or release of glucose and changes in insulin secretion by β-cells. Activation of GK as a potential treatment of T1D is attractive because it could improve overall blood glucose control and specifically reduce the frequency and severity of low</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blood glucose (hypoglycemic) episodes through a mechanism of action that is entirely distinct from currently marketed oral anti-diabetic drugs.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Cadisegliatin (TTP399)</w:t>
      </w:r>
    </w:p>
    <w:p>
      <w:pPr>
        <w:spacing w:after="0" w:line="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(TTP399), is a novel, small-molecule, liver-selective glucokinase activator (GKA) currently being evaluated in a Phase 3 clinical trial as a potential oral adjunctive therapy to insulin for the treatment of T1D.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w:t>
      </w:r>
      <w:r>
        <w:rPr>
          <w:rFonts w:ascii="Times New Roman" w:cs="Times New Roman" w:eastAsia="Times New Roman" w:hAnsi="Times New Roman"/>
          <w:sz w:val="12"/>
          <w:szCs w:val="12"/>
          <w:i w:val="1"/>
          <w:iCs w:val="1"/>
          <w:color w:val="auto"/>
        </w:rPr>
        <w:t>adisegliatin</w:t>
      </w:r>
      <w:r>
        <w:rPr>
          <w:rFonts w:ascii="Times New Roman" w:cs="Times New Roman" w:eastAsia="Times New Roman" w:hAnsi="Times New Roman"/>
          <w:sz w:val="12"/>
          <w:szCs w:val="12"/>
          <w:color w:val="auto"/>
        </w:rPr>
        <w:t xml:space="preserve"> has a novel mechanism of action: liver-selective activation of GK that could improve glycemic control and reduce the risk of L2 and L3 hypoglycemia. To date, our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suggest a liver-selective approach to GK activation has the potential to avoid the negative properties associated with other nonselective GKAs including: hypoglycemia, increased lipids, tachyphylaxis, and liver toxicity. Based on data from Phase 1 and 2 trials to date, we believe that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if approved, has the potential to be a first-in-class oral anti-diabetic drug due to its liver-selectivity and novel mechanism of action. We have completed eleven Phase 1 and three Phase 2 clinical trials of </w:t>
      </w: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totaling more than 500 patients with type 1 and type 2 diabetes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these trials,</w:t>
      </w:r>
      <w:r>
        <w:rPr>
          <w:rFonts w:ascii="Times New Roman" w:cs="Times New Roman" w:eastAsia="Times New Roman" w:hAnsi="Times New Roman"/>
          <w:sz w:val="12"/>
          <w:szCs w:val="12"/>
          <w:i w:val="1"/>
          <w:iCs w:val="1"/>
          <w:color w:val="auto"/>
        </w:rPr>
        <w:t xml:space="preserve"> cadisegliatin </w:t>
      </w:r>
      <w:r>
        <w:rPr>
          <w:rFonts w:ascii="Times New Roman" w:cs="Times New Roman" w:eastAsia="Times New Roman" w:hAnsi="Times New Roman"/>
          <w:sz w:val="12"/>
          <w:szCs w:val="12"/>
          <w:color w:val="auto"/>
        </w:rPr>
        <w:t>was well tolerated with significant reductions of patient-reported symptomatic hypoglycemic events and glycosylated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hemoglobin (HbA1c) compared to insulin alone in a Phase 2 study in T1D.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Positive Phase 2 Simplici-T1 Study</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In February 2020, we announced positive results from the Simplici-T1 Study, an adaptive Phase 2 clinical trial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assessing the pharmacokinetics, pharmacodynamics, safety, and tolerability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adult patients with T1D over a 12-week period. The Simplici-T1 Study achieved its primary objective by demonstrating statistically significant improvements in HbA1c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compared to placebo. Moreover, a clinically meaningful decrease (40%) in the number of severe and symptomatic hypoglycemia was observed in patients receiving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when compared to those receiving placebo.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Mechanistic study</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We have conducted a study to evaluate the impact of liver-selective GK activation on the safety and tolerability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October 2021, we announced positive results from the mechanistic study indicating no increased risk of ketoacidosis with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during acute insulin withdrawal in patients with T1D. Consistent with previous clinical studies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the drug was well tolerated with fewer subjects reporting treatment-emergent adverse events in the group taking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than in the placebo group. Importantly, patients taking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reported no events of hypoglycemia, while four events of hypoglycemia were reported in the placebo group.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ADME study</w:t>
      </w:r>
    </w:p>
    <w:p>
      <w:pPr>
        <w:spacing w:after="0" w:line="7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In August 2023, we completed an Open-Label Phase 1 Study in Healthy Male Subjects to Investigate the Absorption, Metabolism, and Excretion of [</w:t>
      </w:r>
      <w:r>
        <w:rPr>
          <w:rFonts w:ascii="Times New Roman" w:cs="Times New Roman" w:eastAsia="Times New Roman" w:hAnsi="Times New Roman"/>
          <w:sz w:val="15"/>
          <w:szCs w:val="15"/>
          <w:color w:val="auto"/>
          <w:vertAlign w:val="superscript"/>
        </w:rPr>
        <w:t>14</w:t>
      </w:r>
      <w:r>
        <w:rPr>
          <w:rFonts w:ascii="Times New Roman" w:cs="Times New Roman" w:eastAsia="Times New Roman" w:hAnsi="Times New Roman"/>
          <w:sz w:val="12"/>
          <w:szCs w:val="12"/>
          <w:color w:val="auto"/>
        </w:rPr>
        <w:t>C]-</w:t>
      </w:r>
      <w:r>
        <w:rPr>
          <w:rFonts w:ascii="Times New Roman" w:cs="Times New Roman" w:eastAsia="Times New Roman" w:hAnsi="Times New Roman"/>
          <w:sz w:val="12"/>
          <w:szCs w:val="12"/>
          <w:i w:val="1"/>
          <w:iCs w:val="1"/>
          <w:color w:val="auto"/>
        </w:rPr>
        <w:t>cadisegliatin (TTP399)</w:t>
      </w:r>
      <w:r>
        <w:rPr>
          <w:rFonts w:ascii="Times New Roman" w:cs="Times New Roman" w:eastAsia="Times New Roman" w:hAnsi="Times New Roman"/>
          <w:sz w:val="12"/>
          <w:szCs w:val="12"/>
          <w:color w:val="auto"/>
        </w:rPr>
        <w:t xml:space="preserve"> Following Single Dose Oral Administration. Ten participants were dosed, and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was well tolerated. Initial results indicated the presence of an unexpected radiochromatographic signal which could not be further characterized at the time and led FDA to issue a clinical hold for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program in July 2024. Based upon extensive testing by two independent laboratories, the Company determined that the radiochromatographic signal was an experimental artifact (duplicate peak) of a known metabolite. As a result, the FDA lifted the clinical hold in March 2025, allowing the Company to resume its clinical development plan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Food Effect Study</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In December 2025, we completed a double-blind randomized food effect study in male and female healthy volunteers to investigate the absorption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following single dose oral administration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when fasting or when consuming a low or high fat meal concurrently. The study showed significantly higher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exposure observed in the low-fat and high-fat fed groups as compared to the fasted group. The results confirm the currently recommended dosing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with food to maximize its absorption.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Clinical Development Plan</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Based upon the positive results of our Phase 2 Simplici-T1 Study, we requested Breakthrough Therapy designation (BTD) from the FDA which was granted in April 2021.</w:t>
      </w:r>
    </w:p>
    <w:p>
      <w:pPr>
        <w:spacing w:after="0" w:line="7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Carcinogenicity, long-term toxicology studies, development and reproductive toxicology studies, have been completed with no untoward findings. No treatment-related increase in tumor incidence was observed, no carcinogenic signal identified at clinically relevant exposures, and findings were not considered biologically relevant to humans.</w:t>
      </w:r>
    </w:p>
    <w:p>
      <w:pPr>
        <w:spacing w:after="0" w:line="37"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In the second quarter of 2025 we resumed our Phase 3 CATT1 trial. The CATT1 trial is a double-blind, randomized trial to assess the effect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on reducing the frequency of Level 2 hypoglycemia (blood glucose levels are less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than 54 mg/dL or 3 mmol/L, regardless of symptoms) and Level 3 hypoglycemia ("severe" hypoglycemia e.g., requiring assistance of another person). The CATT1 trial will randomize 150 patients with T1D on a 1:1:1 basis (i.e., 50 patients for each study arm) to receive 800 mg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daily, 800 mg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twice daily, or placebo. A key secondary endpoint is reduction in glycated hemoglobin (HbA1c), a traditional efficacy endpoint in diabetes trials, to assess the potential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to reduce hyperglycemia.</w:t>
      </w:r>
    </w:p>
    <w:p>
      <w:pPr>
        <w:spacing w:after="0" w:line="45"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During 2025, we also continued working on the design and execution of supportive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including a thorough QT study and a Phase 2 study in patients with T1D using hybrid closed loop insulin infusion systems, which we expect to start in 2026. We continue to plan for additional registrational studies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T1D following the completion of the current CATT1 study.</w:t>
      </w:r>
    </w:p>
    <w:p>
      <w:pPr>
        <w:spacing w:after="0" w:line="3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December 2025, we and our partner, G42 Investments, initiated a double-blind randomized controlled Phase 2 trial in the Middle East region in 300 insulin-dependent people with T2D. The study is expected to start screening patients in 2026.</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Collaboration Agreements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G42 Transaction</w:t>
      </w:r>
    </w:p>
    <w:p>
      <w:pPr>
        <w:spacing w:after="0" w:line="8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and G42 Investments, entered into a Common Stock Purchase Agreement (the “G42 Purchase Agreement”) on May 31, 2022, pursuant to which the Company sold to G42 Investments 259,657 shares of the Company’s Class A common stock, for an aggregate purchase price of $25.0 million, which was paid (i) $12.5 million in cash at the closing and (ii) $12.5 million in the form of a promissory note.</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G42 Investments has agreed to certain transfer restrictions (including restrictions on short sales or similar transactions) and restrictions on further acquisitions of shares, in each case subject to specified exceptions. As part of the transaction the Company has granted to G42 Investments certain shelf and piggyback registration rights with respect to those shares of Class A common stock issued to G42 Investments pursuant to the G42 Purchase Agreement, including the ability to conduct an underwritten offering to resell such shares under certain circumstances. The registration rights include customary cooperation, cut-back, expense reimbursement, and indemnification provisions.</w:t>
      </w:r>
    </w:p>
    <w:p>
      <w:pPr>
        <w:spacing w:after="0" w:line="4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 xml:space="preserve">Contemporaneously with the G42 Purchase Agreement, effective on May 31, 2022, the Company entered into a collaboration and license agreement (the “Cogna Agreement”) with Cogna Technology Solutions LLC, an affiliate of G42 Investments (“Cogna”), which requires Cogna to work with the Company in performing clinical trials for the Company’s compound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(the “Licensed Product”) as well as jointly creating a global development plan to develop, market, and commercialize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certain countries in the Middle East, Africa, and Central Asia (the “Partner Territory”). Under the terms of the Cogna Agreement, Cogna will obtain a license under certain intellectual property controlled by the Company to enable it to fulfill its obligations and exercise its rights under the Cogna Agreement, including to develop and commercialize the Licensed Product in the Partner Territory, but will not have access to the various intellectual property related to the license and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Specifically, the Company will share various protocols with Cogna related to conducting the clinical trials and will provide the patient dosages and placebo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needed to conduct the trials.</w:t>
      </w:r>
    </w:p>
    <w:p>
      <w:pPr>
        <w:spacing w:after="0" w:line="5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 xml:space="preserve">Under the Cogna Agreement, Cogna has the right to develop and commercialize the Licensed Product in the Partner Territory at its own cost once restrictions on the use of the IP have been lifted by the Company. The Cogna Agreement determined which specific countries in the Partner Territory that Cogna may pursue development and commercialization and provides the Company with the ability to determine when Cogna can benefit from this IP through the powers granted to the Company to approve the global development plan. Further, the Company may supply at cost, or Cogna may manufacture,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for commercial sale under terms to be agreed upon by the parties at a later date.</w:t>
      </w:r>
    </w:p>
    <w:p>
      <w:pPr>
        <w:spacing w:after="0" w:line="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Separately, the Company will conduct its clinical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outside of the Partner Territory, at its own cost. The results of each party’s clinical trials may be combined by the Company to seek FDA approval in the United States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On December 21, 2022, G42 Healthcare Technology Solutions LLC (formerly known as Cogna Technology Solutions LLC) novated its rights and obligations under the Cogna Agreement to G42 Healthcare Research Technology Projects LLC ("G42 Healthcare"), an affiliate of G42 Investments. As a result of the novation, all references to Cogna herein shall be deemed to refer to G42 Healthcare.</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G42 Purchase Agreement also provides for, following the receipt of the FDA Approval of the Licensed Product, at the option of G42 Investments, either (a) 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are conditioned upon receipt of the FDA Approval and subject to certain limitations and conditions set forth in the G42 Purchase Agreement. There can be no assurance that the FDA Approval will be granted or as to the timing thereof.</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 w:name="page9"/>
    <w:bookmarkEnd w:id="8"/>
    <w:p>
      <w:pPr>
        <w:ind w:left="328"/>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-5715</wp:posOffset>
            </wp:positionV>
            <wp:extent cx="37211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left="8" w:right="20" w:firstLine="324"/>
        <w:spacing w:after="0" w:line="279" w:lineRule="auto"/>
        <w:rPr>
          <w:sz w:val="20"/>
          <w:szCs w:val="20"/>
          <w:color w:val="auto"/>
        </w:rPr>
      </w:pPr>
      <w:r>
        <w:rPr>
          <w:rFonts w:ascii="Times New Roman" w:cs="Times New Roman" w:eastAsia="Times New Roman" w:hAnsi="Times New Roman"/>
          <w:sz w:val="12"/>
          <w:szCs w:val="12"/>
          <w:color w:val="auto"/>
        </w:rPr>
        <w:t>Once commercialization takes place in the Partner Territory, the Company will receive royalties in the single digits from Cogna on the net sales of the Licensed Product for a period of at least ten years after the first commercial sale of the Licensed Product in the Partner Territory.</w:t>
      </w:r>
    </w:p>
    <w:p>
      <w:pPr>
        <w:spacing w:after="0" w:line="39" w:lineRule="exact"/>
        <w:rPr>
          <w:sz w:val="20"/>
          <w:szCs w:val="20"/>
          <w:color w:val="auto"/>
        </w:rPr>
      </w:pPr>
    </w:p>
    <w:p>
      <w:pPr>
        <w:jc w:val="both"/>
        <w:ind w:left="8" w:firstLine="324"/>
        <w:spacing w:after="0" w:line="265" w:lineRule="auto"/>
        <w:rPr>
          <w:sz w:val="20"/>
          <w:szCs w:val="20"/>
          <w:color w:val="auto"/>
        </w:rPr>
      </w:pPr>
      <w:r>
        <w:rPr>
          <w:rFonts w:ascii="Times New Roman" w:cs="Times New Roman" w:eastAsia="Times New Roman" w:hAnsi="Times New Roman"/>
          <w:sz w:val="12"/>
          <w:szCs w:val="12"/>
          <w:color w:val="auto"/>
        </w:rPr>
        <w:t>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On February 27, 2024, the Company and G42 Investments further amended the G42 Purchase Agreement in connection with the 2024 Private Placement (as defined below).</w:t>
      </w:r>
    </w:p>
    <w:p>
      <w:pPr>
        <w:spacing w:after="0" w:line="4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i w:val="1"/>
          <w:iCs w:val="1"/>
          <w:color w:val="auto"/>
        </w:rPr>
        <w:t>CinPax and CinRx Transaction</w:t>
      </w:r>
    </w:p>
    <w:p>
      <w:pPr>
        <w:spacing w:after="0" w:line="80" w:lineRule="exact"/>
        <w:rPr>
          <w:sz w:val="20"/>
          <w:szCs w:val="20"/>
          <w:color w:val="auto"/>
        </w:rPr>
      </w:pPr>
    </w:p>
    <w:p>
      <w:pPr>
        <w:jc w:val="both"/>
        <w:ind w:left="8" w:firstLine="324"/>
        <w:spacing w:after="0" w:line="260" w:lineRule="auto"/>
        <w:rPr>
          <w:sz w:val="20"/>
          <w:szCs w:val="20"/>
          <w:color w:val="auto"/>
        </w:rPr>
      </w:pPr>
      <w:r>
        <w:rPr>
          <w:rFonts w:ascii="Times New Roman" w:cs="Times New Roman" w:eastAsia="Times New Roman" w:hAnsi="Times New Roman"/>
          <w:sz w:val="12"/>
          <w:szCs w:val="12"/>
          <w:color w:val="auto"/>
        </w:rPr>
        <w:t>On July 22, 2022, the Company entered into a Common Stock and Warrant Purchase Agreement (as amended, the "CinRx Purchase Agreement") with CinPax, LLC (“CinPax”), a subsidiary of CinRx Pharma, LLC (“CinRx”), pursuant to which the Company sold to CinPax 103,864 shares of the Company’s Class A common stock, for an aggregate purchase price of $10.0 million, which was paid (i) $6.0 million in cash at the closing of the transaction and (ii) $4.0 million in the form of a non-interest-bearing promissory note with CinPax and was paid to the Company on November 22, 2022. The Company, CinPax and CinRx subsequently amended the CinRx Purchase Agreement on February 27, 2024, in connection with the Private Placement which removed the right of CinPax to designate a board observer.</w:t>
      </w:r>
    </w:p>
    <w:p>
      <w:pPr>
        <w:spacing w:after="0" w:line="50" w:lineRule="exact"/>
        <w:rPr>
          <w:sz w:val="20"/>
          <w:szCs w:val="20"/>
          <w:color w:val="auto"/>
        </w:rPr>
      </w:pPr>
    </w:p>
    <w:p>
      <w:pPr>
        <w:jc w:val="both"/>
        <w:ind w:left="8" w:firstLine="324"/>
        <w:spacing w:after="0" w:line="257" w:lineRule="auto"/>
        <w:rPr>
          <w:sz w:val="20"/>
          <w:szCs w:val="20"/>
          <w:color w:val="auto"/>
        </w:rPr>
      </w:pPr>
      <w:r>
        <w:rPr>
          <w:rFonts w:ascii="Times New Roman" w:cs="Times New Roman" w:eastAsia="Times New Roman" w:hAnsi="Times New Roman"/>
          <w:sz w:val="12"/>
          <w:szCs w:val="12"/>
          <w:color w:val="auto"/>
        </w:rPr>
        <w:t xml:space="preserve">The CinRx Purchase Agreement also provided CinRx warrants to purchase up to 30,000 shares of Class A common stock at an initial exercise of price of approximately $28.80 per share (the “CinRx Warrants”). The CinRx Warrants will become exercisable by CinRx only if (i) the Company receives FDA approval to market and distribute the pharmaceutical product containing the Company’s proprietary candidate,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or (ii) the Company is acquired by a third party, sells all or substantially all of its assets related to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to a third party or grants a third party an exclusive license to develop, commercialize and manufacture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the United States. If neither of these events happen within five years of the date of the issuance of the CinRx Warrants, the CinRx Warrants will expire and will not be exercisable by CinRx. The exercise price of the CinRx Warrants and the number of shares issuable upon exercise of the CinRx Warrants are subject to adjustments in accordance with the terms of the CinRx Warrants.</w:t>
      </w:r>
    </w:p>
    <w:p>
      <w:pPr>
        <w:spacing w:after="0" w:line="53" w:lineRule="exact"/>
        <w:rPr>
          <w:sz w:val="20"/>
          <w:szCs w:val="20"/>
          <w:color w:val="auto"/>
        </w:rPr>
      </w:pPr>
    </w:p>
    <w:p>
      <w:pPr>
        <w:ind w:left="8" w:right="140" w:firstLine="324"/>
        <w:spacing w:after="0" w:line="279" w:lineRule="auto"/>
        <w:rPr>
          <w:sz w:val="20"/>
          <w:szCs w:val="20"/>
          <w:color w:val="auto"/>
        </w:rPr>
      </w:pPr>
      <w:r>
        <w:rPr>
          <w:rFonts w:ascii="Times New Roman" w:cs="Times New Roman" w:eastAsia="Times New Roman" w:hAnsi="Times New Roman"/>
          <w:sz w:val="12"/>
          <w:szCs w:val="12"/>
          <w:color w:val="auto"/>
        </w:rPr>
        <w:t>Additionally, in conjunction with the CinRx Purchase Agreement the Company and CinRx entered into a Master Service Agreement whereby CinRx provides the Company with consulting, preclinical and clinical trial services, as enumerated in project proposals negotiated between the Company and CinRx from time to time.</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Our Pipeline Programs</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TTP273 </w:t>
      </w:r>
      <w:r>
        <w:rPr>
          <w:rFonts w:ascii="Times New Roman" w:cs="Times New Roman" w:eastAsia="Times New Roman" w:hAnsi="Times New Roman"/>
          <w:sz w:val="12"/>
          <w:szCs w:val="12"/>
          <w:b w:val="1"/>
          <w:bCs w:val="1"/>
          <w:color w:val="auto"/>
        </w:rPr>
        <w:t>- Oral Small-Molecule GLP-1 Receptor Agonist</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Glucagon-like peptide-1 (“GLP-1”) is an endogenous incretin hormone that binds the GLP-1 receptor (“GLP-1R”) and plays a role in glucose-dependent insulin secretion, glucagon suppression, gastric emptying, and satiety.</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GLP-1 receptor agonists (“GLP-1RAs”) are established therapies for T2D and, in certain agents, have demonstrated benefits in weight reduction and cardiovascular risk reduction.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is an orally administered, small-molecule</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GLP-1RA that has demonstrated reductions in postprandial glucose excursions in response to oral glucose tolerance testing and mixed-meal tolerance testing in preclinical studies and clinical trials.</w:t>
      </w:r>
    </w:p>
    <w:p>
      <w:pPr>
        <w:spacing w:after="0" w:line="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GLP-1RA Therapeutic Landscape</w:t>
      </w:r>
    </w:p>
    <w:p>
      <w:pPr>
        <w:spacing w:after="0" w:line="82" w:lineRule="exact"/>
        <w:rPr>
          <w:sz w:val="20"/>
          <w:szCs w:val="20"/>
          <w:color w:val="auto"/>
        </w:rPr>
      </w:pPr>
    </w:p>
    <w:p>
      <w:pPr>
        <w:jc w:val="both"/>
        <w:ind w:left="8" w:firstLine="432"/>
        <w:spacing w:after="0" w:line="226" w:lineRule="auto"/>
        <w:rPr>
          <w:sz w:val="20"/>
          <w:szCs w:val="20"/>
          <w:color w:val="auto"/>
        </w:rPr>
      </w:pPr>
      <w:r>
        <w:rPr>
          <w:rFonts w:ascii="Times New Roman" w:cs="Times New Roman" w:eastAsia="Times New Roman" w:hAnsi="Times New Roman"/>
          <w:sz w:val="12"/>
          <w:szCs w:val="12"/>
          <w:color w:val="auto"/>
        </w:rPr>
        <w:t>GLP-1RA products (and related incretin therapies) have received FDA approvals across multiple indications, including T2D and chronic weight management. For example, semaglutide (Wegovy®) is indicated for chronic weight management and to reduce the risk of major adverse cardiovascular events (“MACE”) in adults with established cardiovascular disease and obesity</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Tirzepatide (Zepbound®), a dual GIP/GLP-1 receptor agonist, is approved for chronic weight management, and since December 20, 2024, for treatment of moderate to severe obstructive sleep apnea in adults with obesity (with diet and exercise).</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 xml:space="preserve"> GLP-1RA labeling for certain T2D products also includes cardiovascular risk-reduction claims in defined populations (e.g., dulaglutide).</w:t>
      </w:r>
    </w:p>
    <w:p>
      <w:pPr>
        <w:spacing w:after="0" w:line="63"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Tolerability - particularly gastrointestinal (“GI”) adverse effects such as nausea and vomiting - may limit use in certain patient populations and in indications where weight loss is not desired or may be contraindicated. We believe that an orally administered GLP-1RA with a favorable tolerability profile could have utility in select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114300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16" w:lineRule="exact"/>
        <w:rPr>
          <w:sz w:val="20"/>
          <w:szCs w:val="20"/>
          <w:color w:val="auto"/>
        </w:rPr>
      </w:pPr>
    </w:p>
    <w:p>
      <w:pPr>
        <w:ind w:left="48" w:hanging="48"/>
        <w:spacing w:after="0"/>
        <w:tabs>
          <w:tab w:leader="none" w:pos="48" w:val="left"/>
        </w:tabs>
        <w:numPr>
          <w:ilvl w:val="0"/>
          <w:numId w:val="5"/>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Wegovy® is trademarked by Novo Nordisk A/S.</w:t>
      </w:r>
    </w:p>
    <w:p>
      <w:pPr>
        <w:ind w:left="48" w:hanging="48"/>
        <w:spacing w:after="0" w:line="188" w:lineRule="auto"/>
        <w:tabs>
          <w:tab w:leader="none" w:pos="48" w:val="left"/>
        </w:tabs>
        <w:numPr>
          <w:ilvl w:val="0"/>
          <w:numId w:val="6"/>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Zepbound® is trademarked by Eli Lilly and Company.</w:t>
      </w:r>
    </w:p>
    <w:p>
      <w:pPr>
        <w:spacing w:after="0" w:line="200" w:lineRule="exact"/>
        <w:rPr>
          <w:sz w:val="20"/>
          <w:szCs w:val="20"/>
          <w:color w:val="auto"/>
        </w:rPr>
      </w:pPr>
    </w:p>
    <w:p>
      <w:pPr>
        <w:spacing w:after="0" w:line="2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9" w:name="page10"/>
    <w:bookmarkEnd w:id="9"/>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TTP273 </w:t>
      </w:r>
      <w:r>
        <w:rPr>
          <w:rFonts w:ascii="Times New Roman" w:cs="Times New Roman" w:eastAsia="Times New Roman" w:hAnsi="Times New Roman"/>
          <w:sz w:val="12"/>
          <w:szCs w:val="12"/>
          <w:b w:val="1"/>
          <w:bCs w:val="1"/>
          <w:color w:val="auto"/>
        </w:rPr>
        <w:t>Program Rationale and Mechanism</w:t>
      </w:r>
    </w:p>
    <w:p>
      <w:pPr>
        <w:spacing w:after="0" w:line="80"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TTP273 </w:t>
      </w:r>
      <w:r>
        <w:rPr>
          <w:rFonts w:ascii="Times New Roman" w:cs="Times New Roman" w:eastAsia="Times New Roman" w:hAnsi="Times New Roman"/>
          <w:sz w:val="12"/>
          <w:szCs w:val="12"/>
          <w:color w:val="auto"/>
        </w:rPr>
        <w:t>is an orally administered, small-molecule GLP-1RA. In nonclinical assays,</w:t>
      </w:r>
      <w:r>
        <w:rPr>
          <w:rFonts w:ascii="Times New Roman" w:cs="Times New Roman" w:eastAsia="Times New Roman" w:hAnsi="Times New Roman"/>
          <w:sz w:val="12"/>
          <w:szCs w:val="12"/>
          <w:i w:val="1"/>
          <w:iCs w:val="1"/>
          <w:color w:val="auto"/>
        </w:rPr>
        <w:t xml:space="preserve"> TTP273 </w:t>
      </w:r>
      <w:r>
        <w:rPr>
          <w:rFonts w:ascii="Times New Roman" w:cs="Times New Roman" w:eastAsia="Times New Roman" w:hAnsi="Times New Roman"/>
          <w:sz w:val="12"/>
          <w:szCs w:val="12"/>
          <w:color w:val="auto"/>
        </w:rPr>
        <w:t>demonstrated activation of cyclic adenosine monophosphate (“cAMP”) signaling and limited activation of the extracellular signal-regulated kinase (“ERK”)/β-arrestin pathway at clinically relevant concentrations. We believe this signaling profile may be relevant to balancing efficacy and tolerability of GLP-1 receptor agonists, although the clinical significance of these observations has not been fully established.</w:t>
      </w:r>
    </w:p>
    <w:p>
      <w:pPr>
        <w:spacing w:after="0" w:line="45"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We have evaluated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for the potential treatment of post-meal hyperglycemia in cystic fibrosis-related diabetes (“CFRD”) and in cystic fibrosis (“CF”) patients with abnormal postprandial glucose excursions. CFRD is associated with impaired insulin secretion and abnormal incretin responses, and patients may have clinical considerations that make GI tolerability and unintended weight loss particularly important.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Development Status</w:t>
      </w:r>
    </w:p>
    <w:p>
      <w:pPr>
        <w:spacing w:after="0" w:line="80"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We have completed two Phase 1 clinical trials and one Phase 2 clinical trial evaluating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Across these trials,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was generally well tolerated. In our clinical experience to date, the incidence of certain GI adverse events, including nausea and vomiting, was low.</w:t>
      </w:r>
    </w:p>
    <w:p>
      <w:pPr>
        <w:spacing w:after="0" w:line="3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color w:val="auto"/>
        </w:rPr>
        <w:t xml:space="preserve">In a randomized, double-blind Phase 2 trial in patients with type 2 diabetes (T2D) on background metformin therapy,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demonstrated statistically significant reductions in glycated hemoglobin (“HbA1c”) after three months of treatment. HbA1c is the standard regulatory and clinical benchmark for assessing long-term glycemic control, reflecting average blood glucose over approximately three months, and reductions in HbA1c are associated with a lower risk of diabetes-related complications. In this study,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also demonstrated reductions in systolic blood pressure, an important cardiometabolic risk factor commonly elevated in patients with T2D. Additional clinical studies will be required to further characterize the efficacy, safety, dose response, and tolerability of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in intended target populations.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Receptor for Advanced Glycation End-products (“RAGE”) Antagonist Program - TTP-RA (Preclinical)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RAGE is a cell-surface pattern-recognition receptor involved in inflammatory signaling. RAGE is expressed on multiple immune cell types, and engagement of RAGE by endogenous ligands released during cellular stress and tissue injury has been associated with activation and shaping of adaptive immune responses, including effects on T-cell activation and differentiation.</w:t>
      </w:r>
    </w:p>
    <w:p>
      <w:pPr>
        <w:spacing w:after="0" w:line="3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Given the central role of immune-mediated β-cell injury in T1D, we believe RAGE antagonism may represent a potential therapeutic approach to modulate pathogenic immune responses relevant to disease initiation and progression.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Scientific Rationale</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In published nonclinical research, blockade or genetic absence of RAGE has been associated with altered T-cell responses and attenuation of immune-mediated islet injury and graft rejection in experimental models, supporting a potential role for RAGE signaling in autoimmune and inflammatory settings.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TTP-RA </w:t>
      </w:r>
      <w:r>
        <w:rPr>
          <w:rFonts w:ascii="Times New Roman" w:cs="Times New Roman" w:eastAsia="Times New Roman" w:hAnsi="Times New Roman"/>
          <w:sz w:val="12"/>
          <w:szCs w:val="12"/>
          <w:b w:val="1"/>
          <w:bCs w:val="1"/>
          <w:color w:val="auto"/>
        </w:rPr>
        <w:t>Program</w:t>
      </w:r>
    </w:p>
    <w:p>
      <w:pPr>
        <w:spacing w:after="0" w:line="80"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TTP-RA </w:t>
      </w:r>
      <w:r>
        <w:rPr>
          <w:rFonts w:ascii="Times New Roman" w:cs="Times New Roman" w:eastAsia="Times New Roman" w:hAnsi="Times New Roman"/>
          <w:sz w:val="12"/>
          <w:szCs w:val="12"/>
          <w:color w:val="auto"/>
        </w:rPr>
        <w:t>is an orally administered, small-molecule RAGE antagonist in preclinical development being evaluated as a potential approach to prevent or delay the onset of T1D. We have supported and collaborated on investigator-sponsored research evaluating RAGE antagonism in this setting, including work involving academic collaborators and funded research initiatives.</w:t>
      </w:r>
    </w:p>
    <w:p>
      <w:pPr>
        <w:spacing w:after="0" w:line="3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In preclinical studies, </w:t>
      </w:r>
      <w:r>
        <w:rPr>
          <w:rFonts w:ascii="Times New Roman" w:cs="Times New Roman" w:eastAsia="Times New Roman" w:hAnsi="Times New Roman"/>
          <w:sz w:val="12"/>
          <w:szCs w:val="12"/>
          <w:i w:val="1"/>
          <w:iCs w:val="1"/>
          <w:color w:val="auto"/>
        </w:rPr>
        <w:t>TTP-RA</w:t>
      </w:r>
      <w:r>
        <w:rPr>
          <w:rFonts w:ascii="Times New Roman" w:cs="Times New Roman" w:eastAsia="Times New Roman" w:hAnsi="Times New Roman"/>
          <w:sz w:val="12"/>
          <w:szCs w:val="12"/>
          <w:color w:val="auto"/>
        </w:rPr>
        <w:t xml:space="preserve"> has been evaluated for its ability to inhibit interactions between RAGE and a range of RAGE ligands in vitro and to modulate immune activity associated with T1D. In disease-relevant mouse models, </w:t>
      </w:r>
      <w:r>
        <w:rPr>
          <w:rFonts w:ascii="Times New Roman" w:cs="Times New Roman" w:eastAsia="Times New Roman" w:hAnsi="Times New Roman"/>
          <w:sz w:val="12"/>
          <w:szCs w:val="12"/>
          <w:i w:val="1"/>
          <w:iCs w:val="1"/>
          <w:color w:val="auto"/>
        </w:rPr>
        <w:t>TTP-RA</w:t>
      </w:r>
      <w:r>
        <w:rPr>
          <w:rFonts w:ascii="Times New Roman" w:cs="Times New Roman" w:eastAsia="Times New Roman" w:hAnsi="Times New Roman"/>
          <w:sz w:val="12"/>
          <w:szCs w:val="12"/>
          <w:color w:val="auto"/>
        </w:rPr>
        <w:t xml:space="preserve"> has been reported to delay the development of diabetes. Co-administered with an anti-CD3 antibody, </w:t>
      </w:r>
      <w:r>
        <w:rPr>
          <w:rFonts w:ascii="Times New Roman" w:cs="Times New Roman" w:eastAsia="Times New Roman" w:hAnsi="Times New Roman"/>
          <w:sz w:val="12"/>
          <w:szCs w:val="12"/>
          <w:i w:val="1"/>
          <w:iCs w:val="1"/>
          <w:color w:val="auto"/>
        </w:rPr>
        <w:t>TTP-RA</w:t>
      </w:r>
      <w:r>
        <w:rPr>
          <w:rFonts w:ascii="Times New Roman" w:cs="Times New Roman" w:eastAsia="Times New Roman" w:hAnsi="Times New Roman"/>
          <w:sz w:val="12"/>
          <w:szCs w:val="12"/>
          <w:color w:val="auto"/>
        </w:rPr>
        <w:t xml:space="preserve"> prevented autoimmune diabetes development in the PD-L1 accelerated model of disease when compared to the anti-CD3 antibody alone.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Peroxisome Proliferator-Activated Receptor Delta (“PPAR-δ”) Agonist Program - </w:t>
      </w:r>
      <w:r>
        <w:rPr>
          <w:rFonts w:ascii="Times New Roman" w:cs="Times New Roman" w:eastAsia="Times New Roman" w:hAnsi="Times New Roman"/>
          <w:sz w:val="12"/>
          <w:szCs w:val="12"/>
          <w:b w:val="1"/>
          <w:bCs w:val="1"/>
          <w:i w:val="1"/>
          <w:iCs w:val="1"/>
          <w:color w:val="auto"/>
        </w:rPr>
        <w:t>HPP593</w:t>
      </w:r>
      <w:r>
        <w:rPr>
          <w:rFonts w:ascii="Times New Roman" w:cs="Times New Roman" w:eastAsia="Times New Roman" w:hAnsi="Times New Roman"/>
          <w:sz w:val="12"/>
          <w:szCs w:val="12"/>
          <w:b w:val="1"/>
          <w:bCs w:val="1"/>
          <w:color w:val="auto"/>
        </w:rPr>
        <w:t xml:space="preserve"> (mavodelpar/REN001)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Peroxisome proliferator-activated receptors (“PPARs”) are nuclear transcription factors involved in regulating lipid metabolism and energy homeostasis. PPAR-δ has been associated with regulation of fatty acid oxidation, including in skeletal</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 w:name="page11"/>
    <w:bookmarkEnd w:id="10"/>
    <w:p>
      <w:pPr>
        <w:ind w:left="328"/>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-5715</wp:posOffset>
            </wp:positionV>
            <wp:extent cx="37211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muscle, and has been explored as a potential target in disorders characterized by dysregulated lipid metabolism and muscle function.</w:t>
      </w:r>
    </w:p>
    <w:p>
      <w:pPr>
        <w:spacing w:after="0" w:line="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Peroxisome Proliferator-Activated Receptor Delta (“PPAR-δ”) Therapeutic Landscape</w:t>
      </w:r>
    </w:p>
    <w:p>
      <w:pPr>
        <w:spacing w:after="0" w:line="82" w:lineRule="exact"/>
        <w:rPr>
          <w:sz w:val="20"/>
          <w:szCs w:val="20"/>
          <w:color w:val="auto"/>
        </w:rPr>
      </w:pPr>
    </w:p>
    <w:p>
      <w:pPr>
        <w:jc w:val="both"/>
        <w:ind w:left="8" w:firstLine="432"/>
        <w:spacing w:after="0" w:line="275" w:lineRule="auto"/>
        <w:rPr>
          <w:sz w:val="20"/>
          <w:szCs w:val="20"/>
          <w:color w:val="auto"/>
        </w:rPr>
      </w:pPr>
      <w:r>
        <w:rPr>
          <w:rFonts w:ascii="Times New Roman" w:cs="Times New Roman" w:eastAsia="Times New Roman" w:hAnsi="Times New Roman"/>
          <w:sz w:val="12"/>
          <w:szCs w:val="12"/>
          <w:color w:val="auto"/>
        </w:rPr>
        <w:t>In August 2024, the FDA granted accelerated approval to seladelpar (Livdelzi®), a PPAR-δ agonist, for primary biliary cholangitis (PBC) (with or without UDCA), based on biochemical response (ALP reduction), with continued approval contingent on confirmatory benefit.</w:t>
      </w:r>
      <w:r>
        <w:rPr>
          <w:rFonts w:ascii="Times New Roman" w:cs="Times New Roman" w:eastAsia="Times New Roman" w:hAnsi="Times New Roman"/>
          <w:sz w:val="15"/>
          <w:szCs w:val="15"/>
          <w:color w:val="auto"/>
          <w:vertAlign w:val="superscript"/>
        </w:rPr>
        <w:t>3</w:t>
      </w:r>
    </w:p>
    <w:p>
      <w:pPr>
        <w:ind w:left="8"/>
        <w:spacing w:after="0"/>
        <w:rPr>
          <w:sz w:val="20"/>
          <w:szCs w:val="20"/>
          <w:color w:val="auto"/>
        </w:rPr>
      </w:pPr>
      <w:r>
        <w:rPr>
          <w:rFonts w:ascii="Times New Roman" w:cs="Times New Roman" w:eastAsia="Times New Roman" w:hAnsi="Times New Roman"/>
          <w:sz w:val="12"/>
          <w:szCs w:val="12"/>
          <w:b w:val="1"/>
          <w:bCs w:val="1"/>
          <w:color w:val="auto"/>
        </w:rPr>
        <w:t>Scientific Rationale</w:t>
      </w:r>
    </w:p>
    <w:p>
      <w:pPr>
        <w:spacing w:after="0" w:line="82"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PPAR-δ activation may influence transcription of genes involved in lipid utilization and mitochondrial function, and has been evaluated for potential effects on lipid parameters and skeletal muscle metabolism. While these biological effects support continued interest in the pathway, clinical relevance is dependent on demonstration of safety and efficacy in controlled clinical studies and may vary by indication and patient population.</w:t>
      </w:r>
    </w:p>
    <w:p>
      <w:pPr>
        <w:spacing w:after="0" w:line="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HPP593 </w:t>
      </w:r>
      <w:r>
        <w:rPr>
          <w:rFonts w:ascii="Times New Roman" w:cs="Times New Roman" w:eastAsia="Times New Roman" w:hAnsi="Times New Roman"/>
          <w:sz w:val="12"/>
          <w:szCs w:val="12"/>
          <w:b w:val="1"/>
          <w:bCs w:val="1"/>
          <w:color w:val="auto"/>
        </w:rPr>
        <w:t>(mavodelpar/REN001) Program</w:t>
      </w:r>
    </w:p>
    <w:p>
      <w:pPr>
        <w:spacing w:after="0" w:line="8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i w:val="1"/>
          <w:iCs w:val="1"/>
          <w:color w:val="auto"/>
        </w:rPr>
        <w:t xml:space="preserve">HPP593 </w:t>
      </w:r>
      <w:r>
        <w:rPr>
          <w:rFonts w:ascii="Times New Roman" w:cs="Times New Roman" w:eastAsia="Times New Roman" w:hAnsi="Times New Roman"/>
          <w:sz w:val="12"/>
          <w:szCs w:val="12"/>
          <w:color w:val="auto"/>
        </w:rPr>
        <w:t>(also known as REN001, mavodelpar) is a PPAR-δ agonist that has been evaluated in clinical studies, including studies assessing lipid parameters and muscle-related endpoints.</w:t>
      </w:r>
    </w:p>
    <w:p>
      <w:pPr>
        <w:spacing w:after="0" w:line="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Nrf2/Bach1 Program - Non-Electrophilic Modulators of Oxidative Stress and Inflammation</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Nuclear factor erythroid 2-related factor 2 (“Nrf2”) is a transcription factor that regulates antioxidant response element (“ARE”) genes involved in cellular defense against oxidative stress. BTB and CNC homology 1 (“Bach1”) is an ARE transcriptional repressor that can limit Nrf2 pathway activity. We have identified multiple classes of novel, non-electrophilic small molecules designed to modulate the Nrf2/Bach1 axis, resulting in activation of the Nrf2 pathway. We believe activation of the Nrf2 pathway may have therapeutic relevance in diseases characterized by oxidative stress and inflammation.</w:t>
      </w:r>
    </w:p>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Scientific Rationale</w:t>
      </w:r>
    </w:p>
    <w:p>
      <w:pPr>
        <w:spacing w:after="0" w:line="82"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In many inflammatory and chronic disease settings, oxidative stress and dysregulated inflammatory signaling may contribute to tissue injury and impaired organ function. Activation of Nrf2 can increase expression of antioxidant and cytoprotective genes and may modulate inflammatory responses.</w:t>
      </w:r>
    </w:p>
    <w:p>
      <w:pPr>
        <w:spacing w:after="0" w:line="39"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Historically, certain approaches to Nrf2 activation have relied on reactive, electrophilic mechanisms, which may be associated with safety and tolerability considerations. Non-electrophilic activation of the Nrf2 pathway through modulation of Bach1 provides an alternative approach to increasing Nrf2 pathway activity.</w:t>
      </w:r>
    </w:p>
    <w:p>
      <w:pPr>
        <w:spacing w:after="0" w:line="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Nrf2 Therapeutic Landscape</w:t>
      </w:r>
    </w:p>
    <w:p>
      <w:pPr>
        <w:spacing w:after="0" w:line="82" w:lineRule="exact"/>
        <w:rPr>
          <w:sz w:val="20"/>
          <w:szCs w:val="20"/>
          <w:color w:val="auto"/>
        </w:rPr>
      </w:pPr>
    </w:p>
    <w:p>
      <w:pPr>
        <w:jc w:val="both"/>
        <w:ind w:left="8" w:firstLine="432"/>
        <w:spacing w:after="0" w:line="267" w:lineRule="auto"/>
        <w:rPr>
          <w:sz w:val="20"/>
          <w:szCs w:val="20"/>
          <w:color w:val="auto"/>
        </w:rPr>
      </w:pPr>
      <w:r>
        <w:rPr>
          <w:rFonts w:ascii="Times New Roman" w:cs="Times New Roman" w:eastAsia="Times New Roman" w:hAnsi="Times New Roman"/>
          <w:sz w:val="12"/>
          <w:szCs w:val="12"/>
          <w:color w:val="auto"/>
        </w:rPr>
        <w:t>To date, clinical validation of Nrf2-pathway modulation includes marketed products that are understood to activate or influence Nrf2 signaling. Dimethyl fumarate (Tecfidera®) is an oral therapy approved for relapsing forms of multiple sclerosis and has been described as activating the Nrf2 pathway. In addition, omaveloxolone (Skyclarys®) was approved in the U.S. for Friedreich’s ataxia; while its precise therapeutic mechanism is described as not fully established in labeling, it has been characterized as activating the Nrf2 pathway.</w:t>
      </w:r>
      <w:r>
        <w:rPr>
          <w:rFonts w:ascii="Times New Roman" w:cs="Times New Roman" w:eastAsia="Times New Roman" w:hAnsi="Times New Roman"/>
          <w:sz w:val="15"/>
          <w:szCs w:val="15"/>
          <w:color w:val="auto"/>
          <w:vertAlign w:val="superscript"/>
        </w:rPr>
        <w:t>4</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Preclinical Activity</w:t>
      </w:r>
    </w:p>
    <w:p>
      <w:pPr>
        <w:spacing w:after="0" w:line="82"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In preclinical pharmacology studies, our Nrf2/Bach1 modulators have demonstrated pharmacodynamic activity, including induction of Nrf2/Bach1 target genes in multiple organs and across diverse cell types. Efficacy and proof of concept have been observed in multiple disease-relevant animal models including metabolic dysfunction-associated steatohepatitis liver (MASH), neurodegenerative disorders (e.g., Parkinson’s disease, traumatic brain injury, Alzheimer’s disease), bone loss (e.g., osteoarthritis), Sickle Cell Disease (SCD) and other conditions.</w:t>
      </w:r>
    </w:p>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Development Status</w:t>
      </w:r>
    </w:p>
    <w:p>
      <w:pPr>
        <w:spacing w:after="0" w:line="80" w:lineRule="exact"/>
        <w:rPr>
          <w:sz w:val="20"/>
          <w:szCs w:val="20"/>
          <w:color w:val="auto"/>
        </w:rPr>
      </w:pPr>
    </w:p>
    <w:p>
      <w:pPr>
        <w:jc w:val="both"/>
        <w:ind w:left="8" w:firstLine="432"/>
        <w:spacing w:after="0" w:line="283" w:lineRule="auto"/>
        <w:rPr>
          <w:sz w:val="20"/>
          <w:szCs w:val="20"/>
          <w:color w:val="auto"/>
        </w:rPr>
      </w:pPr>
      <w:r>
        <w:rPr>
          <w:rFonts w:ascii="Times New Roman" w:cs="Times New Roman" w:eastAsia="Times New Roman" w:hAnsi="Times New Roman"/>
          <w:sz w:val="12"/>
          <w:szCs w:val="12"/>
          <w:color w:val="auto"/>
        </w:rPr>
        <w:t xml:space="preserve">We have advanced select molecules from this program into clinical development. For example, </w:t>
      </w:r>
      <w:r>
        <w:rPr>
          <w:rFonts w:ascii="Times New Roman" w:cs="Times New Roman" w:eastAsia="Times New Roman" w:hAnsi="Times New Roman"/>
          <w:sz w:val="12"/>
          <w:szCs w:val="12"/>
          <w:i w:val="1"/>
          <w:iCs w:val="1"/>
          <w:color w:val="auto"/>
        </w:rPr>
        <w:t>HPP971</w:t>
      </w:r>
      <w:r>
        <w:rPr>
          <w:rFonts w:ascii="Times New Roman" w:cs="Times New Roman" w:eastAsia="Times New Roman" w:hAnsi="Times New Roman"/>
          <w:sz w:val="12"/>
          <w:szCs w:val="12"/>
          <w:color w:val="auto"/>
        </w:rPr>
        <w:t xml:space="preserve"> was evaluated in Phase 1 single-ascending dose and multiple-ascending dose studies in healthy participants and was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114300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13" w:lineRule="exact"/>
        <w:rPr>
          <w:sz w:val="20"/>
          <w:szCs w:val="20"/>
          <w:color w:val="auto"/>
        </w:rPr>
      </w:pPr>
    </w:p>
    <w:p>
      <w:pPr>
        <w:ind w:left="48" w:hanging="48"/>
        <w:spacing w:after="0"/>
        <w:tabs>
          <w:tab w:leader="none" w:pos="48" w:val="left"/>
        </w:tabs>
        <w:numPr>
          <w:ilvl w:val="0"/>
          <w:numId w:val="7"/>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Livdelzi® is trademarked by Gilead.</w:t>
      </w:r>
    </w:p>
    <w:p>
      <w:pPr>
        <w:ind w:left="48" w:hanging="48"/>
        <w:spacing w:after="0" w:line="188" w:lineRule="auto"/>
        <w:tabs>
          <w:tab w:leader="none" w:pos="48" w:val="left"/>
        </w:tabs>
        <w:numPr>
          <w:ilvl w:val="0"/>
          <w:numId w:val="8"/>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Tecfidera® and Skyclarys® are trademarked by Biogen.</w:t>
      </w:r>
    </w:p>
    <w:p>
      <w:pPr>
        <w:spacing w:after="0" w:line="200" w:lineRule="exact"/>
        <w:rPr>
          <w:sz w:val="20"/>
          <w:szCs w:val="20"/>
          <w:color w:val="auto"/>
        </w:rPr>
      </w:pPr>
    </w:p>
    <w:p>
      <w:pPr>
        <w:spacing w:after="0" w:line="2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1" w:name="page12"/>
    <w:bookmarkEnd w:id="11"/>
    <w:p>
      <w:pPr>
        <w:ind w:left="328"/>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-5715</wp:posOffset>
            </wp:positionV>
            <wp:extent cx="37211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well tolerated in those studies. We continue to evaluate additional Nrf2/Bach1 program molecules in preclinical studies to further characterize their pharmacology and identify potential development paths.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Partnered Development Programs</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HPP737 </w:t>
      </w:r>
      <w:r>
        <w:rPr>
          <w:rFonts w:ascii="Times New Roman" w:cs="Times New Roman" w:eastAsia="Times New Roman" w:hAnsi="Times New Roman"/>
          <w:sz w:val="12"/>
          <w:szCs w:val="12"/>
          <w:b w:val="1"/>
          <w:bCs w:val="1"/>
          <w:color w:val="auto"/>
        </w:rPr>
        <w:t>- Oral, Non-CNS Penetrant PDE4 Inhibitor</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Phosphodiesterase-4 (“PDE4”) is an intracellular enzyme expressed in a range of inflammatory and immune cells that degrades cyclic adenosine monophosphate (“cAMP”), a signaling molecule involved in regulating inflammatory pathways. Increased PDE4 activity reduces intracellular cAMP and may contribute to increased production of pro-inflammatory mediators, including tumor necrosis factor alpha (“TNF-α”) and interleukins such as IL-17 and IL-23. PDE4 inhibition increases intracellular cAMP and can downregulate inflammatory responses, including effects on T cells and myeloid cell activation. As a result, PDE4 has been clinically validated as a target in multiple immune-mediated inflammatory diseases, including dermatologic and rheumatologic conditions.</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PDE4 Therapeutic Landscape</w:t>
      </w:r>
    </w:p>
    <w:p>
      <w:pPr>
        <w:spacing w:after="0" w:line="78" w:lineRule="exact"/>
        <w:rPr>
          <w:sz w:val="20"/>
          <w:szCs w:val="20"/>
          <w:color w:val="auto"/>
        </w:rPr>
      </w:pPr>
    </w:p>
    <w:p>
      <w:pPr>
        <w:jc w:val="both"/>
        <w:ind w:left="8" w:firstLine="432"/>
        <w:spacing w:after="0" w:line="228" w:lineRule="auto"/>
        <w:rPr>
          <w:sz w:val="20"/>
          <w:szCs w:val="20"/>
          <w:color w:val="auto"/>
        </w:rPr>
      </w:pPr>
      <w:r>
        <w:rPr>
          <w:rFonts w:ascii="Times New Roman" w:cs="Times New Roman" w:eastAsia="Times New Roman" w:hAnsi="Times New Roman"/>
          <w:sz w:val="12"/>
          <w:szCs w:val="12"/>
          <w:color w:val="auto"/>
        </w:rPr>
        <w:t>PDE4 inhibition is an established therapeutic approach in certain inflammatory diseases. For example, apremilast (Otezla®)</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2"/>
          <w:szCs w:val="12"/>
          <w:color w:val="auto"/>
        </w:rPr>
        <w:t>, an oral PDE4 inhibitor, is approved for indications including psoriasis and psoriatic arthritis, and crisaborole (Eucrisa®)</w:t>
      </w:r>
      <w:r>
        <w:rPr>
          <w:rFonts w:ascii="Times New Roman" w:cs="Times New Roman" w:eastAsia="Times New Roman" w:hAnsi="Times New Roman"/>
          <w:sz w:val="15"/>
          <w:szCs w:val="15"/>
          <w:color w:val="auto"/>
          <w:vertAlign w:val="superscript"/>
        </w:rPr>
        <w:t>6</w:t>
      </w:r>
      <w:r>
        <w:rPr>
          <w:rFonts w:ascii="Times New Roman" w:cs="Times New Roman" w:eastAsia="Times New Roman" w:hAnsi="Times New Roman"/>
          <w:sz w:val="12"/>
          <w:szCs w:val="12"/>
          <w:color w:val="auto"/>
        </w:rPr>
        <w:t>, a topical PDE4 inhibitor, is approved for atopic dermatitis. PDE4 and cAMP signaling have also been implicated in inflammatory bowel disease (“IBD”), where immune activation and cytokine production contribute to intestinal inflammation and epithelial barrier dysfunction; Notwithstanding the utility of this mechanism, the tolerability of systemic PDE4 inhibition may be limited in some patients by adverse events that commonly include GI effects such as nausea, vomiting, and diarrhea, which can affect persistence on therapy.</w:t>
      </w:r>
    </w:p>
    <w:p>
      <w:pPr>
        <w:spacing w:after="0" w:line="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HPP737 </w:t>
      </w:r>
      <w:r>
        <w:rPr>
          <w:rFonts w:ascii="Times New Roman" w:cs="Times New Roman" w:eastAsia="Times New Roman" w:hAnsi="Times New Roman"/>
          <w:sz w:val="12"/>
          <w:szCs w:val="12"/>
          <w:b w:val="1"/>
          <w:bCs w:val="1"/>
          <w:color w:val="auto"/>
        </w:rPr>
        <w:t>Program Rationale and Properties</w:t>
      </w:r>
    </w:p>
    <w:p>
      <w:pPr>
        <w:spacing w:after="0" w:line="80" w:lineRule="exact"/>
        <w:rPr>
          <w:sz w:val="20"/>
          <w:szCs w:val="20"/>
          <w:color w:val="auto"/>
        </w:rPr>
      </w:pPr>
    </w:p>
    <w:p>
      <w:pPr>
        <w:jc w:val="both"/>
        <w:ind w:left="8"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HPP737 </w:t>
      </w:r>
      <w:r>
        <w:rPr>
          <w:rFonts w:ascii="Times New Roman" w:cs="Times New Roman" w:eastAsia="Times New Roman" w:hAnsi="Times New Roman"/>
          <w:sz w:val="12"/>
          <w:szCs w:val="12"/>
          <w:color w:val="auto"/>
        </w:rPr>
        <w:t>is an orally administered, potent and selective PDE4 inhibitor designed to have limited central nervous system (“CNS”) penetration. We believe that reduced CNS penetration may be relevant to improving tolerability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for certain adverse events historically associated with systemic PDE4 inhibition, although the relationship between CNS exposure and tolerability outcomes may vary and has not been fully established for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w:t>
      </w:r>
    </w:p>
    <w:p>
      <w:pPr>
        <w:spacing w:after="0" w:line="35" w:lineRule="exact"/>
        <w:rPr>
          <w:sz w:val="20"/>
          <w:szCs w:val="20"/>
          <w:color w:val="auto"/>
        </w:rPr>
      </w:pPr>
    </w:p>
    <w:p>
      <w:pPr>
        <w:ind w:left="8" w:right="2160" w:firstLine="432"/>
        <w:spacing w:after="0" w:line="377" w:lineRule="auto"/>
        <w:rPr>
          <w:sz w:val="20"/>
          <w:szCs w:val="20"/>
          <w:color w:val="auto"/>
        </w:rPr>
      </w:pPr>
      <w:r>
        <w:rPr>
          <w:rFonts w:ascii="Times New Roman" w:cs="Times New Roman" w:eastAsia="Times New Roman" w:hAnsi="Times New Roman"/>
          <w:sz w:val="12"/>
          <w:szCs w:val="12"/>
          <w:color w:val="auto"/>
        </w:rPr>
        <w:t xml:space="preserve">In nonclinical studies,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has demonstrated inhibition of cytokine production, including IL-17A and TNF-α, in vitro, and activity in multiple animal models of inflammation. A </w:t>
      </w:r>
      <w:r>
        <w:rPr>
          <w:rFonts w:ascii="Times New Roman" w:cs="Times New Roman" w:eastAsia="Times New Roman" w:hAnsi="Times New Roman"/>
          <w:sz w:val="12"/>
          <w:szCs w:val="12"/>
          <w:i w:val="1"/>
          <w:iCs w:val="1"/>
          <w:color w:val="auto"/>
        </w:rPr>
        <w:t>HPP737 and Newsoara Biopharma</w:t>
      </w:r>
    </w:p>
    <w:p>
      <w:pPr>
        <w:jc w:val="both"/>
        <w:ind w:left="8" w:firstLine="324"/>
        <w:spacing w:after="0" w:line="256" w:lineRule="auto"/>
        <w:rPr>
          <w:sz w:val="20"/>
          <w:szCs w:val="20"/>
          <w:color w:val="auto"/>
        </w:rPr>
      </w:pPr>
      <w:r>
        <w:rPr>
          <w:rFonts w:ascii="Times New Roman" w:cs="Times New Roman" w:eastAsia="Times New Roman" w:hAnsi="Times New Roman"/>
          <w:sz w:val="12"/>
          <w:szCs w:val="12"/>
          <w:color w:val="auto"/>
        </w:rPr>
        <w:t xml:space="preserve">On May 31, 2018, we entered into a license agreement with Newsoara (the “Newsoara License Agreement”), under which Newsoara obtained an exclusive and sublicensable license to develop and commercialize our PDE4 program, including the compound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in China and other Pacific Rim territories (collectively, the “Newsoara License Territory”). In January 2026, the parties entered into the Second Amendment to License Agreement (the "Second Amendment") to provide Newsoara with global rights to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In exchange for the global rights, Newsoara paid the Company an upfront amount of $20.0 million and agreed to modify the sales and development milestones and royalty on future sales. Under the Second Amendment, the Company is eligible to receive development, regulatory and sales-based milestone payments totaling up to $115.0 million as well as royalties on sales in the mid to upper single digits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w:t>
      </w:r>
    </w:p>
    <w:p>
      <w:pPr>
        <w:spacing w:after="0" w:line="53" w:lineRule="exact"/>
        <w:rPr>
          <w:sz w:val="20"/>
          <w:szCs w:val="20"/>
          <w:color w:val="auto"/>
        </w:rPr>
      </w:pPr>
    </w:p>
    <w:p>
      <w:pPr>
        <w:jc w:val="both"/>
        <w:ind w:left="8" w:firstLine="324"/>
        <w:spacing w:after="0" w:line="279" w:lineRule="auto"/>
        <w:rPr>
          <w:sz w:val="20"/>
          <w:szCs w:val="20"/>
          <w:color w:val="auto"/>
        </w:rPr>
      </w:pPr>
      <w:r>
        <w:rPr>
          <w:rFonts w:ascii="Times New Roman" w:cs="Times New Roman" w:eastAsia="Times New Roman" w:hAnsi="Times New Roman"/>
          <w:sz w:val="12"/>
          <w:szCs w:val="12"/>
          <w:color w:val="auto"/>
        </w:rPr>
        <w:t>Under the terms of the Newsoara License Agreement, Newsoara will be responsible for the development and commercialization of the licensed products at its cost, and is required to use commercially reasonable efforts with respect to such development and commercialization efforts.</w:t>
      </w:r>
    </w:p>
    <w:p>
      <w:pPr>
        <w:spacing w:after="0" w:line="39" w:lineRule="exact"/>
        <w:rPr>
          <w:sz w:val="20"/>
          <w:szCs w:val="20"/>
          <w:color w:val="auto"/>
        </w:rPr>
      </w:pPr>
    </w:p>
    <w:p>
      <w:pPr>
        <w:jc w:val="both"/>
        <w:ind w:left="8" w:firstLine="324"/>
        <w:spacing w:after="0" w:line="279" w:lineRule="auto"/>
        <w:rPr>
          <w:sz w:val="20"/>
          <w:szCs w:val="20"/>
          <w:color w:val="auto"/>
        </w:rPr>
      </w:pPr>
      <w:r>
        <w:rPr>
          <w:rFonts w:ascii="Times New Roman" w:cs="Times New Roman" w:eastAsia="Times New Roman" w:hAnsi="Times New Roman"/>
          <w:sz w:val="12"/>
          <w:szCs w:val="12"/>
          <w:color w:val="auto"/>
        </w:rPr>
        <w:t>The Newsoara License Agreement, unless terminated earlier, will continue until expiration of all royalty obligations of Newsoara to us. Either party may terminate the Newsoara License Agreement for the other party’s uncured material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11430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17" w:lineRule="exact"/>
        <w:rPr>
          <w:sz w:val="20"/>
          <w:szCs w:val="20"/>
          <w:color w:val="auto"/>
        </w:rPr>
      </w:pPr>
    </w:p>
    <w:p>
      <w:pPr>
        <w:ind w:left="48" w:hanging="48"/>
        <w:spacing w:after="0"/>
        <w:tabs>
          <w:tab w:leader="none" w:pos="48" w:val="left"/>
        </w:tabs>
        <w:numPr>
          <w:ilvl w:val="0"/>
          <w:numId w:val="9"/>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Otezla® is trademarked by Amgen.</w:t>
      </w:r>
    </w:p>
    <w:p>
      <w:pPr>
        <w:ind w:left="8"/>
        <w:spacing w:after="0"/>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10"/>
          <w:szCs w:val="10"/>
          <w:color w:val="auto"/>
          <w:vertAlign w:val="superscript"/>
        </w:rPr>
        <w:t>6</w:t>
      </w:r>
      <w:r>
        <w:rPr>
          <w:rFonts w:ascii="Times New Roman" w:cs="Times New Roman" w:eastAsia="Times New Roman" w:hAnsi="Times New Roman"/>
          <w:sz w:val="8"/>
          <w:szCs w:val="8"/>
          <w:color w:val="auto"/>
        </w:rPr>
        <w:t xml:space="preserve"> Eucrisa® is trademarked by Pfizer.</w:t>
      </w:r>
    </w:p>
    <w:p>
      <w:pPr>
        <w:spacing w:after="0" w:line="200" w:lineRule="exact"/>
        <w:rPr>
          <w:sz w:val="20"/>
          <w:szCs w:val="20"/>
          <w:color w:val="auto"/>
        </w:rPr>
      </w:pPr>
    </w:p>
    <w:p>
      <w:pPr>
        <w:spacing w:after="0" w:line="28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Newsoara may terminate the Newsoara License Agreement at will upon prior written notice. Upon expiration (but not earlier termination) of the Newsoara License Agreement the licenses granted to Newsoara will survive on a royalty-free basis in perpetuity.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Azeliragon and Cantex Pharmaceuticals, Inc.</w:t>
      </w:r>
    </w:p>
    <w:p>
      <w:pPr>
        <w:spacing w:after="0" w:line="7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On June 22, 2021, vTv Therapeutics Inc. and Cantex Pharmaceuticals, Inc. (“Cantex”) entered into a licensing agreement under which Cantex obtained exclusive worldwide rights to develop and commercialize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vTv’s novel antagonist of RAGE (the receptor for advanced glycation end products). Under the terms of the agreement, Cantex will be responsible for the development and commercialization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and the companies will allocate downstream profits under a tiered arrangement.</w:t>
      </w:r>
    </w:p>
    <w:p>
      <w:pPr>
        <w:spacing w:after="0" w:line="4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On January 9, 2023, Cantex announced that the FDA has granted Orphan Drug Designation to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for the treatment of glioblastoma. In addition, a Phase 2 trial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is in progress in women receiving “neoadjuvant chemotherapy” of breast cancer, which is chemotherapy to prevent cancer from returning after initial potentially curative treatment. In February 2022, Cantex secured a global license from Harvard University to further develop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as a treatment for inflammatory lung diseases, including COVID-19.</w:t>
      </w:r>
    </w:p>
    <w:p>
      <w:pPr>
        <w:spacing w:after="0" w:line="45"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2"/>
          <w:szCs w:val="12"/>
          <w:color w:val="auto"/>
        </w:rPr>
        <w:t xml:space="preserve">On May 20, 2024, Cantex announced that the FDA granted Orphan Drug Designation to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a well-tolerated once-a-day pill, for the treatment of pancreatic cancer. Cantex has completed a clinical trial studying the safety and efficacy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in patients refractory to first-line treatment of metastatic pancreatic cancer.</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On December 9, 2024, Cantex announced that the FDA granted Orphan Drug Designation to Cantex’s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for the treatment of brain metastasis from breast cancer.</w:t>
      </w:r>
    </w:p>
    <w:p>
      <w:pPr>
        <w:spacing w:after="0" w:line="78"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In February 2025, a Phase 1B clinical trial was initiated by Dr. Jonathan Yang at New York University Langone to assess safety of concurrent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with craniospinal irradiation in patients with leptomeningeal metastasis from solid tumor malignancies or high-grade gliomas.</w:t>
      </w:r>
    </w:p>
    <w:p>
      <w:pPr>
        <w:spacing w:after="0" w:line="35"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A Phase 2 trial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is in progress in women receiving “neoadjuvant chemotherapy” of breast cancer, which is chemotherapy to prevent cancer from returning after initial potentially curative treatment. Furthermore, a phase I/II study to assess safety and preliminary evidence of a therapeutic effect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combined with stereotactic radiation therapy in patients with brain metastases is ongoing at Miami University.</w:t>
      </w:r>
    </w:p>
    <w:p>
      <w:pPr>
        <w:spacing w:after="0" w:line="35"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A randomized, double-blind, placebo-controlled Phase 2/3 Study to determine the safety and effectiveness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in the treatment of patients hospitalized for coronavirus disease 2019 (COVID-19) or pneumonia is in progress.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Inbound Partnerships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Novo Nordisk</w:t>
      </w:r>
    </w:p>
    <w:p>
      <w:pPr>
        <w:spacing w:after="0" w:line="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 xml:space="preserve">In February 2007, we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we obtained certain worldwide rights to Novo Nordisk’s GKA program, including rights to preclinical and clinical compounds such as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$6.0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Third-Party Suppliers and Manufacturers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do not own or operate, and currently have no plans to establish, any manufacturing facilities. We currently rely, and expect to continue to rely, on third parties to manufacture clinical supplies of our drug candidates and for our other research and discovery programs. We do not have multiple sources of supply for the components used in our drug candidates.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Intellectual Property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Patents</w:t>
      </w:r>
    </w:p>
    <w:p>
      <w:pPr>
        <w:spacing w:after="0" w:line="6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actively protect our commercially important proprietary technology by, among other methods, obtaining, maintaining, and defending our patent rights. We have filed numerous patent applications covering our current drug candidates and our other research and discovery programs in the U.S. and in jurisdictions outside of the U.S., resulting in multiple issued patents. We pursue patent protection for all inventions and improvements throughout development, including, when possible, compositions of matter, crystal forms (polymorphs), methods of use, dosage regimens, formulations, combination therapies, and manufacturing processes.</w:t>
      </w:r>
    </w:p>
    <w:p>
      <w:pPr>
        <w:spacing w:after="0" w:line="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U.S. can provide exclusionary rights for 20 years from the earliest effective non-provisional filing date. In addition, in certain instances, the term of an issued U.S. patent that covers or claims an FDA approved product, or its use in treating an approved indication, can be extended to recapture a portion of the term effectively lost as a result of the FDA regulatory review period, which is called patent term extension. The period of patent term extension in the United States cannot be longer than five years and the total patent term, including the extension period, must not exceed 14 years following FDA approval. The term of patents outside of the U.S. varies in accordance with the laws of the foreign jurisdiction, but typically is also 20 years from the earliest effective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Some countries also provide mechanisms to recapture a portion of the patent term lost during regulatory review, similar to patent term extension in the U.S. The amount of patent term that can be recaptured depends on the laws of the relevant jurisdictions.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 xml:space="preserve">The patent portfolio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includes multiple patent families directed to crystal forms, salt forms, formulations, combinations, and methods of use for treating diabetes, among other things, that are filed in the U.S. and abroad. For example, the patent portfolio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includes a patent family directed to methods of treating patients with type 1 diabetes using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combination with insulin. The issued U.S. patents, as well as U.S. and foreign patents issuing from pending patent applications, in this patent family would be expected to expire in 2039, absent any patent term adjustments or extensions. The patent portfolio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also includes three patent families directed to crystal forms, crystalline salt forms, and solid formulations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among other things. The issued patents and patents issuing from pending patent applications in these patent families are projected to expire between 2034 and 2041, absent any patent term adjustments or extensions in the U.S. and ex-U.S. jurisdictions. The patent portfolio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further includes patent families directed to combinations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with metformin, DPP-4 inhibitors, or GLP-1r agonists, and their use in methods of treatment. The issued patents and patents issuing from pending patent applications in these additional patent families are projected expected to expire between 2031 and 2033, absent any patent term adjustments or extensions in the U.S. and ex-U.S. jurisdictions.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The patent portfolio for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includes issued patents in the U.S. generically covering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as a composition of matter and methods of use to treat various indications. The issued U.S. patent generically covering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as a composition of matter will expire no earlier than 2029, absent any patent term adjustments or extensions. The patent portfolio for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also includes a patent family specifically covering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and another patent family directed to a crystalline form of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Any patents issuing from the pending patent applications in these two patent families will expire in 2040, absent any patent term adjustments or extensions in the U.S. and ex-U.S. jurisdictions.</w:t>
      </w:r>
    </w:p>
    <w:p>
      <w:pPr>
        <w:spacing w:after="0" w:line="4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2"/>
          <w:szCs w:val="12"/>
          <w:color w:val="auto"/>
        </w:rPr>
        <w:t xml:space="preserve">The patent portfolio for the GLP-1r program includes multiple patent families covering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directed to composition of matter, crystal forms, non-crystal forms, salt forms, formulations, combinations, and methods of use for treating various indications, among other things. The GLP-1r IP portfolio includes a patent family directed to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as a composition of matter. The issued patents covering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as a composition of matter will expire no earlier than 2030, absent any patent term adjustments or extensions in the U.S. and ex-U.S. jurisdictions. The patent portfolio for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also includes patent families directed to crystalline, non-crystalline, and crystalline salt forms, and formulations of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synthetic precursors to, and methods of manufacture of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as well as combinations of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and metformin, and their use in methods of treatment, and dosage regimens of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Patents issuing from pending patent applications in these additional patent families would be expected to expire between 2034 and 2045, absent any patent term adjustments or extensions in the U.S. and ex-U.S. jurisdictions.</w:t>
      </w:r>
    </w:p>
    <w:p>
      <w:pPr>
        <w:spacing w:after="0" w:line="50"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The patent portfolio for the Nrf2/Bach1 program includes a patent family directed to </w:t>
      </w:r>
      <w:r>
        <w:rPr>
          <w:rFonts w:ascii="Times New Roman" w:cs="Times New Roman" w:eastAsia="Times New Roman" w:hAnsi="Times New Roman"/>
          <w:sz w:val="12"/>
          <w:szCs w:val="12"/>
          <w:i w:val="1"/>
          <w:iCs w:val="1"/>
          <w:color w:val="auto"/>
        </w:rPr>
        <w:t>HPP971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HPP3033</w:t>
      </w:r>
      <w:r>
        <w:rPr>
          <w:rFonts w:ascii="Times New Roman" w:cs="Times New Roman" w:eastAsia="Times New Roman" w:hAnsi="Times New Roman"/>
          <w:sz w:val="12"/>
          <w:szCs w:val="12"/>
          <w:color w:val="auto"/>
        </w:rPr>
        <w:t xml:space="preserve"> as compositions of matter, among other things. The issued patents in this patent family will expire no earlier than 2031, absent any patent term adjustments or extensions in the U.S. and ex-U.S. jurisdictions. The patent portfolio for the Nrf2/Bach1</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program also includes patent families directed to methods of use in combination with other Nrf2 activator compounds such as dimethyl fumarate and bardoxolone, and methods to treat sickle cell diseases, osteoporosis, and refractive ocular disorders. The issued patents and patents issuing from pending patent applications in these additional patent families are projected to expire between 2035 and 2041, absent any patent term adjustments or extensions in the U.S. and ex-U.S. jurisdictions.</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The patent portfolio for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also includes patent families covering polymorphs, salt forms, metabolites, degradation products and a synthetic precursor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methods of treatment using select dosage regimens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and methods of treating select patient populations, among other things. The issued patents and patents issuing from pending patent applications in these patent families, are projected to expire between 2028 and 2039, absent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any patent term adjustments or extensions in the U.S. and ex-U.S. jurisdictions.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Trade Secrets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In addition to patents, we rely on trade secrets and know-how to develop and maintain our competitive position. We seek to protect our proprietary technology and processes, in part, by entering into confidentiality agreements and invention assignment agreements with our employees, consultants, scientific advisors, contractors and commercial partners. These agreements are designed to protect our proprietary information and, in the case of the invention assignment agreements, to grant us ownership of technologies that are developed by employees or through a relationship with a third party.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publicly known or be independently discovered by competitors. To the extent that our contractors use or incorporate intellectual property owned by others in their work for us, disputes may arise as to the rights in related or resulting know-how and inventions.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We believe the key competitive factors that will affect the development and commercial success of our drug candidates are efficacy, safety and tolerability profile, mechanism of action, control and predictability, convenience of dosing, price and reimbursement, and availability of comparable alternative therapies.</w:t>
      </w:r>
    </w:p>
    <w:p>
      <w:pPr>
        <w:spacing w:after="0" w:line="3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medical devices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our programs are likely to be their efficacy, safety, convenience, and availability of reimbursement.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Potential Competing Products – Type 1 Diabetes</w:t>
      </w:r>
    </w:p>
    <w:p>
      <w:pPr>
        <w:spacing w:after="0" w:line="78"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If approved,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for T1D would compete with a broad range of therapies and technologies, including oral and injectable non-insulin agents used adjunctively with insulin, novel insulin formulations, medical devices, and investigational disease-modifying or cell-based approaches intended to reduce hypoglycemia risk, improve glycemic control, or address underlying disease biology.</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Adjunctive non-insulin pharmacotherapies and hypoglycemia-focused approaches. </w:t>
      </w:r>
      <w:r>
        <w:rPr>
          <w:rFonts w:ascii="Times New Roman" w:cs="Times New Roman" w:eastAsia="Times New Roman" w:hAnsi="Times New Roman"/>
          <w:sz w:val="12"/>
          <w:szCs w:val="12"/>
          <w:color w:val="auto"/>
        </w:rPr>
        <w:t>Multiple companies are developing agents intended to improve glycemic control and/or reduce hypoglycemia in people with T1D. For example,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Zucara Therapeutics is developing ZT-01, an investigational somatostatin receptor 2 (SSTR2) antagonist intended to prevent insulin-induced hypoglycemia, with an initial development focus on nocturnal hypoglycemia. Diasome Pharmaceuticals has reported completion of enrollment in a Phase 2b trial evaluating a hepatocyte-directed vesicle (“HDV”)-enabled insulin lispro formulation intended to more closely replicate physiologic portal delivery and potentially reduce hypoglycemia while improving post-prandial control. In addition, incretin-based approaches are being evaluated in adults with T1D and overweight/obesity, including tirzepatide (a dual GLP-1/GIP receptor agonist) and other dual incretin candidates. REMD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Biotherapeutics has evaluated its glucagon receptor antagonism in T1D (volagidemab/REMD-477), a mechanism intended to reduce hyperglycemia and exogenous insulin requirements.In late 2024, the U.S. Food and Drug Administration ("FDA") declined to approve Lexicon Pharmaceuticals' sotagliflozin (Zynquista), a dual SGLT-1/SGLT-2 inhibitor, for use in T1D; however, Lexicon continues to pursue regulatory approval for this indication. Separately, ultra-rapid prandial insulin formulations such as Adocia’s BioChaperone® Lispro are being developed to improve post-prandial glucose control. None of these therapies are currently approved globally specifically for the treatment of T1D as an adjunct to insulin or as a novel insulin for T1D.</w:t>
      </w:r>
    </w:p>
    <w:p>
      <w:pPr>
        <w:spacing w:after="0" w:line="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b w:val="1"/>
          <w:bCs w:val="1"/>
          <w:color w:val="auto"/>
        </w:rPr>
        <w:t xml:space="preserve">Disease-modifying, immune, and beta-cell replacement approaches. </w:t>
      </w:r>
      <w:r>
        <w:rPr>
          <w:rFonts w:ascii="Times New Roman" w:cs="Times New Roman" w:eastAsia="Times New Roman" w:hAnsi="Times New Roman"/>
          <w:sz w:val="12"/>
          <w:szCs w:val="12"/>
          <w:color w:val="auto"/>
        </w:rPr>
        <w:t>Other development programs focus on delaying progression to stage 3 T1D or preserving, regenerating, or replacing beta cells after diagnosis. Teplizumab</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(Tzield®), an anti-CD3 monoclonal antibody, was the first FDA-approved therapy to delay progression to stage 3 T1D in at-risk individuals; Sanofi has also reported FDA acceptance for expedited review of a supplemental application in recently diagnosed stage 3 T1D. Lantidra™ (donislecel), an allogeneic pancreatic islet cellular therapy, is FDA-approved for certain adults with T1D who cannot achieve adequate glycemic control due to repeated episodes of severe hypoglycemia despite intensive management. Vertex Pharmaceuticals is developing zimislecel (VX-880), an investigational stem cell-derived islet cell therapy administered via portal vein infusion and currently studied with concomitant immunosuppression. Multiple groups are also pursuing next-generation beta-cell replacement strategies which would not required the concomitant administration of immunosuppressive drugs. Eli Lilly has also announced Phase 3 programs of baricitinib (a JAK inhibitor) intended to evaluate (i) delay of stage 3 T1D in at-risk individuals and (ii) preservation of beta-cell function in newly diagnosed T1D. Additional early-stage disease-modifying approaches include. without being limited to, TXNIP inhibition (e.g., TIXiMED’s oral candidate TIX100, which has completed a Phase 1 study).</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Medical devices and digital diabetes management. </w:t>
      </w:r>
      <w:r>
        <w:rPr>
          <w:rFonts w:ascii="Times New Roman" w:cs="Times New Roman" w:eastAsia="Times New Roman" w:hAnsi="Times New Roman"/>
          <w:sz w:val="12"/>
          <w:szCs w:val="12"/>
          <w:color w:val="auto"/>
        </w:rPr>
        <w:t>Devices such as continuous glucose monitors (“CGMs”), connected insulin pens, and automated insulin delivery systems that integrate insulin pumps with CGMs and control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algorithms are widely adopted in T1D and continue to evolve. These systems have demonstrated improved glycemic outcomes and reduced hypoglycemia risk in many patients, and next-generation innovation in development includes fully closed-loop systems designed to reduce user burden (including approaches intended to operate without carbohydrate counting or meal boluses) and bi-hormonal systems combining insulin and glucagon. A first fully closed loop algorithm (CamDiab) received EU medical device Regulation approval in early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Collaboration Revenue and Customers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Most of our collaboration revenue for the years ended December 31, 2025, 2024 and 2023 is related to our licenses of certain compounds in the preclinical stage or clinical stage, including the Huadong License Agreement, which was terminated effective September 1, 2024, and the Newsoara License Agreement. Revenue recognized in these periods relates to the achievement of development milestones.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Government Regulation and Product Approvals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Government authorities in the United States, at the federal, state and local level, and in other countries and jurisdictions, including the European Union (“EU”),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Approval and Regulation of Drugs in the United States</w:t>
      </w:r>
    </w:p>
    <w:p>
      <w:pPr>
        <w:spacing w:after="0" w:line="82" w:lineRule="exact"/>
        <w:rPr>
          <w:sz w:val="20"/>
          <w:szCs w:val="20"/>
          <w:color w:val="auto"/>
        </w:rPr>
      </w:pPr>
    </w:p>
    <w:p>
      <w:pPr>
        <w:jc w:val="both"/>
        <w:ind w:firstLine="449"/>
        <w:spacing w:after="0" w:line="260" w:lineRule="auto"/>
        <w:rPr>
          <w:sz w:val="20"/>
          <w:szCs w:val="20"/>
          <w:color w:val="auto"/>
        </w:rPr>
      </w:pPr>
      <w:r>
        <w:rPr>
          <w:rFonts w:ascii="Times New Roman" w:cs="Times New Roman" w:eastAsia="Times New Roman" w:hAnsi="Times New Roman"/>
          <w:sz w:val="12"/>
          <w:szCs w:val="12"/>
          <w:color w:val="auto"/>
        </w:rPr>
        <w:t>In the United States, drug products are regulated under the Federal Food, Drug and Cosmetic Act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 These sanctions may include, but are not limited to, the FDA’s refusal to allow an applicant to proceed with clinical trials, refusal to approve pending applications, license suspension or revocation, withdrawal of an approval, warning letters, adverse publicity, product recalls, product seizures, total or partial suspension of production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distribution, injunctions, fines and civil or criminal investigations and penalties brought by the FDA or Department of Justice (“DOJ”), or other government entities, including state agencies.</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An applicant seeking approval to market and distribute a new drug in the United States generally must satisfactorily complete each of the following steps before the product candidate will be licensed by the FDA:</w:t>
      </w:r>
    </w:p>
    <w:p>
      <w:pPr>
        <w:spacing w:after="0" w:line="78"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preclinical testing including laboratory tests, animal studies and formulation studies, which must be performed in accordance with the FDA’s good laboratory practice (“GLP”), regulations and standards;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submission to the FDA of an Investigational New Drug Application (“IND”) for human clinical testing, which must become effective before human clinical trials may begin;</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by an independent institutional review board (“IRB”), representing each clinical site before each clinical trial may be initiated;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of adequate and well-controlled human clinical trials to establish the safety, potency and efficacy of the product candidate for each proposed indication, in accordance with current good clinical practices (“GCP”);</w:t>
      </w:r>
    </w:p>
    <w:p>
      <w:pPr>
        <w:spacing w:after="0" w:line="78"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preparation and submission to the FDA of a new drug application (“NDA”), for a drug product which includes not only the results of the clinical trials, but also, detailed information on the chemistry, manufacture and quality controls for the product candidate and proposed labelling for one or more proposed indication(s);</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of the product candidate by an FDA advisory committee, where appropriate or if applicable;</w:t>
      </w:r>
    </w:p>
    <w:p>
      <w:pPr>
        <w:spacing w:after="0" w:line="78"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satisfactory completion of an FDA inspection of the manufacturing facility or facilities, including those of third parties, at which the product candidate or components thereof are manufactured to assess compliance with current good manufacturing practice (“cGMP”) requirements and to assure that the facilities, methods and controls are adequate to preserve the product’s identity, strength, quality and purity;</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satisfactory completion of any FDA audits of the non-clinical and clinical trial sites to assure compliance with GCP and the integrity of clinical data in support of the NDA;</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user fees and securing FDA approval of the NDA to allow marketing of the new drug product; and</w:t>
      </w:r>
    </w:p>
    <w:p>
      <w:pPr>
        <w:spacing w:after="0" w:line="78"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any post-approval requirements, including the potential requirement to implement a risk evaluation and mitigation strategy (“REMS”) and the potential requirement to conduct any post-approval studies required by the FDA.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Preclinical Studies</w:t>
      </w:r>
    </w:p>
    <w:p>
      <w:pPr>
        <w:spacing w:after="0" w:line="80" w:lineRule="exact"/>
        <w:rPr>
          <w:sz w:val="20"/>
          <w:szCs w:val="20"/>
          <w:color w:val="auto"/>
        </w:rPr>
      </w:pPr>
    </w:p>
    <w:p>
      <w:pPr>
        <w:jc w:val="both"/>
        <w:ind w:firstLine="449"/>
        <w:spacing w:after="0" w:line="260" w:lineRule="auto"/>
        <w:rPr>
          <w:sz w:val="20"/>
          <w:szCs w:val="20"/>
          <w:color w:val="auto"/>
        </w:rPr>
      </w:pPr>
      <w:r>
        <w:rPr>
          <w:rFonts w:ascii="Times New Roman" w:cs="Times New Roman" w:eastAsia="Times New Roman" w:hAnsi="Times New Roman"/>
          <w:sz w:val="12"/>
          <w:szCs w:val="12"/>
          <w:color w:val="auto"/>
        </w:rPr>
        <w:t>Before an applicant begins testing a product candidate with potential therapeutic value in humans, the product candidate enters the preclinical testing stage.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and analytical data, are submitted to the FDA as part of an IND. Some long-term preclinical testing, such as animal tests of reproductive adverse events and carcinogenicity, and long-term toxicity studies, may continue after the IND is submitted.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IND and IRB Processes</w:t>
      </w:r>
    </w:p>
    <w:p>
      <w:pPr>
        <w:spacing w:after="0" w:line="8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2"/>
          <w:szCs w:val="12"/>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2"/>
          <w:szCs w:val="12"/>
          <w:color w:val="auto"/>
        </w:rPr>
        <w:t xml:space="preserve">Following commencement of a clinical trial under an IND, the FDA may also place a clinical hold or partial clinical hold on that trial. In July 2024, the FDA placed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program on clinical hold based upon a radiochromatographic signal that could not be fully characterized at that time. The FDA subsequently lifted the clinical hold in March 2025, following the Company’s submission of a complete response that demonstrated that the uncharacterized signal was an experimental artifact</w:t>
      </w:r>
    </w:p>
    <w:p>
      <w:pPr>
        <w:spacing w:after="0" w:line="4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2"/>
          <w:szCs w:val="12"/>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such studies must be conducted in accordance with GCP, including review and approval by an independent ethics committee (“IEC”), and informed consent from subjects.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53" w:lineRule="exact"/>
        <w:rPr>
          <w:sz w:val="20"/>
          <w:szCs w:val="20"/>
          <w:color w:val="auto"/>
        </w:rPr>
      </w:pPr>
    </w:p>
    <w:p>
      <w:pPr>
        <w:jc w:val="both"/>
        <w:ind w:firstLine="449"/>
        <w:spacing w:after="0" w:line="260" w:lineRule="auto"/>
        <w:rPr>
          <w:sz w:val="20"/>
          <w:szCs w:val="20"/>
          <w:color w:val="auto"/>
        </w:rPr>
      </w:pPr>
      <w:r>
        <w:rPr>
          <w:rFonts w:ascii="Times New Roman" w:cs="Times New Roman" w:eastAsia="Times New Roman" w:hAnsi="Times New Roman"/>
          <w:sz w:val="12"/>
          <w:szCs w:val="12"/>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50"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2"/>
          <w:szCs w:val="12"/>
          <w:color w:val="auto"/>
        </w:rPr>
        <w:t>Additionally, 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47" w:lineRule="exact"/>
        <w:rPr>
          <w:sz w:val="20"/>
          <w:szCs w:val="20"/>
          <w:color w:val="auto"/>
        </w:rPr>
      </w:pPr>
    </w:p>
    <w:p>
      <w:pPr>
        <w:ind w:right="2160" w:firstLine="449"/>
        <w:spacing w:after="0" w:line="375" w:lineRule="auto"/>
        <w:rPr>
          <w:sz w:val="20"/>
          <w:szCs w:val="20"/>
          <w:color w:val="auto"/>
        </w:rPr>
      </w:pPr>
      <w:r>
        <w:rPr>
          <w:rFonts w:ascii="Times New Roman" w:cs="Times New Roman" w:eastAsia="Times New Roman" w:hAnsi="Times New Roman"/>
          <w:sz w:val="12"/>
          <w:szCs w:val="12"/>
          <w:color w:val="auto"/>
        </w:rPr>
        <w:t xml:space="preserve">Information about clinical trials must be submitted within specific timeframes to the National Institutes of Health (“NIH”), for public dissemination on its ClinicalTrials.gov website. </w:t>
      </w:r>
      <w:r>
        <w:rPr>
          <w:rFonts w:ascii="Times New Roman" w:cs="Times New Roman" w:eastAsia="Times New Roman" w:hAnsi="Times New Roman"/>
          <w:sz w:val="12"/>
          <w:szCs w:val="12"/>
          <w:i w:val="1"/>
          <w:iCs w:val="1"/>
          <w:color w:val="auto"/>
        </w:rPr>
        <w:t>Human Clinical Trials in Support of an NDA</w:t>
      </w:r>
    </w:p>
    <w:p>
      <w:pPr>
        <w:spacing w:after="0" w:line="1"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2"/>
          <w:szCs w:val="12"/>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Human clinical trials are typically conducted in three sequential phases, but the phases may overlap or be combined. Additional studies may also be required after approval.</w:t>
      </w:r>
    </w:p>
    <w:p>
      <w:pPr>
        <w:spacing w:after="0" w:line="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Phase 1 </w:t>
      </w:r>
      <w:r>
        <w:rPr>
          <w:rFonts w:ascii="Times New Roman" w:cs="Times New Roman" w:eastAsia="Times New Roman" w:hAnsi="Times New Roman"/>
          <w:sz w:val="12"/>
          <w:szCs w:val="12"/>
          <w:color w:val="auto"/>
        </w:rPr>
        <w:t>clinical trials are initially conducted in a limited population to test the product candidate for safety, including adverse effects, dose tolerance, absorption, metabolism, distribution, excretion and pharmacodynamics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healthy humans or in patients. During Phase 1 clinical trials, information about the investigational drug product’s pharmacokinetics and pharmacological effects may be obtained to permit the design of well-controlled and scientifically valid Phase 2 clinical trials.</w:t>
      </w:r>
    </w:p>
    <w:p>
      <w:pPr>
        <w:spacing w:after="0" w:line="4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Phase 2 </w:t>
      </w:r>
      <w:r>
        <w:rPr>
          <w:rFonts w:ascii="Times New Roman" w:cs="Times New Roman" w:eastAsia="Times New Roman" w:hAnsi="Times New Roman"/>
          <w:sz w:val="12"/>
          <w:szCs w:val="12"/>
          <w:color w:val="auto"/>
        </w:rPr>
        <w:t>clinical trials are generally conducted in a limited patient population to identify possible adverse effects and safety risks, evaluate the efficacy of the product candidate for specific targeted indications and determine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4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Phase 3 </w:t>
      </w:r>
      <w:r>
        <w:rPr>
          <w:rFonts w:ascii="Times New Roman" w:cs="Times New Roman" w:eastAsia="Times New Roman" w:hAnsi="Times New Roman"/>
          <w:sz w:val="12"/>
          <w:szCs w:val="12"/>
          <w:color w:val="auto"/>
        </w:rPr>
        <w:t>clinical trials proceed if the Phase 2 clinical trials demonstrate that a dose range of the product candidate is potentially effective and has an acceptable safety profile. Phase 3 clinical trials are undertaken within 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whether or not to approve, and, if approved, how to appropriately label a drug: such Phase 3 studies are referred to as “pivotal.”</w:t>
      </w:r>
    </w:p>
    <w:p>
      <w:pPr>
        <w:spacing w:after="0" w:line="78"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2"/>
          <w:szCs w:val="12"/>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approval for products.</w:t>
      </w:r>
    </w:p>
    <w:p>
      <w:pPr>
        <w:spacing w:after="0" w:line="4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2"/>
          <w:szCs w:val="12"/>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2"/>
          <w:szCs w:val="12"/>
          <w:i w:val="1"/>
          <w:iCs w:val="1"/>
          <w:color w:val="auto"/>
        </w:rPr>
        <w:t>in vitro</w:t>
      </w:r>
      <w:r>
        <w:rPr>
          <w:rFonts w:ascii="Times New Roman" w:cs="Times New Roman" w:eastAsia="Times New Roman" w:hAnsi="Times New Roman"/>
          <w:sz w:val="12"/>
          <w:szCs w:val="12"/>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product has been associated with unexpected serious harm to patients. The FDA will typically inspect one or more clinical sites to assure compliance with GCP and the integrity of the clinical data submitted.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Review and Approval of an NDA</w:t>
      </w:r>
    </w:p>
    <w:p>
      <w:pPr>
        <w:spacing w:after="0" w:line="80"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2"/>
          <w:szCs w:val="12"/>
          <w:color w:val="auto"/>
        </w:rPr>
        <w:t>In order to obtain approval to market a drug product in the United States, a marketing application must be submitted to the FDA that provides sufficient data establishing the safety, purity and potency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purity and potency of the drug product to the satisfaction of the FDA.</w:t>
      </w:r>
    </w:p>
    <w:p>
      <w:pPr>
        <w:spacing w:after="0" w:line="53"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2"/>
          <w:szCs w:val="12"/>
          <w:color w:val="auto"/>
        </w:rPr>
        <w:t>The NDA is a vehicle through which applicants formally propose that the FDA approve a new product for marketing and sale in the United States for one or more indications. Every new drug product candidate must be the subject of an approved NDA before it may be commercialized in the United States. Under federal law, the submission of most NDAs is subject to an application user fee and the sponsor of an approved NDA is also subject to an annual program fee. Certain exceptions and waivers are available for some of these fees, such as an exception from the application fee for products with orphan designation and a waiver for certain small businesses.</w:t>
      </w:r>
    </w:p>
    <w:p>
      <w:pPr>
        <w:spacing w:after="0" w:line="4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2"/>
          <w:szCs w:val="12"/>
          <w:color w:val="auto"/>
        </w:rPr>
        <w:t>Following submission of an NDA, the FDA conducts a preliminary review of the application generally within 60 calendar days of its receipt and strives to inform the sponsor by the 74th day after the FDA’s receipt of the submission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Under that agreement, 90% of applications seeking approval of New Molecular Entities (“NMEs”), are meant to be reviewed within ten months from the date on which the FDA accepts the application for filing, and 90% of applications for NMEs that have been designated for “priority review” are meant to be reviewed within six months of the filing date. For applications seeking approval of products that are not NMEs, the ten-month and six-month review periods run from the date that the FDA receives the application. The review process and the Prescription Drug User Fee Act goal date may be extended by the FDA for three additional months to consider new information or clarification provided by the applicant to address an outstanding deficiency identified by the FDA following the original submission.</w:t>
      </w:r>
    </w:p>
    <w:p>
      <w:pPr>
        <w:spacing w:after="0" w:line="54" w:lineRule="exact"/>
        <w:rPr>
          <w:sz w:val="20"/>
          <w:szCs w:val="20"/>
          <w:color w:val="auto"/>
        </w:rPr>
      </w:pPr>
    </w:p>
    <w:p>
      <w:pPr>
        <w:jc w:val="both"/>
        <w:ind w:firstLine="449"/>
        <w:spacing w:after="0" w:line="260" w:lineRule="auto"/>
        <w:rPr>
          <w:sz w:val="20"/>
          <w:szCs w:val="20"/>
          <w:color w:val="auto"/>
        </w:rPr>
      </w:pPr>
      <w:r>
        <w:rPr>
          <w:rFonts w:ascii="Times New Roman" w:cs="Times New Roman" w:eastAsia="Times New Roman" w:hAnsi="Times New Roman"/>
          <w:sz w:val="12"/>
          <w:szCs w:val="12"/>
          <w:color w:val="auto"/>
        </w:rPr>
        <w:t>Before approving an application, the FDA typically will inspect the facility or facilities where the product is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2"/>
          <w:szCs w:val="12"/>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4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2"/>
          <w:szCs w:val="12"/>
          <w:color w:val="auto"/>
        </w:rPr>
        <w:t>The FDA may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Special Expedited Review and Approval Programs</w:t>
      </w:r>
    </w:p>
    <w:p>
      <w:pPr>
        <w:spacing w:after="0" w:line="52" w:lineRule="exact"/>
        <w:rPr>
          <w:sz w:val="20"/>
          <w:szCs w:val="20"/>
          <w:color w:val="auto"/>
        </w:rPr>
      </w:pPr>
    </w:p>
    <w:p>
      <w:pPr>
        <w:jc w:val="both"/>
        <w:ind w:firstLine="449"/>
        <w:spacing w:after="0" w:line="164" w:lineRule="exact"/>
        <w:rPr>
          <w:sz w:val="20"/>
          <w:szCs w:val="20"/>
          <w:color w:val="auto"/>
        </w:rPr>
      </w:pPr>
      <w:r>
        <w:rPr>
          <w:rFonts w:ascii="Times New Roman" w:cs="Times New Roman" w:eastAsia="Times New Roman" w:hAnsi="Times New Roman"/>
          <w:sz w:val="12"/>
          <w:szCs w:val="12"/>
          <w:color w:val="auto"/>
        </w:rPr>
        <w:t>The FDA is authorized to designate certain products for expedited review if they are intended to address an unmet medical need in the treatment of a serious or life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threatening disease or condition. Two such programs are breakthrough therapy designation and priority review designation, regenerative advanced therapy designation and accelerated approval.</w:t>
      </w:r>
    </w:p>
    <w:p>
      <w:pPr>
        <w:spacing w:after="0" w:line="33" w:lineRule="exact"/>
        <w:rPr>
          <w:sz w:val="20"/>
          <w:szCs w:val="20"/>
          <w:color w:val="auto"/>
        </w:rPr>
      </w:pPr>
    </w:p>
    <w:p>
      <w:pPr>
        <w:jc w:val="both"/>
        <w:ind w:firstLine="449"/>
        <w:spacing w:after="0" w:line="152" w:lineRule="exact"/>
        <w:rPr>
          <w:sz w:val="20"/>
          <w:szCs w:val="20"/>
          <w:color w:val="auto"/>
        </w:rPr>
      </w:pPr>
      <w:r>
        <w:rPr>
          <w:rFonts w:ascii="Times New Roman" w:cs="Times New Roman" w:eastAsia="Times New Roman" w:hAnsi="Times New Roman"/>
          <w:sz w:val="12"/>
          <w:szCs w:val="12"/>
          <w:color w:val="auto"/>
        </w:rPr>
        <w:t>Specifically, the FDA may designate a product as a Breakthrough Therapy if it is intended, either alone or in combination with one or more other products, to treat a serious or life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disciplinary project lead for the review team; and taking other steps to design the clinical trials in an efficient manner.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received Breakthrough Therapy designation from FDA in 2021.</w:t>
      </w:r>
    </w:p>
    <w:p>
      <w:pPr>
        <w:spacing w:after="0" w:line="61" w:lineRule="exact"/>
        <w:rPr>
          <w:sz w:val="20"/>
          <w:szCs w:val="20"/>
          <w:color w:val="auto"/>
        </w:rPr>
      </w:pPr>
    </w:p>
    <w:p>
      <w:pPr>
        <w:jc w:val="both"/>
        <w:ind w:firstLine="449"/>
        <w:spacing w:after="0" w:line="147" w:lineRule="exact"/>
        <w:rPr>
          <w:sz w:val="20"/>
          <w:szCs w:val="20"/>
          <w:color w:val="auto"/>
        </w:rPr>
      </w:pPr>
      <w:r>
        <w:rPr>
          <w:rFonts w:ascii="Times New Roman" w:cs="Times New Roman" w:eastAsia="Times New Roman" w:hAnsi="Times New Roman"/>
          <w:sz w:val="12"/>
          <w:szCs w:val="12"/>
          <w:color w:val="auto"/>
        </w:rPr>
        <w:t>The FDA may designate a product for priority review if it is a product that treats a serious condition and, if approved, would provide a significant improvement in safety or effectiveness. The FDA determines, on a case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by</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FDA’s Decision on an NDA</w:t>
      </w:r>
    </w:p>
    <w:p>
      <w:pPr>
        <w:spacing w:after="0" w:line="80"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2"/>
          <w:szCs w:val="12"/>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5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2"/>
          <w:szCs w:val="12"/>
          <w:color w:val="auto"/>
        </w:rPr>
        <w:t>If the FDA approves a new product, it may limit the approved indications for use of the product.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 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Post-Approval Regulation</w:t>
      </w:r>
    </w:p>
    <w:p>
      <w:pPr>
        <w:spacing w:after="0" w:line="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2"/>
          <w:szCs w:val="12"/>
          <w:color w:val="auto"/>
        </w:rPr>
        <w:t>If regulatory approval for marketing of a product or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53" w:lineRule="exact"/>
        <w:rPr>
          <w:sz w:val="20"/>
          <w:szCs w:val="20"/>
          <w:color w:val="auto"/>
        </w:rPr>
      </w:pPr>
    </w:p>
    <w:p>
      <w:pPr>
        <w:jc w:val="both"/>
        <w:ind w:firstLine="449"/>
        <w:spacing w:after="0" w:line="260" w:lineRule="auto"/>
        <w:rPr>
          <w:sz w:val="20"/>
          <w:szCs w:val="20"/>
          <w:color w:val="auto"/>
        </w:rPr>
      </w:pPr>
      <w:r>
        <w:rPr>
          <w:rFonts w:ascii="Times New Roman" w:cs="Times New Roman" w:eastAsia="Times New Roman" w:hAnsi="Times New Roman"/>
          <w:sz w:val="12"/>
          <w:szCs w:val="12"/>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50" w:lineRule="exact"/>
        <w:rPr>
          <w:sz w:val="20"/>
          <w:szCs w:val="20"/>
          <w:color w:val="auto"/>
        </w:rPr>
      </w:pPr>
    </w:p>
    <w:p>
      <w:pPr>
        <w:jc w:val="both"/>
        <w:ind w:firstLine="449"/>
        <w:spacing w:after="0" w:line="260" w:lineRule="auto"/>
        <w:rPr>
          <w:sz w:val="20"/>
          <w:szCs w:val="20"/>
          <w:color w:val="auto"/>
        </w:rPr>
      </w:pPr>
      <w:r>
        <w:rPr>
          <w:rFonts w:ascii="Times New Roman" w:cs="Times New Roman" w:eastAsia="Times New Roman" w:hAnsi="Times New Roman"/>
          <w:sz w:val="12"/>
          <w:szCs w:val="12"/>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50" w:lineRule="exact"/>
        <w:rPr>
          <w:sz w:val="20"/>
          <w:szCs w:val="20"/>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the marketing or manufacturing of the product, complete withdrawal of the product from the market or product recalls;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fines, warning letters or holds on post-approval clinical trials;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refusal of the FDA to approve pending applications or supplements to approved applications, or suspension or revocation of product license approvals;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seizure or detention, or refusal to permit the import or export of products; or</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injunctions or the imposition of civil or criminal penalties.</w:t>
      </w:r>
    </w:p>
    <w:p>
      <w:pPr>
        <w:spacing w:after="0" w:line="7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2"/>
          <w:szCs w:val="12"/>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53" w:lineRule="exact"/>
        <w:rPr>
          <w:sz w:val="20"/>
          <w:szCs w:val="20"/>
          <w:color w:val="auto"/>
        </w:rPr>
      </w:pPr>
    </w:p>
    <w:p>
      <w:pPr>
        <w:jc w:val="both"/>
        <w:ind w:firstLine="449"/>
        <w:spacing w:after="0" w:line="260" w:lineRule="auto"/>
        <w:rPr>
          <w:sz w:val="20"/>
          <w:szCs w:val="20"/>
          <w:color w:val="auto"/>
        </w:rPr>
      </w:pPr>
      <w:r>
        <w:rPr>
          <w:rFonts w:ascii="Times New Roman" w:cs="Times New Roman" w:eastAsia="Times New Roman" w:hAnsi="Times New Roman"/>
          <w:sz w:val="12"/>
          <w:szCs w:val="12"/>
          <w:color w:val="auto"/>
        </w:rPr>
        <w:t>If a company is found to have promoted off-label uses, it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50" w:lineRule="exact"/>
        <w:rPr>
          <w:sz w:val="20"/>
          <w:szCs w:val="20"/>
          <w:color w:val="auto"/>
        </w:rPr>
      </w:pPr>
    </w:p>
    <w:p>
      <w:pPr>
        <w:jc w:val="both"/>
        <w:ind w:firstLine="449"/>
        <w:spacing w:after="0" w:line="279" w:lineRule="auto"/>
        <w:rPr>
          <w:sz w:val="20"/>
          <w:szCs w:val="20"/>
          <w:color w:val="auto"/>
        </w:rPr>
      </w:pPr>
      <w:r>
        <w:rPr>
          <w:rFonts w:ascii="Times New Roman" w:cs="Times New Roman" w:eastAsia="Times New Roman" w:hAnsi="Times New Roman"/>
          <w:sz w:val="12"/>
          <w:szCs w:val="12"/>
          <w:color w:val="auto"/>
        </w:rPr>
        <w:t>In addition, the distribution of prescription pharmaceutical products is subject to the Prescription Drug Marketing Act, or PDMA, and its implementing regulations, as well as the Drug Supply Chain Security Act (“DSCA”), which regulate the distribution and tracing of prescription drug samples at the federal level and set minimum standards for the regulation of</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1" w:name="page22"/>
    <w:bookmarkEnd w:id="21"/>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Human Capital</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December 31, 2025 we had twenty-six employees and none of our employees are represented by a labor union, and we consider our employee relations to be good.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Corporate Information</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 xml:space="preserve">We were incorporated under the laws of the State of Delaware in 2015. Our principal executive offices are located at 3980 Premier Drive, Suite 110, High Point, NC 27265, and our telephone number is (336) 841-0300. We also maintain a corporate website, www.vtvtherapeutics.com, where stockholders and other interested persons may review, without charge, among other things, corporate governance materials and certain Securities Exchange Commission (SEC) filings, which are generally available on the same business day as the filing date with the SEC on the SEC’s website </w:t>
      </w:r>
      <w:r>
        <w:rPr>
          <w:rFonts w:ascii="Times New Roman" w:cs="Times New Roman" w:eastAsia="Times New Roman" w:hAnsi="Times New Roman"/>
          <w:sz w:val="12"/>
          <w:szCs w:val="12"/>
          <w:u w:val="single" w:color="auto"/>
          <w:color w:val="auto"/>
        </w:rPr>
        <w:t>http://www.sec.gov</w:t>
      </w:r>
      <w:r>
        <w:rPr>
          <w:rFonts w:ascii="Times New Roman" w:cs="Times New Roman" w:eastAsia="Times New Roman" w:hAnsi="Times New Roman"/>
          <w:sz w:val="12"/>
          <w:szCs w:val="12"/>
          <w:color w:val="auto"/>
        </w:rPr>
        <w:t>. The contents of our website are not made a part of this Annual Report on Form 10-K.</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1A.</w:t>
      </w:r>
      <w:r>
        <w:rPr>
          <w:sz w:val="20"/>
          <w:szCs w:val="20"/>
          <w:color w:val="auto"/>
        </w:rPr>
        <w:tab/>
      </w:r>
      <w:r>
        <w:rPr>
          <w:rFonts w:ascii="Times New Roman" w:cs="Times New Roman" w:eastAsia="Times New Roman" w:hAnsi="Times New Roman"/>
          <w:sz w:val="11"/>
          <w:szCs w:val="11"/>
          <w:b w:val="1"/>
          <w:bCs w:val="1"/>
          <w:color w:val="auto"/>
        </w:rPr>
        <w:t>RISK FACTORS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of Principal Risk Factors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business is subject to a number of risks, including risks that may prevent us from achieving our business objectives or may adversely affect our business, financial condition, results of operations, cash flows, and prospects.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risks are discussed more fully below and include, but are not limited to, risks related to:</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Development and Regulatory Approval of Our Drug Candidates</w:t>
      </w:r>
    </w:p>
    <w:p>
      <w:pPr>
        <w:spacing w:after="0" w:line="29" w:lineRule="exact"/>
        <w:rPr>
          <w:sz w:val="20"/>
          <w:szCs w:val="20"/>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delays in the commencement, enrollment and completion of our clinical trials, including clinical holds or other regulatory limitations on our clinical development programs;</w:t>
      </w:r>
    </w:p>
    <w:p>
      <w:pPr>
        <w:spacing w:after="0" w:line="1"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failure of our clinical trials or our inability to receive regulatory approval for our drug candidates;</w:t>
      </w:r>
    </w:p>
    <w:p>
      <w:pPr>
        <w:spacing w:after="0" w:line="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identification of serious adverse or unacceptable side effects which are determined to be drug-related;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changes in law or regulatory policy on the approval of our drug candidates;</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submit an NDA for the drug candidates we are developing;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Relating to the Commercialization of Our Drug Candidates</w:t>
      </w:r>
    </w:p>
    <w:p>
      <w:pPr>
        <w:spacing w:after="0" w:line="29"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the acceptance of drug candidates in the market, if approved by the appropriate regulatory agencies;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establish sales and marketing capabilities or enter into agreements with third parties to sell and market our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ongoing obligations and continued regulatory review for our drug candidates post-commercialization;</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competition with other products;</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healthcare cost containment initiatives and the growth of managed care;</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obtain marketing approval for our drug candidates and obtain profitable pricing once approved;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healthcare laws and regulations on our relationships with healthcare professionals, principal investigators, consultants, customers (actual and potential) and third-party payors;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obtain approval to commercialize products outside the United States;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Our Financial Position and Need for Additional Capital</w:t>
      </w:r>
    </w:p>
    <w:p>
      <w:pPr>
        <w:spacing w:after="0" w:line="29"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2"/>
          <w:szCs w:val="12"/>
          <w:color w:val="auto"/>
        </w:rPr>
        <w:t>our need for additional capital to continue the development and commercialization of our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raising additional capital to our stockholders and the rights of our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achieve or maintain profitability;</w:t>
      </w:r>
    </w:p>
    <w:p>
      <w:pPr>
        <w:spacing w:after="0" w:line="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financial condition and ability to continue as a going concern: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generate revenue in absence of any products approved for sale;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Relating to Our Intellectual Property</w:t>
      </w:r>
    </w:p>
    <w:p>
      <w:pPr>
        <w:spacing w:after="0" w:line="20" w:lineRule="exact"/>
        <w:rPr>
          <w:sz w:val="20"/>
          <w:szCs w:val="20"/>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continue to protect proprietary rights to our intellectual property;</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the unauthorized disclosure of our trade secrets or other confidential information;</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changes to the patent laws in the United States and other jurisdictions;</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litigation for infringing intellectual property rights of third parties;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litigation to protect or enforce our patents or other intellectual property;</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enforce our intellectual property rights throughout the world;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obtain patent term extensions for our drug candidates;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Relating to Our Dependence on Third Parties</w:t>
      </w:r>
    </w:p>
    <w:p>
      <w:pPr>
        <w:spacing w:after="0" w:line="29"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establish and maintain collaborative relationships to further the development of our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6"/>
        </w:numPr>
        <w:rPr>
          <w:rFonts w:ascii="Arial" w:cs="Arial" w:eastAsia="Arial" w:hAnsi="Arial"/>
          <w:sz w:val="14"/>
          <w:szCs w:val="14"/>
          <w:color w:val="auto"/>
        </w:rPr>
      </w:pPr>
      <w:r>
        <w:rPr>
          <w:rFonts w:ascii="Times New Roman" w:cs="Times New Roman" w:eastAsia="Times New Roman" w:hAnsi="Times New Roman"/>
          <w:sz w:val="12"/>
          <w:szCs w:val="12"/>
          <w:color w:val="auto"/>
        </w:rPr>
        <w:t>the professional conduct of third parties we rely on to conduct, supervise and monitor certain of our clinical trials;</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6"/>
        </w:numPr>
        <w:rPr>
          <w:rFonts w:ascii="Arial" w:cs="Arial" w:eastAsia="Arial" w:hAnsi="Arial"/>
          <w:sz w:val="14"/>
          <w:szCs w:val="14"/>
          <w:color w:val="auto"/>
        </w:rPr>
      </w:pPr>
      <w:r>
        <w:rPr>
          <w:rFonts w:ascii="Times New Roman" w:cs="Times New Roman" w:eastAsia="Times New Roman" w:hAnsi="Times New Roman"/>
          <w:sz w:val="12"/>
          <w:szCs w:val="12"/>
          <w:color w:val="auto"/>
        </w:rPr>
        <w:t xml:space="preserve">our dependence on limited sources of supply for the components used in </w:t>
      </w:r>
      <w:r>
        <w:rPr>
          <w:rFonts w:ascii="Times New Roman" w:cs="Times New Roman" w:eastAsia="Times New Roman" w:hAnsi="Times New Roman"/>
          <w:sz w:val="12"/>
          <w:szCs w:val="12"/>
          <w:i w:val="1"/>
          <w:iCs w:val="1"/>
          <w:color w:val="auto"/>
        </w:rPr>
        <w:t>cadisegliatin (TTP399)</w:t>
      </w:r>
      <w:r>
        <w:rPr>
          <w:rFonts w:ascii="Times New Roman" w:cs="Times New Roman" w:eastAsia="Times New Roman" w:hAnsi="Times New Roman"/>
          <w:sz w:val="12"/>
          <w:szCs w:val="12"/>
          <w:color w:val="auto"/>
        </w:rPr>
        <w:t xml:space="preserve"> and our other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6"/>
        </w:numPr>
        <w:rPr>
          <w:rFonts w:ascii="Arial" w:cs="Arial" w:eastAsia="Arial" w:hAnsi="Arial"/>
          <w:sz w:val="14"/>
          <w:szCs w:val="14"/>
          <w:color w:val="auto"/>
        </w:rPr>
      </w:pPr>
      <w:r>
        <w:rPr>
          <w:rFonts w:ascii="Times New Roman" w:cs="Times New Roman" w:eastAsia="Times New Roman" w:hAnsi="Times New Roman"/>
          <w:sz w:val="12"/>
          <w:szCs w:val="12"/>
          <w:color w:val="auto"/>
        </w:rPr>
        <w:t>our reliance on third-party manufacturers to produce our drug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Relating to Employee Matters and Managing Growth</w:t>
      </w:r>
    </w:p>
    <w:p>
      <w:pPr>
        <w:spacing w:after="0" w:line="29"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expanding our operations and managing growth;</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attract and retain key personnel;</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our employees, independent contractors, principal investigators, CROs, consultants and collaborators in the event that they engage in misconduct or other improper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Risks Relating to Our Business</w:t>
      </w:r>
    </w:p>
    <w:p>
      <w:pPr>
        <w:spacing w:after="0" w:line="29"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remain competitive given the rapidly changing market for our proposed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8"/>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computer system failures, cyberattacks or a deficiency in our cybersecurity;</w:t>
      </w:r>
    </w:p>
    <w:p>
      <w:pPr>
        <w:spacing w:after="0" w:line="16" w:lineRule="exact"/>
        <w:rPr>
          <w:rFonts w:ascii="Arial" w:cs="Arial" w:eastAsia="Arial" w:hAnsi="Arial"/>
          <w:sz w:val="14"/>
          <w:szCs w:val="14"/>
          <w:color w:val="auto"/>
        </w:rPr>
      </w:pPr>
    </w:p>
    <w:p>
      <w:pPr>
        <w:ind w:left="420" w:hanging="212"/>
        <w:spacing w:after="0" w:line="239" w:lineRule="auto"/>
        <w:tabs>
          <w:tab w:leader="none" w:pos="416" w:val="left"/>
        </w:tabs>
        <w:numPr>
          <w:ilvl w:val="0"/>
          <w:numId w:val="18"/>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using our financial and human resources to pursue a particular research program or drug candidate and failing to capitalize on programs or drug candidates that may be more profitable or for which there is a greater likelihood of success;</w:t>
      </w:r>
    </w:p>
    <w:p>
      <w:pPr>
        <w:spacing w:after="0" w:line="11" w:lineRule="exact"/>
        <w:rPr>
          <w:rFonts w:ascii="Arial" w:cs="Arial" w:eastAsia="Arial" w:hAnsi="Arial"/>
          <w:sz w:val="14"/>
          <w:szCs w:val="14"/>
          <w:color w:val="auto"/>
        </w:rPr>
      </w:pPr>
    </w:p>
    <w:p>
      <w:pPr>
        <w:ind w:left="420" w:hanging="212"/>
        <w:spacing w:after="0"/>
        <w:tabs>
          <w:tab w:leader="none" w:pos="420" w:val="left"/>
        </w:tabs>
        <w:numPr>
          <w:ilvl w:val="0"/>
          <w:numId w:val="18"/>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litigation and government investigations, including product liability lawsuits;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8"/>
        </w:numPr>
        <w:rPr>
          <w:rFonts w:ascii="Arial" w:cs="Arial" w:eastAsia="Arial" w:hAnsi="Arial"/>
          <w:sz w:val="14"/>
          <w:szCs w:val="14"/>
          <w:color w:val="auto"/>
        </w:rPr>
      </w:pPr>
      <w:r>
        <w:rPr>
          <w:rFonts w:ascii="Times New Roman" w:cs="Times New Roman" w:eastAsia="Times New Roman" w:hAnsi="Times New Roman"/>
          <w:sz w:val="12"/>
          <w:szCs w:val="12"/>
          <w:color w:val="auto"/>
        </w:rPr>
        <w:t>the exposure to uninsured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Related to our Common Stock</w:t>
      </w:r>
    </w:p>
    <w:p>
      <w:pPr>
        <w:spacing w:after="0" w:line="29" w:lineRule="exact"/>
        <w:rPr>
          <w:sz w:val="20"/>
          <w:szCs w:val="20"/>
          <w:color w:val="auto"/>
        </w:rPr>
      </w:pPr>
    </w:p>
    <w:p>
      <w:pPr>
        <w:ind w:left="420" w:hanging="212"/>
        <w:spacing w:after="0"/>
        <w:tabs>
          <w:tab w:leader="none" w:pos="4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maintain listing of our Class A common stock on Nasdaq</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2"/>
          <w:szCs w:val="12"/>
          <w:color w:val="auto"/>
        </w:rPr>
        <w:t>the potential for conflicts of interest with our directors who have relationships with major investors;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pay cash dividends;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2"/>
          <w:szCs w:val="12"/>
          <w:color w:val="auto"/>
        </w:rPr>
        <w:t>the potential for securities class action litigation;</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research and reports that equity research analysts publish about us and our business;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substantial sales of shares into the market at any time;</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2"/>
          <w:szCs w:val="12"/>
          <w:color w:val="auto"/>
        </w:rPr>
        <w:t>the dilution created by future sales and issuances of our Class A common stock or rights to purchase Class A common stock;</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2"/>
          <w:szCs w:val="12"/>
          <w:color w:val="auto"/>
        </w:rPr>
        <w:t>our reliance upon our “smaller reporting company” status;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2"/>
          <w:szCs w:val="12"/>
          <w:color w:val="auto"/>
        </w:rPr>
        <w:t>the existence of provisions in our governing documents or state law which may delay or prevent our acquisition by a third party;</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2"/>
          <w:szCs w:val="12"/>
          <w:color w:val="auto"/>
        </w:rPr>
        <w:t>our obligation to make payments under the Tax Receivable Agreement;</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make distributions from vTv LLC to satisfy our obligations.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the Development, Regulatory Approval, and Commercialization of Our Drug Candidates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development efforts are focused on the continued development of cadisegliatin (TTP399). There can be no assurance that we will be able to implement our business strategy successfully</w:t>
      </w:r>
      <w:r>
        <w:rPr>
          <w:rFonts w:ascii="Times New Roman" w:cs="Times New Roman" w:eastAsia="Times New Roman" w:hAnsi="Times New Roman"/>
          <w:sz w:val="12"/>
          <w:szCs w:val="12"/>
          <w:b w:val="1"/>
          <w:bCs w:val="1"/>
          <w:color w:val="auto"/>
        </w:rPr>
        <w:t>.</w:t>
      </w:r>
    </w:p>
    <w:p>
      <w:pPr>
        <w:spacing w:after="0" w:line="80" w:lineRule="exact"/>
        <w:rPr>
          <w:sz w:val="20"/>
          <w:szCs w:val="20"/>
          <w:color w:val="auto"/>
        </w:rPr>
      </w:pPr>
    </w:p>
    <w:p>
      <w:pPr>
        <w:jc w:val="both"/>
        <w:ind w:right="20" w:firstLine="324"/>
        <w:spacing w:after="0" w:line="283" w:lineRule="auto"/>
        <w:rPr>
          <w:sz w:val="20"/>
          <w:szCs w:val="20"/>
          <w:color w:val="auto"/>
        </w:rPr>
      </w:pPr>
      <w:r>
        <w:rPr>
          <w:rFonts w:ascii="Times New Roman" w:cs="Times New Roman" w:eastAsia="Times New Roman" w:hAnsi="Times New Roman"/>
          <w:sz w:val="12"/>
          <w:szCs w:val="12"/>
          <w:color w:val="auto"/>
        </w:rPr>
        <w:t xml:space="preserve">Our development focus is on the continued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 potential adjunctive treatment for patients with type 1 diabetes and supporting our currently partnered programs. If we are not able to successfully execute our business strategy and do not achieve the anticipated benefits, our business, results of operations and financial condition could suffer.</w:t>
      </w:r>
    </w:p>
    <w:p>
      <w:pPr>
        <w:spacing w:after="0" w:line="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Clinical drug development involves a lengthy and expensive process with an uncertain outcome, and failure can occur at any stage of clinical development. Because the results of earlier clinical trials are not necessarily predictive of future results, any drug candidate we advance through various stages of clinical trials or development may not have favorable results in later stages of clinical trials or development or receive regulatory approval.</w:t>
      </w:r>
    </w:p>
    <w:p>
      <w:pPr>
        <w:spacing w:after="0" w:line="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Clinical testing is expensive and can take many years to complete, and its outcome is inherently uncertain. Failure can occur at any stage of clinical development.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 Frequently, drug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While members of our management team have experience in designing clinical trials, our company has limited experience in designing clinical trials, and we may be unable to design and execute a clinical trial to support regulatory approval. Further, clinical trials of potential products often reveal that it is not practical or feasible to continue development efforts. For example, if the results of our future clinical trials of our drug candidates do not achieve the primary efficacy endpoints or demonstrate safety, the prospects for approval of these candidates would be materially and adversely affected. If our drug candidates are found to be unsafe or lack efficacy, we will not be able to obtain regulatory approval for them and our business would be materially harmed.</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cannot be certain that any of our drug candidates will receive regulatory approval, and without regulatory approval we will not be able to market our drug candidates and generate revenue from products. Any delay in the regulatory review or approval of our drug candidates will materially and adversely affect our business.</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ability to generate revenue related to product sales, which we do not expect will occur for at least the next several years, if ever, will depend on the successful development and regulatory approval of our drug candidates. Our clinical development programs for our drug candidates may not lead to regulatory approval from the FDA and similar foreign regulatory agencies. This failure to obtain regulatory approvals would prevent our drug candidates from being marketed and would prevent us from generating revenue from our drug candidates, which would have a material and adverse effect on our business.</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All of our drug candidates require regulatory review and approval prior to commercialization, and generally, only a small percentage of pharmaceutical products under development are ultimately approved for commercial sale.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Moreover, any delays in the regulatory review or approval of our drug candidates would delay market launch, increase our cash requirements and result in additional operating losses.</w:t>
      </w:r>
    </w:p>
    <w:p>
      <w:pPr>
        <w:spacing w:after="0" w:line="6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The process of obtaining FDA and other required regulatory approvals, including foreign approvals, often takes many years and can vary substantially based upon the type, complexity and novelty of the products involved. Furthermore, this approval process is extremely complex, expensive and uncertain, and failure to comply with applicable regulatory requirements can, among other things, result in the suspension of regulatory approval as well as possible civil and criminal sanctions. We may be unable to submit any new drug application (“NDA”), in the United States or any marketing approval application in foreign jurisdictions for any of our products. If we submit an NDA including any amended NDA or supplemental NDA, to the FDA seeking marketing approval for any of our drug candidates, the FDA must decide whether to accept or reject the submission for filing. We cannot be certain that any of these submissions will be accepted for filing and reviewed by the FDA, or that the marketing approval application submissions to any other regulatory authorities will be accepted for filing and review by those authorities. We cannot be certain that we will be able to respond to any regulatory requests during the review period in a timely manner, or at all, without delaying potential regulatory action. We also cannot be certain that any of our drug candidates will receive favorable recommendations from any FDA advisory committee or foreign regulatory bodies or be approved for marketing by the FDA or foreign regulatory authorities. In addition, delays in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5" w:name="page26"/>
    <w:bookmarkEnd w:id="25"/>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approvals or rejections of marketing applications may be based upon many factors, including regulatory requests for additional analyses, reports, data and studies, regulatory questions regarding data and results, changes in regulatory policy during the period of product development and the emergence of new information regarding our drug candidates.</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Data obtained from preclinical studies and clinical trials are subject to different interpretations, which could delay, limit or prevent regulatory review or approval of any of our drug candidates. Furthermore, regulatory attitudes towards the data and results required to demonstrate safety and efficacy can change over time and can be affected by many factors, such as the emergence of new information, including on other products, policy changes and agency funding, staffing and leadership. We do not know whether future changes to the regulatory environment will be favorable or unfavorable to our business prospects.</w:t>
      </w:r>
    </w:p>
    <w:p>
      <w:pPr>
        <w:spacing w:after="0" w:line="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In addition, the environment in which our regulatory submissions may be reviewed changes over time. For example, average review times at the FDA for NDAs have fluctuated over the last ten years, and we cannot predict the review time for any of our submissions with any regulatory authorities. Review times can be affected by a variety of factors, including budget and funding levels and statutory, regulatory and policy as well as personnel changes at the FDA.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Moreover, in light of widely publicized events concerning the safety risk of certain drug products, regulatory authorities, members of the U.S. Government Accountability Office, medical professionals and the general public have raised concerns about potential drug safety issues. These events have resulted in the withdrawal of drug products, revisions to drug labeling that further limit use of the drug products and establishment of risk evaluation and mitigation strategies ("REMS"), measures that may, for instance, place restrictions on the distribution of new drug products. The increased attention to drug safety issues may result in a more cautious approach by the FDA to clinical trials. Data from clinical trials may receive greater scrutiny with respect to safety, which may make the FDA or other regulatory authorities more likely to delay or terminate clinical trials before completion, or require longer or additional clinical trials that may result in substantial additional expense and a delay or failure in obtaining approval or may result in approval for a more limited indication than originally sought.</w:t>
      </w:r>
    </w:p>
    <w:p>
      <w:pPr>
        <w:spacing w:after="0" w:line="54"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addition, approval policies, regulations, or the type and amount of clinical data necessary to gain approval may change during the course of a drug candidate’s clinical development and may vary among jurisdictions, and approval in one jurisdiction does not guarantee approval in any other jurisdiction. Our drug candidates could fail to receive regulatory approval for many reasons, including the following:</w:t>
      </w:r>
    </w:p>
    <w:p>
      <w:pPr>
        <w:spacing w:after="0" w:line="39" w:lineRule="exact"/>
        <w:rPr>
          <w:sz w:val="20"/>
          <w:szCs w:val="20"/>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or comparable foreign regulatory authorities may disagree with the design or implementation of our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demonstrate to the satisfaction of the FDA or comparable foreign regulatory authorities that a drug candidate is safe and effective for its proposed indication;</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results of clinical trials may not meet the level of statistical significance required by the FDA or comparable foreign regulatory authorities for approval;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demonstrate that a drug candidate’s clinical and other benefits outweigh its safety risks;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or comparable foreign regulatory authorities may disagree with our interpretation of data from preclinical studies or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data collected from clinical trials of our drug candidates may not be sufficient to support the submission of an NDA or other submission or to obtain regulatory approval in the United States or elsewhere;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or comparable foreign regulatory authorities may fail to approve the manufacturing processes or facilities of third-party manufacturers with which we contract for clinical and commercial supplies;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or comparable foreign regulatory authorities may fail to approve the companion diagnostics we contemplate developing with partners;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policies or regulations of the FDA or comparable foreign regulatory authorities may significantly change in a manner rendering our clinical data insufficient for approval.</w:t>
      </w:r>
    </w:p>
    <w:p>
      <w:pPr>
        <w:spacing w:after="0" w:line="78"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This lengthy approval process as well as the unpredictability of future clinical trial results may result in our failing to obtain regulatory approval to market our drug candidates, which would significantly harm our business, results of operations and prospects.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6" w:name="page27"/>
    <w:bookmarkEnd w:id="26"/>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law could have a negative impact on the approval of our drug candidates.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FDA has established regulations, guidelines and policies to govern the drug development and approval process, as have foreign regulatory authorities. Any change in regulatory requirements resulting from the adoption of new legislation, regulations or policies may require us to amend existing clinical trial protocols or add new clinical trials to comply with these changes. Such amendments to existing protocols or clinical trial applications or the need for new ones, may significantly and adversely affect the cost, timing and completion of the clinical trials for our drug candidates. In addition, the FDA’s policies may change and additional government regulations may be issued that could prevent, limit or delay regulatory approval of our drug candidates, or impose more stringent product labeling and post-marketing testing and other requirements. If we are slow or unable to adapt to any such changes, our business, prospects and ability to achieve or sustain profitability would be adversely affected.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Delays in the commencement, enrollment and completion of our clinical trials could result in increased costs to us and delay or limit our ability to obtain regulatory approval for our drug candidates.</w:t>
      </w:r>
    </w:p>
    <w:p>
      <w:pPr>
        <w:spacing w:after="0" w:line="82"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Delays in the commencement, enrollment and completion of clinical trials, including but not limited to regulatory clinical holds, could increase our product development costs or limit the regulatory approval of our drug candidates. We do not know whether current or future clinical trials of our drug candidates will begin on time or at all or will be completed on schedule or at all. The commencement, enrollment and completion of our clinical trials, including our CATT1 Phase 3 clinical trial, can be delayed for a variety of reasons, including:</w:t>
      </w:r>
    </w:p>
    <w:p>
      <w:pPr>
        <w:spacing w:after="0" w:line="47" w:lineRule="exact"/>
        <w:rPr>
          <w:sz w:val="20"/>
          <w:szCs w:val="20"/>
          <w:color w:val="auto"/>
        </w:rPr>
      </w:pPr>
    </w:p>
    <w:p>
      <w:pPr>
        <w:ind w:left="640" w:right="20" w:hanging="324"/>
        <w:spacing w:after="0" w:line="279" w:lineRule="auto"/>
        <w:tabs>
          <w:tab w:leader="none" w:pos="637"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difficulty recruiting and enrolling subjects to participate in clinical trials for a variety of reasons, including willingness of subjects to undergo required study procedures, meeting the enrollment criteria for our study and competition from other clinical trial programs for the same indication as our drug candidates;</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recruit and retain subjects in clinical trials due to the treatment protocol, personal issues, side effects from the therapy or lack of efficacy;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objections to commencing or continuing a clinical trial, including the imposition of a clinical hold;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identify and maintain a sufficient number of trial sites, many of which may already be engaged in other clinical trial programs, including some that may be for the same indication as our drug candidates;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withdrawal of clinical trial sites from our clinical trials as a result of changing standards of care or the ineligibility of a site to participate in our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obtain institutional review board (“IRB”), approval to conduct a clinical trial;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difficulty in importing and exporting clinical trial materials and study samples; and</w:t>
      </w:r>
    </w:p>
    <w:p>
      <w:pPr>
        <w:spacing w:after="0" w:line="78"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reach agreements on acceptable terms with prospective contract research organizations (CRO) and trial sites, the terms of which can be subject to extensive negotiation and may vary significantly among different CROs and trial sites.</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are investigating. Furthermore, we rely on CROs and clinical trial sites to ensure the proper and timely conduct of our clinical trials and while we have agreements governing their committed activities, we have limited influence over their actual performance.</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We could also encounter delays if a clinical trial is suspended or terminated by us, by the IRBs of the institutions in which such trials are being conducted, by the Data and Safety Monitoring Board (DSMB) for such trial or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FDA or other regulatory authorities. Such authorities may impose such a suspension or termination due to a number of factors, including:</w:t>
      </w:r>
    </w:p>
    <w:p>
      <w:pPr>
        <w:spacing w:after="0" w:line="67" w:lineRule="exact"/>
        <w:rPr>
          <w:sz w:val="20"/>
          <w:szCs w:val="20"/>
          <w:color w:val="auto"/>
        </w:rPr>
      </w:pPr>
    </w:p>
    <w:p>
      <w:pPr>
        <w:ind w:left="640" w:hanging="324"/>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conduct the clinical trial in accordance with regulatory requirements or our clinical protocols;</w:t>
      </w:r>
    </w:p>
    <w:p>
      <w:pPr>
        <w:spacing w:after="0" w:line="200" w:lineRule="exact"/>
        <w:rPr>
          <w:rFonts w:ascii="Times New Roman" w:cs="Times New Roman" w:eastAsia="Times New Roman" w:hAnsi="Times New Roman"/>
          <w:sz w:val="12"/>
          <w:szCs w:val="12"/>
          <w:color w:val="auto"/>
        </w:rPr>
      </w:pPr>
    </w:p>
    <w:p>
      <w:pPr>
        <w:spacing w:after="0" w:line="319" w:lineRule="exact"/>
        <w:rPr>
          <w:rFonts w:ascii="Times New Roman" w:cs="Times New Roman" w:eastAsia="Times New Roman" w:hAnsi="Times New Roman"/>
          <w:sz w:val="12"/>
          <w:szCs w:val="12"/>
          <w:color w:val="auto"/>
        </w:rPr>
      </w:pPr>
    </w:p>
    <w:p>
      <w:pPr>
        <w:ind w:left="55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7" w:name="page28"/>
    <w:bookmarkEnd w:id="27"/>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0" w:hanging="324"/>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pass inspection of the clinical trial operations or trial sites by the FDA or other regulatory authorities;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of any contract manufacturing organizations (“CMOs”), that we use to comply with current Good Manufacturing Practices (“cGMPs”);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unforeseen safety issues or any determination that a clinical trial presents unacceptable health risks;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demonstrate benefit from using the drug; or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regulatory requirement and guidance.</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If we experience delays in the completion of, or termination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drug candidates.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never submitted an NDA before and may be unable to do so for cadisegliatin (TTP399) and our other drug candidates we are developing.</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submission of a successful NDA is a complicated process. As a team, we have limited experience in preparing, submitting and prosecuting regulatory filings, and have not submitted an NDA before. Consequently, we may be unable to successfully and efficiently execute and complete clinical trials in a way that leads to an NDA submission and approval of any of our drug candidates. We may require more time and incur greater costs than our competitors and may not succeed in obtaining regulatory approvals of the drug candidates that we develop. Failure to commence or complete, or delays in, our planned clinical trials would prevent or delay commercialization of the drug candidates we are developing.</w:t>
      </w:r>
    </w:p>
    <w:p>
      <w:pPr>
        <w:spacing w:after="0" w:line="4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drug candidates may cause serious adverse events or undesirable side effects which may delay or prevent marketing approval, or, if approval is received, require them to be taken off the market, require them to include safety warnings or otherwise limit their sales.</w:t>
      </w:r>
    </w:p>
    <w:p>
      <w:pPr>
        <w:spacing w:after="0" w:line="35"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Serious adverse events or undesirable side effects from any of our drug candidates could arise either during clinical development or, if approved, after the approved product has been marketed. The results of future clinical trials may show that our drug candidates cause serious adverse events or undesirable side effects, which could interrupt, delay or halt clinical trials, resulting in delay of, or failure to obtain, marketing approval from the FDA and other regulatory authorities or could result in a more restrictive label if our drug candidates are approved.</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Further, we, and our clinical trial investigators, currently determine if serious adverse or unacceptable side effects are drug-related. The FDA or non-U.S. regulatory authorities may disagree with our or our clinical trial investigators’ interpretation of data from clinical trials and the conclusion by us or our clinical trial investigators that a serious adverse effect or unacceptable side effect was not drug-related. The FDA or non-U.S. regulatory authorities may require more information, including additional preclinical or clinical data to support approval, which may cause us to incur additional expenses, delay or prevent the approval of one of our drug candidates, and/or delay or cause us to change our commercialization plans, or we may decide to abandon the development or commercialization of the drug candidate altogether.</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If any of our drug candidates cause serious adverse events or undesirable side effects either during clinical development, or after marketing approval, if obtained:</w:t>
      </w:r>
    </w:p>
    <w:p>
      <w:pPr>
        <w:spacing w:after="0" w:line="78" w:lineRule="exact"/>
        <w:rPr>
          <w:sz w:val="20"/>
          <w:szCs w:val="20"/>
          <w:color w:val="auto"/>
        </w:rPr>
      </w:pPr>
    </w:p>
    <w:p>
      <w:pPr>
        <w:ind w:left="640" w:hanging="324"/>
        <w:spacing w:after="0" w:line="279" w:lineRule="auto"/>
        <w:tabs>
          <w:tab w:leader="none" w:pos="637"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authorities, IRBs, or the DSMB may impose a clinical hold, or we may decide on our own to suspend or terminate a study, which could result in substantial delays and adversely impact our ability to continue development of the product;</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authorities may require the addition of labeling statements, specific warnings, contraindications or field alerts to study subjects, investigators, physicians or pharmacies;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required to change the product design or the way the product is administered, conduct additional clinical trials or change the labeling of the product;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required to implement a REMS, which could result in substantial cost increases or signification limitations on distribution or have a negative impact on our ability to successfully commercialize the product;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required to limit the patients who can receive the product;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subject to limitations on how we promote the product;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the product may decrease significantly;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authorities may require us to take our approved product off the market;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subject to litigation or product liability claims;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reputation may suffer.</w:t>
      </w:r>
    </w:p>
    <w:p>
      <w:pPr>
        <w:spacing w:after="0" w:line="78"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Any of these events could prevent us from obtaining approval or achieving or maintaining market acceptance of the affected product, if approved, or could substantially increase commercialization costs and expenses, which in turn could delay or prevent us from generating significant revenues from the sale of our products.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any of our drug candidates for which we receive regulatory approval do not achieve broad market acceptance, the revenues that are generated from their sales will be limited.</w:t>
      </w:r>
    </w:p>
    <w:p>
      <w:pPr>
        <w:spacing w:after="0" w:line="8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 commercial success of our drug candidates, if approved, will depend upon the acceptance of these products among physicians, healthcare payors, patients and others in the medical community. The degree of market acceptance of our drug candidates will depend on a number of factors, including:</w:t>
      </w:r>
    </w:p>
    <w:p>
      <w:pPr>
        <w:spacing w:after="0" w:line="39" w:lineRule="exact"/>
        <w:rPr>
          <w:sz w:val="20"/>
          <w:szCs w:val="20"/>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limitations or warnings contained in a product’s FDA-approved labeling;</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standard of care or the availability of alternative therapies for the targeted indications for any of our drug candidates;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limitations in the approved indications for our drug candidates;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demonstrated clinical safety and efficacy compared to other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lack of significant adverse side effects;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education, sales, marketing and distribution support;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availability and degree of coverage and reimbursement from third-party payors;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timing of market introduction and perceived effectiveness of competitive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cost-effectiveness;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availability of alternative therapies at similar or lower cost, including generics, biosimilar and over-the-counter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publicity about our drug candidates or favorable publicity about competitive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convenience and ease of administration of our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product liability claims;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government-imposed pricing restrictions.</w:t>
      </w:r>
    </w:p>
    <w:p>
      <w:pPr>
        <w:spacing w:after="0" w:line="7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If our drug candidates are approved, but do not achieve an adequate level of acceptance by physicians, healthcare payors, patients and others in the medical community, sufficient revenue may not be generated from these products, and we may not become or remain profitable. In addition, efforts to educate the medical community and third-party payors on the benefits of our drug candidates may require significant resources and may not be successful.</w:t>
      </w:r>
    </w:p>
    <w:p>
      <w:pPr>
        <w:spacing w:after="0" w:line="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do not have a sales or marketing infrastructure and have no experience in the sale or marketing of pharmaceutical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 a sales and marketing infrastructure to market our drug candidates, if and when they are approved, or enter into collaborations with respect to the sale and marketing of our drug candidate.</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There are risks involved with both establishing our own sales and marketing capabilities and entering into arrangements with third parties to perform these services. For example, recruiting and training a sales force is expensive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9" w:name="page30"/>
    <w:bookmarkEnd w:id="29"/>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time-consuming and could delay any commercial launch of a drug candidate.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Factors that may inhibit our efforts to commercialize our drugs on our own include:</w:t>
      </w:r>
    </w:p>
    <w:p>
      <w:pPr>
        <w:spacing w:after="0" w:line="78" w:lineRule="exact"/>
        <w:rPr>
          <w:sz w:val="20"/>
          <w:szCs w:val="20"/>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inability to recruit and retain adequate numbers of effective sales and marketing personnel;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of sales personnel to obtain access to physicians or persuade adequate numbers of physicians to prescribe any future drugs;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lack of complementary drugs to be offered by sales personnel, which may put us at a competitive disadvantage relative to companies with more extensive drug lines;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unforeseen costs and expenses associated with creating an independent sales and marketing organization;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obtain sufficient coverage and reimbursement from third-party payors and governmental agencies.</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Entering into arrangements with third parties to perform sales and marketing services may result in lower revenues from the sale of drug or the profitability of these revenues to us than if we were to market and sell any drugs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drugs effectively. If we do not establish sales and marketing capabilities successfully, either on our own or in collaboration with third parties, we will not be successful in commercializing our drug candidates.</w:t>
      </w:r>
    </w:p>
    <w:p>
      <w:pPr>
        <w:spacing w:after="0" w:line="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Even if our drug candidates receive regulatory approval, we will still be subject to ongoing obligations and continued regulatory review, which may result in significant additional expense, and we may still face future development and regulatory difficulties.</w:t>
      </w:r>
    </w:p>
    <w:p>
      <w:pPr>
        <w:spacing w:after="0" w:line="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Even if regulatory approval is obtained for any of our drug candidates, regulatory authorities may still impose significant restrictions on a product’s indicated uses or marketing or impose ongoing requirements for potentially costly post-approval studies. Given the number of high profile adverse safety events with certain drug products, regulatory authorities may require, as a condition of approval, a costly REMS, which may include safety surveillance, restricted distribution and use, patient education, enhanced labeling, expedited reporting of certain adverse events, pre-approval of promotional materials and restrictions on direct-to-consumer advertising. For example, any labeling approved for any of our drug candidates may include a restriction on the term of its use, or it may not include one or more of our intended indications or patient populations. Furthermore, any new legislation addressing drug safety issues could result in delays or increased costs during the period of product development, clinical trials and regulatory review and approval, as well as increased costs to assure compliance with any new post-approval regulatory requirements.</w:t>
      </w:r>
    </w:p>
    <w:p>
      <w:pPr>
        <w:spacing w:after="0" w:line="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Our drug candidates will also be subject to ongoing regulatory requirements for the labeling, packaging, storage, advertising, promotion, record-keeping and submission of safety and other post-market information. In addition, sellers of approved products, manufacturers and manufacturers’ facilities are required to comply with extensive FDA requirements, including ensuring that quality control and manufacturing procedures conform to cGMP. As such, we and our CMOs are subject to continual review and periodic inspections to assess compliance with cGMP and the terms and conditions of approvals. Accordingly, we and others with whom we work must continue to expend time, money and effort in all areas of regulatory compliance, including manufacturing, production and quality control. We will also be required to report certain adverse reactions and production problems, if any, to the FDA, and to comply with certain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a regulatory agency discovers problems with a product, such as adverse events of unanticipated severity or frequency, or problems with the facility where the product is manufactured, or objects to the promotion, marketing or labeling of a product, it may impose restrictions on that product or us, including requiring withdrawal of the product from the market. If our drug candidates fail to comply with applicable regulatory requirements, a regulatory agency may:</w:t>
      </w:r>
    </w:p>
    <w:p>
      <w:pPr>
        <w:spacing w:after="0" w:line="47" w:lineRule="exact"/>
        <w:rPr>
          <w:sz w:val="20"/>
          <w:szCs w:val="20"/>
          <w:color w:val="auto"/>
        </w:rPr>
      </w:pPr>
    </w:p>
    <w:p>
      <w:pPr>
        <w:ind w:left="640" w:hanging="324"/>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 warning letters or untitled letters;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mandate modifications to promotional materials or require us to disseminate corrective information to healthcare practitioners or other parties;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0" w:name="page31"/>
    <w:bookmarkEnd w:id="30"/>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0" w:hanging="324"/>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us to enter into a consent decree or permanent injunction, which can include imposition of various fines, reimbursements for inspection costs, required due dates for specific actions and penalties for noncompliance;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impose other civil or criminal penalties;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suspend or withdraw regulatory approval;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suspend any ongoing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refuse to approve pending applications or supplements to approved applications filed by us;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impose restrictions on operations, including costly new manufacturing requirements; or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seize or detain products or require a product recall.</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expect that our existing and future drug candidates will face competition, and most of our competitors have significantly greater resources than we do.</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biopharmaceutical industry is characterized by intense competition and rapid technological innovation. Our potential competitors include large pharmaceutical and biotechnology companies, specialty pharmaceutical companies, generic and biosimilar drug manufacturers, universities, and other research institutions. Our drug candidates, if successfully developed and approved, would compete in highly competitive markets with established therapies. To compete effectively, our drug candidates will need to demonstrate compelling clinical and commercial advantages over existing and emerging alternatives. We believe the key competitive factors that will affect the development and commercial success of our drug candidates include efficacy, safety and tolerability profile, mechanism of action, predictability and consistency of effect, convenience of dosing, and price and reimbursement.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Oral Non-Insulin Agents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Several oral non-insulin agents are in development or approved that may compete with cadisegliatin for the treatment of type 1 diabetes ("T1D"). These include TIXiMED's TIX-100, a drug candidate targeting thioredoxin-interacting protein (TXNIP), a protein elevated in diabetes that has been associated with beta cell death and dysfunction. SGLT-2 inhibitors, including dapagliflozin (Farxiga) and ipragliflozin (Suglat), have received approval in Japan for use in T1D but have not been approved in the United States due to safety concerns, including the risk of diabetic ketoacidosis. In late 2024, the U.S. Food and Drug Administration ("FDA") declined to approve Lexicon Pharmaceuticals' sotagliflozin (Zynquista), a dual SGLT-1/SGLT-2 inhibitor, for use in T1D; however, Lexicon continues to pursue regulatory approval for this indication. Additionally, Eli Lilly's JAK inhibitor baricitinib is in clinical development as a potential therapy to delay the onset of clinical stage 3 T1D in high-risk individuals and to preserve beta cell function in patients with newly diagnosed T1D.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Injectable Agents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Several injectable agents are currently in development for the treatment of T1D. These include ZT-01, a somatostatin type 2 receptor blocker being developed by Zucara Therapeutics for the treatment of nocturnal hypoglycemia; dual GLP-1/GIP receptor agonists in development by Carmot Therapeutics and Eli Lilly aimed at improving glycemic control in overweight or obese individuals with T1D; Diasome Pharmaceuticals' liver-targeted HDV Lispro insulin; Adocia's ultrarapid-acting BioChaperone insulin; and volagidemab, a glucagon receptor antagonist being developed by REMD Biotherapeutics.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Immune-Modulating and Disease-Modifying Therapies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Teplizumab (Tzield), developed by Sanofi, is an FDA-approved immune therapy indicated to delay the onset of stage 3 T1D in adult and pediatric patients eight years of age and older. The product has also received approval in the European Union under the brand name Teizeild. In 2025, an application for teplizumab was accepted by the FDA for expedited review for use in patients recently diagnosed with stage 3 T1D; if approved, it would represent the first disease-modifying therapy indicated for this population.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Cell-Based and Transplant Therapies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1" w:name="page32"/>
    <w:bookmarkEnd w:id="31"/>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Lantidra is an FDA-approved allogeneic islet cell transplant therapy indicated for patients with T1D who are unable to achieve adequate glycemic control due to recurrent severe hypoglycemia. Lantidra requires concurrent immunosuppressive therapy to prevent organ rejection. Vertex Pharmaceuticals continues to advance stem cell-derived therapies, including VX-880, which is also intended for use with immunosuppressive therapy. A number of additional beta cell replacement programs are in development by companies including, but not limited to, Sernova, Seraxis, PolTreg, and Sana Biotechnology, utilizing diverse approaches with the goal of eliminating the need for chronic immunosuppression.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Medical Devices</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Medical device technologies, including continuous glucose monitors, smart connected insulin pen systems, and automated insulin delivery systems, continue to advance and may compete with pharmacological approaches by addressing glycemic control and reducing the frequency and severity of hypoglycemic events.</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Many of our potential competitors have substantially greater:</w:t>
      </w:r>
    </w:p>
    <w:p>
      <w:pPr>
        <w:spacing w:after="0" w:line="78" w:lineRule="exact"/>
        <w:rPr>
          <w:sz w:val="20"/>
          <w:szCs w:val="20"/>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resources, including capital, personnel and technology;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research and development capability;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clinical trial expertise;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expertise;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intellectual property rights, including patent rights;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expertise in obtaining, maintaining, defending and enforcing intellectual property rights, including patent rights;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manufacturing and distribution expertise;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and marketing expertise.</w:t>
      </w:r>
    </w:p>
    <w:p>
      <w:pPr>
        <w:spacing w:after="0" w:line="78"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In addition, academic and government institutions are increasingly likely to enter into exclusive licensing agreements with commercial enterprises, including our competitors, to market commercial products based on technology developed at such institutions. Many of these competitors have significant products approved or in development that could be competitive with our products.</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Accordingly, our competitors may be more successful than us in obtaining regulatory approval for drugs and achieving widespread market acceptance. Our competitors’ drugs may be more effective, less costly, or more effectively marketed and sold, than any drug candidate we may commercialize and may render our drug candidates obsolete or non-competitive before we can recover the expenses of their development and commercialization. We anticipate that we will face intense and increasing competition as new drugs enter the market and advanced technologies become available. Finally, the development of new treatment methods for the diseases we are targeting could render our drug candidates non-competitive or obsolete.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Current and future legislation may increase the difficulty and cost for us and any future collaborators to obtain marketing approval of our other drug candidates and affect the prices we, or they, may obtain.</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the United States and some foreign jurisdictions, there have been a number of legislative and regulatory changes and proposed changes regarding the healthcare system that could, among other things, prevent or delay marketing approval of our drug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5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may affect our ability to profitably commercialize our products. In addition to continuing pressure on prices and cost containment measures, legislative developments at the European Union or member state level may result in significant additional requirements or obstacles that may increase our operating costs.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2" w:name="page33"/>
    <w:bookmarkEnd w:id="32"/>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2"/>
          <w:szCs w:val="12"/>
          <w:color w:val="auto"/>
        </w:rPr>
        <w:t>We are unable to predict the future course of federal or state healthcare legislation in the United States directed at broadening the availability of healthcare and containing or lowering the cost of healthcare, particularly in light of the recent U.S. Presidential and Congressional elections. The current Presidential administration is pursuing policies to reduce regulations and expenditures across government including at HHS, the FDA, the Centers for Medicare &amp; Medicaid Services, or CMS, and related agencies. These actions, presently directed by Executive Orders or memoranda from the Office of Management and Budget, may propose policy changes that create additional uncertainty for our business. These actions and proposals include, for example, (1) reducing agency workforces and programs; (2) rescinding a Biden administration Executive Order tasking the Center for Medicare and Medicaid Innovation to consider new payment and healthcare models to limit drug spending; (3) eliminating the Biden Administration's Executive Order that directed HHS to establish an artificial intelligence task force and develop a strategic plan regarding artificial intelligence; (4) directing HHS and other agencies to lower prescription drug costs through a variety of initiatives, including by improving upon the Medicare Drug Price Negotiation Program and establishing Most-Favored-Nation pricing for pharmaceutical products; (5) imposing tariffs on imported pharmaceutical products; and (b) directing certain federal agencies to enforce existing law regarding hospital and health plan price transparency and standardize prices across hospitals and health plans. Additionally, in its June 2024 decision in Loper Bright Enterprises v. Raimondo, or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FDA. Congress may introduce and ultimately pass healthcare related legislation that could, among other things, impact the drug approval process,</w:t>
      </w:r>
    </w:p>
    <w:p>
      <w:pPr>
        <w:spacing w:after="0" w:line="5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Moreover, legislative and regulatory proposals have also been made to expand post-approval requirements and restrict sales and promotional activities for pharmaceutical drugs. We cannot be sure whether additional legislative changes will be enacted, or whether the FDA regulations, guidance or interpretations will be changed, or what the impact of such changes on the marketing approvals of our drug candidates, if any, may be. In addition, increased scrutiny by the United States Congress of the FDA’s approval process may significantly delay or prevent marketing approval, as well as subject us and any future collaborators to more stringent drug labeling and post-marketing testing and other requirements.</w:t>
      </w:r>
    </w:p>
    <w:p>
      <w:pPr>
        <w:spacing w:after="0" w:line="4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current and future relationships with healthcare professionals, principal investigators, consultants, customers (actual and potential) and third-party payors in the United States and elsewhere may be subject, directly or indirectly, to applicable healthcare laws and regulations.</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Healthcare providers, physicians and third-party payors in the United States and elsewhere will play a primary role in the recommendation and prescription of any drug candidates for which we obtain marketing approval. Our current and future arrangements with healthcare professionals, principal investigators, consultants, customers (actual and potential) and third-party payors may expose us to broadly applicable fraud and abuse and other healthcare laws, including, without limitation:</w:t>
      </w:r>
    </w:p>
    <w:p>
      <w:pPr>
        <w:spacing w:after="0" w:line="47" w:lineRule="exact"/>
        <w:rPr>
          <w:sz w:val="20"/>
          <w:szCs w:val="20"/>
          <w:color w:val="auto"/>
        </w:rPr>
      </w:pPr>
    </w:p>
    <w:p>
      <w:pPr>
        <w:jc w:val="both"/>
        <w:ind w:left="640" w:hanging="324"/>
        <w:spacing w:after="0" w:line="255" w:lineRule="auto"/>
        <w:tabs>
          <w:tab w:leader="none" w:pos="637"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Food, Drug and Cosmetic Act (“FDCA”) is the statute that provides the FDA with authority to oversee the safety and approval of pharmaceutical products. The FDCA vests authority with the FDA to conduct inspections of sponsors conducting pharmaceutical development, such as vTv, to protect the rights, safety and welfare of clinical trial subjects, ensure the accuracy and reliability of clinical trial data, and verify compliance with FDA regulations. The FDCA sets forth the standards for approval of new and generic drugs, as well as setting forth the prohibition on marketing investigational products that have not been approved by the FDA as safe and effective. The government (FDA and SEC) use the FDCA to ensure that companies do not mislead the medical, patient or investor communities about investigational products prior to their approval. To that end, the FDCA prohibits “off-label promotion” of any investigational or approved product for any uses, doses or populations, except that set forth in the full prescribing information approved by the FDA. While physicians can prescribe a product for any dose, purpose or population in their medical judgment, manufacturers can only market products for their FDA-approved dose, purpose and population. There are significant civil and criminal penalties that attach to violations of the FDCA, including strict liability misdemeanors for responsible corporate officers, even if such officers were not involved in or aware of the underlying wrongdoing;</w:t>
      </w:r>
    </w:p>
    <w:p>
      <w:pPr>
        <w:spacing w:after="0" w:line="53" w:lineRule="exact"/>
        <w:rPr>
          <w:rFonts w:ascii="Times New Roman" w:cs="Times New Roman" w:eastAsia="Times New Roman" w:hAnsi="Times New Roman"/>
          <w:sz w:val="12"/>
          <w:szCs w:val="12"/>
          <w:color w:val="auto"/>
        </w:rPr>
      </w:pPr>
    </w:p>
    <w:p>
      <w:pPr>
        <w:jc w:val="both"/>
        <w:ind w:left="640" w:hanging="324"/>
        <w:spacing w:after="0" w:line="260" w:lineRule="auto"/>
        <w:tabs>
          <w:tab w:leader="none" w:pos="637"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 A person or entity does not need to have actual knowledge of the statute or specific intent to violate it to have committed a violation. In addition, the Affordable Care Act provided that the government may assert that a claim including items or services resulting from a</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violation of the federal Anti-Kickback Statute constitutes a false or fraudulent claim for purposes of the False Claims Act;</w:t>
      </w:r>
    </w:p>
    <w:p>
      <w:pPr>
        <w:spacing w:after="0" w:line="78" w:lineRule="exact"/>
        <w:rPr>
          <w:sz w:val="20"/>
          <w:szCs w:val="20"/>
          <w:color w:val="auto"/>
        </w:rPr>
      </w:pPr>
    </w:p>
    <w:p>
      <w:pPr>
        <w:jc w:val="both"/>
        <w:ind w:left="640" w:hanging="324"/>
        <w:spacing w:after="0" w:line="265" w:lineRule="auto"/>
        <w:tabs>
          <w:tab w:leader="none" w:pos="637"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civil and criminal false claims laws, including the federal False Claims Act, which impose criminal and civil penalties, including civil whistleblower actions,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46" w:lineRule="exact"/>
        <w:rPr>
          <w:rFonts w:ascii="Times New Roman" w:cs="Times New Roman" w:eastAsia="Times New Roman" w:hAnsi="Times New Roman"/>
          <w:sz w:val="12"/>
          <w:szCs w:val="12"/>
          <w:color w:val="auto"/>
        </w:rPr>
      </w:pPr>
    </w:p>
    <w:p>
      <w:pPr>
        <w:jc w:val="both"/>
        <w:ind w:left="640" w:hanging="324"/>
        <w:spacing w:after="0" w:line="265" w:lineRule="auto"/>
        <w:tabs>
          <w:tab w:leader="none" w:pos="637"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Foreign Corrupt Practices Act ("FCPA") that prohibits payments to foreign public officials relating to official acts. In addition to its prohibition on bribery of foreign government officials, the Act requires companies to maintain accurate records and have vigorous internal controls. The DOJ and SEC have made FCPA enforcement a high priority. In addition, other anti-corruption laws such as the UK Bribery Act are even broader than the FCPA in that they apply to bribes offered to any person, not just government officials. There are significant criminal and civil penalties and fines that attach to violations of the FCPA;</w:t>
      </w:r>
    </w:p>
    <w:p>
      <w:pPr>
        <w:spacing w:after="0" w:line="46" w:lineRule="exact"/>
        <w:rPr>
          <w:rFonts w:ascii="Times New Roman" w:cs="Times New Roman" w:eastAsia="Times New Roman" w:hAnsi="Times New Roman"/>
          <w:sz w:val="12"/>
          <w:szCs w:val="12"/>
          <w:color w:val="auto"/>
        </w:rPr>
      </w:pPr>
    </w:p>
    <w:p>
      <w:pPr>
        <w:ind w:left="640" w:right="20" w:hanging="324"/>
        <w:spacing w:after="0" w:line="279" w:lineRule="auto"/>
        <w:tabs>
          <w:tab w:leader="none" w:pos="637"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39" w:lineRule="exact"/>
        <w:rPr>
          <w:rFonts w:ascii="Times New Roman" w:cs="Times New Roman" w:eastAsia="Times New Roman" w:hAnsi="Times New Roman"/>
          <w:sz w:val="12"/>
          <w:szCs w:val="12"/>
          <w:color w:val="auto"/>
        </w:rPr>
      </w:pPr>
    </w:p>
    <w:p>
      <w:pPr>
        <w:jc w:val="both"/>
        <w:ind w:left="640" w:hanging="324"/>
        <w:spacing w:after="0" w:line="257" w:lineRule="auto"/>
        <w:tabs>
          <w:tab w:leader="none" w:pos="637"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healthcare benefit program, willfully obstructing a criminal investigation of a healthcare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specific intent to violate it to have committed a violation;</w:t>
      </w:r>
    </w:p>
    <w:p>
      <w:pPr>
        <w:spacing w:after="0" w:line="53" w:lineRule="exact"/>
        <w:rPr>
          <w:rFonts w:ascii="Times New Roman" w:cs="Times New Roman" w:eastAsia="Times New Roman" w:hAnsi="Times New Roman"/>
          <w:sz w:val="12"/>
          <w:szCs w:val="12"/>
          <w:color w:val="auto"/>
        </w:rPr>
      </w:pPr>
    </w:p>
    <w:p>
      <w:pPr>
        <w:jc w:val="both"/>
        <w:ind w:left="640" w:hanging="324"/>
        <w:spacing w:after="0" w:line="265" w:lineRule="auto"/>
        <w:tabs>
          <w:tab w:leader="none" w:pos="637"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HIPAA, as amended by Health Information Technology for Economic and Clinical Health Act (HITECH), and their respective implementing regulations, which impose obligations on covered entities, including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46"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Physician Payments Sunshine Act and its implementing regulations, which imposed annual reporting requirements for certain manufacturers of drugs, devices, biological products and medical supplies for payments and “transfers of value” provided to physicians and teaching hospitals, as well as ownership and investment interests held by physicians and their immediate family members; and</w:t>
      </w:r>
    </w:p>
    <w:p>
      <w:pPr>
        <w:spacing w:after="0" w:line="39" w:lineRule="exact"/>
        <w:rPr>
          <w:rFonts w:ascii="Times New Roman" w:cs="Times New Roman" w:eastAsia="Times New Roman" w:hAnsi="Times New Roman"/>
          <w:sz w:val="12"/>
          <w:szCs w:val="12"/>
          <w:color w:val="auto"/>
        </w:rPr>
      </w:pPr>
    </w:p>
    <w:p>
      <w:pPr>
        <w:jc w:val="both"/>
        <w:ind w:left="640" w:hanging="324"/>
        <w:spacing w:after="0" w:line="257" w:lineRule="auto"/>
        <w:tabs>
          <w:tab w:leader="none" w:pos="637"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5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Efforts to ensure that our future business arrangements with third parties will comply with applicable healthcare laws and regulations may involve substantial costs. It is possible that governmental authorities will conclude that our business activities, including our relationships with physician consultants, some of whom may prescribe our product candidates, if approved, in the future,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4" w:name="page35"/>
    <w:bookmarkEnd w:id="34"/>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without limitation, damages, fines, imprisonment, exclusion from participation in government healthcare programs, such as Medicare and Medicaid, and the curtailment or restructuring of our operations, which could significantly harm our business.</w:t>
      </w:r>
    </w:p>
    <w:p>
      <w:pPr>
        <w:spacing w:after="0" w:line="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try to obtain approval to commercialize any products outside the United States, many of the same risks that apply to obtaining approvals in the United States will likely apply to such a process, and even if we obtain approval to commercialize any such products outside of the United States, a variety of risks associated with international operations could materially adversely affect our business.</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we try to obtain approval to commercialize any of our products outside the United States, many of the same risks with respect to obtaining such approvals in the United States will apply to that process. If any of our drug candidates are approved for commercialization outside of the United States, we intend to enter into agreements with third parties to market them on a worldwide basis or in more limited geographical regions. In that event, we expect that we will be subject to additional risks related to entering into international business relationships, including:</w:t>
      </w:r>
    </w:p>
    <w:p>
      <w:pPr>
        <w:spacing w:after="0" w:line="47" w:lineRule="exact"/>
        <w:rPr>
          <w:sz w:val="20"/>
          <w:szCs w:val="20"/>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different regulatory requirements for drug approvals;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reduced protection for intellectual property rights, including trade secret and patent rights;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existing tariffs, trade barriers and regulatory requirements and expected or unexpected changes;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weakness, including inflation, or political instability in foreign economies and markets;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tax, employment, immigration and labor laws for employees living or traveling abroad;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foreign taxes, including withholding of payroll taxes;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foreign currency fluctuations, which could result in increased operating expenses and reduced revenues, and other obligations incident to doing business in another country;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workforce uncertainty in countries where labor unrest is more or less common than in the United States;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production shortages resulting from any events affecting raw material supply or manufacturing capabilities abroad;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interruptions resulting from geopolitical actions, including war and terrorism, or natural disasters including earthquakes, hurricanes, floods and fires;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difficulty in importing and exporting clinical trial materials and study samples.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5" w:name="page36"/>
    <w:bookmarkEnd w:id="35"/>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Financial Position and Need for Additional Capital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incurred significant losses since inception and anticipate that we will incur continued losses for the foreseeable future. We may never achieve or maintain profitability.</w:t>
      </w:r>
    </w:p>
    <w:p>
      <w:pPr>
        <w:spacing w:after="0" w:line="8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2"/>
          <w:szCs w:val="12"/>
          <w:color w:val="auto"/>
        </w:rPr>
        <w:t xml:space="preserve">We are a late-stage pharmaceutical company with limited operating history. We have never been profitable and do not expect to be profitable in the foreseeable future. We have incurred net losses in each year since beginning to develop our drug candidates, including net losses of approximately $27.0 million and $18.5 million and for the years ended December 31, 2025 and 2024, respectively. As of December 31, 2025, we had a total accumulated deficit of approximately $326.7 million. We have not commercialized any products and have devoted most of our financial resources to research and development, including our preclinical development activities and clinical trials. We expect to incur significant additional operating losses for the next several years, at least, as we conduct our research and development activities, advance drug candidates through clinical development, complete clinical trials, seek regulatory approval and, if we receive FDA approval, commercialize our products. Furthermore, the costs of advancing drugs into each succeeding clinical phase tend to increase substantially over time. The total costs to advance any of our drug candidates to marketing approval in even a single jurisdiction would be substantial. Because of the numerous risks and uncertainties associated with pharmaceutical product development, we are unable to accurately predict the timing or amount of increased expenses or when, or if, we will be able to begin generating revenue from the commercialization of products or achieve or maintain profitability. We expect to continue to incur significant additional expenses as we continue the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Furthermore, our ability to successfully develop, commercialize and license our products and generate product revenue is subject to substantial additional risks and uncertainties, as described under “—Risks Relating to the Discovery, Development and Regulatory Approval of Our Drug Candidates” and “—Risks Relating to the Commercialization of Our Drug Candidates.” As a result, we expect to continue to incur net losses and negative cash flows for the foreseeable future. These net losses and negative cash flows have had, and will continue to have, an adverse effect on our stockholders’ equity and working capital. The amount of our future net losses will depend, in part, on the rate of future growth of our expenses and our ability to generate revenues. In addition, we may not be able to enter into any collaborations that will generate significant cash. If we are unable to develop and commercialize one or more of our drug candidates either alone or with collaborators, or if revenues from any drug candidate that receives regulatory approval are insufficient, we will not achieve profitability. Even if we do achieve profitability, we may not be able to sustain or increase profitability. If we are unable to achieve and then maintain profitability, the value of our equity securities will be materially and adversely affected.</w:t>
      </w:r>
    </w:p>
    <w:p>
      <w:pPr>
        <w:spacing w:after="0" w:line="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Currently, we have no products approved for commercial sale, and to date we have not generated any revenue from product sales. As a result, our ability to generate revenue from products, curtail our losses and reach profitability is unproven, and we may never generate substantial product revenue.</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have no products approved for commercialization and have never generated any revenue from the commercialization of any product. Our ability to generate revenue and achieve profitability depends on our ability, alone or with strategic collaboration partners, to successfully complete the development of, and obtain the regulatory and marketing approvals necessary to commercialize one or more of our product candidates. We do not anticipate generating revenue from product sales for several years. Our ability to generate future revenue from product sales depends heavily on our success in many areas, including but not limited to:</w:t>
      </w:r>
    </w:p>
    <w:p>
      <w:pPr>
        <w:spacing w:after="0" w:line="47" w:lineRule="exact"/>
        <w:rPr>
          <w:sz w:val="20"/>
          <w:szCs w:val="20"/>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completing research and nonclinical and clinical development of our product candidates;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regulatory and marketing approvals for product candidates for which we complete clinical studies;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collaborations for the development of certain of our drug candidates;</w:t>
      </w:r>
    </w:p>
    <w:p>
      <w:pPr>
        <w:spacing w:after="0" w:line="78" w:lineRule="exact"/>
        <w:rPr>
          <w:rFonts w:ascii="Times New Roman" w:cs="Times New Roman" w:eastAsia="Times New Roman" w:hAnsi="Times New Roman"/>
          <w:sz w:val="12"/>
          <w:szCs w:val="12"/>
          <w:color w:val="auto"/>
        </w:rPr>
      </w:pPr>
    </w:p>
    <w:p>
      <w:pPr>
        <w:ind w:left="640" w:right="120" w:hanging="324"/>
        <w:spacing w:after="0" w:line="279" w:lineRule="auto"/>
        <w:tabs>
          <w:tab w:leader="none" w:pos="637"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launching and commercializing product candidates for which we obtain regulatory and marketing approval, either directly or with a collaborator or distributor;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market acceptance of our product candidates as viable treatment options;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favorable formulary placement with government and third-party payors that allows for favorable reimbursement;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addressing any competing technological and market developments;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negotiating favorable terms in any collaboration, licensing, or other arrangements into which we may enter;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6" w:name="page37"/>
    <w:bookmarkEnd w:id="36"/>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0" w:hanging="324"/>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protecting and expanding our portfolio of intellectual property rights;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attracting, hiring and retaining qualified personnel.</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will need additional capital to complete the development and commercialization of cadisegliatin (TTP399) and our other drug candidates. If we are unable to raise sufficient capital for these purposes, we would be forced to delay, reduce or eliminate our product development programs.</w:t>
      </w:r>
    </w:p>
    <w:p>
      <w:pPr>
        <w:spacing w:after="0" w:line="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 xml:space="preserve">Developing pharmaceutical products, including conducting preclinical studies and clinical trials, is expensive. We expect to continue to incur significant research and development expenses in connection with our ongoing activities, particularly as we undertake additional clinical trials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and our other drug candidates and continue to work on our other research programs. Our current capital will not be sufficient for us to complete the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or our other drug candidates. As such, we will need to raise additional capital to fund the planned trials for our drug candidates and prior to the commercialization of any of our drug candidates. We are seeking possible additional partnering opportunities for our GKA, GLP-1r and other drug candidates which we believe may provide additional cash for use in our operations and the continuation of the clinical trials for our drug candidates. We also continue to evaluate other financing strategies to fund our ongoing trials. Such financing strategies include direct equity investments and future public offerings of our common stock. The timing and availability of such financing are not yet known.</w:t>
      </w:r>
    </w:p>
    <w:p>
      <w:pPr>
        <w:spacing w:after="0" w:line="5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 xml:space="preserve">If the FDA or other regulators require that we perform additional studies beyond those we currently expect, or if there are any delays in completing our clinical trials or the development of any of our drug candidates, our expenses could increase beyond what we currently anticipate and the timing of any potential product approval may be delayed. We have no commitments or arrangements for any additional financing to fund our research and development programs other than the funds we may raise through the sale of our Class A common stock under our sales agreement (the “TD Cowen Sales Agreement”) with Cowen &amp; Company, LLC (“TD Cowen”) (the “TD Cowen ATM Offering”). As of March 10, 2026, there remains $47.5 million of availability under the TD Cowen ATM Offering. At no time will we sell shares of our Class A common stock under the General Instruction I.B.6 of Form S-3 in an aggregate amount exceeding one-third of our “public float” (the market value of our outstanding Class A common stock and any other equity securities held by non-affiliates) during any 12-calendar month period, so long as our public float remains below $75.0 million. In addition, our ability to use this source of capital is dependent on a number of factors, including the prevailing market price of and the volume of trading in our Class A common stock. We also will need to raise substantial additional capital in the future to conduct further clinical trials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and to continue developing our other drug candidates. Although we continue to seek financing, partnering and licensing transactions for the further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these efforts may not be successful. Because successful development of our drug candidates is uncertain, we are unable to estimate the actual funds required to complete research and development and commercialize and license our products under development.</w:t>
      </w:r>
    </w:p>
    <w:p>
      <w:pPr>
        <w:spacing w:after="0" w:line="54"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Until such time that we can generate substantial revenue from product sales, we expect to finance our operating activities through a combination of equity offerings, debt financings, marketing and distribution arrangements and other collaborations, strategic alliances and licensing arrangements. We may seek to access the public or private capital markets whenever conditions are favorable, even if we do not have an immediate need for additional capital at that time. If worldwide economic conditions and the international equity and credit markets deteriorate and return to depressed states, it will be more difficult for us to obtain additional equity or credit financing, when needed.</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future capital requirements will depend on many factors, including:</w:t>
      </w:r>
    </w:p>
    <w:p>
      <w:pPr>
        <w:spacing w:after="0" w:line="76" w:lineRule="exact"/>
        <w:rPr>
          <w:sz w:val="20"/>
          <w:szCs w:val="20"/>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progress, costs, results and timing of our planned registrational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 potential adjunctive therapy to insulin for the treatment of type 1 diabetes;</w:t>
      </w:r>
    </w:p>
    <w:p>
      <w:pPr>
        <w:spacing w:after="0" w:line="80"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outcome, costs and timing of seeking and obtaining FDA and any other regulatory approvals;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and characteristics of drug candidates that we pursue, including our drug candidates in preclinical development;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our drug candidates to progress through clinical development successfully;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to expand our research and development activities;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7" w:name="page38"/>
    <w:bookmarkEnd w:id="37"/>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0" w:hanging="324"/>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associated with securing, establishing and maintaining commercialization capabilities;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acquiring, licensing or investing in businesses, products, drug candidates and technologies;</w:t>
      </w:r>
    </w:p>
    <w:p>
      <w:pPr>
        <w:spacing w:after="0" w:line="78"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and ability to hire additional management and scientific and medical personnel;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competing technological and market developments;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to implement additional internal systems and infrastructure, including financial and reporting systems;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economic and other terms, timing and success of our existing licensing arrangements and any collaboration, licensing or other arrangements into which we may enter in the future;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payments we are required to make to M&amp;F TTP Holdings Two LLC in the future under the Tax Receivable Agreement.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Raising additional capital may cause dilution to our stockholders, restrict our operations or require us to relinquish rights to our technologies or drug candidates.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Until such time, if ever, as we can generate substantial revenue, we may finance our cash needs through a combination of equity offerings, debt financings, marketing and distribution arrangements and other collaborations, strategic alliances and licensing arrangements. We do not currently have any committed external source of funds. To the extent that we raise additional capital through the sale of equity or convertible debt securities, the interest of our stockholders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a limited operating history, and we expect a number of factors to cause our operating results to fluctuate on a quarterly and annual basis, which may make it difficult to predict our future performance.</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color w:val="auto"/>
        </w:rPr>
        <w:t xml:space="preserve">We are a late-stage pharmaceutical company with a limited operating history. Our operations to date have been primarily limited to developing our technology and undertaking preclinical studies and clinical trials </w:t>
      </w:r>
      <w:r>
        <w:rPr>
          <w:rFonts w:ascii="Times New Roman" w:cs="Times New Roman" w:eastAsia="Times New Roman" w:hAnsi="Times New Roman"/>
          <w:sz w:val="12"/>
          <w:szCs w:val="12"/>
          <w:i w:val="1"/>
          <w:iCs w:val="1"/>
          <w:color w:val="auto"/>
        </w:rPr>
        <w:t>of cadisegliatin</w:t>
      </w:r>
      <w:r>
        <w:rPr>
          <w:rFonts w:ascii="Times New Roman" w:cs="Times New Roman" w:eastAsia="Times New Roman" w:hAnsi="Times New Roman"/>
          <w:sz w:val="12"/>
          <w:szCs w:val="12"/>
          <w:color w:val="auto"/>
        </w:rPr>
        <w:t xml:space="preserve"> and our other drug candidates. We have not yet obtained regulatory approvals for any of our drug candidates. Consequently, any statements about our future success or viability are not based on any substantial operating history or commercialized products. Our financial condition and operating results have varied significantly in the past and will continue to fluctuate from quarter-to-quarter or year-to-year due to a variety of factors, many of which are beyond our control. As a result, we may never successfully develop and commercialize a product, which could lead to a material adverse effect on the value of any investment in our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Intellectual Property</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success depends on our ability to protect our intellectual property and our proprietary technologies. If we are unable to obtain and maintain sufficient intellectual property protection for our product candidates, or if the scope of the intellectual property protection is not sufficiently broad, our commercial success may be adversely affected.</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commercial success will depend in part on our ability to:</w:t>
      </w:r>
    </w:p>
    <w:p>
      <w:pPr>
        <w:spacing w:after="0" w:line="78" w:lineRule="exact"/>
        <w:rPr>
          <w:sz w:val="20"/>
          <w:szCs w:val="20"/>
          <w:color w:val="auto"/>
        </w:rPr>
      </w:pPr>
    </w:p>
    <w:p>
      <w:pPr>
        <w:ind w:left="640" w:hanging="324"/>
        <w:spacing w:after="0"/>
        <w:tabs>
          <w:tab w:leader="none" w:pos="6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apply for, obtain, maintain, and enforce patents;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 trade secrets and other confidential and proprietary information;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operate without infringing upon the proprietary rights of others.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8" w:name="page39"/>
    <w:bookmarkEnd w:id="38"/>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 We will be able to protect our proprietary technologies from unauthorized use by third parties only to the extent that such proprietary rights are covered by regulatory exclusivity, valid and enforceable patents or are effectively maintained as trade secrets. Any non-confidential disclosure to or misappropriation by third parties of our confidential or proprietary information could enable competitors to quickly duplicate or surpass our technological achievements, thus eroding our competitive position in our market.</w:t>
      </w:r>
    </w:p>
    <w:p>
      <w:pPr>
        <w:spacing w:after="0" w:line="5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The patent application process, also known as patent prosecution, is expensive and time-consuming, and we and our current or future licensors and licensees may not be able to prepare, file and prosecute all necessary or desirable patent applications at a reasonable cost or in a timely manner. It is also possible that we or our current licensors or licensees, or any future licensors or licensees, will fail to identify patentable aspects of inventions made in the course of development and commercialization activities before it is too late to obtain patent protection on them. Therefore, these and any of our patents and patent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or determination of inventorship. If we or our current licensors or licensees, or any future licensors or licensees, fail to maintain, or protect such patents and other intellectual property rights, such rights may be reduced or eliminated. Moreover, in some circumstances, we may not have the right to control the preparation, filing and prosecution of patent applications, or to maintain the patents, covering technology that we license from or license to third parties. Therefore, such patents and patent applications may not be prosecuted and enforced in a manner consistent with the best interests of our business. If our current licensors or licensees, or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harm our business.</w:t>
      </w:r>
    </w:p>
    <w:p>
      <w:pPr>
        <w:spacing w:after="0" w:line="54"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future licensors will result in patents being issued or that issued patents will afford sufficient protection against competitors with similar technologies, nor can there be any assurance that the patents issued will not be infringed, designed around or invalidated by third parties.</w:t>
      </w:r>
    </w:p>
    <w:p>
      <w:pPr>
        <w:spacing w:after="0" w:line="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The patent applications that we own, co-own or license may fail to result in issued patents in the United States or in other countries. Even if patents do issue on such patent applications, third parties may challenge the validity, enforceability, or scope thereof, which may result in such patents being narrowed, invalidated, or held unenforceable. For example, U.S. patents can be challenged by any person before the United States Patent and Trademark Office (“USPTO”) Patent Trial and Appeals Board at any time within the one-year period following that person’s receipt of an allegation of infringement of the patents. Patents granted by the European Patent Office may be similarly opposed by any person within nine months from the publication of the grant. Similar proceedings are available in other jurisdictions.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harm our business. Further, if we encounter delays in our clinical trials, the period of time during which we or our collaborators could market our product candidates under patent protection would be reduced.</w:t>
      </w:r>
    </w:p>
    <w:p>
      <w:pPr>
        <w:spacing w:after="0" w:line="56"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addition, given the amount of time required for the development, testing and regulatory review of our therapeutic programs and eventual product candidates, patents protecting the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39"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66" w:lineRule="exact"/>
        <w:rPr>
          <w:sz w:val="20"/>
          <w:szCs w:val="20"/>
          <w:color w:val="auto"/>
        </w:rPr>
      </w:pPr>
    </w:p>
    <w:p>
      <w:pPr>
        <w:ind w:left="420" w:hanging="212"/>
        <w:spacing w:after="0" w:line="239" w:lineRule="auto"/>
        <w:tabs>
          <w:tab w:leader="none" w:pos="416" w:val="left"/>
        </w:tabs>
        <w:numPr>
          <w:ilvl w:val="0"/>
          <w:numId w:val="39"/>
        </w:numPr>
        <w:rPr>
          <w:rFonts w:ascii="Arial" w:cs="Arial" w:eastAsia="Arial" w:hAnsi="Arial"/>
          <w:sz w:val="14"/>
          <w:szCs w:val="14"/>
          <w:color w:val="auto"/>
        </w:rPr>
      </w:pPr>
      <w:r>
        <w:rPr>
          <w:rFonts w:ascii="Times New Roman" w:cs="Times New Roman" w:eastAsia="Times New Roman" w:hAnsi="Times New Roman"/>
          <w:sz w:val="12"/>
          <w:szCs w:val="12"/>
          <w:color w:val="auto"/>
        </w:rPr>
        <w:t>the USPTO and various foreign governmental patent agencies require compliance with a number of procedural, documentary, fee payment and other provisions during the patent process, the noncompliance with which can result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9" w:name="page40"/>
    <w:bookmarkEnd w:id="39"/>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abandonment or lapse of a patent or patent application, and partial or complete loss of patent rights in the relevant jurisdiction;</w:t>
      </w:r>
    </w:p>
    <w:p>
      <w:pPr>
        <w:spacing w:after="0" w:line="27" w:lineRule="exact"/>
        <w:rPr>
          <w:sz w:val="20"/>
          <w:szCs w:val="20"/>
          <w:color w:val="auto"/>
        </w:rPr>
      </w:pPr>
    </w:p>
    <w:p>
      <w:pPr>
        <w:ind w:left="420" w:hanging="212"/>
        <w:spacing w:after="0"/>
        <w:tabs>
          <w:tab w:leader="none" w:pos="420" w:val="left"/>
        </w:tabs>
        <w:numPr>
          <w:ilvl w:val="0"/>
          <w:numId w:val="40"/>
        </w:numPr>
        <w:rPr>
          <w:rFonts w:ascii="Arial" w:cs="Arial" w:eastAsia="Arial" w:hAnsi="Arial"/>
          <w:sz w:val="14"/>
          <w:szCs w:val="14"/>
          <w:color w:val="auto"/>
        </w:rPr>
      </w:pPr>
      <w:r>
        <w:rPr>
          <w:rFonts w:ascii="Times New Roman" w:cs="Times New Roman" w:eastAsia="Times New Roman" w:hAnsi="Times New Roman"/>
          <w:sz w:val="12"/>
          <w:szCs w:val="12"/>
          <w:color w:val="auto"/>
        </w:rPr>
        <w:t>patent applications may not result in any patents being issued;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40"/>
        </w:numPr>
        <w:rPr>
          <w:rFonts w:ascii="Arial" w:cs="Arial" w:eastAsia="Arial" w:hAnsi="Arial"/>
          <w:sz w:val="14"/>
          <w:szCs w:val="14"/>
          <w:color w:val="auto"/>
        </w:rPr>
      </w:pPr>
      <w:r>
        <w:rPr>
          <w:rFonts w:ascii="Times New Roman" w:cs="Times New Roman" w:eastAsia="Times New Roman" w:hAnsi="Times New Roman"/>
          <w:sz w:val="12"/>
          <w:szCs w:val="12"/>
          <w:color w:val="auto"/>
        </w:rPr>
        <w:t>patents may be challenged, invalidated, modified, revoked, circumvented, found to be unenforceable or otherwise may not provide any competitive advantage;</w:t>
      </w:r>
    </w:p>
    <w:p>
      <w:pPr>
        <w:spacing w:after="0" w:line="16" w:lineRule="exact"/>
        <w:rPr>
          <w:rFonts w:ascii="Arial" w:cs="Arial" w:eastAsia="Arial" w:hAnsi="Arial"/>
          <w:sz w:val="14"/>
          <w:szCs w:val="14"/>
          <w:color w:val="auto"/>
        </w:rPr>
      </w:pPr>
    </w:p>
    <w:p>
      <w:pPr>
        <w:ind w:left="420" w:hanging="212"/>
        <w:spacing w:after="0" w:line="247" w:lineRule="auto"/>
        <w:tabs>
          <w:tab w:leader="none" w:pos="416" w:val="left"/>
        </w:tabs>
        <w:numPr>
          <w:ilvl w:val="0"/>
          <w:numId w:val="40"/>
        </w:numPr>
        <w:rPr>
          <w:rFonts w:ascii="Arial" w:cs="Arial" w:eastAsia="Arial" w:hAnsi="Arial"/>
          <w:sz w:val="14"/>
          <w:szCs w:val="14"/>
          <w:color w:val="auto"/>
        </w:rPr>
      </w:pPr>
      <w:r>
        <w:rPr>
          <w:rFonts w:ascii="Times New Roman" w:cs="Times New Roman" w:eastAsia="Times New Roman" w:hAnsi="Times New Roman"/>
          <w:sz w:val="12"/>
          <w:szCs w:val="12"/>
          <w:color w:val="auto"/>
        </w:rPr>
        <w:t>our competitors, many of whom may have substantially greater resources than we do and many of whom may have made significant investments in competing technologies, may seek or may have already obtained patents that will limit, interfere with or eliminate our ability to make, use and sell our potential product candidates;</w:t>
      </w:r>
    </w:p>
    <w:p>
      <w:pPr>
        <w:spacing w:after="0" w:line="16" w:lineRule="exact"/>
        <w:rPr>
          <w:rFonts w:ascii="Arial" w:cs="Arial" w:eastAsia="Arial" w:hAnsi="Arial"/>
          <w:sz w:val="14"/>
          <w:szCs w:val="14"/>
          <w:color w:val="auto"/>
        </w:rPr>
      </w:pPr>
    </w:p>
    <w:p>
      <w:pPr>
        <w:ind w:left="420" w:hanging="212"/>
        <w:spacing w:after="0" w:line="239" w:lineRule="auto"/>
        <w:tabs>
          <w:tab w:leader="none" w:pos="416" w:val="left"/>
        </w:tabs>
        <w:numPr>
          <w:ilvl w:val="0"/>
          <w:numId w:val="40"/>
        </w:numPr>
        <w:rPr>
          <w:rFonts w:ascii="Arial" w:cs="Arial" w:eastAsia="Arial" w:hAnsi="Arial"/>
          <w:sz w:val="14"/>
          <w:szCs w:val="14"/>
          <w:color w:val="auto"/>
        </w:rPr>
      </w:pPr>
      <w:r>
        <w:rPr>
          <w:rFonts w:ascii="Times New Roman" w:cs="Times New Roman" w:eastAsia="Times New Roman" w:hAnsi="Times New Roman"/>
          <w:sz w:val="12"/>
          <w:szCs w:val="12"/>
          <w:color w:val="auto"/>
        </w:rPr>
        <w:t>there may be significant pressure on the U.S. government and international governmental bodies to limit the scope of patent protection both inside and outside the United States for treatments that prove successful, as a matter of public policy regarding worldwide health concerns; and</w:t>
      </w:r>
    </w:p>
    <w:p>
      <w:pPr>
        <w:spacing w:after="0" w:line="17" w:lineRule="exact"/>
        <w:rPr>
          <w:rFonts w:ascii="Arial" w:cs="Arial" w:eastAsia="Arial" w:hAnsi="Arial"/>
          <w:sz w:val="14"/>
          <w:szCs w:val="14"/>
          <w:color w:val="auto"/>
        </w:rPr>
      </w:pPr>
    </w:p>
    <w:p>
      <w:pPr>
        <w:ind w:left="420" w:hanging="212"/>
        <w:spacing w:after="0" w:line="239" w:lineRule="auto"/>
        <w:tabs>
          <w:tab w:leader="none" w:pos="416" w:val="left"/>
        </w:tabs>
        <w:numPr>
          <w:ilvl w:val="0"/>
          <w:numId w:val="40"/>
        </w:numPr>
        <w:rPr>
          <w:rFonts w:ascii="Arial" w:cs="Arial" w:eastAsia="Arial" w:hAnsi="Arial"/>
          <w:sz w:val="14"/>
          <w:szCs w:val="14"/>
          <w:color w:val="auto"/>
        </w:rPr>
      </w:pPr>
      <w:r>
        <w:rPr>
          <w:rFonts w:ascii="Times New Roman" w:cs="Times New Roman" w:eastAsia="Times New Roman" w:hAnsi="Times New Roman"/>
          <w:sz w:val="12"/>
          <w:szCs w:val="12"/>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39" w:lineRule="exact"/>
        <w:rPr>
          <w:sz w:val="20"/>
          <w:szCs w:val="20"/>
          <w:color w:val="auto"/>
        </w:rPr>
      </w:pPr>
    </w:p>
    <w:p>
      <w:pPr>
        <w:ind w:left="640" w:hanging="324"/>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might not have been the first to invent or the first to file the inventions covered by each of our pending patent applications and issued patents;</w:t>
      </w:r>
    </w:p>
    <w:p>
      <w:pPr>
        <w:spacing w:after="0" w:line="78"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others may be able to make, use, sell, offer to sell, or import products that are similar to our products or product candidates but that are not covered by the claims of our patents; others may independently develop similar or alternative technologies or duplicate any of our technologies;</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proprietary rights of others may have an adverse effect on our business;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proprietary rights we do obtain may not encompass commercially viable products, may not provide us with any competitive advantages or may be challenged by third parties;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patents we obtain, or our in-licensed issued patents may not be valid or enforceable; or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develop additional technologies or products that are patentable or suitable to maintain as trade secrets.</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we or our current licensors or licensees, or any future licensors or licensees, fail to prosecute, maintain, and enforce patent protection for our product candidates, our ability to develop and commercialize our product candidates could be harmed and we might not be able to prevent competitors from making, using, and selling competing products. This failure to properly protect the intellectual property rights relating to our product candidates could harm our business, financial condition, and operating results. Moreover, our competitors may independently develop equivalent knowledge, methods, and know-how.</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4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Even where laws provide protection, costly and time-consuming litigation could be necessary to enforce and determine the scope of our proprietary rights, and the outcome of such litigation would be uncertain. If we or one of our collaborators were to initiate legal proceedings against a third party to enforce a patent covering the product candidate, the defendant could assert an affirmative defense or counterclaim that our patent is not infringed, invalid and/or unenforceable. In patent litigation in the United States, defendant defenses and counterclaims alleging noninfringement, invalidity and/or unenforceability are commonplace. Grounds for a validity challenge could be an alleged failure to meet any of several statutory requirements, including novelty, non-obviousness, definiteness, and enablement. Patents may be unenforceable if someone connected with prosecution of the patent withheld material information from the USPTO, or made a misleading statement, during prosecution. The outcomes of proceedings involving assertions of invalidity and unenforceability are unpredictable. It is possible that prior art of which we and the patent examiner were unaware during prosecution exists, which would render our patents invalid. Moreover, it is also possible that prior art may exist that we are aware of, but that we do not believe are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0" w:name="page41"/>
    <w:bookmarkEnd w:id="40"/>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relevant to our current or future patents, that could nevertheless be determined to render our patents invalid. If a defendant were to prevail on a legal assertion of invalidity and/or unenforceability of our patents covering one of our product candidates, we would lose at least part, and perhaps all, of the patent protection on such product candidate. Such a loss of patent protection would harm our business. Moreover, our competitors could counterclaim in any suit to enforce our patents that we infringe their intellectual property. Furthermore, some of our competitors have substantially greater intellectual property portfolios, and resources, than we do.</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ability to stop third parties from using our technology or making, using, selling, offering to sell, or importing our products is dependent upon the extent to which we have rights under valid and enforceable patents that cover these activities. If any patent we currently or in the future may own or license is deemed not infringed, invalid or unenforceable, it could impact our commercial success. We cannot predict the breadth of claims that may be issued from any patent applications we currently or may in the future own or license from third parties.</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To the extent that consultants or key employees apply technological information independently developed by them or by others to our product candidates, disputes may arise as to who has the proprietary rights to such information and product candidates, and certain of such disputes may not be resolved in our favor. Consultants and key employees that work with our confidential and proprietary technologies are required to assign all intellectual property rights in their inventions and discoveries created during the scope of their work to our company. However, these consultants or key employees may terminate their relationship with us, and we cannot preclude them indefinitely from dealing with our competitors.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prevent disclosure of our trade secrets or other confidential information to third parties, our competitive position may be impaired.</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also may rely on trade secrets to protect our technology, especially where we do not believe patent protection is appropriate or obtainable. Our ability to stop third parties from obtaining the information or know-how necessary to make, use, sell, offer to sell, or import our products or practice our technology is dependent in part upon the extent to which we prevent disclosure of the trade secrets that cover these activities. Trade secret rights can be lost through disclosure to third parties. Although we use reasonable efforts to protect our trade secrets, our employees, consultants, contractors, outside scientific collaborators, and other advisors may unintentionally or willfully disclose our trade secrets to third parties, resulting in loss of trade secret protection. Moreover, our competitors may independently develop equivalent knowledge, methods, and know-how, which would not constitute a violation of our trade secret rights. Enforcing a claim that a third party is engaged in the unlawful use of our trade secrets is expensive, difficult and time consuming, and the outcome is unpredictable. In addition, recognition of rights in trade secrets and a willingness to enforce trade secrets differs in certain jurisdictions.</w:t>
      </w:r>
    </w:p>
    <w:p>
      <w:pPr>
        <w:spacing w:after="0" w:line="4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to the patent laws in the United States and other jurisdictions could diminish the value of patents in general, thereby impairing our ability to protect our products candidates and future products.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As is the case with other pharmaceutical companies, our success is heavily dependent on intellectual property, particularly patents. Obtaining and enforcing patents in the pharmaceutical industry involve both technological and legal complexity and is therefore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1" w:name="page42"/>
    <w:bookmarkEnd w:id="41"/>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would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our product candidates and other proprietary technologies we may develop or (ii) invent any of the inventions claimed in our patents or patent applications.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 xml:space="preserve">The America Invents Act also included several significant changes that affect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2"/>
          <w:szCs w:val="12"/>
          <w:i w:val="1"/>
          <w:iCs w:val="1"/>
          <w:color w:val="auto"/>
        </w:rPr>
        <w:t>inter partes</w:t>
      </w:r>
      <w:r>
        <w:rPr>
          <w:rFonts w:ascii="Times New Roman" w:cs="Times New Roman" w:eastAsia="Times New Roman" w:hAnsi="Times New Roman"/>
          <w:sz w:val="12"/>
          <w:szCs w:val="12"/>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owned and in-licensed patent claims that would not have been invalidated if first challenged by the third party as a defendant in a district court action. An adverse determination in any such submission or proceeding could reduce the scope or enforceability of, or invalidate, our patent rights, which could adversely affect our competitive position.</w:t>
      </w:r>
    </w:p>
    <w:p>
      <w:pPr>
        <w:spacing w:after="0" w:line="5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U.S. law relating the patentability of certain inventions in the life sciences is uncertain and rapidly changing, which may adversely impact our existing patents or our ability to obtain patents in the future. The U.S. Supreme Court and federal courts have ruled on several patent cases in recent years that impact the scope of patentability of certain inventions or discoveries related to the life, including both narrowing the scope of patent protection available in certain circumstances or weakening the rights of patent owners in certain situations. The trend of these decisions along with resulting changes in patentability requirements being implemented by the USPTO could make it increasingly difficult for us to obtain and maintain patents on our products, and could jeopardize or otherwise reduce patent term, reduce the scope of, or invalidate or render unenforceable our patent rights. In addition to increasing uncertainty with regard to our ability to obtain patents in the future, this combination of events has created uncertainty with respect to the value of patents, once obtained.</w:t>
      </w:r>
    </w:p>
    <w:p>
      <w:pPr>
        <w:spacing w:after="0" w:line="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Depending on future actions and/or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As an example, beginning June 1, 2023, European patent applications and patents may be subjected to the jurisdiction of the Unified Patent Court (the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w:t>
      </w:r>
    </w:p>
    <w:p>
      <w:pPr>
        <w:spacing w:after="0" w:line="5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2" w:name="page43"/>
    <w:bookmarkEnd w:id="42"/>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patents, and allow for the possibility of a competitor to obtain pan-European injunction. Such a loss of patent protection could have a material adverse impact on our business and our ability to commercialize our technology and product candidates dues to increased competition and, resultantly, on our business, financial condition, prospects and results of operations.</w:t>
      </w:r>
    </w:p>
    <w:p>
      <w:pPr>
        <w:spacing w:after="0" w:line="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future licensors may not result in patents being issued which protect our product candidates or which effectively prevent others from commercializing competitive product candidates.</w:t>
      </w:r>
    </w:p>
    <w:p>
      <w:pPr>
        <w:spacing w:after="0" w:line="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future licensors by developing similar or alternative technologies or products in a non-infringing manner which could materially adversely affect our business, financial condition, results of operations and prospects.</w:t>
      </w:r>
    </w:p>
    <w:p>
      <w:pPr>
        <w:spacing w:after="0" w:line="5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2"/>
          <w:szCs w:val="12"/>
          <w:color w:val="auto"/>
        </w:rPr>
        <w:t>The issuance of a patent is not conclusive as to its inventorship, scope, validity or enforceability, and our patents or the patents of our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(“PGR”) and inter partes review (“IPR”), or other similar proceedings challenging our owned or licensed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our current or future licensors may become subject to post-grant challenge proceedings, such as oppositions in a foreign patent office, that challenge our priority of invention or other features of patentability with respect to our patents and patent applications and those of our current or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technologies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current or future licensors is threatened, regardless of the outcome, it could dissuade companies from collaborating with us to license, develop or commercialize current or future product candidates.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sued for infringing intellectual property rights of third parties, it will be costly and time consuming, and an unfavorable outcome in that litigation could harm our business.</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Our commercial success depends significantly on our ability to operate without infringing, violating or misappropriating the patents and other proprietary rights of third parties. Our own technologies may infringe, violate, or misappropriate the patents or other proprietary rights of third parties, or we may be subject to third-party claims of such infringement. Numerous U.S. and foreign issued patents and pending patent applications owned by third parties, exist in the fields in which we are developing our product candidates. Because some patent applications may be maintained in secrecy until the patents are issued, because publication of patent applications is often delayed, and because publications in the scientific literature often lag behind actual discoveries, we cannot be certain that we were the first to invent the technology or that others have not filed patent applications for technology covered by our pending applications. We may not be aware of patents that have already issued that a third party might assert are infringed by our product candidates. It is also possible that patents of which we are aware, but which we do not believe are relevant to our product candidates, could nevertheless be found to be infringed by our product candidates. Moreover, we may face IPR proceedings before the USPTO, or patent infringement claims from non-practicing entities that have no relevant product revenue and against whom our own patent portfolio may thus have no deterrent effect. In the future, we may agree to indemnify our manufacturing partners against certain intellectual property claims brought by third parties.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3" w:name="page44"/>
    <w:bookmarkEnd w:id="43"/>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Intellectual property litigation involves many risks and uncertainties, and there is no assurance that we will prevail in any lawsuit brought against us. Third parties making claims against us for infringement, violation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resources from our business. In the event of a successful claim of any such infringement, violation, or misappropriation, we may need to obtain licenses from such third parties and we and our partners may be prevented from pursuing product development or commercialization and/or may be required to pay damages. We cannot be certain that any licenses required under such patents or proprietary rights would be made available to us, or that any offer to license would be made available to us on commercially reasonable terms. If we cannot obtain such licenses, we and our collaborators may be restricted or prevented from manufacturing and selling products employing our technology. These adverse results, if they occur, could adversely affect our business, results of operations and prospects, and the value of our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become involved in lawsuits to protect or enforce our patents or other intellectual property, which could be expensive, time consuming and unsuccessful.</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biotechnology and pharmaceutical industries have been characterized by extensive litigation regarding patents and other intellectual property rights. The defense and prosecution of contractual or intellectual property lawsuits, USPTO interference or derivation proceedings, European Patent Office oppositions and related legal and administrative proceedings in the United States, Europe, and other countries, involve complex legal and factual questions. As a result, such proceedings may be costly and time-consuming to pursue, and their outcome is uncertain.</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Litigation may be necessary to:</w:t>
      </w:r>
    </w:p>
    <w:p>
      <w:pPr>
        <w:spacing w:after="0" w:line="78" w:lineRule="exact"/>
        <w:rPr>
          <w:sz w:val="20"/>
          <w:szCs w:val="20"/>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 and enforce our patents and any future patents issuing on our patent applications;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enforce or clarify the terms of the licenses we have granted or been granted or may grant or be granted in the future;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 and enforce trade secrets, know-how and other proprietary rights that we own or have licensed, or may license in the future; or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the enforceability, scope, and validity of the proprietary rights of third parties and defend against alleged patent infringement.</w:t>
      </w:r>
    </w:p>
    <w:p>
      <w:pPr>
        <w:spacing w:after="0" w:line="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Competitors may infringe our intellectual property. As a result, we may be required to file infringement claims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5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IPR, interference, derivation or other proceedings brought at the USPTO, may be necessary to determine the priority or patentability of inventions with respect to our patent applications or those of our licensors or potential collaborators. Litigation or USPTO proceedings brought by us may fail or may be invoked against us by third parties.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4" w:name="page45"/>
    <w:bookmarkEnd w:id="44"/>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Some of our competitors may be able to sustain the costs of patent-related disputes, including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patent rights may prove to be an inadequate barrier to competition.</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our product candidates. Furthermore, even if our patents are held to be valid and broadly interpreted, third parties may find legitimate ways to compete with our product candidates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European Union (“E.U.”), where we hope to commercialize our product candidates, have a history of inconsistent, relatively lax or ineffective enforcement of patent rights. In such jurisdictions, even a valid patent may have limited value. Our failure to effectively enforce our patents would have a harmful impact on our ability to commercialize our product candidates in these jurisdictions.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enforce all of our intellectual property rights throughout the world.</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laws of some countries outside of the United States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56"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Beginning June 1, 2023, European patent applications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litigation.</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addition, geopolitical actions in the United States and in foreign countries (such as the Russia and Ukraine conflict) could increase the uncertainties and costs surrounding the prosecution or maintenance of our patent applications or those of any future licensors and the maintenance, enforcement or defense of our issued patents which could impair our competitive intellectual property position.</w:t>
      </w:r>
    </w:p>
    <w:p>
      <w:pPr>
        <w:spacing w:after="0" w:line="39"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Patent terms may be inadequate to protect our competitive position on our product candidates for an adequate amount of time.</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5" w:name="page46"/>
    <w:bookmarkEnd w:id="45"/>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If we do not have sufficient patent life to protect our products, our business, financial condition, results of operations, and prospects will be adversely affected.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do not obtain patent term extensions for our drug candidates, the length of our patent exclusivity will be shorter which may harm our business materially.</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Depending upon the timing, duration, and specifics of any FDA marketing approval of our drug candidates, one or more of our U.S. patents may be eligible for limited patent term extension under the Drug Price Competition and Patent Term Restoration Act of 1984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applicable to each regulatory review period may be granted an extension,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the original expiration dates of our patents, and our business may be materially harmed.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addition, we rely on the protection of our trade secrets, including unpatented know-how, technology and other proprietary information to maintain our competitive position. Any disclosure to or misappropriation by third parties of our confidential proprietary information could enable competitors to quickly duplicate or surpass our technological achievements, thus eroding our competitive position in the market.</w:t>
      </w:r>
    </w:p>
    <w:p>
      <w:pPr>
        <w:spacing w:after="0" w:line="3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Although we have taken steps to protect our trade secrets and unpatented know-how, including entering into confidentiality agreements with third parties, and confidential information and inventions assignment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 If we do not apply for patent protection prior to such publication or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6" w:name="page47"/>
    <w:bookmarkEnd w:id="46"/>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we cannot otherwise maintain the confidentiality of our proprietary technology and other confidential information, then our ability to obtain patent protection or to protect our trade secret information may be jeopardized.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claims that we or our employees, independent contractors, or consultants have wrongfully used or disclosed alleged confidential information or trade secrets.</w:t>
      </w:r>
    </w:p>
    <w:p>
      <w:pPr>
        <w:spacing w:after="0" w:line="82"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2"/>
          <w:szCs w:val="12"/>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Parties making claims against us may be able to sustain the costs of complex intellectual property litigation more effectively than we can because they may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be subject to claims that we have wrongfully hired an employee from a competitor or that we or our employees, independent contractors, or consultants have wrongfully used or disclosed alleged confidential information or trade secrets of their former employers.</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is common in the biotechnology and pharmaceutical industry, we employ individuals and engage the service of consultants, who were previously employed at, may have previously provided, or may be currently providing</w:t>
      </w:r>
    </w:p>
    <w:p>
      <w:pPr>
        <w:spacing w:after="0" w:line="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consulting services to, other biotechnology or pharmaceutical companies, including our competitors or potential competitors. Many of our employees were previously employed at universities or other biotechnology or pharmaceutical companies, including our competitors or potential competitors. Some of these individuals, including members of our senior management, executed proprietary rights, non-disclosure and non-competition agreements, or similar agreements, in connection with such previous employment. Although we use reasonable efforts to ensure that our employees, independent contractors, and consultants do not use the proprietary information or know-how of others in their work for us, we may be subject to claims that we or these individuals inadvertently or otherwise used or disclosed intellectual property, including trade secrets or other proprietary information, of any such former employers, clients, or third parties. These and other claims that we have misappropriated the confidential information or trade secrets of third parties can have a similar negative impact on our business to the infringement claims discussed above.</w:t>
      </w:r>
    </w:p>
    <w:p>
      <w:pPr>
        <w:spacing w:after="0" w:line="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patent protection and patent prosecution for some of our product candidates may be dependent on third parties.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future licensors or collaboration partners. If any of our future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7" w:name="page48"/>
    <w:bookmarkEnd w:id="47"/>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Dependence on Third Parties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succeed in establishing and maintaining collaborative relationships, which may significantly limit our ability to develop and commercialize our drug candidates successfully, if at all.</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We intend to seek collaborative relationships for the development and/or commercialization of our drug candidates, including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Failure to obtain a collaborative relationship for these candidates, particularly in the European Union and for other markets requiring extensive sales efforts, may significantly impair the potential for our drug candidates. We also will need to enter into collaborative relationships to provide funding to support our other research and development programs. The process of establishing and maintaining collaborative relationships is difficult, time-consuming and involves significant uncertainty, including:</w:t>
      </w:r>
    </w:p>
    <w:p>
      <w:pPr>
        <w:spacing w:after="0" w:line="47" w:lineRule="exact"/>
        <w:rPr>
          <w:sz w:val="20"/>
          <w:szCs w:val="20"/>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may shift its priorities and resources away from our drug candidates due to a change in business strategies, or a merger, acquisition, sale or downsizing;</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may seek to renegotiate or terminate their relationships with us due to unsatisfactory clinical results, manufacturing issues, a change in business strategy, a change of control or other reasons;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may cease development in therapeutic areas which are the subject of our strategic collaboration;</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may not devote sufficient capital or resources towards our drug candidates;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may change the success criteria for a drug candidate thereby delaying or ceasing development of such candidate;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significant delay in initiation of certain development activities by a collaboration partner will also delay payment of milestones tied to such activities, thereby impacting our ability to fund our own activities;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could develop a product that competes, either directly or indirectly, with our drug candidate;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with commercialization obligations may not commit sufficient financial or human resources to the marketing, distribution or sale of a product;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with manufacturing responsibilities may encounter regulatory, resource or quality issues and be unable to meet demand requirements;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partner may exercise a contractual right to terminate a strategic alliance;</w:t>
      </w:r>
    </w:p>
    <w:p>
      <w:pPr>
        <w:spacing w:after="0" w:line="78"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dispute may arise between us and a partner concerning the research, development or commercialization of a drug candidate resulting in a delay in milestones, royalty payments or termination of an alliance and possibly resulting in costly litigation or arbitration which may divert management attention and resources; and</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partner may use our products or technology in such a way as to invite litigation from a third party.</w:t>
      </w:r>
    </w:p>
    <w:p>
      <w:pPr>
        <w:spacing w:after="0" w:line="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Any collaborative partners we enter into agreements with in the future may shift their priorities and resources away from our drug candidates or seek to renegotiate or terminate their relationships with us. If any collaborator fails to fulfill its responsibilities in a timely manner, or at all, our research, clinical development, manufacturing or commercialization efforts related to that collaboration could be delayed or terminated, or it may be necessary for us to assume responsibility for expenses or activities that would otherwise have been the responsibility of our collaborator. If we are unable to establish and maintain collaborative relationships on acceptable terms or to successfully transition terminated collaborative agreements, we may have to delay or discontinue further development of one or more of our drug candidates, undertake development and commercialization activities at our own expense or find alternative sources of capital.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rely on third parties to conduct, supervise and monitor certain of our clinical trials, and if those third parties perform in an unsatisfactory manner, it may harm our business.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rely on CROs and clinical trial sites to ensure the proper and timely conduct of certain of our clinical trials. While we have agreements governing their activities, and continue to monitor their compliance with those agreements as well as federal standards and regulations, we have limited influence over their actual performance. We will control only certain aspects of our CROs’ activities. Nevertheless, we will be responsible for ensuring that our clinical trials are conducted in accordance with the applicable protocol, legal, regulatory and scientific standards and our reliance on the CROs does not relieve us of our regulatory responsibilities.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8" w:name="page49"/>
    <w:bookmarkEnd w:id="48"/>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and our CROs are required to comply with the FDA’s good clinical practices requirements (“GCPs”) for conducting, recording and reporting the results of clinical trials to assure that data and reported results are credible and accurate and that the rights, integrity and confidentiality of clinical trial participants are protected. The FDA enforces these GCPs through periodic inspections of trial sponsors, principal investigators and clinical trial sites. If we or our CROs fail to comply with applicable GCPs, the clinical data generated in our clinical trials may be deemed unreliable and the FDA may require us to perform additional clinical trials before approving any marketing applications. Upon inspection, the FDA may determine that our clinical trials did not comply with GCPs. In addition, our clinical trials conducted by third parties will require a sufficiently large number of test subjects to evaluate the safety and effectiveness of a drug candidate. Accordingly, if our CROs fail to comply with these regulations or fail to recruit a sufficient number of patients, our clinical trials may be delayed or we may be required to repeat such clinical trials, which would delay the regulatory approval process.</w:t>
      </w:r>
    </w:p>
    <w:p>
      <w:pPr>
        <w:spacing w:after="0" w:line="5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Our CROs are not our employees, and although we monitor their activities related to our trials, we are not able to control whether or not they devote sufficient time and resources to our clinical trials.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drug candidates. As a result, our financial results and the commercial prospects for such drug candidates would be harmed, our costs could increase, and our ability to generate revenues could be delayed.</w:t>
      </w:r>
    </w:p>
    <w:p>
      <w:pPr>
        <w:spacing w:after="0" w:line="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also rely on other third parties to store and distribute drug products for our clinical trials. Any performance failure on the part of our distributors could delay clinical development or marketing approval of our drug candidates or commercialization of our products, if approved, producing additional losses and depriving us of potential product revenue.</w:t>
      </w:r>
    </w:p>
    <w:p>
      <w:pPr>
        <w:spacing w:after="0" w:line="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do not have multiple sources of supply for the components used in cadisegliatin (TTP399) and our other drug candidates. If we were to lose a supplier, it could have a material adverse effect on our ability to complete the development of cadisegliatin or our other drug candidates. If we obtain regulatory approval for cadisegliatin or our other drug candidates, we would need to expand the supply of their components in order to commercialize them.</w:t>
      </w:r>
    </w:p>
    <w:p>
      <w:pPr>
        <w:spacing w:after="0" w:line="3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do not have multiple sources of supply for the components used in our drug candidates. We also do not have long-term supply agreements with any of our suppliers. If for any reason we are unable to obtain drug substance or drug product from the manufacturers we select, we would have to seek to obtain these from other manufacturers. We may not be able to establish additional sources of supply for our drug candidates, or may be unable to do so on acceptable terms. Such suppliers are subject to regulatory requirements, covering manufacturing, testing, quality control and record keeping relating to our drug candidates and subject to ongoing inspections by the regulatory agencies. Failure by any of our suppliers to comply with applicable regulations may result in long delays and interruptions.</w:t>
      </w:r>
    </w:p>
    <w:p>
      <w:pPr>
        <w:spacing w:after="0" w:line="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number of suppliers of the raw material components of our drug candidates is limited. In the event it is necessary or desirable to acquire supplies from an alternative supplier, we might not be able to obtain them on commercially reasonable terms, if at all. It could also require significant time and expense to redesign our manufacturing processes to work with another company.</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part of any marketing approval, a manufacturer and its processes are required to be qualified by the FDA prior to commercialization. If supply from the approved supplier is interrupted, there could be a significant disruption in commercial supply. An alternative vendor would need to be qualified through an NDA amendment or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4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If we are unable to obtain the supplies we need at a reasonable price or on a timely basis, it could have a material adverse effect on our ability to complete the development of our drug candidates or, if we obtain regulatory approval for our drug candidates, to commercialize them.</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intend to rely on third-party manufacturers to produce our drug candidates. If we experience problems with any of these suppliers, the manufacturing of our drug candidates or products could be delayed.</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do not have the capability to manufacture our drug candidates and do not intend to develop that capability. In order to continue to develop our drug candidates, apply for regulatory approvals and ultimately commercialize products, we need to develop, contract for or otherwise arrange for the necessary manufacturing capabilities. The facilities used by our CMOs to manufacture our drug candidates must be approved by the FDA pursuant to inspections that will be conducted after we submit our NDA to the FDA. We do not control the manufacturing process of, and are completely dependent on, our contract manufacturing partners for compliance with the regulatory requirements, known as cGMPs, for manufacture of both active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9" w:name="page50"/>
    <w:bookmarkEnd w:id="49"/>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drug substances and finished drug products. If our CMOs cannot successfully manufacture material that conforms to our specifications and the regulatory requirements of the FDA or others, they will not be able to secure and/or maintain regulatory approval for their manufacturing facilities. In addition, although we monitor our suppliers and their compliance with our contractual terms and federal laws and regulations, we do not control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addition, there are a limited number of manufacturers that operate under the FDA’s cGMP regulations capable of manufacturing our drug candidates. As a result, we may have difficulty finding manufacturers for our drug candidates with adequate capacity for our needs. If we are unable to arrange for third-party manufacturing of our drug candidates on a timely basis, or to do so on commercially reasonable terms, we may not be able to complete development of our drug candidates or market them.</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Reliance on third-party manufacturers entails risks to which we might not be subject if we manufactured drug candidates ourselves, including:</w:t>
      </w:r>
    </w:p>
    <w:p>
      <w:pPr>
        <w:spacing w:after="0" w:line="78" w:lineRule="exact"/>
        <w:rPr>
          <w:sz w:val="20"/>
          <w:szCs w:val="20"/>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limited number of manufacturers that could produce our drug candidates for us;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meet our product specifications and quality requirements consistently;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access production facilities on a timely basis;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or delay in increasing manufacturing capacity;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manufacturing and product quality issues related to scale-up of manufacturing;</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and validation of new equipment and facilities required for commercial level activity;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failure to satisfy the FDA’s cGMP requirements and similar foreign standards on a consistent basis;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negotiate manufacturing agreements with third parties under commercially reasonable terms;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termination or nonrenewal of manufacturing agreements with third parties in a manner or at a time that is costly or damaging to us;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reliance on a single source of supply which, if unavailable, would delay our ability to complete our clinical trials or to sell any product for which we have received marketing approval;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lack of qualified backup suppliers for supplies that are currently purchased from a single source supplier;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carrier disruptions or increased costs that are beyond our control;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to deliver products under specified storage conditions and in a timely manner.</w:t>
      </w:r>
    </w:p>
    <w:p>
      <w:pPr>
        <w:spacing w:after="0" w:line="7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Any of these risks could cause the delay of clinical trials, regulatory submissions, required approvals or commercialization of our products, cause us to incur higher costs and prevent us from commercializing our drug candidates successfully. Manufacturing of our drug candidates and any approved products could be disrupted or halted if our third-party manufacturers do not comply with cGMP or foreign manufacturing standards, even if the compliance failure does not relate to our drug candidates or approved products. Furthermore, if any of our drug candidates are approved and our third-party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drug candidates and to have any such new source approved by the FDA or a foreign regulator.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Employee Matters and Managing Growth</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need to expand our operations and increase the size of our company, and we may experience difficulties in managing growth.</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we advance our drug candidates through preclinical studies and clinical trials and develop new drug candidates, we may need to increase our product development, scientific and administrative headcount to manage these programs. If we commercialize our products, we may need to expand our staff further, particularly in sales and marketing. See “—Risks Relating to the Development, Regulatory Approval, and Commercialization of Our Drug Candidates.” We do not presently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0" w:name="page51"/>
    <w:bookmarkEnd w:id="50"/>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have the capability to sell, distribute and market our drug candidates. If we are unable to establish an effective sales force and marketing infrastructure, or enter into acceptable third-party sales and marketing or licensing arrangements, we may not be able to commercialize our drug candidates successfully. In addition, to meet our obligations as a public company, we will need to increase our general and administrative capabilities. Our management, personnel and systems currently in place may not be adequate to support this future growth. Our need to effectively manage our operations, growth and various projects requires that we:</w:t>
      </w:r>
    </w:p>
    <w:p>
      <w:pPr>
        <w:spacing w:after="0" w:line="47" w:lineRule="exact"/>
        <w:rPr>
          <w:sz w:val="20"/>
          <w:szCs w:val="20"/>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successfully attract and recruit new employees with the expertise and experience we will require;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 our clinical programs effectively, which we anticipate being conducted at numerous clinical sites;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 a marketing, distribution and sales infrastructure if we seek to market our products directly, or successfully partner with a third-party organization that will oversee those efforts;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to improve our operational, manufacturing, financial and management controls, reporting systems and procedures.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If we are unable to successfully manage this growth and increased complexity of operations, our business may be adversely affected.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manage our business effectively if we are unable to attract and retain key personnel.</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may not be able to attract or retain qualified management, finance, scientific and clinical personnel in the future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Our industry has experienced a high rate of turnover of management personnel in recent years. We are highly dependent on the development, regulatory, commercialization and business development expertise of our executive officers and key employees. If we lose one or more of our executive officers or key personnel, our ability to implement our business strategy successfully could be seriously harmed. Any of our executive officers or key employees may terminate their employment at any time. Replacing executive officers and key employees may be difficult, will be costly and may take an extended period of time because of the limited number of individuals in our industry with the mix of skills and experience required to develop, gain regulatory approval of and commercialize products successfully. Competition to hire from this limited pool is intense, and we may be unable to hire, train, retain or motivate these additional key personnel. Our failure to attract and retain key personnel could materially harm our business.</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employees, independent contractors, principal investigators, CROs, consultants and collaborators may engage in misconduct or other improper activities, including noncompliance with legal, compliance or regulatory standards and requirements.</w:t>
      </w:r>
    </w:p>
    <w:p>
      <w:pPr>
        <w:spacing w:after="0" w:line="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2"/>
          <w:szCs w:val="12"/>
          <w:color w:val="auto"/>
        </w:rPr>
        <w:t>We are exposed to the risk that our employees, independent contractors, principal investigators, CROs, consultants and collaborators may engage in fraudulent conduct or other illegal activity. Misconduct by these parties could include intentional, reckless and/or negligent conduct or unauthorized activities that violate the regulations of the FDA and non-U.S. regulators, including those laws requiring the reporting of true, complete and accurate information to the FDA and non-U.S. regulators, healthcare fraud and abuse laws and regulations in the United States and abroad, or laws that require the reporting of true and accurate financial information and data. In particular, sales, marketing and business arrangements in the healthcare industry are subject to extensive laws and regulations intended to prevent fraud, misconduct, kickbacks, self-dealing, pre-market promotion, and other abusive practices. These laws and regulations may restrict or prohibit a wide range of pricing, discounting, marketing and promotion, sales commission, customer incentive programs and other business arrangements. These activities also include the improper use or disclosure of information obtained in the course of clinical trials, which could result in regulatory sanctions and cause serious harm to our reputation. We have adopted new comprehensive compliance policies, and revised our code of conduct, but it is not always possible to identify and deter employee or non-employee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federal healthcare programs, contractual damages, reputational harm, diminished profits and future earnings, and curtailment of our operations.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1" w:name="page52"/>
    <w:bookmarkEnd w:id="51"/>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Risks Relating to Our Business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use our financial and human resources to pursue a particular research program or drug candidate and fail to capitalize on programs or drug candidates that may be more profitable or for which there is a greater likelihood of success.</w:t>
      </w:r>
    </w:p>
    <w:p>
      <w:pPr>
        <w:spacing w:after="0" w:line="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2"/>
          <w:szCs w:val="12"/>
          <w:color w:val="auto"/>
        </w:rPr>
        <w:t xml:space="preserve">Because we have limited financial and human resources, we have here to date focused primarily on the regulatory approval of </w:t>
      </w:r>
      <w:r>
        <w:rPr>
          <w:rFonts w:ascii="Times New Roman" w:cs="Times New Roman" w:eastAsia="Times New Roman" w:hAnsi="Times New Roman"/>
          <w:sz w:val="12"/>
          <w:szCs w:val="12"/>
          <w:i w:val="1"/>
          <w:iCs w:val="1"/>
          <w:color w:val="auto"/>
        </w:rPr>
        <w:t>cadisegliatin (TTP399)</w:t>
      </w:r>
      <w:r>
        <w:rPr>
          <w:rFonts w:ascii="Times New Roman" w:cs="Times New Roman" w:eastAsia="Times New Roman" w:hAnsi="Times New Roman"/>
          <w:sz w:val="12"/>
          <w:szCs w:val="12"/>
          <w:color w:val="auto"/>
        </w:rPr>
        <w:t>. As a result, we may have foregone or delayed the pursuit of opportunities with other drug candidates or for other indications that could later prove to have had greater commercial potential. Our future resource allocation decisions may cause us to fail to capitalize on viable commercial products or profitable market opportunities. Our spending on existing and future drug candidates for specific indications may not yield any commercially viable products. If we do not accurately evaluate the commercial potential or target market for a particular drug candidate, we may relinquish valuable rights to that drug candidate through strategic alliance, licensing or other royalty arrangements in cases in which it would have been more advantageous for us to retain sole development and commercialization rights to such drug candidate, or we may allocate internal resources to a drug candidate in a therapeutic area in which it would have been more advantageous to enter into a partnering arrangement.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litigation or government investigations for a variety of claims, which could adversely affect our operating results, harm our reputation or otherwise negatively impact our business.</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may be subject to litigation or government investigations. The outcome of any litigation or government investigation, regardless of its merits, is inherently uncertain. Any lawsuits or government investigations, and the disposition of such lawsuits and government investigations, could be time-consuming and expensive to resolve and divert management attention and resources. Any adverse determination related to litigation or government investigations could adversely affect our financial performance, harm our reputation or otherwise negatively impact our business. In addition, depending on the nature and timing of any such dispute, a resolution of a legal matter or government investigation could materially affect our future operating results, our cash flows or both.</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product liability lawsuits are brought against us, we may incur substantial liabilities and may be required to limit commercialization of any future products we develop.</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face an inherent risk of product liability as a result of the clinical testing of our drug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53" w:lineRule="exact"/>
        <w:rPr>
          <w:sz w:val="20"/>
          <w:szCs w:val="20"/>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decreased demand for any drug candidates or products we develop;</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injury to our reputation and significant negative media attention;</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withdrawal of clinical trial participants or delay or cancellation of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to defend the related litigation;</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diversion of management’s time and our resources;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substantial monetary awards to trial participants or patients;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investigations, product recalls, withdrawals or labeling, marketing or promotional restrictions;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loss of revenue;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or delay in our ability to commercialize any products we develop;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decline in our share price.</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clinical trial liability insurance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2" w:name="page53"/>
    <w:bookmarkEnd w:id="52"/>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If and when we obtain approval for marketing for any drug product, we intend to expand our insurance coverage to include the sale of that product, however, we may be unable to obtain this liability insurance on commercially reasonable terms.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insurance policies are expensive and protect us only from some business risks, which will leave us exposed to significant uninsured liabilities.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do not carry insurance for all categories of risk that our business may encounter. Some of the policies we currently maintain include general liability, employment practices liability, property, auto, workers’ compensation, umbrella, clinical trial and directors’ and officers’ insurance. We do not know, however, if we will be able to maintain existing insurance with adequate levels of coverage. Any significant uninsured liability may require us to pay substantial amounts, which would adversely affect our cash position and results of operations.</w:t>
      </w:r>
    </w:p>
    <w:p>
      <w:pPr>
        <w:spacing w:after="0" w:line="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market for our proposed products is rapidly changing and competitive, and new drugs and new treatments that may be developed by others could impair our ability to maintain and grow our businesses and remain competitive.</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pharmaceutical and biotechnology industries are subject to rapid and substantial technological change. Developments by others may render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a company with nominal revenues engaged in the development of drug technologies, our resources are limited, and we may experience technical challenges inherent in such technologies. Competitors have developed or are in the process of developing technologies that are, or in the future may be, the basis for competition. Some of these technologies may have an entirely different approach or means of accomplishing similar therapeutic effects compared to our proposed products. Our competitors may develop drugs that are safer, more effective or less costly than our proposed products and, therefore, present a serious competitive threat to us.</w:t>
      </w:r>
    </w:p>
    <w:p>
      <w:pPr>
        <w:spacing w:after="0" w:line="47"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The potential widespread acceptance of therapies that are alternatives to ours may limit market acceptance of our drug candidates, even if commercialized. Some of our targeted diseases and conditions can also be treated by other medication. These treatments may be widely accepted in medical communities and have a longer history of use or be offered at a more competitive price. The established use of these competitive drugs may limit the potential for our technologies, formulations and products to receive widespread acceptance if commercialized.</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Therefore, changes in the market for our products and the availability of new or alternative treatments could have a material adverse effect on our businesses, financial conditions and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and operations would suffer in the event of computer system failures, cyber-attacks or a deficiency in our cybersecurity.</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Also, confidential patient and other information may be compromised in a cyber-attack or cyber-intrusion.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our drug candidates could be delayed.</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3" w:name="page54"/>
    <w:bookmarkEnd w:id="53"/>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We may use and integrate artificial intelligence, including generative artificial intelligence, into our business processes, and this innovation presents risks and challenges that could affect its adoption, and therefore our business. However, there can be no assurance that our use will enhance our business processes, or result in our business processes being more efficient or profitable. If we enable or offer solutions that draw controversy due to perceived or actual negative societal impact, we may experience brand or reputational harm, competitive harm or legal liability. For example, artificial intelligence technology can give rise to intellectual property risks, including compromises to proprietary intellectual property and intellectual property infringement. Algorithms may be flawed, insufficient, of poor quality, reflect unwanted forms of bias, or contain other errors or inadequacies, any of which may not be easily detectable; artificial intelligence has been known to produce false or “hallucinatory” inferences or outputs; artificial intelligence can present ethical issues and may subject us to new or heightened legal, regulatory, ethical, or other challenges; and inappropriate or controversial data practices by developers and end-users, or other factors adversely affecting public opinion of artificial intelligence, could impair the acceptance of artificial intelligence solutions, including those incorporated in our activities. If the artificial intelligence solutions that we create or use are deficient, inaccurate or controversial, we could incur operational inefficiencies, competitive harm, legal liability, brand or reputational harm, or other adverse impacts on our business and financial results. If we do not have sufficient rights to use the data or other material or content on which our artificial intelligence solutions or other artificial intelligence tools we use rely, we also may incur liability through the violation of applicable laws, third-party intellectual property, privacy or other rights, or contracts to which we are a party.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Common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maintain listing of our Class A common stock on the Nasdaq Capital Market or another national stock exchange, it may be more difficult for our stockholders to sell their Class A common stock.</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Nasdaq requires issuers to comply with certain standards in order to remain listed on its exchange. If we are unable to maintain our listing on Nasdaq, it may become more difficult for our stockholders to sell our Class A common stock in the public market, and the price of our Class A common stock may be adversely affected due to the likelihood of decreased liquidity resulting from delisting. In addition, it may inhibit or preclude our ability to raise additional financing.</w:t>
      </w:r>
    </w:p>
    <w:p>
      <w:pPr>
        <w:spacing w:after="0" w:line="4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Affiliates of MacAndrews &amp; Forbes Incorporated (together with its affiliates “MacAndrews”) and the investors that participated in the 2024 Private Placement and the 2025 Private Placement (together the "Private Placements,"; and such investors, the "Private Placement Investors"; and together with MacAndrews, our "Significant Investors") have substantial influence over our business, and their interests may differ from our interests or those of our other stockholders.</w:t>
      </w:r>
    </w:p>
    <w:p>
      <w:pPr>
        <w:spacing w:after="0" w:line="46"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Our Significant Investors hold, directly or indirectly, a significant percentage of our combined voting power. Due to the Significant Investors' ownership and rights under the investor rights agreements (as amended the "Investor Rights Agreements") with an affiliate of MacAndrews, the securities purchase agreements (the "Securities Purchase Agreements") and registration rights agreements (the "Registration Rights Agreements") with the Private Placement Investors, our Amended and Restated Certificate of Incorporation, as amended (the "Certificate of Incorporation") and Second Amended and Restated By-laws (the "By-laws"), the Significant Investors have substantial influence over us and our subsidiaries.</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interests of our Significant Investors may differ from our interests or those of our other stockholders and the concentration of control in our Significant Investors will limit other stockholders’ ability to influence corporate matters. The concentration of ownership and voting power of our Significant Investors may also delay, defer or even prevent an acquisition by a third party or other change of control of our company and may make some transactions more difficult or impossible without the support of our Significant Investors, even if such events are in the best interests of our other stockholders. The concentration of voting power with our Significant Investors may have an adverse effect on the price of our Class A common stock. Our company may take actions that our other stockholders do not view as beneficial, which may adversely affect our results of operations and financial condition and cause the value of our Class A common stock to decline.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directors who have relationships with the Significant Investors may have conflicts of interest with respect to matters involving our company.</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One of our directors is affiliated with MacAndrews and two of our directors are associated with the Private Placement Investors. These directors will have fiduciary duties to us and in addition will have duties to MacAndrews and the Private Placement Investors, as applicable. In addition, our Certificate of Incorporation provides that none of MacAndrews, any of our non-employee directors who are employees, affiliates or consultants of MacAndrews or its affiliates (other than us or our subsidiaries) or any of their respective affiliates will be liable to us or our stockholders for breach of any fiduciary duty by reason of the fact that any such individual directs a corporate opportunity to MacAndrews or its affiliates instead of us, or does not communicate information regarding a corporate opportunity to us that such person or affiliate has directed to</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4" w:name="page55"/>
    <w:bookmarkEnd w:id="54"/>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MacAndrews or its affiliates. As a result, such circumstances may entail real or apparent conflicts of interest with respect to matters affecting both us and MacAndrews or the Private Placement Investors, whose interests, in some circumstances, may be adverse to ours. In addition, as a result of MacAndrews’ and the Private Placement Investors’ indirect ownership interest, conflicts of interest could arise with respect to transactions involving business dealings between us and MacAndrews, the Private Placement Investors or any of their respective affiliates, including potential business transactions, potential acquisitions of businesses or properties, the issuance of additional securities, the payment of dividends by us and other matters.</w:t>
      </w:r>
    </w:p>
    <w:p>
      <w:pPr>
        <w:spacing w:after="0" w:line="4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Additionally, the Private Placement Investors have certain participation rights giving them the right to purchase their proportionate share of certain future financing transactions. Such participation rights could impact our ability to raise money and deter new investors who may not be able to acquire a large enough stake in the Company. Conversely, if the Private Placement Investors decline to exercise their participation rights it may adversely affect the way the market and potential investors view the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do not anticipate paying cash dividends on our Class A common stock, and accordingly, stockholders must rely on stock appreciation for any return on their investment.</w:t>
      </w:r>
    </w:p>
    <w:p>
      <w:pPr>
        <w:spacing w:after="0" w:line="7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have never declared or paid any cash dividend on our Class A common stock and do not anticipate paying cash dividends on our Class A common stock in the future. As a result, the only return to stockholders will be appreciation in the price of our Class A common stock, which may never occur. Investors seeking cash dividends should not invest in our Class A common stock.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share price may be volatile, which could subject us to securities class action litigation and result in substantial losses for our stockholders.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market price of shares of our Class A common stock could be subject to wide fluctuations in response to many risk factors listed in this section, and others beyond our control, including:</w:t>
      </w:r>
    </w:p>
    <w:p>
      <w:pPr>
        <w:spacing w:after="0" w:line="78" w:lineRule="exact"/>
        <w:rPr>
          <w:sz w:val="20"/>
          <w:szCs w:val="20"/>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results and timing of our clinical trials and receipt of data from the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cash or financing to continue our clinical trials and other operations;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results of clinical trials of our competitors’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or discontinuation of any of our research programs;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the development or commercialization of our potential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actions with respect to our products or our competitors’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fluctuations in our financial condition and operating results;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changes in our growth rate relative to our competitors;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fluctuations in our competitors’ operating results or changes in their growth rate;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from existing products or new products that may emerge;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by us or our competitors of significant acquisitions, strategic partnerships, joint ventures, collaborations or capital commitments;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issuance of new or updated research or reports by securities analysts;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the valuation of companies perceived by investors to be comparable to us;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 price and volume fluctuations attributable to inconsistent trading volume levels of our shares;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additions or departures of key management or scientific personnel;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disputes or other developments related to proprietary rights, including patents, litigation matters and our ability to obtain, maintain, defend or enforce proprietary rights relating to our products and technologies;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 or expectation of additional financing efforts;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our Class A common stock by us, our insiders or our other stockholders;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issues in manufacturing our potential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acceptance of our potential products;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5" w:name="page56"/>
    <w:bookmarkEnd w:id="55"/>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0" w:hanging="324"/>
        <w:spacing w:after="0"/>
        <w:tabs>
          <w:tab w:leader="none" w:pos="6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conditions for biopharmaceutical stocks in general;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and market conditions.</w:t>
      </w:r>
    </w:p>
    <w:p>
      <w:pPr>
        <w:spacing w:after="0" w:line="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business concerns, which could potentially harm our business. As a result of this volatility, our stockholders may not be able to sell their common stock at or above the price at which they purchased their shares.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trading market for our Class A common stock will be influenced by the research and reports that equity research analysts publish about us and our business.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substantial portion of our total outstanding shares may be sold into the market at any time. This could cause the market price of our Class A common stock to drop significantly, even if our business is doing well.</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market price of our Class A common stock could decline as a result of sales of a large number of shares of our Class A common stock or the perception that such sales could occur. These sales, or the possibility that these sales may occur, also might make it more difficult for us to sell equity securities in the future at a time and price that we deem appropriate.</w:t>
      </w:r>
    </w:p>
    <w:p>
      <w:pPr>
        <w:spacing w:after="0" w:line="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As of December 31, 2025, MacAndrews had converted all 577,108 outstanding shares of our Class B common stock it had previously held (together with an equal number of vTv LLC units) into an equal number of shares of our Class A common stock. Further, as of December 31, 2025, MacAndrews directly or indirectly holds 1,490,090 shares of the Company’s Class A common stock. As a result, MacAndrews and its affiliates held shares representing approximately 37.8% of the combined voting power of our outstanding common stock. Pursuant to the terms of the Exchange Agreement among the Company, vTv LLC and the holders of vTv Units party thereto (the “Exchange Agreement”), vTv Units (along with the corresponding number of shares of our Class B common stock) will be exchangeable for (i) shares of our Class A common stock on a one-for-one basis or (ii) cash (based on the market price of the shares of Class A common stock), at our option (as the managing member of vTv Therapeutics LLC). Shares of our Class A common stock issuable upon an exchange of vTv Units as described above would be considered “restricted securities,” as that term is defined in Rule 144 under the Securities Act, unless the exchange is registered under the Securities Act.</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also have issued warrants to MacAndrews to purchase 19,160 shares of our Class A common stock.</w:t>
      </w:r>
    </w:p>
    <w:p>
      <w:pPr>
        <w:spacing w:after="0" w:line="7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On February 27, 2024, we issued an aggregate of 464,377 shares of our Class A common stock to certain investors (the "2024 Private Placement Investors") in the 2024 Private Placement, and in September 2025 we issued an aggregate of 682,018 shares of our Class A common stock to certain investors (the "2025 Private Placement Investors") in the 2025 Private Placement. On February 27, 2024, we also issued pre-funded warrants to purchase up to an aggregate of 3,853,997 shares of Class A common stock in the 2024 Private Placement. On March 5, 2024, we entered into an exchange agreement pursuant to which the 2024 Private Placement Investors exchanged an aggregate of 116,493 shares of our Class A common stock for pre-funded warrants to purchase 116,590 shares of our Class A common stock. In September 2025, we issued 4,561,714 pre-funded warrants and 5,243,732 common warrants in each case to purchase shares of our Class A common stock in the 2025 Private Placement. Such pre-funded warrants provide that each Private Placement Investor will not have the right to exercise any portion of its pre-funded warrant if, together with its affiliates, such Private Placement Investor would beneficially own in excess of 4.99% or 9.99%, as applicable, of the number of shares of our common stock outstanding immediately after giving effect to such exercise (the “Beneficial Ownership Limitation”); provided, however, that each Private Placement Investor may increase the Beneficial Ownership Limitation by giving 61 days’ notice to us, but not to any percentage in excess of 19.99%. As of December 31, 2025, the Private Placement Investors hold shares representing approximately 26.8% of the combined voting power of our outstanding common stock and 75.9% on a fully diluted basis.</w:t>
      </w:r>
    </w:p>
    <w:p>
      <w:pPr>
        <w:spacing w:after="0" w:line="56"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Further, we have entered into the Investor Rights Agreement with an affiliate of MacAndrews providing certain governance and registration rights. Pursuant to the Investor Rights Agreement, we filed a shelf registration statement on Form</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6" w:name="page57"/>
    <w:bookmarkEnd w:id="56"/>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S-3 in June 2019 to register certain shares previously issued to MacAndrews. The Investor Rights Agreement was amended on February 27, 2024 to alter MacAndrews' governance rights.</w:t>
      </w:r>
    </w:p>
    <w:p>
      <w:pPr>
        <w:spacing w:after="0" w:line="69" w:lineRule="exact"/>
        <w:rPr>
          <w:sz w:val="20"/>
          <w:szCs w:val="20"/>
          <w:color w:val="auto"/>
        </w:rPr>
      </w:pPr>
    </w:p>
    <w:p>
      <w:pPr>
        <w:jc w:val="both"/>
        <w:ind w:right="20" w:firstLine="324"/>
        <w:spacing w:after="0" w:line="264" w:lineRule="auto"/>
        <w:rPr>
          <w:sz w:val="20"/>
          <w:szCs w:val="20"/>
          <w:color w:val="auto"/>
        </w:rPr>
      </w:pPr>
      <w:r>
        <w:rPr>
          <w:rFonts w:ascii="Times New Roman" w:cs="Times New Roman" w:eastAsia="Times New Roman" w:hAnsi="Times New Roman"/>
          <w:sz w:val="12"/>
          <w:szCs w:val="12"/>
          <w:color w:val="auto"/>
        </w:rPr>
        <w:t>Additionally, we entered into the Securities Purchase Agreements and the Registration Rights Agreements with the Private Placement Investors providing certain governance and registration rights. Pursuant to the Registration Rights Agreements, we filed a shelf registration statement on Form S-3 in October 2025 to register certain shares previously issued to MacAndrews and other of the Private Placement Investors.</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On February 23, 2024, the Board of Directors approved the adoption of an equity incentive plan (the "2024 Plan") to replace the existing 2015 Plan and the 2024 Plan was approved by the stockholders at our 2024 annual meeting of shareholders. The 2024 Plan authorizes us to issue equity awards relating to up to an additional 750,000 shares of our Class A Common Stock, subject to automatic annual increases as described in the 2024 Plan.</w:t>
      </w:r>
    </w:p>
    <w:p>
      <w:pPr>
        <w:spacing w:after="0" w:line="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Future sales and issuances of our Class A common stock or rights to purchase Class A common stock, including pursuant to our equity incentive plans or the exercise of outstanding warrants, could result in additional dilution of the percentage ownership of our stockholders and could cause our stock price to fall.</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expect that significant additional capital will be needed in the future to continue our planned operations. To the extent we raise additional capital by issuing equity securities, our stockholders may experience substantial dilution. We may sell Class A common stock, convertible securities or other equity securities, including under the TD Cowen ATM Offering, or pursuant to warrants issued to previous investors and lenders, and such sales could result in substantial dilution to existing investors.</w:t>
      </w:r>
    </w:p>
    <w:p>
      <w:pPr>
        <w:spacing w:after="0" w:line="4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incur significant costs and devote substantial management time as a result of operating as a public company and additional resources would be required if we lose our “smaller reporting company” and “non-accelerated filer” status.</w:t>
      </w:r>
    </w:p>
    <w:p>
      <w:pPr>
        <w:spacing w:after="0" w:line="3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As a public company, we operate in an increasingly demanding regulatory environment, which requires us to comply with applicable provisions of the Sarbanes-Oxley Act of 2002 and the related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5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However, we are currently a “smaller reporting company” and “non-accelerated filer” under the current SEC rules. As such we take advantage of exemptions from certain reporting requirements including exemption from compliance with the auditor attestation requirements of Section 404 of the Sarbanes Oxley Act and reduced disclosure obligations regarding executive compensation in our periodic reports and proxy statements. Should we lose these statuses, we may no longer be exempt from these requirements and expect that compliance with the requirements will increase our legal and financial compliance costs and will make some activities more time consuming and costly. In addition, our management and other personnel will need to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404(b) of the Sarbanes-Oxley Act. In that regard, we currently do not have an internal audit function. We will continue to qualify as a smaller reporting company as long as 1) our public float is less than $250 million, or 2) we have less than $100 million in annual revenues and public float of less than $700 million. We cannot predict if investors will find our Class A common stock less attractive if we choose to rely on these exemptions.</w:t>
      </w:r>
    </w:p>
    <w:p>
      <w:pPr>
        <w:spacing w:after="0" w:line="54"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However, for as long as we remain a “smaller reporting company” and “non-accelerated filer”, we intend to take advantage of certain exemptions from various reporting requirements that are applicable to other public companies that do not qualify under these categories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intend to take advantage of these reporting exemptions as long as we remain eligible to do so under the related rules.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Provisions in our Certificate of Incorporation and By-laws and investor agreements, and provisions of Delaware law may delay or prevent our acquisition by a third party, which might diminish the value of our common stock.</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Our Certificate of Incorporation and By-laws contain several provisions that may make it more difficult or expensive for a third party to acquire control of us without the approval of the Board of Directors. These provisions also may delay,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7" w:name="page58"/>
    <w:bookmarkEnd w:id="57"/>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prevent or deter a merger, acquisition, tender offer, proxy contest or other transaction that might otherwise result in our stockholders receiving a premium over the market price for their common stock. The provisions include, among others:</w:t>
      </w:r>
    </w:p>
    <w:p>
      <w:pPr>
        <w:spacing w:after="0" w:line="39" w:lineRule="exact"/>
        <w:rPr>
          <w:sz w:val="20"/>
          <w:szCs w:val="20"/>
          <w:color w:val="auto"/>
        </w:rPr>
      </w:pPr>
    </w:p>
    <w:p>
      <w:pPr>
        <w:ind w:left="640" w:hanging="324"/>
        <w:spacing w:after="0"/>
        <w:tabs>
          <w:tab w:leader="none" w:pos="64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prohibition on actions by written consent of the stockholders;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authorized but unissued shares of common stock and preferred stock that will be available for future issuance;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our Board of Directors to increase the size of the Board of Directors and fill vacancies without a stockholder vote;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provisions that have the same effect as a modified version of Section 203 of the Delaware General Corporation Law, an anti-takeover law (as further described below);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 notice requirements for stockholder proposals and director nominations.</w:t>
      </w:r>
    </w:p>
    <w:p>
      <w:pPr>
        <w:spacing w:after="0" w:line="7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have elected in our Certificate of Incorporation not to be subject to Section 203 of the Delaware General Corporation Law. Nevertheless, the Certificate of Incorporation contains provisions that have the same effect as Section 203 of the Delaware General Corporation Law, except that they provide that MacAndrews and its various successors and affiliates (and transferees of any of them) will not be deemed to be “interested stockholders,” regardless of the percentage of our stock owned by them, and accordingly will not be subject to such restrictions. Further, the Private Placement Investors are also not deemed to be “interested stockholders,” regardless of the percentage of our stock owned by them, and accordingly will not be subject to the restrictions set forth in Section 203 of the Delaware General Corporation Law.</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provisions of our Certificate of Incorporation and By-laws, the significant common stock ownership of the Significant Investors and the ability of the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common stock.</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Additionally, pursuant to the Investor Rights Agreement with an affiliate of MacAndrews, MacAndrews has the right to designate two members of our Board of Directors, and as part of the Private Placement, the Private Placement Investors have rights to designate three members of our Board of Directors, making it more difficult for a third party to acquire control of our Board. The agreement with the Private Placement Investors also provides that five of our directors must approve certain actions including any acquisition by a third party, which makes it more difficult for our Board of Directors to approve such a transaction.</w:t>
      </w:r>
    </w:p>
    <w:p>
      <w:pPr>
        <w:spacing w:after="0" w:line="4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will be required to pay M&amp;F TTP Holdings Two LLC (“M&amp;F”) for certain tax benefits we may claim. In certain circumstances, payments under the Tax Receivable Agreement may be accelerated and/or significantly exceed the actual tax benefits we realize.</w:t>
      </w:r>
    </w:p>
    <w:p>
      <w:pPr>
        <w:spacing w:after="0" w:line="3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only asset of the Company is its interest in vTv LLC. Class B common stock, together with the corresponding number of vTv Units, may be exchanged for shares of our Class A common stock, or for cash, at our option (as the managing member of vTv LLC). These exchanges of Class B common stock, together with the corresponding number of vTv LLC Units, may result in increases in the tax basis of the assets of vTv LLC that otherwise would not have been available. Such increases in tax basis are likely to increase (for tax purposes) depreciation and amortization deductions and therefore reduce the amount of income tax we would otherwise be required to pay in the future and may also decrease gain (or increase loss) on future dispositions of certain assets to the extent the increased tax basis is allocated to those assets. The IRS may challenge all or part of these tax basis increases and a court could sustain such a challenge.</w:t>
      </w:r>
    </w:p>
    <w:p>
      <w:pPr>
        <w:spacing w:after="0" w:line="5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have entered into a Tax Receivable Agreement with vTv Therapeutics Holdings (an entity which was dissolved in October 2015, but to which M&amp;F became a successor) that will provide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the actual increase in tax basis and the amount and timing of any payments under the Tax Receivable Agreement will vary depending upon a number of factors, including the timing of exchanges, the price of shares of our Class A common stock at the time of the exchange,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8" w:name="page59"/>
    <w:bookmarkEnd w:id="58"/>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nature of the assets, the extent to which such exchanges are taxable, the tax rates then applicable, and the amount and timing of our income, we expect that the payments that we may make to M&amp;F could be substantial.</w:t>
      </w:r>
    </w:p>
    <w:p>
      <w:pPr>
        <w:spacing w:after="0" w:line="5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M&amp;F generally will not reimburse us for any payments that may previously have been made under the Tax Receivable Agreement even if the IRS subsequently disallows the tax basis increase or any other relevant tax item. Instead, any excess cash payments made by us to M&amp;F will be netted against any future cash payments that we might otherwise be required to make under the terms of the Tax Receivable Agreement. However, we might not determine that we have effectively made an excess cash payment to M&amp;F for a number of years following the initial time of such payment. As a result, in certain circumstances we could make payments to M&amp;F under the Tax Receivable Agreement in excess of our cash tax savings. Our ability to achieve benefits from any tax basis increase and the payments to be made under the Tax Receivable Agreement, will depend upon a number of factors, including the timing and amount of our future income and the nature of our assets.</w:t>
      </w:r>
    </w:p>
    <w:p>
      <w:pPr>
        <w:spacing w:after="0" w:line="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To the extent that we are unable to make payments under the Tax Receivable Agreement for any reason, such payments will be deferred and will accrue interest until paid. In addition, the Tax Receivable Agreement provides that, upon a merger, asset sale or other form of business combination or certain other changes of control or if, at any time, we elect an early termination of the Tax Receivable Agreement, our (or our successor’s) obligations under the Tax Receivable Agreement with respect to exchanged or acquired Class B common stock, together with the corresponding number of vTv Units (whether exchanged or acquired before or after such change of control or early termination), would be required to be paid significantly in advance of the actual realization, if any, of any future tax benefits and would be based on certain assumptions, including that we would have sufficient taxable income to fully utilize the deductions arising from the increased tax deductions and tax basis and other benefits related to entering into the Tax Receivable Agreement, and, in the case of certain early termination elections, that any Class B common stock, together with the corresponding number of vTv Units, that have not been exchanged will be deemed exchanged for the market value of the Class A common stock at the time of termination. Consequently, it is possible that the actual cash tax savings realized by us may be significantly less than the corresponding Tax Receivable Agreement payments.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only asset of the Company is its interest in vTv LLC, and accordingly it will depend on distributions from vTv LLC to pay taxes and expenses, including payments under the Tax Receivable Agreement. vTv LLC’s ability to make such distributions may be subject to various limitations and restrictions.</w:t>
      </w:r>
    </w:p>
    <w:p>
      <w:pPr>
        <w:spacing w:after="0" w:line="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The Company is a holding company, has no material assets other than its ownership of vTv Units and has no independent means of generating revenue or cash flow. vTv LLC is treated as a partnership for U.S. federal income tax purposes and, as such, is not subject to any entity-level U.S. federal income tax. Instead, taxable income will be allocated to holders of its common units, including us. As a result, we will incur U.S. federal, state and local income taxes on our allocable share of any net taxable income of vTv LLC. Under the terms of vTv LLC’s Amended and Restated LLC Agreement, vTv LLC will be obligated to make tax distributions to holders of its common units, including us. In addition to tax expenses, we will also incur expenses related to our operations, including expenses under the Tax Receivable Agreement, which could be significant. We intend, as its managing member, to cause vTv LLC to make distributions in an amount sufficient to allow us to pay our taxes and operating expenses, including any payments due under the Tax Receivable Agreement. However, vTv LLC’s ability to make such distributions may be subject to various limitations and restrictions including, but not limited to, restrictions on distributions that would either violate any contract or agreement to which vTv LLC is then a party, including the Loan Agreement or any other potential debt agreements, or any applicable law, or that would have the effect of rendering vTv LLC insolvent. If vTv LLC does not distribute sufficient funds for us to pay our taxes or other liabilities, we may have to borrow funds, which could adversely affect our liquidity and subject us to various restrictions imposed by any such lenders. To the extent that we are unable to make payments under the Tax Receivable Agreement for any reason, such payments will be deferred and will accrue interest until paid.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organizational structure confers certain benefits upon M&amp;F and certain of its successors and assigns that will not benefit Class A common stockholders to the same extent as it will benefit M&amp;F.</w:t>
      </w:r>
    </w:p>
    <w:p>
      <w:pPr>
        <w:spacing w:after="0" w:line="5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Our organizational structure confers certain benefits upon M&amp;F that will not benefit the holders of our Class A common stock to the same extent as it will benefit M&amp;F. For example, the Tax Receivable Agreement will provide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we will retain 15% of the amount of such tax benefits, it is possible that the interests of M&amp;F may in some circumstances conflict with our interests and the interests of our other stockholders. For example, M&amp;F may have different tax positions from us, especially in light of the Tax Receivable Agreement, that could influence their decisions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9" w:name="page60"/>
    <w:bookmarkEnd w:id="59"/>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regarding whether and when we should dispose of assets, whether and when we should incur new or refinance existing indebtedness, and whether and when we should terminate the Tax Receivable Agreement and accelerate our obligations thereunder. In addition, the determination of future tax reporting positions, the structuring of future transactions and the handling of any future challenges by any taxing authority to our tax reporting positions may take into consideration M&amp;F’s tax or other considerations, which may differ from the considerations of us or our other stockholders. To the extent that M&amp;F is dissolved or liquidated, MacAndrews and/or its affiliates will succeed to the rights and obligations of M&amp;F under the Tax Receivable Agreement, and the same considerations described above apply to any such successor parties.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0" w:name="page61"/>
    <w:bookmarkEnd w:id="60"/>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1B.</w:t>
      </w:r>
      <w:r>
        <w:rPr>
          <w:sz w:val="20"/>
          <w:szCs w:val="20"/>
          <w:color w:val="auto"/>
        </w:rPr>
        <w:tab/>
      </w:r>
      <w:r>
        <w:rPr>
          <w:rFonts w:ascii="Times New Roman" w:cs="Times New Roman" w:eastAsia="Times New Roman" w:hAnsi="Times New Roman"/>
          <w:sz w:val="11"/>
          <w:szCs w:val="11"/>
          <w:b w:val="1"/>
          <w:bCs w:val="1"/>
          <w:color w:val="auto"/>
        </w:rPr>
        <w:t>UNRESOLVED STAFF COMMENTS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None.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1C. CYBERSECURITY</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Audit Committee of our Board of Directors is responsible for overseeing management’s processes for identifying and mitigating risks that affect our operations, including cybersecurity risks. Procedures for assessing, identifying and managing cybersecurity-related risks are incorporated into our overall risk management framework. Senior leadership regularly briefs the Audit Committee and the full Board of Directors on our cybersecurity and information security posture and the Audit Committee is apprised of cybersecurity incidents deemed to pose a critical risk to our information technology ("IT") assets or business. We have an incident response playbook that outlines the steps to be followed from incident detection to mitigation, recovery and notification, including notifying key functional areas, such as legal and financial reporting, as well as senior leadership and the Audit Committee, as appropriate. We rely upon in-house and cybersecurity vendors to monitor our IT systems and assets and have a governance structure and processes to assess, identify, manage, and report cybersecurity risks.</w:t>
      </w:r>
    </w:p>
    <w:p>
      <w:pPr>
        <w:spacing w:after="0" w:line="53"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As a biopharmaceutical company, we must comply with extensive regulations, including requirements imposed by the FDA related to adequately safeguarding patient information. We work with our in-house and cybersecurity vendors on assessing cybersecurity risk and on policies and practices aimed at mitigating these risks. We have engaged third-parties to conduct evaluations of our security controls, including penetration testing, independent audits, and consulting on best practices to address new challenges. We require that our employees and subcontractors report cybersecurity incidents to us so that we can assess the impact of the incident on our systems and operations.</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currently have one full-time employee who manages our day-to-day information technology systems and the third-party vendors engaged to assist in such management, including monitoring and addressing cybersecurity matters and reports to our Chief Financial Officer. Our cybersecurity vendor, which has a SOC 2 Type II Report and is ISO 27001 certified, utilizes industry-leading processes to monitor in real-time cybersecurity threats and risks to our systems. Our in-house IT resource receives immediate notification of incidents and engages regularly with our cybersecurity vendor through weekly and monthly reports and quarterly meetings to address any issues identified through their processes and communicates such issues in accordance with our incident response plan.</w:t>
      </w:r>
    </w:p>
    <w:p>
      <w:pPr>
        <w:spacing w:after="0" w:line="5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Although we have not, as of the date of this Annual Report on Form 10-K, experienced a cybersecurity incident that materially affected our business, financial condition and results of operations, we can provide no assurance that we will not experience a material cybersecurity incident in the future. While we maintain cybersecurity insurance, the costs related to cybersecurity threats or disruptions may not be fully insured. For additional information regarding the risks we face from cybersecurity threats, please see the risk factor titled “Our business and operations would suffer in the event of computer system failures, cyber-attacks or a deficiency in our cybersecurity” included in Part I, Item 1A, Risk Factors of this Annual Report on Form 10-K.</w:t>
      </w:r>
    </w:p>
    <w:p>
      <w:pPr>
        <w:spacing w:after="0" w:line="13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PROPERTIES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Our corporate headquarters are located in High Point, North Carolina. We operate primarily in a virtual environment and lease office space at 3980 Premier Drive, Suite 110, High Point, North Carolina 27265, within the Premier Center office park.</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lease for our prior office space at 3980 Premier Drive, Suite 310, High Point, North Carolina expired on November 30, 2025.</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LEGAL PROCEEDINGS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are not currently a party to any material legal proceedings.</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MINE SAFETY DISCLOSURES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1" w:name="page62"/>
    <w:bookmarkEnd w:id="61"/>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68" w:lineRule="exact"/>
        <w:rPr>
          <w:sz w:val="20"/>
          <w:szCs w:val="20"/>
          <w:color w:val="auto"/>
        </w:rPr>
      </w:pPr>
    </w:p>
    <w:p>
      <w:pPr>
        <w:ind w:right="2680"/>
        <w:spacing w:after="0" w:line="379" w:lineRule="auto"/>
        <w:rPr>
          <w:sz w:val="20"/>
          <w:szCs w:val="20"/>
          <w:color w:val="auto"/>
        </w:rPr>
      </w:pPr>
      <w:r>
        <w:rPr>
          <w:rFonts w:ascii="Times New Roman" w:cs="Times New Roman" w:eastAsia="Times New Roman" w:hAnsi="Times New Roman"/>
          <w:sz w:val="12"/>
          <w:szCs w:val="12"/>
          <w:b w:val="1"/>
          <w:bCs w:val="1"/>
          <w:color w:val="auto"/>
        </w:rPr>
        <w:t>ITEM 5. MARKET FOR REGISTRANT’S COMMON EQUITY, RELATED STOCKHOLDER MATTERS AND ISSUER PURCHASES OF EQUITY SECURITIES Market Information</w:t>
      </w:r>
    </w:p>
    <w:p>
      <w:pPr>
        <w:ind w:left="320"/>
        <w:spacing w:after="0"/>
        <w:rPr>
          <w:sz w:val="20"/>
          <w:szCs w:val="20"/>
          <w:color w:val="auto"/>
        </w:rPr>
      </w:pPr>
      <w:r>
        <w:rPr>
          <w:rFonts w:ascii="Times New Roman" w:cs="Times New Roman" w:eastAsia="Times New Roman" w:hAnsi="Times New Roman"/>
          <w:sz w:val="12"/>
          <w:szCs w:val="12"/>
          <w:color w:val="auto"/>
        </w:rPr>
        <w:t>Our Class A common stock is listed on the Nasdaq Capital Market under the symbol “VTVT”.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 Policy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 cash dividends have ever been declared or paid on the common equity to date by the Company.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Holders</w:t>
      </w:r>
    </w:p>
    <w:p>
      <w:pPr>
        <w:spacing w:after="0" w:line="8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As of March 10, 2026, there were approximately 43 holders of record of our Class A common stock and 3 holders of record of our Class B common stock. Because almost all of the shares of our Class A common stock are held by brokers, nominees and other institutions, we are unable to estimate the total number of beneficial owners represented by these record holders.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There have been no repurchases of the Company’s common stock during the fourth fiscal quarter of fiscal 2025.</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1"/>
          <w:szCs w:val="11"/>
          <w:b w:val="1"/>
          <w:bCs w:val="1"/>
          <w:color w:val="auto"/>
        </w:rPr>
        <w:t>RESERVED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sectPr>
      </w:pPr>
    </w:p>
    <w:bookmarkStart w:id="62" w:name="page63"/>
    <w:bookmarkEnd w:id="62"/>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1"/>
          <w:szCs w:val="11"/>
          <w:b w:val="1"/>
          <w:bCs w:val="1"/>
          <w:color w:val="auto"/>
        </w:rPr>
        <w:t>MANAGEMENT’S DISCUSSION AND ANALYSIS OF FINANCIAL CONDITION AND RESULTS OF OPERATIONS</w:t>
      </w:r>
    </w:p>
    <w:p>
      <w:pPr>
        <w:spacing w:after="0" w:line="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2"/>
          <w:szCs w:val="12"/>
          <w:i w:val="1"/>
          <w:iCs w:val="1"/>
          <w:color w:val="auto"/>
        </w:rPr>
        <w:t>The following discussion and analysis should be read in conjunction with our consolidated financial statements and related notes included elsewhere in this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in Part I, Item 1A, “Risk Factors” in this Annual Report on Form 10-K. See the sections entitled “Risk Factors” and “Cautionary Note Regarding Forward-Looking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Company Overview</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 xml:space="preserve">We are a late-stage biopharmaceutical company focused on developing oral, small molecule drug candidates intended to help treat people living with diabetes and other chronic diseases. The Company’s clinical pipeline is led by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currently in a Phase 3 trial, a potential first-in-class oral liver-selective glucokinase activator (“GKA”) being investigated as an adjunctive therapy to insulin for the treatment of type 1 diabetes (“T1D”). The Company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its development partners are investigating multiple molecules across different indications for chronic diseases.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Developments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xml:space="preserve">In January 2026, the Company received a $20.0 million upfront payment following the amended licensing agreement with Newsoara Biopharma Co., Ltd. for the Company’s highly selective PDE4 inhibitor,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Holding Company Structure</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Overview</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To date, we have not generated any revenue from drug sales. Our revenue has been primarily derived from milestone payments, up-front proceeds and research fees under collaboration and license agreements.</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3" w:name="page64"/>
    <w:bookmarkEnd w:id="63"/>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research and development expenses by project for the years ended December 31, 2025, 2024 and 2023 were as follows (in thousands):</w:t>
      </w:r>
    </w:p>
    <w:p>
      <w:pPr>
        <w:spacing w:after="0" w:line="101"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2"/>
          <w:szCs w:val="12"/>
          <w:b w:val="1"/>
          <w:bCs w:val="1"/>
          <w:color w:val="auto"/>
        </w:rPr>
        <w:t>Years Ended December 31,</w:t>
      </w:r>
    </w:p>
    <w:p>
      <w:pPr>
        <w:spacing w:after="0" w:line="21" w:lineRule="exact"/>
        <w:rPr>
          <w:sz w:val="20"/>
          <w:szCs w:val="20"/>
          <w:color w:val="auto"/>
        </w:rPr>
      </w:pPr>
    </w:p>
    <w:tbl>
      <w:tblPr>
        <w:tblLayout w:type="fixed"/>
        <w:tblInd w:w="100" w:type="dxa"/>
        <w:tblCellMar>
          <w:top w:w="0" w:type="dxa"/>
          <w:left w:w="0" w:type="dxa"/>
          <w:bottom w:w="0" w:type="dxa"/>
          <w:right w:w="0" w:type="dxa"/>
        </w:tblCellMar>
      </w:tblPr>
      <w:tr>
        <w:trPr>
          <w:trHeight w:val="124"/>
        </w:trPr>
        <w:tc>
          <w:tcPr>
            <w:tcW w:w="6560" w:type="dxa"/>
            <w:vAlign w:val="bottom"/>
            <w:tcBorders>
              <w:bottom w:val="single" w:sz="8" w:color="CCEEFF"/>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2025</w:t>
            </w:r>
          </w:p>
        </w:tc>
        <w:tc>
          <w:tcPr>
            <w:tcW w:w="5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6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Direct research and development expense:</w:t>
            </w:r>
          </w:p>
        </w:tc>
        <w:tc>
          <w:tcPr>
            <w:tcW w:w="9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53"/>
        </w:trPr>
        <w:tc>
          <w:tcPr>
            <w:tcW w:w="6560" w:type="dxa"/>
            <w:vAlign w:val="bottom"/>
          </w:tcPr>
          <w:p>
            <w:pPr>
              <w:ind w:left="80"/>
              <w:spacing w:after="0"/>
              <w:rPr>
                <w:sz w:val="20"/>
                <w:szCs w:val="20"/>
                <w:color w:val="auto"/>
              </w:rPr>
            </w:pPr>
            <w:r>
              <w:rPr>
                <w:rFonts w:ascii="Times New Roman" w:cs="Times New Roman" w:eastAsia="Times New Roman" w:hAnsi="Times New Roman"/>
                <w:sz w:val="12"/>
                <w:szCs w:val="12"/>
                <w:i w:val="1"/>
                <w:iCs w:val="1"/>
                <w:color w:val="auto"/>
              </w:rPr>
              <w:t>Cadisegliatin</w:t>
            </w:r>
          </w:p>
        </w:tc>
        <w:tc>
          <w:tcPr>
            <w:tcW w:w="940" w:type="dxa"/>
            <w:vAlign w:val="bottom"/>
          </w:tcPr>
          <w:p>
            <w:pPr>
              <w:jc w:val="right"/>
              <w:ind w:right="82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11,434</w:t>
            </w:r>
          </w:p>
        </w:tc>
        <w:tc>
          <w:tcPr>
            <w:tcW w:w="80" w:type="dxa"/>
            <w:vAlign w:val="bottom"/>
          </w:tcPr>
          <w:p>
            <w:pPr>
              <w:spacing w:after="0"/>
              <w:rPr>
                <w:sz w:val="13"/>
                <w:szCs w:val="13"/>
                <w:color w:val="auto"/>
              </w:rPr>
            </w:pPr>
          </w:p>
        </w:tc>
        <w:tc>
          <w:tcPr>
            <w:tcW w:w="960" w:type="dxa"/>
            <w:vAlign w:val="bottom"/>
          </w:tcPr>
          <w:p>
            <w:pPr>
              <w:jc w:val="right"/>
              <w:ind w:right="84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6,026</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10,182</w:t>
            </w:r>
          </w:p>
        </w:tc>
      </w:tr>
      <w:tr>
        <w:trPr>
          <w:trHeight w:val="153"/>
        </w:trPr>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projects*</w:t>
            </w: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(1,258)</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676</w:t>
            </w:r>
          </w:p>
        </w:tc>
      </w:tr>
      <w:tr>
        <w:trPr>
          <w:trHeight w:val="153"/>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Indirect research and development expense</w:t>
            </w:r>
          </w:p>
        </w:tc>
        <w:tc>
          <w:tcPr>
            <w:tcW w:w="9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7,685</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2,737</w:t>
            </w:r>
          </w:p>
        </w:tc>
      </w:tr>
      <w:tr>
        <w:trPr>
          <w:trHeight w:val="158"/>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research and development expense</w:t>
            </w:r>
          </w:p>
        </w:tc>
        <w:tc>
          <w:tcPr>
            <w:tcW w:w="94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17,861</w:t>
            </w: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11,546</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13,595</w:t>
            </w:r>
          </w:p>
        </w:tc>
      </w:tr>
    </w:tbl>
    <w:p>
      <w:pPr>
        <w:spacing w:after="0" w:line="92" w:lineRule="exact"/>
        <w:rPr>
          <w:sz w:val="20"/>
          <w:szCs w:val="20"/>
          <w:color w:val="auto"/>
        </w:rPr>
      </w:pPr>
    </w:p>
    <w:p>
      <w:pPr>
        <w:ind w:left="420" w:hanging="212"/>
        <w:spacing w:after="0"/>
        <w:tabs>
          <w:tab w:leader="none" w:pos="420" w:val="left"/>
        </w:tabs>
        <w:numPr>
          <w:ilvl w:val="0"/>
          <w:numId w:val="5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Includes </w:t>
      </w:r>
      <w:r>
        <w:rPr>
          <w:rFonts w:ascii="Times New Roman" w:cs="Times New Roman" w:eastAsia="Times New Roman" w:hAnsi="Times New Roman"/>
          <w:sz w:val="10"/>
          <w:szCs w:val="10"/>
          <w:i w:val="1"/>
          <w:iCs w:val="1"/>
          <w:color w:val="auto"/>
        </w:rPr>
        <w:t>HPP737</w:t>
      </w:r>
      <w:r>
        <w:rPr>
          <w:rFonts w:ascii="Times New Roman" w:cs="Times New Roman" w:eastAsia="Times New Roman" w:hAnsi="Times New Roman"/>
          <w:sz w:val="10"/>
          <w:szCs w:val="10"/>
          <w:color w:val="auto"/>
        </w:rPr>
        <w:t xml:space="preserve"> and </w:t>
      </w:r>
      <w:r>
        <w:rPr>
          <w:rFonts w:ascii="Times New Roman" w:cs="Times New Roman" w:eastAsia="Times New Roman" w:hAnsi="Times New Roman"/>
          <w:sz w:val="10"/>
          <w:szCs w:val="10"/>
          <w:i w:val="1"/>
          <w:iCs w:val="1"/>
          <w:color w:val="auto"/>
        </w:rPr>
        <w:t>azeliragon</w:t>
      </w:r>
    </w:p>
    <w:p>
      <w:pPr>
        <w:spacing w:after="0" w:line="69"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We plan to continue to incur significant research and development expenses for the foreseeable future as we continue the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and further advance the development of our other drug candidates, subject to the availability of additional funding.</w:t>
      </w:r>
    </w:p>
    <w:p>
      <w:pPr>
        <w:spacing w:after="0" w:line="3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47" w:lineRule="exact"/>
        <w:rPr>
          <w:sz w:val="20"/>
          <w:szCs w:val="20"/>
          <w:color w:val="auto"/>
        </w:rPr>
      </w:pPr>
    </w:p>
    <w:p>
      <w:pPr>
        <w:ind w:left="640" w:hanging="324"/>
        <w:spacing w:after="0"/>
        <w:tabs>
          <w:tab w:leader="none" w:pos="6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rate of progress and expense of our clinical trials as well as any additional, clinical trials and other research and development activities;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benefits of our candidates over other therapies;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market, commercialize and achieve market acceptance for any of our drug candidates that we are developing or may develop in the future;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future clinical trial results;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enroll patients in our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and receipt of any regulatory approvals;</w:t>
      </w:r>
    </w:p>
    <w:p>
      <w:pPr>
        <w:spacing w:after="0" w:line="78"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secure sufficient capital and cash resources, including access to available debt and equity financing and revenues from operations, to satisfy all of our short-term and longer-term cash requirements and other cash needs, at the times and in the amounts needed;</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legislation and regulatory actions and changes in laws or regulations;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filing, prosecuting, defending and enforcing of patent claims and other intellectual property rights, and the expense of doing so.</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Income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Interest income represents cash interest income from dividends and interest from our money market accounts, all of which are recognized in our Consolidated Statement of Operations.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4" w:name="page65"/>
    <w:bookmarkEnd w:id="64"/>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(Expense) Income, Net</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Other (expense) income primarily consists of the recognition of changes in fair value of the warrants to purchase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201" w:right="1440" w:bottom="1440" w:gutter="0" w:footer="0" w:header="0"/>
        </w:sectPr>
      </w:pPr>
    </w:p>
    <w:bookmarkStart w:id="65" w:name="page66"/>
    <w:bookmarkEnd w:id="65"/>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In this section, we discuss the results of our operations for the year ended December 31, 2025 compared to the year ended December 31, 2024. For a discussion of the year ended December 31, 2024 compared to the year ended December 31, 2023, please refer to Part II, Item 7, “Management's Discussion and Analysis of Financial Condition and Results of Operations” in our Annual Report on Form 10-K for the year ended December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years ended December 31, 2025 and 2024</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16"/>
        </w:trPr>
        <w:tc>
          <w:tcPr>
            <w:tcW w:w="10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The following table sets forth certain information concerning our results of operations for the periods shown:</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3"/>
        </w:trPr>
        <w:tc>
          <w:tcPr>
            <w:tcW w:w="100" w:type="dxa"/>
            <w:vAlign w:val="bottom"/>
          </w:tcPr>
          <w:p>
            <w:pPr>
              <w:spacing w:after="0"/>
              <w:rPr>
                <w:sz w:val="21"/>
                <w:szCs w:val="21"/>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142"/>
        </w:trPr>
        <w:tc>
          <w:tcPr>
            <w:tcW w:w="100" w:type="dxa"/>
            <w:vAlign w:val="bottom"/>
          </w:tcPr>
          <w:p>
            <w:pPr>
              <w:spacing w:after="0"/>
              <w:rPr>
                <w:sz w:val="12"/>
                <w:szCs w:val="12"/>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Statement of operations data:</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100" w:type="dxa"/>
            <w:vAlign w:val="bottom"/>
          </w:tcPr>
          <w:p>
            <w:pPr>
              <w:spacing w:after="0"/>
              <w:rPr>
                <w:sz w:val="12"/>
                <w:szCs w:val="12"/>
                <w:color w:val="auto"/>
              </w:rPr>
            </w:pPr>
          </w:p>
        </w:tc>
        <w:tc>
          <w:tcPr>
            <w:tcW w:w="656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1,017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(1,017)</w:t>
            </w:r>
          </w:p>
        </w:tc>
      </w:tr>
      <w:tr>
        <w:trPr>
          <w:trHeight w:val="153"/>
        </w:trPr>
        <w:tc>
          <w:tcPr>
            <w:tcW w:w="100" w:type="dxa"/>
            <w:vAlign w:val="bottom"/>
          </w:tcPr>
          <w:p>
            <w:pPr>
              <w:spacing w:after="0"/>
              <w:rPr>
                <w:sz w:val="13"/>
                <w:szCs w:val="13"/>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Operating expenses:</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17,861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11,546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6,315</w:t>
            </w:r>
          </w:p>
        </w:tc>
      </w:tr>
      <w:tr>
        <w:trPr>
          <w:trHeight w:val="153"/>
        </w:trPr>
        <w:tc>
          <w:tcPr>
            <w:tcW w:w="100" w:type="dxa"/>
            <w:vAlign w:val="bottom"/>
          </w:tcPr>
          <w:p>
            <w:pPr>
              <w:spacing w:after="0"/>
              <w:rPr>
                <w:sz w:val="13"/>
                <w:szCs w:val="13"/>
                <w:color w:val="auto"/>
              </w:rPr>
            </w:pPr>
          </w:p>
        </w:tc>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14,947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13,651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1,296</w:t>
            </w:r>
          </w:p>
        </w:tc>
      </w:tr>
      <w:tr>
        <w:trPr>
          <w:trHeight w:val="142"/>
        </w:trPr>
        <w:tc>
          <w:tcPr>
            <w:tcW w:w="100" w:type="dxa"/>
            <w:vAlign w:val="bottom"/>
          </w:tcPr>
          <w:p>
            <w:pPr>
              <w:spacing w:after="0"/>
              <w:rPr>
                <w:sz w:val="12"/>
                <w:szCs w:val="12"/>
                <w:color w:val="auto"/>
              </w:rPr>
            </w:pPr>
          </w:p>
        </w:tc>
        <w:tc>
          <w:tcPr>
            <w:tcW w:w="656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2"/>
                <w:szCs w:val="12"/>
                <w:color w:val="auto"/>
              </w:rPr>
              <w:t>Total operating expenses</w:t>
            </w: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32,808</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25,197</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7,611</w:t>
            </w:r>
          </w:p>
        </w:tc>
      </w:tr>
      <w:tr>
        <w:trPr>
          <w:trHeight w:val="142"/>
        </w:trPr>
        <w:tc>
          <w:tcPr>
            <w:tcW w:w="100" w:type="dxa"/>
            <w:vAlign w:val="bottom"/>
          </w:tcPr>
          <w:p>
            <w:pPr>
              <w:spacing w:after="0"/>
              <w:rPr>
                <w:sz w:val="12"/>
                <w:szCs w:val="12"/>
                <w:color w:val="auto"/>
              </w:rPr>
            </w:pPr>
          </w:p>
        </w:tc>
        <w:tc>
          <w:tcPr>
            <w:tcW w:w="656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Operating loss</w:t>
            </w:r>
          </w:p>
        </w:tc>
        <w:tc>
          <w:tcPr>
            <w:tcW w:w="340" w:type="dxa"/>
            <w:vAlign w:val="bottom"/>
          </w:tcPr>
          <w:p>
            <w:pPr>
              <w:spacing w:after="0"/>
              <w:rPr>
                <w:sz w:val="12"/>
                <w:szCs w:val="12"/>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(32,808)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(24,180)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(8,628)</w:t>
            </w: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Interest income</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1,870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1,565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305</w:t>
            </w:r>
          </w:p>
        </w:tc>
      </w:tr>
      <w:tr>
        <w:trPr>
          <w:trHeight w:val="153"/>
        </w:trPr>
        <w:tc>
          <w:tcPr>
            <w:tcW w:w="100" w:type="dxa"/>
            <w:vAlign w:val="bottom"/>
          </w:tcPr>
          <w:p>
            <w:pPr>
              <w:spacing w:after="0"/>
              <w:rPr>
                <w:sz w:val="13"/>
                <w:szCs w:val="13"/>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Interest expense</w:t>
            </w:r>
          </w:p>
        </w:tc>
        <w:tc>
          <w:tcPr>
            <w:tcW w:w="340" w:type="dxa"/>
            <w:vAlign w:val="bottom"/>
          </w:tcPr>
          <w:p>
            <w:pPr>
              <w:spacing w:after="0"/>
              <w:rPr>
                <w:sz w:val="13"/>
                <w:szCs w:val="13"/>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w:t>
            </w: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Other (expense) income, net</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(136)</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(146)</w:t>
            </w:r>
          </w:p>
        </w:tc>
      </w:tr>
      <w:tr>
        <w:trPr>
          <w:trHeight w:val="142"/>
        </w:trPr>
        <w:tc>
          <w:tcPr>
            <w:tcW w:w="100" w:type="dxa"/>
            <w:vAlign w:val="bottom"/>
          </w:tcPr>
          <w:p>
            <w:pPr>
              <w:spacing w:after="0"/>
              <w:rPr>
                <w:sz w:val="12"/>
                <w:szCs w:val="12"/>
                <w:color w:val="auto"/>
              </w:rPr>
            </w:pPr>
          </w:p>
        </w:tc>
        <w:tc>
          <w:tcPr>
            <w:tcW w:w="656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Loss before income taxes and noncontrolling interest</w:t>
            </w:r>
          </w:p>
        </w:tc>
        <w:tc>
          <w:tcPr>
            <w:tcW w:w="340" w:type="dxa"/>
            <w:vAlign w:val="bottom"/>
          </w:tcPr>
          <w:p>
            <w:pPr>
              <w:spacing w:after="0"/>
              <w:rPr>
                <w:sz w:val="12"/>
                <w:szCs w:val="12"/>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(31,080)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(22,605)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(8,475)</w:t>
            </w: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Income tax provision</w:t>
            </w:r>
          </w:p>
        </w:tc>
        <w:tc>
          <w:tcPr>
            <w:tcW w:w="3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w:t>
            </w:r>
          </w:p>
        </w:tc>
      </w:tr>
      <w:tr>
        <w:trPr>
          <w:trHeight w:val="142"/>
        </w:trPr>
        <w:tc>
          <w:tcPr>
            <w:tcW w:w="100" w:type="dxa"/>
            <w:vAlign w:val="bottom"/>
          </w:tcPr>
          <w:p>
            <w:pPr>
              <w:spacing w:after="0"/>
              <w:rPr>
                <w:sz w:val="12"/>
                <w:szCs w:val="12"/>
                <w:color w:val="auto"/>
              </w:rPr>
            </w:pPr>
          </w:p>
        </w:tc>
        <w:tc>
          <w:tcPr>
            <w:tcW w:w="656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Net loss before noncontrolling interest</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(31,080)</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(22,705)</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(8,375)</w:t>
            </w: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Less: Net loss attributable to noncontrolling interest</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(4,106)</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(4,243)</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137</w:t>
            </w:r>
          </w:p>
        </w:tc>
      </w:tr>
      <w:tr>
        <w:trPr>
          <w:trHeight w:val="142"/>
        </w:trPr>
        <w:tc>
          <w:tcPr>
            <w:tcW w:w="100" w:type="dxa"/>
            <w:vAlign w:val="bottom"/>
          </w:tcPr>
          <w:p>
            <w:pPr>
              <w:spacing w:after="0"/>
              <w:rPr>
                <w:sz w:val="12"/>
                <w:szCs w:val="12"/>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loss attributable to vTv Therapeutics Inc.</w:t>
            </w: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(26,974)</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(18,462)</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(8,512)</w:t>
            </w:r>
          </w:p>
        </w:tc>
      </w:tr>
      <w:tr>
        <w:trPr>
          <w:trHeight w:val="20"/>
        </w:trPr>
        <w:tc>
          <w:tcPr>
            <w:tcW w:w="1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There was no revenue for the year ended December 31, 2025. Revenue for the year ended December 31, 2024, includes a $1.0 million increase to the transaction price for the license performance obligation under the Newsoara License Agreement due to the satisfaction of a development milestone and recognition of deferred Huadong revenue.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 xml:space="preserve">Research and development expenses were $17.9 million and $11.5 million for the years ended December 31, 2025 and 2024, respectively. The increase in research and development expenses during this period of approximately $6.3 million, or 54.7%, was primarily driven by (i) higher spending on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of $5.4 million, due to increases clinical studies, (ii) an increase in indirect costs of $2.6 million primarily due to increases in payroll and bonus costs and a $1.0 million Novo license milestone payment, partially offset by (iii) a decrease of $1.7 million in other projects primarily related to the write off of an aged accrual.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General and administrative expenses were $14.9 million and $13.7 million for the years ended December 31, 2025 and 2024, respectively. The increase in general and administrative expenses during this period of approximately $1.3 million, or 9.5%, was primarily driven by (i) an increase in share-based expense of $0.6 million, (ii) an increase in payroll costs of $0.4 million, (iii) an increase in legal expenses of $0.2 million, and (iv) an increase in other operating costs of $0.1 million.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Income</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Interest income for the years ended December 31, 2025 and December 31, 2024 of $1.9 million and $1.6 million, respectively, is related to interest and dividend income from our money market account</w:t>
      </w:r>
      <w:r>
        <w:rPr>
          <w:rFonts w:ascii="Arial" w:cs="Arial" w:eastAsia="Arial" w:hAnsi="Arial"/>
          <w:sz w:val="14"/>
          <w:szCs w:val="14"/>
          <w:color w:val="auto"/>
        </w:rPr>
        <w: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6" w:name="page67"/>
    <w:bookmarkEnd w:id="66"/>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(Expense) Income, Net</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Other expense was $0.1 million for the year ended December 31, 2025 and was driven by losses related to the change in the fair value of the outstanding warrants to purchase shares of our Class A common stock. Other income was immaterial for the year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Liquidity</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of December 31, 2025, we had an accumulated deficit of $326.7 million. Since our inception, we have experienced a history of negative cash flows from operating activities. We anticipate that we will continue to incur losses and negative cash flow from operations for the foreseeable future as we continue our clinical trials. Further, we expect that we will need additional capital to continue to fund our operations. As of December 31, 2025, we had cash and cash equivalents of $88.9 million.</w:t>
      </w:r>
    </w:p>
    <w:p>
      <w:pPr>
        <w:spacing w:after="0" w:line="4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On August 29, 2025, we entered into a securities purchase agreement (the “2025 Securities Purchase Agreement”) with the 2025 Private Placement Investors, pursuant to which we agreed to issue and sell 5,243,732 units (the “Units”) to the 2025 Private Placement Investors (the “2025 Private Placement”). Each Unit includes (i) either (A) one share (the “Shares”) of our Class A common stock at purchase price of $15.265 per share, (the “Common Stock”), or (B) a Pre-Funded Warrant (the “Pre-Funded Warrants”) to purchase one share of Common Stock (the “Pre-Funded Warrant Shares”) at a purchase price of $15.255 per share (representing the per-Share purchase price less the Pre-Funded Warrant's exercise price of $0.01) and (ii) a warrant (the “Common Warrants”) to purchase either (x) one share of Common Stock (the “Warrant Shares”) or (y) a Pre-Funded warrant to purchase one share of Common Stock (the “Replacement Warrants” and, together with the Pre-Funded Warrants and the Common Warrants, the “Warrants”). We received aggregate gross proceeds from the 2025 Private Placement of approximately $80.0 million, before deducting offering costs payable by us.</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Pre-Funded Warrants are exercisable for $0.01, at any time after their original issuance and will not expire. The common warrants are exercisable for (x) $22.71, if exercised for a Share, or (y) $22.70 if exercised for a Pre-Funded Warrant, at any time after their original issuance through their expiration date. The Common Warrants will expire upon the earlier to occur of (i) the fifth anniversary of the issuance of the Common Warrants and (ii) 90 days following the announcement of positive top-line data from the Company’s ongoing CATT1 clinical trial.</w:t>
      </w:r>
    </w:p>
    <w:p>
      <w:pPr>
        <w:spacing w:after="0" w:line="4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 xml:space="preserve">On January 30, 2026, the Company entered into a Second Amendment to License Agreement with Newsoara Biopharma Co., Ltd. (“Newsoara”) (the “Second Amendment”). Under the Second Amendment, Newsoara's rights in the Company's PDE4 inhibitor,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will expand to include all countries of the world upon Newsoara's payment of the upfront fee of $20.0 million. See Note 15 for further details.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ATM Offering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TD Cowen Sales Agreement</w:t>
      </w:r>
    </w:p>
    <w:p>
      <w:pPr>
        <w:spacing w:after="0" w:line="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although we may only offer and sell under the TD Cowen ATM Offering up to one-third of the aggregate market value of our voting and non-voting common equity held by non-affiliates during any 12 calendar month period pursuant to General Instruction I.B.6 of Form S-3. We are not obligated to sell any shares under the TD Cowen Sales Agreement. Under the terms of the TD Cowen Sales Agreement, we will pay TD Cowen a commission of 3% of the aggregate proceeds from the sale of shares and reimburse certain legal fees or other disbursements. As of December 31, 2025, we have sold 179,400 shares of Class A common stock under the TD Cowen ATM Offering for net proceeds of $2.5 million, leaving $47.5 million available to be sold. The shares are offered and sold pursuant to the Company’s shelf registration statement on Form S-3. At no time will we sell shares of our Class A common stock under this registration statement in an aggregate amount exceeding one-third of our “public float” (the market value of our outstanding Class A common stock and any other equity securities held by non-affiliates) during any 12-calendar month period, so long as our public float remains below $75.0 million.</w:t>
      </w:r>
    </w:p>
    <w:p>
      <w:pPr>
        <w:spacing w:after="0" w:line="54"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We are evaluating several financing strategies to increase our cash reserves, including direct equity investments and the potential licensing and monetization of other Company programs. The timing and availability of such additional funding are not yet known and we can provide no assurance that these plans will be successful.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7" w:name="page68"/>
    <w:bookmarkEnd w:id="67"/>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Flows</w:t>
      </w:r>
    </w:p>
    <w:p>
      <w:pPr>
        <w:spacing w:after="0" w:line="103"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81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900" w:type="dxa"/>
            <w:vAlign w:val="bottom"/>
            <w:tcBorders>
              <w:bottom w:val="single" w:sz="8" w:color="auto"/>
            </w:tcBorders>
          </w:tcPr>
          <w:p>
            <w:pPr>
              <w:spacing w:after="0"/>
              <w:rPr>
                <w:sz w:val="11"/>
                <w:szCs w:val="11"/>
                <w:color w:val="auto"/>
              </w:rPr>
            </w:pPr>
          </w:p>
        </w:tc>
      </w:tr>
      <w:tr>
        <w:trPr>
          <w:trHeight w:val="123"/>
        </w:trPr>
        <w:tc>
          <w:tcPr>
            <w:tcW w:w="8100" w:type="dxa"/>
            <w:vAlign w:val="bottom"/>
          </w:tcPr>
          <w:p>
            <w:pPr>
              <w:spacing w:after="0"/>
              <w:rPr>
                <w:sz w:val="10"/>
                <w:szCs w:val="10"/>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2025</w:t>
            </w: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16"/>
        </w:trPr>
        <w:tc>
          <w:tcPr>
            <w:tcW w:w="810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62"/>
        </w:trPr>
        <w:tc>
          <w:tcPr>
            <w:tcW w:w="8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90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2"/>
                <w:szCs w:val="12"/>
                <w:color w:val="auto"/>
              </w:rPr>
              <w:t>(25,255)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center"/>
              <w:ind w:left="383"/>
              <w:spacing w:after="0"/>
              <w:rPr>
                <w:sz w:val="20"/>
                <w:szCs w:val="20"/>
                <w:color w:val="auto"/>
              </w:rPr>
            </w:pPr>
            <w:r>
              <w:rPr>
                <w:rFonts w:ascii="Times New Roman" w:cs="Times New Roman" w:eastAsia="Times New Roman" w:hAnsi="Times New Roman"/>
                <w:sz w:val="12"/>
                <w:szCs w:val="12"/>
                <w:color w:val="auto"/>
              </w:rPr>
              <w:t>(25,307)</w:t>
            </w:r>
          </w:p>
        </w:tc>
      </w:tr>
      <w:tr>
        <w:trPr>
          <w:trHeight w:val="153"/>
        </w:trPr>
        <w:tc>
          <w:tcPr>
            <w:tcW w:w="8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left="63"/>
              <w:spacing w:after="0"/>
              <w:rPr>
                <w:sz w:val="20"/>
                <w:szCs w:val="20"/>
                <w:color w:val="auto"/>
              </w:rPr>
            </w:pPr>
            <w:r>
              <w:rPr>
                <w:rFonts w:ascii="Times New Roman" w:cs="Times New Roman" w:eastAsia="Times New Roman" w:hAnsi="Times New Roman"/>
                <w:sz w:val="12"/>
                <w:szCs w:val="12"/>
                <w:color w:val="auto"/>
                <w:w w:val="96"/>
              </w:rPr>
              <w:t>77,441</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left="403"/>
              <w:spacing w:after="0"/>
              <w:rPr>
                <w:sz w:val="20"/>
                <w:szCs w:val="20"/>
                <w:color w:val="auto"/>
              </w:rPr>
            </w:pPr>
            <w:r>
              <w:rPr>
                <w:rFonts w:ascii="Times New Roman" w:cs="Times New Roman" w:eastAsia="Times New Roman" w:hAnsi="Times New Roman"/>
                <w:sz w:val="12"/>
                <w:szCs w:val="12"/>
                <w:color w:val="auto"/>
                <w:w w:val="96"/>
              </w:rPr>
              <w:t>52,607</w:t>
            </w:r>
          </w:p>
        </w:tc>
      </w:tr>
      <w:tr>
        <w:trPr>
          <w:trHeight w:val="158"/>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Net increase in cash and cash equivalents</w:t>
            </w:r>
          </w:p>
        </w:tc>
        <w:tc>
          <w:tcPr>
            <w:tcW w:w="90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center"/>
              <w:ind w:left="63"/>
              <w:spacing w:after="0"/>
              <w:rPr>
                <w:sz w:val="20"/>
                <w:szCs w:val="20"/>
                <w:color w:val="auto"/>
              </w:rPr>
            </w:pPr>
            <w:r>
              <w:rPr>
                <w:rFonts w:ascii="Times New Roman" w:cs="Times New Roman" w:eastAsia="Times New Roman" w:hAnsi="Times New Roman"/>
                <w:sz w:val="12"/>
                <w:szCs w:val="12"/>
                <w:color w:val="auto"/>
                <w:w w:val="96"/>
              </w:rPr>
              <w:t>52,186</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center"/>
              <w:ind w:left="403"/>
              <w:spacing w:after="0"/>
              <w:rPr>
                <w:sz w:val="20"/>
                <w:szCs w:val="20"/>
                <w:color w:val="auto"/>
              </w:rPr>
            </w:pPr>
            <w:r>
              <w:rPr>
                <w:rFonts w:ascii="Times New Roman" w:cs="Times New Roman" w:eastAsia="Times New Roman" w:hAnsi="Times New Roman"/>
                <w:sz w:val="12"/>
                <w:szCs w:val="12"/>
                <w:color w:val="auto"/>
                <w:w w:val="96"/>
              </w:rPr>
              <w:t>27,300</w:t>
            </w: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Activities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For the year ended December 31, 2025, our net cash used in operating activities decreased by $0.1 million from the prior year. The significant contributor to the change in cash used during the year was working capital changes.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Investing Activities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There were no cash flows from investing activities for the years ended December 31, 2025 and December 31, 2024</w:t>
      </w:r>
      <w:r>
        <w:rPr>
          <w:rFonts w:ascii="Arial" w:cs="Arial" w:eastAsia="Arial" w:hAnsi="Arial"/>
          <w:sz w:val="14"/>
          <w:szCs w:val="14"/>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Financing Activities</w:t>
      </w:r>
    </w:p>
    <w:p>
      <w:pPr>
        <w:spacing w:after="0" w:line="82" w:lineRule="exact"/>
        <w:rPr>
          <w:sz w:val="20"/>
          <w:szCs w:val="20"/>
          <w:color w:val="auto"/>
        </w:rPr>
      </w:pPr>
    </w:p>
    <w:p>
      <w:pPr>
        <w:jc w:val="both"/>
        <w:ind w:right="20" w:firstLine="324"/>
        <w:spacing w:after="0" w:line="327" w:lineRule="auto"/>
        <w:rPr>
          <w:sz w:val="20"/>
          <w:szCs w:val="20"/>
          <w:color w:val="auto"/>
        </w:rPr>
      </w:pPr>
      <w:r>
        <w:rPr>
          <w:rFonts w:ascii="Times New Roman" w:cs="Times New Roman" w:eastAsia="Times New Roman" w:hAnsi="Times New Roman"/>
          <w:sz w:val="11"/>
          <w:szCs w:val="11"/>
          <w:color w:val="auto"/>
        </w:rPr>
        <w:t>For the year ended December 31, 2025, net cash provided by financing activities was driven by sales of Units in the 2025 Private Placement for proceeds of $80.0 million . For the year ended December 31, 2024, net cash provided by financing activities was driven by sales of our Class A common stock and pre-funded warrants in the 2024 Private Placement for proceeds of $51.0 million, plus proceeds from the TD Cowen ATM Offering of $2.5 million.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Future Funding Requirements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4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 xml:space="preserve">We plan to finance our operations through the use of our cash and cash equivalents, including cash received from future funding activities. We continue to evaluate financing strategies to fund future clinical trials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including direct equity investments and the potential licensing and monetization of other Company programs. The timing of any such transactions is not certain, and we may not be able to complete such transactions on acceptable terms, or at all. Even if we are able to complete such transactions, they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 Additionally, although we may sell shares of our Class A common stock pursuant to the TD Cowen ATM Offering, our ability to use this source of capital is dependent on a number of factors, including the prevailing market price of and the volume of trading in the Company’s Class A common stock.</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future capital requirements will depend on many factors, including:</w:t>
      </w:r>
    </w:p>
    <w:p>
      <w:pPr>
        <w:spacing w:after="0" w:line="76" w:lineRule="exact"/>
        <w:rPr>
          <w:sz w:val="20"/>
          <w:szCs w:val="20"/>
          <w:color w:val="auto"/>
        </w:rPr>
      </w:pPr>
    </w:p>
    <w:p>
      <w:pPr>
        <w:ind w:left="640" w:hanging="324"/>
        <w:spacing w:after="0"/>
        <w:tabs>
          <w:tab w:leader="none" w:pos="64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progress, costs, results and timing of enrollment and completion of our trials to evaluate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 potential adjunctive therapy for the treatment of type 1 diabetes;</w:t>
      </w:r>
    </w:p>
    <w:p>
      <w:pPr>
        <w:spacing w:after="0" w:line="80"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willingness of the FDA to rely upon our completed and planned clinical and preclinical studies and other work, as the basis for review and approval of our drug candidates;</w:t>
      </w:r>
    </w:p>
    <w:p>
      <w:pPr>
        <w:spacing w:after="0" w:line="76"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our ability to maintain control over our costs in line with our budget for our lead product candidate,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w:t>
      </w:r>
    </w:p>
    <w:p>
      <w:pPr>
        <w:spacing w:after="0" w:line="80"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outcome, costs and timing of seeking and obtaining FDA and any other regulatory approvals;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8" w:name="page69"/>
    <w:bookmarkEnd w:id="68"/>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0" w:hanging="324"/>
        <w:spacing w:after="0"/>
        <w:tabs>
          <w:tab w:leader="none" w:pos="6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and characteristics of drug candidates that we pursue, including our drug candidates in preclinical development;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our drug candidates to progress through clinical development successfully;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to expand our research and development activities;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associated with securing, establishing and maintaining commercialization capabilities;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acquiring, licensing or investing in businesses, products, drug candidates and technologies;</w:t>
      </w:r>
    </w:p>
    <w:p>
      <w:pPr>
        <w:spacing w:after="0" w:line="78"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and ability to hire additional management, scientific, and medical personnel;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competing technological and market developments;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to implement additional internal systems and infrastructure, including financial and reporting systems;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economic and other terms, timing and success of our existing licensing arrangements and any collaboration, licensing or other arrangements into which we may enter in the future;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payments we are required to make to M&amp;F TTP Holdings Two LLC in the future under the Tax Receivable Agreement.</w:t>
      </w:r>
    </w:p>
    <w:p>
      <w:pPr>
        <w:spacing w:after="0" w:line="7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w:t>
      </w:r>
    </w:p>
    <w:p>
      <w:pPr>
        <w:spacing w:after="0" w:line="3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The Company’s current cash resources are expected to fund operations beyond the anticipated topline data readout from the CATT1 Phase 3 trial.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December 31, 2025, we do not currently have outstanding any off-balance sheet arrangements as defined under SEC rules.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Discussion of Critical Accounting Policies and Estimates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Our management’s discussion and analysis of our financial condition and results of operations is based on our consolidated financial statements, which we have prepared in accordance with generally accepted accounting principles in the United States (“GAAP”). The preparation of our consolidated financial statements requires us to make estimates and assumptions that affect the reported amounts of assets and liabilities and the disclosure of contingent assets and liabilities at the date of our consolidated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3"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While our significant accounting policies are more fully described in Note 2, “Summary of Significant Accounting Policies,” to our audited consolidated financial statements, we believe that the following accounting policies related to revenue recognition, research and development, income taxes, and share-based compensation are the most critical for fully understanding and evaluating our financial condition and results of operations.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9" w:name="page70"/>
    <w:bookmarkEnd w:id="69"/>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majority of our revenue results from our license and collaboration agreements associated with the development of investigational drug products. We account for a contract when it has approval and commitment from both parties, the rights of the parties are identified, payment terms are identified, the contract has commercial substance and collectability of consideration is probable. For each contract meeting these criteria, we identify the performance obligations included within the contract. A performance obligation is a promise in a contract to transfer a distinct good or service to the customer. We then recognize revenue under each contract as the related performance obligations are satisfied.</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transaction price under the contract is determined based on the value of the consideration expected to be received in exchange for the transferred assets or services. Development, regulatory and sales milestones included in our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our best estimate of the standalone selling price of each distinct good or service in the contract. The primary method used to estimate standalone selling price is the expected cost plus margin approach. Revenue is recognized over the related period over which we expect the services to be provided using a proportional performance model or a straight-line method of recognition if there is no discernible pattern over which the services will be provided.</w:t>
      </w:r>
    </w:p>
    <w:p>
      <w:pPr>
        <w:spacing w:after="0" w:line="53" w:lineRule="exact"/>
        <w:rPr>
          <w:sz w:val="20"/>
          <w:szCs w:val="20"/>
          <w:color w:val="auto"/>
        </w:rPr>
      </w:pPr>
    </w:p>
    <w:p>
      <w:pPr>
        <w:ind w:right="2060" w:firstLine="432"/>
        <w:spacing w:after="0" w:line="375" w:lineRule="auto"/>
        <w:rPr>
          <w:sz w:val="20"/>
          <w:szCs w:val="20"/>
          <w:color w:val="auto"/>
        </w:rPr>
      </w:pPr>
      <w:r>
        <w:rPr>
          <w:rFonts w:ascii="Times New Roman" w:cs="Times New Roman" w:eastAsia="Times New Roman" w:hAnsi="Times New Roman"/>
          <w:sz w:val="12"/>
          <w:szCs w:val="12"/>
          <w:color w:val="auto"/>
        </w:rPr>
        <w:t xml:space="preserve">See Note 2 “Summary of Significant Accounting Policies”, to the Consolidated Financial Statements in Item 15 of Part IV of this Annual Report on Form 10-K for further information. </w:t>
      </w:r>
      <w:r>
        <w:rPr>
          <w:rFonts w:ascii="Times New Roman" w:cs="Times New Roman" w:eastAsia="Times New Roman" w:hAnsi="Times New Roman"/>
          <w:sz w:val="12"/>
          <w:szCs w:val="12"/>
          <w:b w:val="1"/>
          <w:bCs w:val="1"/>
          <w:i w:val="1"/>
          <w:iCs w:val="1"/>
          <w:color w:val="auto"/>
        </w:rPr>
        <w:t>Research and Development</w:t>
      </w:r>
    </w:p>
    <w:p>
      <w:pPr>
        <w:spacing w:after="0" w:line="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Major components of research and development costs include cash compensation to employees,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our behalf. Costs incurred in research and development are expensed as incurred.</w:t>
      </w:r>
    </w:p>
    <w:p>
      <w:pPr>
        <w:spacing w:after="0" w:line="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record accruals based on estimates of the services received, efforts expended and amounts owed pursuant to contracts with numerous contract research organizations. In the normal course of business, we contract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our accrual policy is to match the recording of expenses in our consolidated financial statements to the actual services received and efforts expended. As such, expense accruals related to clinical studies are recognized based on our estimate of the degree of completion of the event or events specified in the specific clinical study.</w:t>
      </w:r>
    </w:p>
    <w:p>
      <w:pPr>
        <w:spacing w:after="0" w:line="53"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We record nonrefundable advance payments we make for future research and development activities as prepaid expenses. Prepaid expenses are recognized as expense in the statements of operations as we receive the related goods or services.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Effect of Recent Accounting Pronouncements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See discussion of recent accounting pronouncements in Note 2, “Summary of Significant Accounting Policies”, to the Consolidated Financial Statements in Item 15 of Part IV of this Annual Report on Form 10-K.</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7A.</w:t>
      </w:r>
      <w:r>
        <w:rPr>
          <w:sz w:val="20"/>
          <w:szCs w:val="20"/>
          <w:color w:val="auto"/>
        </w:rPr>
        <w:tab/>
      </w:r>
      <w:r>
        <w:rPr>
          <w:rFonts w:ascii="Times New Roman" w:cs="Times New Roman" w:eastAsia="Times New Roman" w:hAnsi="Times New Roman"/>
          <w:sz w:val="11"/>
          <w:szCs w:val="11"/>
          <w:b w:val="1"/>
          <w:bCs w:val="1"/>
          <w:color w:val="auto"/>
        </w:rPr>
        <w:t>QUANTITATIVE AND QUALITATIVE DISCLOSURES ABOUT MARKET RISK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Rate Risk</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do not currently have any material interest rate exposure.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Market Risk</w:t>
      </w:r>
    </w:p>
    <w:p>
      <w:pPr>
        <w:spacing w:after="0" w:line="5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cash and cash equivalents with multiple financial institutions that management believes to be of high credit quality.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Risk</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do not have any material foreign currency exposure.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0" w:name="page71"/>
    <w:bookmarkEnd w:id="70"/>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8.</w:t>
      </w:r>
      <w:r>
        <w:rPr>
          <w:sz w:val="20"/>
          <w:szCs w:val="20"/>
          <w:color w:val="auto"/>
        </w:rPr>
        <w:tab/>
      </w:r>
      <w:r>
        <w:rPr>
          <w:rFonts w:ascii="Times New Roman" w:cs="Times New Roman" w:eastAsia="Times New Roman" w:hAnsi="Times New Roman"/>
          <w:sz w:val="11"/>
          <w:szCs w:val="11"/>
          <w:b w:val="1"/>
          <w:bCs w:val="1"/>
          <w:color w:val="auto"/>
        </w:rPr>
        <w:t>FINANCIAL STATEMENTS AND SUPPLEMENTARY DATA</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information required by this Item is included in our Consolidated Financial Statements and Supplementary Data listed in Item 15 of Part IV of this Annual Report on Form 10-K.</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color w:val="auto"/>
        </w:rPr>
        <w:t>CHANGES IN AND DISAGREEMENTS WITH ACCOUNTANTS ON ACCOUNTING AND FINANCIAL DISCLOSURE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None.</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9A.</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Under the supervision and with the participation of our Chief Executive Officer (our principal executive officer) and Chief Financial Officer (our principal financial officer), management has evaluated the effectiveness of the design and operation of our disclosure controls and procedures (as defined in Rules 13a-15(e) or 15d-15(e) of the Securities Exchange Act of 1934) as of December 31, 2025. Based upon that evaluation, our Chief Executive Officer and Chief Financial Officer concluded that, as of December 31, 2025,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with SEC disclosure obligations.</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3"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Annual Report on Internal Control Over Financial Reporting</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the consolidated financial statements for external reporting purposes in accordance with generally accepted accounting principles. Our internal control over financial reporting includes those written policies and procedures that:</w:t>
      </w:r>
    </w:p>
    <w:p>
      <w:pPr>
        <w:spacing w:after="0" w:line="47" w:lineRule="exact"/>
        <w:rPr>
          <w:sz w:val="20"/>
          <w:szCs w:val="20"/>
          <w:color w:val="auto"/>
        </w:rPr>
      </w:pPr>
    </w:p>
    <w:p>
      <w:pPr>
        <w:ind w:left="640" w:hanging="324"/>
        <w:spacing w:after="0"/>
        <w:tabs>
          <w:tab w:leader="none" w:pos="64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pertain to the maintenance of records that, in reasonable detail, accurately and fairly reflect the transactions and dispositions of assets;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that transactions are recorded as necessary to permit preparation of the consolidated financial statements in accordance with generally accepted accounting principles;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that receipts and expenditures are being made only in accordance with management and director authorization;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regarding prevention or timely detection of unauthorized acquisition, use or disposition of assets that could have a material effect on the consolidated financial statements.</w:t>
      </w:r>
    </w:p>
    <w:p>
      <w:pPr>
        <w:spacing w:after="0" w:line="51"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1" w:name="page72"/>
    <w:bookmarkEnd w:id="71"/>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inadequate because of changes in conditions, or that the degree of compliance with the policies or procedures may deteriorate.</w:t>
      </w:r>
    </w:p>
    <w:p>
      <w:pPr>
        <w:spacing w:after="0" w:line="60"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1"/>
          <w:szCs w:val="11"/>
          <w:color w:val="auto"/>
        </w:rPr>
        <w:t>Management assessed the effectiveness of our internal control over financial reporting as of December 31, 2025. Management based this assessment on criteria described in Internal Control - Integrated Framework (2013) issued by the Committee of Sponsoring Organizations of the Treadway Commission (COSO). Based on this assessment, management determined that as of December 31, 2025, we maintained effective internal control over financial reporting.</w:t>
      </w:r>
    </w:p>
    <w:p>
      <w:pPr>
        <w:spacing w:after="0"/>
        <w:rPr>
          <w:sz w:val="20"/>
          <w:szCs w:val="20"/>
          <w:color w:val="auto"/>
        </w:rPr>
      </w:pPr>
      <w:r>
        <w:rPr>
          <w:rFonts w:ascii="Times New Roman" w:cs="Times New Roman" w:eastAsia="Times New Roman" w:hAnsi="Times New Roman"/>
          <w:sz w:val="12"/>
          <w:szCs w:val="12"/>
          <w:b w:val="1"/>
          <w:bCs w:val="1"/>
          <w:color w:val="auto"/>
        </w:rPr>
        <w:t>Changes to Internal Control over Financial Reporting</w:t>
      </w:r>
    </w:p>
    <w:p>
      <w:pPr>
        <w:spacing w:after="0" w:line="55"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9B.</w:t>
      </w:r>
      <w:r>
        <w:rPr>
          <w:sz w:val="20"/>
          <w:szCs w:val="20"/>
          <w:color w:val="auto"/>
        </w:rPr>
        <w:tab/>
      </w:r>
      <w:r>
        <w:rPr>
          <w:rFonts w:ascii="Times New Roman" w:cs="Times New Roman" w:eastAsia="Times New Roman" w:hAnsi="Times New Roman"/>
          <w:sz w:val="11"/>
          <w:szCs w:val="11"/>
          <w:b w:val="1"/>
          <w:bCs w:val="1"/>
          <w:color w:val="auto"/>
        </w:rPr>
        <w:t>OTHER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Rule 10b5-1 Trading Plans</w:t>
      </w:r>
    </w:p>
    <w:p>
      <w:pPr>
        <w:spacing w:after="0" w:line="55"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None of the Company's directors or Section 16 reporting officers adopted or terminated any Rule 10b5-1 trading arrangement or non-Rule 10b5-1 trading arrangement (as such terms are defined in Item 408 or Regulation S-K) during the quarter ended December 31, 2025.</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9C.</w:t>
      </w:r>
      <w:r>
        <w:rPr>
          <w:sz w:val="20"/>
          <w:szCs w:val="20"/>
          <w:color w:val="auto"/>
        </w:rPr>
        <w:tab/>
      </w:r>
      <w:r>
        <w:rPr>
          <w:rFonts w:ascii="Times New Roman" w:cs="Times New Roman" w:eastAsia="Times New Roman" w:hAnsi="Times New Roman"/>
          <w:sz w:val="11"/>
          <w:szCs w:val="11"/>
          <w:b w:val="1"/>
          <w:bCs w:val="1"/>
          <w:color w:val="auto"/>
        </w:rPr>
        <w:t>DISCLOSURE REGARDING FOREIGN JURISDICTIONS THAT PREVENT INSPECTIONS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2" w:name="page73"/>
    <w:bookmarkEnd w:id="72"/>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6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color w:val="auto"/>
        </w:rPr>
        <w:t>DIRECTORS, EXECUTIVE OFFICERS AND CORPORATE GOVERNANCE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The information required by this item is incorporated by reference to our Proxy Statement for the 2026 Annual Meeting of Stockholders to be filed with the SEC within 120 days of the fiscal year ended December 31, 2025.</w:t>
      </w:r>
    </w:p>
    <w:p>
      <w:pPr>
        <w:spacing w:after="0" w:line="17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11.</w:t>
        <w:tab/>
        <w:t>EXECUTIVE COMPENSATION</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The information required by this item is incorporated by reference to our Proxy Statement for the 2026 Annual Meeting of Stockholders to be filed with the SEC within 120 days of the fiscal year ended December 31, 2025.</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1"/>
          <w:szCs w:val="11"/>
          <w:b w:val="1"/>
          <w:bCs w:val="1"/>
          <w:color w:val="auto"/>
        </w:rPr>
        <w:t>SECURITY OWNERSHIP OF CERTAIN BENEFICIAL OWNERS AND MANAGEMENT AND RELATED STOCKHOLDER MATTERS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The information required by this item is incorporated by reference to our Proxy Statement for the 2026 Annual Meeting of Stockholders to be filed with the SEC within 120 days of the fiscal year ended December 31, 2025.</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13.</w:t>
      </w:r>
      <w:r>
        <w:rPr>
          <w:sz w:val="20"/>
          <w:szCs w:val="20"/>
          <w:color w:val="auto"/>
        </w:rPr>
        <w:tab/>
      </w:r>
      <w:r>
        <w:rPr>
          <w:rFonts w:ascii="Times New Roman" w:cs="Times New Roman" w:eastAsia="Times New Roman" w:hAnsi="Times New Roman"/>
          <w:sz w:val="11"/>
          <w:szCs w:val="11"/>
          <w:b w:val="1"/>
          <w:bCs w:val="1"/>
          <w:color w:val="auto"/>
        </w:rPr>
        <w:t>CERTAIN RELATIONSHIPS AND RELATED TRANSACTIONS, AND DIRECTOR INDEPENDENCE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The information required by this item is incorporated by reference to our Proxy Statement for the 2026 Annual Meeting of Stockholders to be filed with the SEC within 120 days of the fiscal year ended December 31, 2025.</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14.</w:t>
      </w:r>
      <w:r>
        <w:rPr>
          <w:sz w:val="20"/>
          <w:szCs w:val="20"/>
          <w:color w:val="auto"/>
        </w:rPr>
        <w:tab/>
      </w:r>
      <w:r>
        <w:rPr>
          <w:rFonts w:ascii="Times New Roman" w:cs="Times New Roman" w:eastAsia="Times New Roman" w:hAnsi="Times New Roman"/>
          <w:sz w:val="11"/>
          <w:szCs w:val="11"/>
          <w:b w:val="1"/>
          <w:bCs w:val="1"/>
          <w:color w:val="auto"/>
        </w:rPr>
        <w:t>PRINCIPAL ACCOUNTANT FEES AND SERVICES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The information required by this item is incorporated by reference to our Proxy Statement for the 2026 Annual Meeting of Stockholders to be filed with the SEC within 120 days of the fiscal year ended December 31, 2025.</w:t>
      </w:r>
    </w:p>
    <w:p>
      <w:pPr>
        <w:spacing w:after="0" w:line="200" w:lineRule="exact"/>
        <w:rPr>
          <w:sz w:val="20"/>
          <w:szCs w:val="20"/>
          <w:color w:val="auto"/>
        </w:rPr>
      </w:pPr>
    </w:p>
    <w:p>
      <w:pPr>
        <w:spacing w:after="0" w:line="3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80"/>
          </w:cols>
          <w:pgMar w:left="300" w:top="201" w:right="619" w:bottom="1440" w:gutter="0" w:footer="0" w:header="0"/>
        </w:sectPr>
      </w:pPr>
    </w:p>
    <w:bookmarkStart w:id="73" w:name="page74"/>
    <w:bookmarkEnd w:id="73"/>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PART IV</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240" w:type="dxa"/>
            <w:vAlign w:val="bottom"/>
            <w:gridSpan w:val="29"/>
          </w:tcPr>
          <w:p>
            <w:pPr>
              <w:spacing w:after="0"/>
              <w:rPr>
                <w:sz w:val="20"/>
                <w:szCs w:val="20"/>
                <w:color w:val="auto"/>
              </w:rPr>
            </w:pPr>
            <w:r>
              <w:rPr>
                <w:rFonts w:ascii="Times New Roman" w:cs="Times New Roman" w:eastAsia="Times New Roman" w:hAnsi="Times New Roman"/>
                <w:sz w:val="12"/>
                <w:szCs w:val="12"/>
                <w:b w:val="1"/>
                <w:bCs w:val="1"/>
                <w:color w:val="auto"/>
              </w:rPr>
              <w:t>ITEM 15.  EXHIBITS AND FINANCIAL STATEMENT SCHEDULES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29"/>
          </w:tcPr>
          <w:p>
            <w:pPr>
              <w:spacing w:after="0"/>
              <w:rPr>
                <w:sz w:val="20"/>
                <w:szCs w:val="20"/>
                <w:color w:val="auto"/>
              </w:rPr>
            </w:pPr>
            <w:r>
              <w:rPr>
                <w:rFonts w:ascii="Times New Roman" w:cs="Times New Roman" w:eastAsia="Times New Roman" w:hAnsi="Times New Roman"/>
                <w:sz w:val="12"/>
                <w:szCs w:val="12"/>
                <w:color w:val="auto"/>
              </w:rPr>
              <w:t>(a)(1) Financial Statements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7"/>
          </w:tcPr>
          <w:p>
            <w:pPr>
              <w:ind w:left="120"/>
              <w:spacing w:after="0"/>
              <w:rPr>
                <w:sz w:val="20"/>
                <w:szCs w:val="20"/>
                <w:color w:val="auto"/>
              </w:rPr>
            </w:pPr>
            <w:r>
              <w:rPr>
                <w:rFonts w:ascii="Times New Roman" w:cs="Times New Roman" w:eastAsia="Times New Roman" w:hAnsi="Times New Roman"/>
                <w:sz w:val="12"/>
                <w:szCs w:val="12"/>
                <w:color w:val="auto"/>
              </w:rPr>
              <w:t>The following documents are included on pages F-1 through F-24 attached hereto and are filed as part of this Annual Report on Form 10-K.</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10140" w:type="dxa"/>
            <w:vAlign w:val="bottom"/>
            <w:gridSpan w:val="28"/>
          </w:tcPr>
          <w:p>
            <w:pPr>
              <w:spacing w:after="0"/>
              <w:rPr>
                <w:sz w:val="20"/>
                <w:szCs w:val="20"/>
                <w:color w:val="auto"/>
              </w:rPr>
            </w:pPr>
            <w:r>
              <w:rPr>
                <w:rFonts w:ascii="Times New Roman" w:cs="Times New Roman" w:eastAsia="Times New Roman" w:hAnsi="Times New Roman"/>
                <w:sz w:val="12"/>
                <w:szCs w:val="12"/>
                <w:color w:val="auto"/>
              </w:rPr>
              <w:t>Report of Independent Registered Public Accounting Firm</w:t>
            </w: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F-2</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10140" w:type="dxa"/>
            <w:vAlign w:val="bottom"/>
            <w:gridSpan w:val="28"/>
          </w:tcPr>
          <w:p>
            <w:pPr>
              <w:spacing w:after="0" w:line="128" w:lineRule="exact"/>
              <w:rPr>
                <w:sz w:val="20"/>
                <w:szCs w:val="20"/>
                <w:color w:val="auto"/>
              </w:rPr>
            </w:pPr>
            <w:r>
              <w:rPr>
                <w:rFonts w:ascii="Times New Roman" w:cs="Times New Roman" w:eastAsia="Times New Roman" w:hAnsi="Times New Roman"/>
                <w:sz w:val="12"/>
                <w:szCs w:val="12"/>
                <w:color w:val="0000FF"/>
              </w:rPr>
              <w:t xml:space="preserve">Consolidated Balance Sheets as of </w:t>
            </w:r>
            <w:r>
              <w:rPr>
                <w:rFonts w:ascii="Times New Roman" w:cs="Times New Roman" w:eastAsia="Times New Roman" w:hAnsi="Times New Roman"/>
                <w:sz w:val="12"/>
                <w:szCs w:val="12"/>
                <w:color w:val="000000"/>
              </w:rPr>
              <w:t>December 31, 2025</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2024</w:t>
            </w:r>
          </w:p>
        </w:tc>
        <w:tc>
          <w:tcPr>
            <w:tcW w:w="1060" w:type="dxa"/>
            <w:vAlign w:val="bottom"/>
            <w:gridSpan w:val="2"/>
          </w:tcPr>
          <w:p>
            <w:pPr>
              <w:ind w:left="780"/>
              <w:spacing w:after="0" w:line="128" w:lineRule="exact"/>
              <w:rPr>
                <w:sz w:val="20"/>
                <w:szCs w:val="20"/>
                <w:color w:val="auto"/>
              </w:rPr>
            </w:pPr>
            <w:r>
              <w:rPr>
                <w:rFonts w:ascii="Times New Roman" w:cs="Times New Roman" w:eastAsia="Times New Roman" w:hAnsi="Times New Roman"/>
                <w:sz w:val="12"/>
                <w:szCs w:val="12"/>
                <w:color w:val="auto"/>
              </w:rPr>
              <w:t>F-4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0" w:type="dxa"/>
            <w:vAlign w:val="bottom"/>
          </w:tcPr>
          <w:p>
            <w:pPr>
              <w:spacing w:after="0"/>
              <w:rPr>
                <w:sz w:val="11"/>
                <w:szCs w:val="11"/>
                <w:color w:val="auto"/>
              </w:rPr>
            </w:pPr>
          </w:p>
        </w:tc>
        <w:tc>
          <w:tcPr>
            <w:tcW w:w="10140" w:type="dxa"/>
            <w:vAlign w:val="bottom"/>
            <w:gridSpan w:val="28"/>
          </w:tcPr>
          <w:p>
            <w:pPr>
              <w:spacing w:after="0" w:line="133" w:lineRule="exact"/>
              <w:rPr>
                <w:sz w:val="20"/>
                <w:szCs w:val="20"/>
                <w:color w:val="auto"/>
              </w:rPr>
            </w:pPr>
            <w:r>
              <w:rPr>
                <w:rFonts w:ascii="Times New Roman" w:cs="Times New Roman" w:eastAsia="Times New Roman" w:hAnsi="Times New Roman"/>
                <w:sz w:val="12"/>
                <w:szCs w:val="12"/>
                <w:color w:val="0000FF"/>
              </w:rPr>
              <w:t xml:space="preserve">Consolidated Statements of Operations for the Years Ended </w:t>
            </w:r>
            <w:r>
              <w:rPr>
                <w:rFonts w:ascii="Times New Roman" w:cs="Times New Roman" w:eastAsia="Times New Roman" w:hAnsi="Times New Roman"/>
                <w:sz w:val="12"/>
                <w:szCs w:val="12"/>
                <w:color w:val="000000"/>
              </w:rPr>
              <w:t>December 31, 2025</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2024</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2023</w:t>
            </w:r>
          </w:p>
        </w:tc>
        <w:tc>
          <w:tcPr>
            <w:tcW w:w="1060" w:type="dxa"/>
            <w:vAlign w:val="bottom"/>
            <w:gridSpan w:val="2"/>
          </w:tcPr>
          <w:p>
            <w:pPr>
              <w:ind w:left="780"/>
              <w:spacing w:after="0" w:line="133" w:lineRule="exact"/>
              <w:rPr>
                <w:sz w:val="20"/>
                <w:szCs w:val="20"/>
                <w:color w:val="auto"/>
              </w:rPr>
            </w:pPr>
            <w:r>
              <w:rPr>
                <w:rFonts w:ascii="Times New Roman" w:cs="Times New Roman" w:eastAsia="Times New Roman" w:hAnsi="Times New Roman"/>
                <w:sz w:val="12"/>
                <w:szCs w:val="12"/>
                <w:color w:val="auto"/>
              </w:rPr>
              <w:t>F-5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0" w:type="dxa"/>
            <w:vAlign w:val="bottom"/>
          </w:tcPr>
          <w:p>
            <w:pPr>
              <w:spacing w:after="0"/>
              <w:rPr>
                <w:sz w:val="11"/>
                <w:szCs w:val="11"/>
                <w:color w:val="auto"/>
              </w:rPr>
            </w:pPr>
          </w:p>
        </w:tc>
        <w:tc>
          <w:tcPr>
            <w:tcW w:w="10140" w:type="dxa"/>
            <w:vAlign w:val="bottom"/>
            <w:gridSpan w:val="28"/>
          </w:tcPr>
          <w:p>
            <w:pPr>
              <w:spacing w:after="0" w:line="133" w:lineRule="exact"/>
              <w:rPr>
                <w:sz w:val="20"/>
                <w:szCs w:val="20"/>
                <w:color w:val="auto"/>
              </w:rPr>
            </w:pPr>
            <w:r>
              <w:rPr>
                <w:rFonts w:ascii="Times New Roman" w:cs="Times New Roman" w:eastAsia="Times New Roman" w:hAnsi="Times New Roman"/>
                <w:sz w:val="12"/>
                <w:szCs w:val="12"/>
                <w:color w:val="0000FF"/>
              </w:rPr>
              <w:t xml:space="preserve">Consolidated Statements of Changes in Redeemable Noncontrolling Interest and Stockholders’ Equity (Deficit) for the Years Ended </w:t>
            </w:r>
            <w:r>
              <w:rPr>
                <w:rFonts w:ascii="Times New Roman" w:cs="Times New Roman" w:eastAsia="Times New Roman" w:hAnsi="Times New Roman"/>
                <w:sz w:val="12"/>
                <w:szCs w:val="12"/>
                <w:color w:val="000000"/>
              </w:rPr>
              <w:t>December 31, 2025</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2024</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2023</w:t>
            </w:r>
          </w:p>
        </w:tc>
        <w:tc>
          <w:tcPr>
            <w:tcW w:w="1060" w:type="dxa"/>
            <w:vAlign w:val="bottom"/>
            <w:gridSpan w:val="2"/>
          </w:tcPr>
          <w:p>
            <w:pPr>
              <w:ind w:left="780"/>
              <w:spacing w:after="0" w:line="133" w:lineRule="exact"/>
              <w:rPr>
                <w:sz w:val="20"/>
                <w:szCs w:val="20"/>
                <w:color w:val="auto"/>
              </w:rPr>
            </w:pPr>
            <w:r>
              <w:rPr>
                <w:rFonts w:ascii="Times New Roman" w:cs="Times New Roman" w:eastAsia="Times New Roman" w:hAnsi="Times New Roman"/>
                <w:sz w:val="12"/>
                <w:szCs w:val="12"/>
                <w:color w:val="auto"/>
              </w:rPr>
              <w:t>F-6</w:t>
            </w: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7380" w:type="dxa"/>
            <w:vAlign w:val="bottom"/>
            <w:tcBorders>
              <w:top w:val="single" w:sz="8" w:color="0000FF"/>
            </w:tcBorders>
            <w:gridSpan w:val="20"/>
          </w:tcPr>
          <w:p>
            <w:pPr>
              <w:spacing w:after="0" w:line="133" w:lineRule="exact"/>
              <w:rPr>
                <w:sz w:val="20"/>
                <w:szCs w:val="20"/>
                <w:color w:val="auto"/>
              </w:rPr>
            </w:pPr>
            <w:r>
              <w:rPr>
                <w:rFonts w:ascii="Times New Roman" w:cs="Times New Roman" w:eastAsia="Times New Roman" w:hAnsi="Times New Roman"/>
                <w:sz w:val="12"/>
                <w:szCs w:val="12"/>
                <w:color w:val="0000FF"/>
              </w:rPr>
              <w:t xml:space="preserve">Consolidated Statements of Cash Flows for the Years Ended </w:t>
            </w:r>
            <w:r>
              <w:rPr>
                <w:rFonts w:ascii="Times New Roman" w:cs="Times New Roman" w:eastAsia="Times New Roman" w:hAnsi="Times New Roman"/>
                <w:sz w:val="12"/>
                <w:szCs w:val="12"/>
                <w:color w:val="000000"/>
              </w:rPr>
              <w:t>December 31, 2025</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2024</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2023</w:t>
            </w:r>
          </w:p>
        </w:tc>
        <w:tc>
          <w:tcPr>
            <w:tcW w:w="24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300" w:type="dxa"/>
            <w:vAlign w:val="bottom"/>
            <w:gridSpan w:val="6"/>
          </w:tcPr>
          <w:p>
            <w:pPr>
              <w:spacing w:after="0"/>
              <w:rPr>
                <w:sz w:val="11"/>
                <w:szCs w:val="11"/>
                <w:color w:val="auto"/>
              </w:rPr>
            </w:pPr>
          </w:p>
        </w:tc>
        <w:tc>
          <w:tcPr>
            <w:tcW w:w="1060" w:type="dxa"/>
            <w:vAlign w:val="bottom"/>
            <w:gridSpan w:val="2"/>
          </w:tcPr>
          <w:p>
            <w:pPr>
              <w:ind w:left="780"/>
              <w:spacing w:after="0" w:line="133" w:lineRule="exact"/>
              <w:rPr>
                <w:sz w:val="20"/>
                <w:szCs w:val="20"/>
                <w:color w:val="auto"/>
              </w:rPr>
            </w:pPr>
            <w:r>
              <w:rPr>
                <w:rFonts w:ascii="Times New Roman" w:cs="Times New Roman" w:eastAsia="Times New Roman" w:hAnsi="Times New Roman"/>
                <w:sz w:val="12"/>
                <w:szCs w:val="12"/>
                <w:color w:val="auto"/>
              </w:rPr>
              <w:t>F-7</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29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2"/>
                <w:szCs w:val="12"/>
                <w:color w:val="auto"/>
              </w:rPr>
              <w:t>Notes to Consolidated Financial Statements</w:t>
            </w:r>
          </w:p>
        </w:tc>
        <w:tc>
          <w:tcPr>
            <w:tcW w:w="1240" w:type="dxa"/>
            <w:vAlign w:val="bottom"/>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5740" w:type="dxa"/>
            <w:vAlign w:val="bottom"/>
            <w:gridSpan w:val="13"/>
          </w:tcPr>
          <w:p>
            <w:pPr>
              <w:spacing w:after="0"/>
              <w:rPr>
                <w:sz w:val="13"/>
                <w:szCs w:val="13"/>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F-8</w:t>
            </w:r>
          </w:p>
        </w:tc>
        <w:tc>
          <w:tcPr>
            <w:tcW w:w="0" w:type="dxa"/>
            <w:vAlign w:val="bottom"/>
          </w:tcPr>
          <w:p>
            <w:pPr>
              <w:spacing w:after="0"/>
              <w:rPr>
                <w:sz w:val="1"/>
                <w:szCs w:val="1"/>
                <w:color w:val="auto"/>
              </w:rPr>
            </w:pPr>
          </w:p>
        </w:tc>
      </w:tr>
      <w:tr>
        <w:trPr>
          <w:trHeight w:val="279"/>
        </w:trPr>
        <w:tc>
          <w:tcPr>
            <w:tcW w:w="10240" w:type="dxa"/>
            <w:vAlign w:val="bottom"/>
            <w:gridSpan w:val="29"/>
          </w:tcPr>
          <w:p>
            <w:pPr>
              <w:spacing w:after="0"/>
              <w:rPr>
                <w:sz w:val="20"/>
                <w:szCs w:val="20"/>
                <w:color w:val="auto"/>
              </w:rPr>
            </w:pPr>
            <w:r>
              <w:rPr>
                <w:rFonts w:ascii="Times New Roman" w:cs="Times New Roman" w:eastAsia="Times New Roman" w:hAnsi="Times New Roman"/>
                <w:sz w:val="12"/>
                <w:szCs w:val="12"/>
                <w:color w:val="auto"/>
              </w:rPr>
              <w:t>(a)(2) Financial Statement Schedules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Not applicable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(a)(3) List of Exhibits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40" w:type="dxa"/>
            <w:vAlign w:val="bottom"/>
            <w:gridSpan w:val="13"/>
            <w:vMerge w:val="restart"/>
          </w:tcPr>
          <w:p>
            <w:pPr>
              <w:ind w:left="138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Number</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740" w:type="dxa"/>
            <w:vAlign w:val="bottom"/>
            <w:gridSpan w:val="13"/>
            <w:vMerge w:val="continue"/>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gridSpan w:val="2"/>
          </w:tcPr>
          <w:p>
            <w:pPr>
              <w:spacing w:after="0"/>
              <w:rPr>
                <w:sz w:val="15"/>
                <w:szCs w:val="15"/>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1.1</w:t>
            </w:r>
          </w:p>
        </w:tc>
        <w:tc>
          <w:tcPr>
            <w:tcW w:w="600" w:type="dxa"/>
            <w:vAlign w:val="bottom"/>
          </w:tcPr>
          <w:p>
            <w:pPr>
              <w:spacing w:after="0"/>
              <w:rPr>
                <w:sz w:val="15"/>
                <w:szCs w:val="15"/>
                <w:color w:val="auto"/>
              </w:rPr>
            </w:pPr>
          </w:p>
        </w:tc>
        <w:tc>
          <w:tcPr>
            <w:tcW w:w="10160" w:type="dxa"/>
            <w:vAlign w:val="bottom"/>
            <w:gridSpan w:val="27"/>
          </w:tcPr>
          <w:p>
            <w:pPr>
              <w:spacing w:after="0"/>
              <w:rPr>
                <w:rFonts w:ascii="Times New Roman" w:cs="Times New Roman" w:eastAsia="Times New Roman" w:hAnsi="Times New Roman"/>
                <w:sz w:val="12"/>
                <w:szCs w:val="12"/>
                <w:color w:val="0000FF"/>
              </w:rPr>
            </w:pPr>
            <w:hyperlink r:id="rId164">
              <w:r>
                <w:rPr>
                  <w:rFonts w:ascii="Times New Roman" w:cs="Times New Roman" w:eastAsia="Times New Roman" w:hAnsi="Times New Roman"/>
                  <w:sz w:val="12"/>
                  <w:szCs w:val="12"/>
                  <w:color w:val="0000FF"/>
                </w:rPr>
                <w:t>Sales Agreement, dated February 28, 2024, by and between vTv Therapeutics Inc. and Cowen and Company, LLC (incorporated by reference from Exhibit 1.1 to the Company’s Form 8-K, filed February 28,</w:t>
              </w:r>
            </w:hyperlink>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164">
              <w:r>
                <w:rPr>
                  <w:rFonts w:ascii="Times New Roman" w:cs="Times New Roman" w:eastAsia="Times New Roman" w:hAnsi="Times New Roman"/>
                  <w:sz w:val="11"/>
                  <w:szCs w:val="11"/>
                  <w:color w:val="0000FF"/>
                </w:rPr>
                <w:t>2024 (File No. 001-37524)).</w:t>
              </w:r>
            </w:hyperlink>
          </w:p>
        </w:tc>
        <w:tc>
          <w:tcPr>
            <w:tcW w:w="7740" w:type="dxa"/>
            <w:vAlign w:val="bottom"/>
            <w:tcBorders>
              <w:top w:val="single" w:sz="8" w:color="0000FF"/>
            </w:tcBorders>
            <w:gridSpan w:val="21"/>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3.1</w:t>
            </w:r>
          </w:p>
        </w:tc>
        <w:tc>
          <w:tcPr>
            <w:tcW w:w="600" w:type="dxa"/>
            <w:vAlign w:val="bottom"/>
          </w:tcPr>
          <w:p>
            <w:pPr>
              <w:spacing w:after="0"/>
              <w:rPr>
                <w:sz w:val="15"/>
                <w:szCs w:val="15"/>
                <w:color w:val="auto"/>
              </w:rPr>
            </w:pPr>
          </w:p>
        </w:tc>
        <w:tc>
          <w:tcPr>
            <w:tcW w:w="9100" w:type="dxa"/>
            <w:vAlign w:val="bottom"/>
            <w:tcBorders>
              <w:bottom w:val="single" w:sz="8" w:color="0000FF"/>
            </w:tcBorders>
            <w:gridSpan w:val="25"/>
          </w:tcPr>
          <w:p>
            <w:pPr>
              <w:spacing w:after="0"/>
              <w:rPr>
                <w:rFonts w:ascii="Times New Roman" w:cs="Times New Roman" w:eastAsia="Times New Roman" w:hAnsi="Times New Roman"/>
                <w:sz w:val="12"/>
                <w:szCs w:val="12"/>
                <w:color w:val="0000FF"/>
                <w:w w:val="99"/>
              </w:rPr>
            </w:pPr>
            <w:hyperlink r:id="rId165">
              <w:r>
                <w:rPr>
                  <w:rFonts w:ascii="Times New Roman" w:cs="Times New Roman" w:eastAsia="Times New Roman" w:hAnsi="Times New Roman"/>
                  <w:sz w:val="12"/>
                  <w:szCs w:val="12"/>
                  <w:color w:val="0000FF"/>
                  <w:w w:val="99"/>
                </w:rPr>
                <w:t>Amended and Restated Certificate of Incorporation dated July 29, 2015 (incorporated by reference from Exhibit 3.1 to the Company’s Form 8-K, filed August 4, 2015 (File No. 001-37524)).</w:t>
              </w:r>
            </w:hyperlink>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3.2</w:t>
            </w:r>
          </w:p>
        </w:tc>
        <w:tc>
          <w:tcPr>
            <w:tcW w:w="600" w:type="dxa"/>
            <w:vAlign w:val="bottom"/>
          </w:tcPr>
          <w:p>
            <w:pPr>
              <w:spacing w:after="0"/>
              <w:rPr>
                <w:sz w:val="14"/>
                <w:szCs w:val="14"/>
                <w:color w:val="auto"/>
              </w:rPr>
            </w:pPr>
          </w:p>
        </w:tc>
        <w:tc>
          <w:tcPr>
            <w:tcW w:w="10160" w:type="dxa"/>
            <w:vAlign w:val="bottom"/>
            <w:gridSpan w:val="27"/>
          </w:tcPr>
          <w:p>
            <w:pPr>
              <w:spacing w:after="0"/>
              <w:rPr>
                <w:rFonts w:ascii="Times New Roman" w:cs="Times New Roman" w:eastAsia="Times New Roman" w:hAnsi="Times New Roman"/>
                <w:sz w:val="12"/>
                <w:szCs w:val="12"/>
                <w:color w:val="0000FF"/>
              </w:rPr>
            </w:pPr>
            <w:hyperlink r:id="rId166">
              <w:r>
                <w:rPr>
                  <w:rFonts w:ascii="Times New Roman" w:cs="Times New Roman" w:eastAsia="Times New Roman" w:hAnsi="Times New Roman"/>
                  <w:sz w:val="12"/>
                  <w:szCs w:val="12"/>
                  <w:color w:val="0000FF"/>
                </w:rPr>
                <w:t>Certificate of Amendment to Certificate of Incorporation of vTv Therapeutics Inc. dated May 4, 2021 (incorporated by reference from Exhibit 3.1 to the Company’s Form 8-K, filed May 5, 2021 (File No.</w:t>
              </w:r>
            </w:hyperlink>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Borders>
              <w:top w:val="single" w:sz="8" w:color="0000FF"/>
              <w:bottom w:val="single" w:sz="8" w:color="0000FF"/>
            </w:tcBorders>
            <w:gridSpan w:val="2"/>
          </w:tcPr>
          <w:p>
            <w:pPr>
              <w:spacing w:after="0" w:line="97" w:lineRule="exact"/>
              <w:rPr>
                <w:rFonts w:ascii="Times New Roman" w:cs="Times New Roman" w:eastAsia="Times New Roman" w:hAnsi="Times New Roman"/>
                <w:sz w:val="11"/>
                <w:szCs w:val="11"/>
                <w:color w:val="0000FF"/>
              </w:rPr>
            </w:pPr>
            <w:hyperlink r:id="rId166">
              <w:r>
                <w:rPr>
                  <w:rFonts w:ascii="Times New Roman" w:cs="Times New Roman" w:eastAsia="Times New Roman" w:hAnsi="Times New Roman"/>
                  <w:sz w:val="11"/>
                  <w:szCs w:val="11"/>
                  <w:color w:val="0000FF"/>
                </w:rPr>
                <w:t>001-37524)).</w:t>
              </w:r>
            </w:hyperlink>
          </w:p>
        </w:tc>
        <w:tc>
          <w:tcPr>
            <w:tcW w:w="44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3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10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142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3.3</w:t>
            </w:r>
          </w:p>
        </w:tc>
        <w:tc>
          <w:tcPr>
            <w:tcW w:w="600" w:type="dxa"/>
            <w:vAlign w:val="bottom"/>
          </w:tcPr>
          <w:p>
            <w:pPr>
              <w:spacing w:after="0"/>
              <w:rPr>
                <w:sz w:val="15"/>
                <w:szCs w:val="15"/>
                <w:color w:val="auto"/>
              </w:rPr>
            </w:pPr>
          </w:p>
        </w:tc>
        <w:tc>
          <w:tcPr>
            <w:tcW w:w="10160" w:type="dxa"/>
            <w:vAlign w:val="bottom"/>
            <w:gridSpan w:val="27"/>
          </w:tcPr>
          <w:p>
            <w:pPr>
              <w:spacing w:after="0"/>
              <w:rPr>
                <w:rFonts w:ascii="Times New Roman" w:cs="Times New Roman" w:eastAsia="Times New Roman" w:hAnsi="Times New Roman"/>
                <w:sz w:val="12"/>
                <w:szCs w:val="12"/>
                <w:color w:val="0000FF"/>
              </w:rPr>
            </w:pPr>
            <w:hyperlink r:id="rId167">
              <w:r>
                <w:rPr>
                  <w:rFonts w:ascii="Times New Roman" w:cs="Times New Roman" w:eastAsia="Times New Roman" w:hAnsi="Times New Roman"/>
                  <w:sz w:val="12"/>
                  <w:szCs w:val="12"/>
                  <w:color w:val="0000FF"/>
                </w:rPr>
                <w:t>Certificate of Amendment of Certificate of Incorporation dated as of November 20, 2023 (incorporated by reference from Exhibit 3.3 to the Company’s Form 10-K, filed March 13, 2024 (File No. 001-</w:t>
              </w:r>
            </w:hyperlink>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Borders>
              <w:top w:val="single" w:sz="8" w:color="0000FF"/>
              <w:bottom w:val="single" w:sz="8" w:color="0000FF"/>
            </w:tcBorders>
          </w:tcPr>
          <w:p>
            <w:pPr>
              <w:spacing w:after="0" w:line="97" w:lineRule="exact"/>
              <w:rPr>
                <w:rFonts w:ascii="Times New Roman" w:cs="Times New Roman" w:eastAsia="Times New Roman" w:hAnsi="Times New Roman"/>
                <w:sz w:val="11"/>
                <w:szCs w:val="11"/>
                <w:color w:val="0000FF"/>
              </w:rPr>
            </w:pPr>
            <w:hyperlink r:id="rId167">
              <w:r>
                <w:rPr>
                  <w:rFonts w:ascii="Times New Roman" w:cs="Times New Roman" w:eastAsia="Times New Roman" w:hAnsi="Times New Roman"/>
                  <w:sz w:val="11"/>
                  <w:szCs w:val="11"/>
                  <w:color w:val="0000FF"/>
                </w:rPr>
                <w:t>37524)</w:t>
              </w:r>
              <w:r>
                <w:rPr>
                  <w:rFonts w:ascii="Times New Roman" w:cs="Times New Roman" w:eastAsia="Times New Roman" w:hAnsi="Times New Roman"/>
                  <w:sz w:val="11"/>
                  <w:szCs w:val="11"/>
                  <w:u w:val="single" w:color="auto"/>
                  <w:color w:val="0000FF"/>
                </w:rPr>
                <w:t>)</w:t>
              </w:r>
              <w:r>
                <w:rPr>
                  <w:rFonts w:ascii="Times New Roman" w:cs="Times New Roman" w:eastAsia="Times New Roman" w:hAnsi="Times New Roman"/>
                  <w:sz w:val="11"/>
                  <w:szCs w:val="11"/>
                  <w:color w:val="0000FF"/>
                </w:rPr>
                <w:t>.</w:t>
              </w:r>
            </w:hyperlink>
          </w:p>
        </w:tc>
        <w:tc>
          <w:tcPr>
            <w:tcW w:w="24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3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10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142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3.4</w:t>
            </w:r>
          </w:p>
        </w:tc>
        <w:tc>
          <w:tcPr>
            <w:tcW w:w="600" w:type="dxa"/>
            <w:vAlign w:val="bottom"/>
          </w:tcPr>
          <w:p>
            <w:pPr>
              <w:spacing w:after="0"/>
              <w:rPr>
                <w:sz w:val="15"/>
                <w:szCs w:val="15"/>
                <w:color w:val="auto"/>
              </w:rPr>
            </w:pPr>
          </w:p>
        </w:tc>
        <w:tc>
          <w:tcPr>
            <w:tcW w:w="9100" w:type="dxa"/>
            <w:vAlign w:val="bottom"/>
            <w:gridSpan w:val="25"/>
          </w:tcPr>
          <w:p>
            <w:pPr>
              <w:spacing w:after="0"/>
              <w:rPr>
                <w:rFonts w:ascii="Times New Roman" w:cs="Times New Roman" w:eastAsia="Times New Roman" w:hAnsi="Times New Roman"/>
                <w:sz w:val="12"/>
                <w:szCs w:val="12"/>
                <w:color w:val="0000FF"/>
              </w:rPr>
            </w:pPr>
            <w:hyperlink r:id="rId168">
              <w:r>
                <w:rPr>
                  <w:rFonts w:ascii="Times New Roman" w:cs="Times New Roman" w:eastAsia="Times New Roman" w:hAnsi="Times New Roman"/>
                  <w:sz w:val="12"/>
                  <w:szCs w:val="12"/>
                  <w:color w:val="0000FF"/>
                </w:rPr>
                <w:t>Second Amended and Restated By-laws (incorporated by reference from Exhibit 3.1 to the Company’s Form 8-K, filed March 3, 2022 (File No. 001-37524)).</w:t>
              </w:r>
            </w:hyperlink>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5"/>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3.5</w:t>
            </w:r>
          </w:p>
        </w:tc>
        <w:tc>
          <w:tcPr>
            <w:tcW w:w="600" w:type="dxa"/>
            <w:vAlign w:val="bottom"/>
          </w:tcPr>
          <w:p>
            <w:pPr>
              <w:spacing w:after="0"/>
              <w:rPr>
                <w:sz w:val="14"/>
                <w:szCs w:val="14"/>
                <w:color w:val="auto"/>
              </w:rPr>
            </w:pPr>
          </w:p>
        </w:tc>
        <w:tc>
          <w:tcPr>
            <w:tcW w:w="9100" w:type="dxa"/>
            <w:vAlign w:val="bottom"/>
            <w:gridSpan w:val="25"/>
          </w:tcPr>
          <w:p>
            <w:pPr>
              <w:spacing w:after="0"/>
              <w:rPr>
                <w:rFonts w:ascii="Times New Roman" w:cs="Times New Roman" w:eastAsia="Times New Roman" w:hAnsi="Times New Roman"/>
                <w:sz w:val="12"/>
                <w:szCs w:val="12"/>
                <w:color w:val="0000FF"/>
              </w:rPr>
            </w:pPr>
            <w:hyperlink r:id="rId169">
              <w:r>
                <w:rPr>
                  <w:rFonts w:ascii="Times New Roman" w:cs="Times New Roman" w:eastAsia="Times New Roman" w:hAnsi="Times New Roman"/>
                  <w:sz w:val="12"/>
                  <w:szCs w:val="12"/>
                  <w:color w:val="0000FF"/>
                </w:rPr>
                <w:t xml:space="preserve">First Amendment to the Second Amended and Restated By-Laws (incorporated by reference from Exhibit 3.1 to the Company’s Form 8-K, filed December </w:t>
              </w:r>
            </w:hyperlink>
            <w:r>
              <w:rPr>
                <w:rFonts w:ascii="Times New Roman" w:cs="Times New Roman" w:eastAsia="Times New Roman" w:hAnsi="Times New Roman"/>
                <w:sz w:val="12"/>
                <w:szCs w:val="12"/>
                <w:color w:val="0000FF"/>
              </w:rPr>
              <w:t xml:space="preserve">19, 2025 </w:t>
            </w:r>
            <w:hyperlink r:id="rId169">
              <w:r>
                <w:rPr>
                  <w:rFonts w:ascii="Times New Roman" w:cs="Times New Roman" w:eastAsia="Times New Roman" w:hAnsi="Times New Roman"/>
                  <w:sz w:val="12"/>
                  <w:szCs w:val="12"/>
                  <w:color w:val="0000FF"/>
                </w:rPr>
                <w:t>(File No. 001-37524))</w:t>
              </w:r>
            </w:hyperlink>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4.1</w:t>
            </w:r>
          </w:p>
        </w:tc>
        <w:tc>
          <w:tcPr>
            <w:tcW w:w="600" w:type="dxa"/>
            <w:vAlign w:val="bottom"/>
          </w:tcPr>
          <w:p>
            <w:pPr>
              <w:spacing w:after="0"/>
              <w:rPr>
                <w:sz w:val="14"/>
                <w:szCs w:val="14"/>
                <w:color w:val="auto"/>
              </w:rPr>
            </w:pPr>
          </w:p>
        </w:tc>
        <w:tc>
          <w:tcPr>
            <w:tcW w:w="7340" w:type="dxa"/>
            <w:vAlign w:val="bottom"/>
            <w:tcBorders>
              <w:top w:val="single" w:sz="8" w:color="0000FF"/>
              <w:bottom w:val="single" w:sz="8" w:color="0000FF"/>
            </w:tcBorders>
            <w:gridSpan w:val="22"/>
          </w:tcPr>
          <w:p>
            <w:pPr>
              <w:spacing w:after="0"/>
              <w:rPr>
                <w:rFonts w:ascii="Times New Roman" w:cs="Times New Roman" w:eastAsia="Times New Roman" w:hAnsi="Times New Roman"/>
                <w:sz w:val="12"/>
                <w:szCs w:val="12"/>
                <w:color w:val="0000FF"/>
                <w:w w:val="99"/>
              </w:rPr>
            </w:pPr>
            <w:hyperlink r:id="rId170">
              <w:r>
                <w:rPr>
                  <w:rFonts w:ascii="Times New Roman" w:cs="Times New Roman" w:eastAsia="Times New Roman" w:hAnsi="Times New Roman"/>
                  <w:sz w:val="12"/>
                  <w:szCs w:val="12"/>
                  <w:color w:val="0000FF"/>
                  <w:w w:val="99"/>
                </w:rPr>
                <w:t>Warrant to Purchase Common Stock (incorporated by reference from Exhibit 4.1 to the Company’s Form 8-K, filed July 25, 2022 (File No. 001-37524)).</w:t>
              </w:r>
            </w:hyperlink>
          </w:p>
        </w:tc>
        <w:tc>
          <w:tcPr>
            <w:tcW w:w="1640" w:type="dxa"/>
            <w:vAlign w:val="bottom"/>
            <w:tcBorders>
              <w:top w:val="single" w:sz="8" w:color="0000FF"/>
            </w:tcBorders>
            <w:gridSpan w:val="2"/>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4.2</w:t>
            </w:r>
          </w:p>
        </w:tc>
        <w:tc>
          <w:tcPr>
            <w:tcW w:w="600" w:type="dxa"/>
            <w:vAlign w:val="bottom"/>
          </w:tcPr>
          <w:p>
            <w:pPr>
              <w:spacing w:after="0"/>
              <w:rPr>
                <w:sz w:val="14"/>
                <w:szCs w:val="14"/>
                <w:color w:val="auto"/>
              </w:rPr>
            </w:pPr>
          </w:p>
        </w:tc>
        <w:tc>
          <w:tcPr>
            <w:tcW w:w="6920" w:type="dxa"/>
            <w:vAlign w:val="bottom"/>
            <w:tcBorders>
              <w:bottom w:val="single" w:sz="8" w:color="0000FF"/>
            </w:tcBorders>
            <w:gridSpan w:val="20"/>
          </w:tcPr>
          <w:p>
            <w:pPr>
              <w:spacing w:after="0"/>
              <w:rPr>
                <w:rFonts w:ascii="Times New Roman" w:cs="Times New Roman" w:eastAsia="Times New Roman" w:hAnsi="Times New Roman"/>
                <w:sz w:val="12"/>
                <w:szCs w:val="12"/>
                <w:color w:val="0000FF"/>
                <w:w w:val="99"/>
              </w:rPr>
            </w:pPr>
            <w:hyperlink r:id="rId171">
              <w:r>
                <w:rPr>
                  <w:rFonts w:ascii="Times New Roman" w:cs="Times New Roman" w:eastAsia="Times New Roman" w:hAnsi="Times New Roman"/>
                  <w:sz w:val="12"/>
                  <w:szCs w:val="12"/>
                  <w:color w:val="0000FF"/>
                  <w:w w:val="99"/>
                </w:rPr>
                <w:t>Form of Pre-Funded Warrant (incorporated by reference from Exhibit 4.1 to the Company's 8-K, filed February 28, 2024 (File No. 001-37524)).</w:t>
              </w:r>
            </w:hyperlink>
          </w:p>
        </w:tc>
        <w:tc>
          <w:tcPr>
            <w:tcW w:w="2180" w:type="dxa"/>
            <w:vAlign w:val="bottom"/>
            <w:gridSpan w:val="5"/>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4.3</w:t>
            </w:r>
          </w:p>
        </w:tc>
        <w:tc>
          <w:tcPr>
            <w:tcW w:w="600" w:type="dxa"/>
            <w:vAlign w:val="bottom"/>
          </w:tcPr>
          <w:p>
            <w:pPr>
              <w:spacing w:after="0"/>
              <w:rPr>
                <w:sz w:val="14"/>
                <w:szCs w:val="14"/>
                <w:color w:val="auto"/>
              </w:rPr>
            </w:pPr>
          </w:p>
        </w:tc>
        <w:tc>
          <w:tcPr>
            <w:tcW w:w="6940" w:type="dxa"/>
            <w:vAlign w:val="bottom"/>
            <w:tcBorders>
              <w:bottom w:val="single" w:sz="8" w:color="0000FF"/>
            </w:tcBorders>
            <w:gridSpan w:val="21"/>
          </w:tcPr>
          <w:p>
            <w:pPr>
              <w:spacing w:after="0"/>
              <w:rPr>
                <w:rFonts w:ascii="Times New Roman" w:cs="Times New Roman" w:eastAsia="Times New Roman" w:hAnsi="Times New Roman"/>
                <w:sz w:val="12"/>
                <w:szCs w:val="12"/>
                <w:color w:val="0000FF"/>
                <w:w w:val="99"/>
              </w:rPr>
            </w:pPr>
            <w:hyperlink r:id="rId172">
              <w:r>
                <w:rPr>
                  <w:rFonts w:ascii="Times New Roman" w:cs="Times New Roman" w:eastAsia="Times New Roman" w:hAnsi="Times New Roman"/>
                  <w:sz w:val="12"/>
                  <w:szCs w:val="12"/>
                  <w:color w:val="0000FF"/>
                  <w:w w:val="99"/>
                </w:rPr>
                <w:t xml:space="preserve">Form of Pre-Funded Warrant (incorporated by reference from Exhibit 4.1 to the Company's 8-K, filed September </w:t>
              </w:r>
            </w:hyperlink>
            <w:r>
              <w:rPr>
                <w:rFonts w:ascii="Times New Roman" w:cs="Times New Roman" w:eastAsia="Times New Roman" w:hAnsi="Times New Roman"/>
                <w:sz w:val="12"/>
                <w:szCs w:val="12"/>
                <w:color w:val="0000FF"/>
                <w:w w:val="99"/>
              </w:rPr>
              <w:t xml:space="preserve">2, 2025 </w:t>
            </w:r>
            <w:hyperlink r:id="rId172">
              <w:r>
                <w:rPr>
                  <w:rFonts w:ascii="Times New Roman" w:cs="Times New Roman" w:eastAsia="Times New Roman" w:hAnsi="Times New Roman"/>
                  <w:sz w:val="12"/>
                  <w:szCs w:val="12"/>
                  <w:color w:val="0000FF"/>
                  <w:w w:val="99"/>
                </w:rPr>
                <w:t>(File No. 001-37524)).</w:t>
              </w:r>
            </w:hyperlink>
          </w:p>
        </w:tc>
        <w:tc>
          <w:tcPr>
            <w:tcW w:w="2160" w:type="dxa"/>
            <w:vAlign w:val="bottom"/>
            <w:gridSpan w:val="4"/>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4.4</w:t>
            </w:r>
          </w:p>
        </w:tc>
        <w:tc>
          <w:tcPr>
            <w:tcW w:w="600" w:type="dxa"/>
            <w:vAlign w:val="bottom"/>
          </w:tcPr>
          <w:p>
            <w:pPr>
              <w:spacing w:after="0"/>
              <w:rPr>
                <w:sz w:val="14"/>
                <w:szCs w:val="14"/>
                <w:color w:val="auto"/>
              </w:rPr>
            </w:pPr>
          </w:p>
        </w:tc>
        <w:tc>
          <w:tcPr>
            <w:tcW w:w="9100" w:type="dxa"/>
            <w:vAlign w:val="bottom"/>
            <w:gridSpan w:val="25"/>
          </w:tcPr>
          <w:p>
            <w:pPr>
              <w:spacing w:after="0"/>
              <w:rPr>
                <w:rFonts w:ascii="Times New Roman" w:cs="Times New Roman" w:eastAsia="Times New Roman" w:hAnsi="Times New Roman"/>
                <w:sz w:val="12"/>
                <w:szCs w:val="12"/>
                <w:color w:val="0000FF"/>
              </w:rPr>
            </w:pPr>
            <w:hyperlink r:id="rId173">
              <w:r>
                <w:rPr>
                  <w:rFonts w:ascii="Times New Roman" w:cs="Times New Roman" w:eastAsia="Times New Roman" w:hAnsi="Times New Roman"/>
                  <w:sz w:val="12"/>
                  <w:szCs w:val="12"/>
                  <w:color w:val="0000FF"/>
                </w:rPr>
                <w:t xml:space="preserve">Form of Warrant (incorporated by reference from Exhibit </w:t>
              </w:r>
            </w:hyperlink>
            <w:r>
              <w:rPr>
                <w:rFonts w:ascii="Times New Roman" w:cs="Times New Roman" w:eastAsia="Times New Roman" w:hAnsi="Times New Roman"/>
                <w:sz w:val="12"/>
                <w:szCs w:val="12"/>
                <w:color w:val="0000FF"/>
              </w:rPr>
              <w:t xml:space="preserve">4.2 </w:t>
            </w:r>
            <w:hyperlink r:id="rId173">
              <w:r>
                <w:rPr>
                  <w:rFonts w:ascii="Times New Roman" w:cs="Times New Roman" w:eastAsia="Times New Roman" w:hAnsi="Times New Roman"/>
                  <w:sz w:val="12"/>
                  <w:szCs w:val="12"/>
                  <w:color w:val="0000FF"/>
                </w:rPr>
                <w:t>to the Company's 8-K, filed September 2, 2025 (File No. 001-37524)).</w:t>
              </w:r>
            </w:hyperlink>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4.5*</w:t>
            </w:r>
          </w:p>
        </w:tc>
        <w:tc>
          <w:tcPr>
            <w:tcW w:w="600" w:type="dxa"/>
            <w:vAlign w:val="bottom"/>
          </w:tcPr>
          <w:p>
            <w:pPr>
              <w:spacing w:after="0"/>
              <w:rPr>
                <w:sz w:val="14"/>
                <w:szCs w:val="14"/>
                <w:color w:val="auto"/>
              </w:rPr>
            </w:pPr>
          </w:p>
        </w:tc>
        <w:tc>
          <w:tcPr>
            <w:tcW w:w="14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2"/>
                <w:szCs w:val="12"/>
                <w:color w:val="0000FF"/>
                <w:w w:val="98"/>
              </w:rPr>
              <w:t>Description of Capital Stock.</w:t>
            </w:r>
          </w:p>
        </w:tc>
        <w:tc>
          <w:tcPr>
            <w:tcW w:w="4940" w:type="dxa"/>
            <w:vAlign w:val="bottom"/>
            <w:tcBorders>
              <w:top w:val="single" w:sz="8" w:color="0000FF"/>
            </w:tcBorders>
            <w:gridSpan w:val="12"/>
          </w:tcPr>
          <w:p>
            <w:pPr>
              <w:spacing w:after="0"/>
              <w:rPr>
                <w:sz w:val="14"/>
                <w:szCs w:val="14"/>
                <w:color w:val="auto"/>
              </w:rPr>
            </w:pPr>
          </w:p>
        </w:tc>
        <w:tc>
          <w:tcPr>
            <w:tcW w:w="2760" w:type="dxa"/>
            <w:vAlign w:val="bottom"/>
            <w:gridSpan w:val="8"/>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10.1</w:t>
            </w:r>
          </w:p>
        </w:tc>
        <w:tc>
          <w:tcPr>
            <w:tcW w:w="600" w:type="dxa"/>
            <w:vAlign w:val="bottom"/>
          </w:tcPr>
          <w:p>
            <w:pPr>
              <w:spacing w:after="0"/>
              <w:rPr>
                <w:sz w:val="14"/>
                <w:szCs w:val="14"/>
                <w:color w:val="auto"/>
              </w:rPr>
            </w:pPr>
          </w:p>
        </w:tc>
        <w:tc>
          <w:tcPr>
            <w:tcW w:w="10160" w:type="dxa"/>
            <w:vAlign w:val="bottom"/>
            <w:gridSpan w:val="27"/>
          </w:tcPr>
          <w:p>
            <w:pPr>
              <w:spacing w:after="0"/>
              <w:rPr>
                <w:rFonts w:ascii="Times New Roman" w:cs="Times New Roman" w:eastAsia="Times New Roman" w:hAnsi="Times New Roman"/>
                <w:sz w:val="12"/>
                <w:szCs w:val="12"/>
                <w:color w:val="0000FF"/>
              </w:rPr>
            </w:pPr>
            <w:hyperlink r:id="rId174">
              <w:r>
                <w:rPr>
                  <w:rFonts w:ascii="Times New Roman" w:cs="Times New Roman" w:eastAsia="Times New Roman" w:hAnsi="Times New Roman"/>
                  <w:sz w:val="12"/>
                  <w:szCs w:val="12"/>
                  <w:color w:val="0000FF"/>
                </w:rPr>
                <w:t>Reorganization Agreement, dated as of July 29, 2015, among vTv Therapeutics Inc., vTv Therapeutics LLC, vTvx Holdings I LLC, vTvx Holdings II LLC and vTv Therapeutics Holdings LLC (incorporated</w:t>
              </w:r>
            </w:hyperlink>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100" w:type="dxa"/>
            <w:vAlign w:val="bottom"/>
            <w:tcBorders>
              <w:top w:val="single" w:sz="8" w:color="0000FF"/>
            </w:tcBorders>
            <w:gridSpan w:val="25"/>
          </w:tcPr>
          <w:p>
            <w:pPr>
              <w:spacing w:after="0" w:line="97" w:lineRule="exact"/>
              <w:rPr>
                <w:rFonts w:ascii="Times New Roman" w:cs="Times New Roman" w:eastAsia="Times New Roman" w:hAnsi="Times New Roman"/>
                <w:sz w:val="11"/>
                <w:szCs w:val="11"/>
                <w:color w:val="0000FF"/>
              </w:rPr>
            </w:pPr>
            <w:hyperlink r:id="rId174">
              <w:r>
                <w:rPr>
                  <w:rFonts w:ascii="Times New Roman" w:cs="Times New Roman" w:eastAsia="Times New Roman" w:hAnsi="Times New Roman"/>
                  <w:sz w:val="11"/>
                  <w:szCs w:val="11"/>
                  <w:color w:val="0000FF"/>
                </w:rPr>
                <w:t>by reference from Exhibit 10.1 to the Company’s Form 8-K, filed August 4, 2015 (File No. 001-37524)).</w:t>
              </w:r>
            </w:hyperlink>
          </w:p>
        </w:tc>
        <w:tc>
          <w:tcPr>
            <w:tcW w:w="84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940" w:type="dxa"/>
            <w:vAlign w:val="bottom"/>
            <w:gridSpan w:val="11"/>
            <w:shd w:val="clear" w:color="auto" w:fill="0000FF"/>
          </w:tcPr>
          <w:p>
            <w:pPr>
              <w:spacing w:after="0" w:line="20" w:lineRule="exact"/>
              <w:rPr>
                <w:sz w:val="1"/>
                <w:szCs w:val="1"/>
                <w:color w:val="auto"/>
              </w:rPr>
            </w:pPr>
          </w:p>
        </w:tc>
        <w:tc>
          <w:tcPr>
            <w:tcW w:w="492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10.2</w:t>
            </w:r>
          </w:p>
        </w:tc>
        <w:tc>
          <w:tcPr>
            <w:tcW w:w="600" w:type="dxa"/>
            <w:vAlign w:val="bottom"/>
          </w:tcPr>
          <w:p>
            <w:pPr>
              <w:spacing w:after="0"/>
              <w:rPr>
                <w:sz w:val="15"/>
                <w:szCs w:val="15"/>
                <w:color w:val="auto"/>
              </w:rPr>
            </w:pPr>
          </w:p>
        </w:tc>
        <w:tc>
          <w:tcPr>
            <w:tcW w:w="10160" w:type="dxa"/>
            <w:vAlign w:val="bottom"/>
            <w:gridSpan w:val="27"/>
          </w:tcPr>
          <w:p>
            <w:pPr>
              <w:spacing w:after="0"/>
              <w:rPr>
                <w:rFonts w:ascii="Times New Roman" w:cs="Times New Roman" w:eastAsia="Times New Roman" w:hAnsi="Times New Roman"/>
                <w:sz w:val="12"/>
                <w:szCs w:val="12"/>
                <w:color w:val="0000FF"/>
              </w:rPr>
            </w:pPr>
            <w:hyperlink r:id="rId175">
              <w:r>
                <w:rPr>
                  <w:rFonts w:ascii="Times New Roman" w:cs="Times New Roman" w:eastAsia="Times New Roman" w:hAnsi="Times New Roman"/>
                  <w:sz w:val="12"/>
                  <w:szCs w:val="12"/>
                  <w:color w:val="0000FF"/>
                </w:rPr>
                <w:t>Amended and Restated Limited Liability Company Agreement of vTv Therapeutics LLC, dated July 29, 2015 (incorporated by reference from Exhibit 10.2 to the Company’s Form 8-K, filed August 4, 2015</w:t>
              </w:r>
            </w:hyperlink>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100" w:type="dxa"/>
            <w:vAlign w:val="bottom"/>
            <w:tcBorders>
              <w:top w:val="single" w:sz="8" w:color="0000FF"/>
            </w:tcBorders>
            <w:gridSpan w:val="25"/>
          </w:tcPr>
          <w:p>
            <w:pPr>
              <w:spacing w:after="0" w:line="97" w:lineRule="exact"/>
              <w:rPr>
                <w:rFonts w:ascii="Times New Roman" w:cs="Times New Roman" w:eastAsia="Times New Roman" w:hAnsi="Times New Roman"/>
                <w:sz w:val="11"/>
                <w:szCs w:val="11"/>
                <w:color w:val="0000FF"/>
              </w:rPr>
            </w:pPr>
            <w:hyperlink r:id="rId175">
              <w:r>
                <w:rPr>
                  <w:rFonts w:ascii="Times New Roman" w:cs="Times New Roman" w:eastAsia="Times New Roman" w:hAnsi="Times New Roman"/>
                  <w:sz w:val="11"/>
                  <w:szCs w:val="11"/>
                  <w:color w:val="0000FF"/>
                </w:rPr>
                <w:t>(File No. 001-37524)).</w:t>
              </w:r>
            </w:hyperlink>
          </w:p>
        </w:tc>
        <w:tc>
          <w:tcPr>
            <w:tcW w:w="84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3"/>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3660" w:type="dxa"/>
            <w:vAlign w:val="bottom"/>
            <w:gridSpan w:val="10"/>
          </w:tcPr>
          <w:p>
            <w:pPr>
              <w:jc w:val="right"/>
              <w:ind w:right="132"/>
              <w:spacing w:after="0"/>
              <w:rPr>
                <w:sz w:val="20"/>
                <w:szCs w:val="20"/>
                <w:color w:val="auto"/>
              </w:rPr>
            </w:pPr>
            <w:r>
              <w:rPr>
                <w:rFonts w:ascii="Times New Roman" w:cs="Times New Roman" w:eastAsia="Times New Roman" w:hAnsi="Times New Roman"/>
                <w:sz w:val="12"/>
                <w:szCs w:val="12"/>
                <w:color w:val="auto"/>
              </w:rPr>
              <w:t>74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3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4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4" w:name="page75"/>
    <w:bookmarkEnd w:id="74"/>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500" w:type="dxa"/>
            <w:vAlign w:val="bottom"/>
            <w:gridSpan w:val="2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940" w:type="dxa"/>
            <w:vAlign w:val="bottom"/>
            <w:gridSpan w:val="2"/>
          </w:tcPr>
          <w:p>
            <w:pPr>
              <w:spacing w:after="0" w:line="78" w:lineRule="exact"/>
              <w:rPr>
                <w:sz w:val="20"/>
                <w:szCs w:val="20"/>
                <w:color w:val="auto"/>
              </w:rPr>
            </w:pPr>
            <w:r>
              <w:rPr>
                <w:rFonts w:ascii="Times New Roman" w:cs="Times New Roman" w:eastAsia="Times New Roman" w:hAnsi="Times New Roman"/>
                <w:sz w:val="8"/>
                <w:szCs w:val="8"/>
                <w:b w:val="1"/>
                <w:bCs w:val="1"/>
                <w:color w:val="auto"/>
              </w:rPr>
              <w:t>Number</w:t>
            </w: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500" w:type="dxa"/>
            <w:vAlign w:val="bottom"/>
            <w:gridSpan w:val="2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10.3</w:t>
            </w:r>
          </w:p>
        </w:tc>
        <w:tc>
          <w:tcPr>
            <w:tcW w:w="600" w:type="dxa"/>
            <w:vAlign w:val="bottom"/>
          </w:tcPr>
          <w:p>
            <w:pPr>
              <w:spacing w:after="0"/>
              <w:rPr>
                <w:sz w:val="12"/>
                <w:szCs w:val="12"/>
                <w:color w:val="auto"/>
              </w:rPr>
            </w:pPr>
          </w:p>
        </w:tc>
        <w:tc>
          <w:tcPr>
            <w:tcW w:w="10200" w:type="dxa"/>
            <w:vAlign w:val="bottom"/>
            <w:gridSpan w:val="32"/>
          </w:tcPr>
          <w:p>
            <w:pPr>
              <w:spacing w:after="0"/>
              <w:rPr>
                <w:rFonts w:ascii="Times New Roman" w:cs="Times New Roman" w:eastAsia="Times New Roman" w:hAnsi="Times New Roman"/>
                <w:sz w:val="12"/>
                <w:szCs w:val="12"/>
                <w:color w:val="0000FF"/>
              </w:rPr>
            </w:pPr>
            <w:hyperlink r:id="rId179">
              <w:r>
                <w:rPr>
                  <w:rFonts w:ascii="Times New Roman" w:cs="Times New Roman" w:eastAsia="Times New Roman" w:hAnsi="Times New Roman"/>
                  <w:sz w:val="12"/>
                  <w:szCs w:val="12"/>
                  <w:color w:val="0000FF"/>
                </w:rPr>
                <w:t>Investor Rights Agreement, dated as of July 29, 2015, among vTv Therapeutics Inc., vTv Therapeutics Holdings LLC and other stockholders party thereto from time to time (incorporated by reference from</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140" w:type="dxa"/>
            <w:vAlign w:val="bottom"/>
            <w:tcBorders>
              <w:top w:val="single" w:sz="8" w:color="0000FF"/>
              <w:bottom w:val="single" w:sz="8" w:color="0000FF"/>
            </w:tcBorders>
            <w:gridSpan w:val="9"/>
          </w:tcPr>
          <w:p>
            <w:pPr>
              <w:spacing w:after="0" w:line="97" w:lineRule="exact"/>
              <w:rPr>
                <w:rFonts w:ascii="Times New Roman" w:cs="Times New Roman" w:eastAsia="Times New Roman" w:hAnsi="Times New Roman"/>
                <w:sz w:val="11"/>
                <w:szCs w:val="11"/>
                <w:color w:val="0000FF"/>
              </w:rPr>
            </w:pPr>
            <w:hyperlink r:id="rId179">
              <w:r>
                <w:rPr>
                  <w:rFonts w:ascii="Times New Roman" w:cs="Times New Roman" w:eastAsia="Times New Roman" w:hAnsi="Times New Roman"/>
                  <w:sz w:val="11"/>
                  <w:szCs w:val="11"/>
                  <w:color w:val="0000FF"/>
                </w:rPr>
                <w:t>Exhibit 10.3 to the Company’s Form 8-K, filed August 4, 2015 (File No. 001-37524)).</w:t>
              </w:r>
            </w:hyperlink>
          </w:p>
        </w:tc>
        <w:tc>
          <w:tcPr>
            <w:tcW w:w="5860" w:type="dxa"/>
            <w:vAlign w:val="bottom"/>
            <w:tcBorders>
              <w:top w:val="single" w:sz="8" w:color="0000FF"/>
            </w:tcBorders>
            <w:gridSpan w:val="1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10.4</w:t>
            </w:r>
          </w:p>
        </w:tc>
        <w:tc>
          <w:tcPr>
            <w:tcW w:w="600" w:type="dxa"/>
            <w:vAlign w:val="bottom"/>
          </w:tcPr>
          <w:p>
            <w:pPr>
              <w:spacing w:after="0"/>
              <w:rPr>
                <w:sz w:val="15"/>
                <w:szCs w:val="15"/>
                <w:color w:val="auto"/>
              </w:rPr>
            </w:pPr>
          </w:p>
        </w:tc>
        <w:tc>
          <w:tcPr>
            <w:tcW w:w="10200" w:type="dxa"/>
            <w:vAlign w:val="bottom"/>
            <w:gridSpan w:val="32"/>
          </w:tcPr>
          <w:p>
            <w:pPr>
              <w:spacing w:after="0"/>
              <w:rPr>
                <w:rFonts w:ascii="Times New Roman" w:cs="Times New Roman" w:eastAsia="Times New Roman" w:hAnsi="Times New Roman"/>
                <w:sz w:val="12"/>
                <w:szCs w:val="12"/>
                <w:color w:val="0000FF"/>
              </w:rPr>
            </w:pPr>
            <w:hyperlink r:id="rId180">
              <w:r>
                <w:rPr>
                  <w:rFonts w:ascii="Times New Roman" w:cs="Times New Roman" w:eastAsia="Times New Roman" w:hAnsi="Times New Roman"/>
                  <w:sz w:val="12"/>
                  <w:szCs w:val="12"/>
                  <w:color w:val="0000FF"/>
                </w:rPr>
                <w:t>Exchange Agreement, dated as of July 29, 2015, among vTv Therapeutics LLC, vTv Therapeutics Inc. and vTv Therapeutics Holdings LLC (incorporated by reference from Exhibit 10.4 to the Company’s</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40" w:type="dxa"/>
            <w:vAlign w:val="bottom"/>
            <w:tcBorders>
              <w:top w:val="single" w:sz="8" w:color="0000FF"/>
              <w:bottom w:val="single" w:sz="8" w:color="0000FF"/>
            </w:tcBorders>
            <w:gridSpan w:val="6"/>
          </w:tcPr>
          <w:p>
            <w:pPr>
              <w:spacing w:after="0" w:line="97" w:lineRule="exact"/>
              <w:rPr>
                <w:rFonts w:ascii="Times New Roman" w:cs="Times New Roman" w:eastAsia="Times New Roman" w:hAnsi="Times New Roman"/>
                <w:sz w:val="11"/>
                <w:szCs w:val="11"/>
                <w:color w:val="0000FF"/>
              </w:rPr>
            </w:pPr>
            <w:hyperlink r:id="rId180">
              <w:r>
                <w:rPr>
                  <w:rFonts w:ascii="Times New Roman" w:cs="Times New Roman" w:eastAsia="Times New Roman" w:hAnsi="Times New Roman"/>
                  <w:sz w:val="11"/>
                  <w:szCs w:val="11"/>
                  <w:color w:val="0000FF"/>
                </w:rPr>
                <w:t>Form 8-K, filed August 4, 2015 (File No. 001-37524)).</w:t>
              </w:r>
            </w:hyperlink>
          </w:p>
        </w:tc>
        <w:tc>
          <w:tcPr>
            <w:tcW w:w="7480" w:type="dxa"/>
            <w:vAlign w:val="bottom"/>
            <w:tcBorders>
              <w:top w:val="single" w:sz="8" w:color="0000FF"/>
            </w:tcBorders>
            <w:gridSpan w:val="2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10.5</w:t>
            </w:r>
          </w:p>
        </w:tc>
        <w:tc>
          <w:tcPr>
            <w:tcW w:w="600" w:type="dxa"/>
            <w:vAlign w:val="bottom"/>
          </w:tcPr>
          <w:p>
            <w:pPr>
              <w:spacing w:after="0"/>
              <w:rPr>
                <w:sz w:val="15"/>
                <w:szCs w:val="15"/>
                <w:color w:val="auto"/>
              </w:rPr>
            </w:pPr>
          </w:p>
        </w:tc>
        <w:tc>
          <w:tcPr>
            <w:tcW w:w="10200" w:type="dxa"/>
            <w:vAlign w:val="bottom"/>
            <w:gridSpan w:val="32"/>
          </w:tcPr>
          <w:p>
            <w:pPr>
              <w:spacing w:after="0"/>
              <w:rPr>
                <w:rFonts w:ascii="Times New Roman" w:cs="Times New Roman" w:eastAsia="Times New Roman" w:hAnsi="Times New Roman"/>
                <w:sz w:val="12"/>
                <w:szCs w:val="12"/>
                <w:color w:val="0000FF"/>
              </w:rPr>
            </w:pPr>
            <w:hyperlink r:id="rId181">
              <w:r>
                <w:rPr>
                  <w:rFonts w:ascii="Times New Roman" w:cs="Times New Roman" w:eastAsia="Times New Roman" w:hAnsi="Times New Roman"/>
                  <w:sz w:val="12"/>
                  <w:szCs w:val="12"/>
                  <w:color w:val="0000FF"/>
                </w:rPr>
                <w:t>Tax Receivable Agreement, dated as of July 29, 2015, among vTv Therapeutics Inc. and the other persons named therein (incorporated by reference from Exhibit 10.5 to the Company’s Form 8-K, filed</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80" w:type="dxa"/>
            <w:vAlign w:val="bottom"/>
            <w:tcBorders>
              <w:top w:val="single" w:sz="8" w:color="0000FF"/>
              <w:bottom w:val="single" w:sz="8" w:color="0000FF"/>
            </w:tcBorders>
            <w:gridSpan w:val="5"/>
          </w:tcPr>
          <w:p>
            <w:pPr>
              <w:spacing w:after="0" w:line="97" w:lineRule="exact"/>
              <w:rPr>
                <w:rFonts w:ascii="Times New Roman" w:cs="Times New Roman" w:eastAsia="Times New Roman" w:hAnsi="Times New Roman"/>
                <w:sz w:val="11"/>
                <w:szCs w:val="11"/>
                <w:color w:val="0000FF"/>
              </w:rPr>
            </w:pPr>
            <w:hyperlink r:id="rId181">
              <w:r>
                <w:rPr>
                  <w:rFonts w:ascii="Times New Roman" w:cs="Times New Roman" w:eastAsia="Times New Roman" w:hAnsi="Times New Roman"/>
                  <w:sz w:val="11"/>
                  <w:szCs w:val="11"/>
                  <w:color w:val="0000FF"/>
                </w:rPr>
                <w:t>August 4, 2015 (File No. 001-37524)).</w:t>
              </w:r>
            </w:hyperlink>
          </w:p>
        </w:tc>
        <w:tc>
          <w:tcPr>
            <w:tcW w:w="8080" w:type="dxa"/>
            <w:vAlign w:val="bottom"/>
            <w:tcBorders>
              <w:top w:val="single" w:sz="8" w:color="0000FF"/>
            </w:tcBorders>
            <w:gridSpan w:val="15"/>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10.6</w:t>
            </w:r>
          </w:p>
        </w:tc>
        <w:tc>
          <w:tcPr>
            <w:tcW w:w="600" w:type="dxa"/>
            <w:vAlign w:val="bottom"/>
          </w:tcPr>
          <w:p>
            <w:pPr>
              <w:spacing w:after="0"/>
              <w:rPr>
                <w:sz w:val="15"/>
                <w:szCs w:val="15"/>
                <w:color w:val="auto"/>
              </w:rPr>
            </w:pPr>
          </w:p>
        </w:tc>
        <w:tc>
          <w:tcPr>
            <w:tcW w:w="9800" w:type="dxa"/>
            <w:vAlign w:val="bottom"/>
            <w:tcBorders>
              <w:bottom w:val="single" w:sz="8" w:color="0000FF"/>
            </w:tcBorders>
            <w:gridSpan w:val="18"/>
          </w:tcPr>
          <w:p>
            <w:pPr>
              <w:spacing w:after="0"/>
              <w:rPr>
                <w:rFonts w:ascii="Times New Roman" w:cs="Times New Roman" w:eastAsia="Times New Roman" w:hAnsi="Times New Roman"/>
                <w:sz w:val="12"/>
                <w:szCs w:val="12"/>
                <w:color w:val="0000FF"/>
                <w:w w:val="99"/>
              </w:rPr>
            </w:pPr>
            <w:hyperlink r:id="rId182">
              <w:r>
                <w:rPr>
                  <w:rFonts w:ascii="Times New Roman" w:cs="Times New Roman" w:eastAsia="Times New Roman" w:hAnsi="Times New Roman"/>
                  <w:sz w:val="12"/>
                  <w:szCs w:val="12"/>
                  <w:color w:val="0000FF"/>
                  <w:w w:val="99"/>
                </w:rPr>
                <w:t>Form of Indemnification Agreement (incorporated by reference from Exhibit 10.7 to Amendment No. 4 to the Company’s Registration Statement on Form S-1, dated July 23, 2015 (File No. 333-204951)).</w:t>
              </w:r>
            </w:hyperlink>
          </w:p>
        </w:tc>
        <w:tc>
          <w:tcPr>
            <w:tcW w:w="40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10.7†</w:t>
            </w:r>
          </w:p>
        </w:tc>
        <w:tc>
          <w:tcPr>
            <w:tcW w:w="8600" w:type="dxa"/>
            <w:vAlign w:val="bottom"/>
            <w:tcBorders>
              <w:bottom w:val="single" w:sz="8" w:color="0000FF"/>
            </w:tcBorders>
            <w:gridSpan w:val="14"/>
          </w:tcPr>
          <w:p>
            <w:pPr>
              <w:spacing w:after="0"/>
              <w:rPr>
                <w:rFonts w:ascii="Times New Roman" w:cs="Times New Roman" w:eastAsia="Times New Roman" w:hAnsi="Times New Roman"/>
                <w:sz w:val="12"/>
                <w:szCs w:val="12"/>
                <w:color w:val="0000FF"/>
                <w:w w:val="99"/>
              </w:rPr>
            </w:pPr>
            <w:hyperlink r:id="rId183">
              <w:r>
                <w:rPr>
                  <w:rFonts w:ascii="Times New Roman" w:cs="Times New Roman" w:eastAsia="Times New Roman" w:hAnsi="Times New Roman"/>
                  <w:sz w:val="12"/>
                  <w:szCs w:val="12"/>
                  <w:color w:val="0000FF"/>
                  <w:w w:val="99"/>
                </w:rPr>
                <w:t>vTv Therapeutics Inc. 2015 Omnibus Equity Incentive Plan (incorporated by reference from Exhibit 10.6 to the Company’s Form 8-K, filed August 4, 2015 (File No. 001-37524)).</w:t>
              </w:r>
            </w:hyperlink>
          </w:p>
        </w:tc>
        <w:tc>
          <w:tcPr>
            <w:tcW w:w="160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10.8†</w:t>
            </w:r>
          </w:p>
        </w:tc>
        <w:tc>
          <w:tcPr>
            <w:tcW w:w="10200" w:type="dxa"/>
            <w:vAlign w:val="bottom"/>
            <w:gridSpan w:val="32"/>
          </w:tcPr>
          <w:p>
            <w:pPr>
              <w:spacing w:after="0"/>
              <w:rPr>
                <w:rFonts w:ascii="Times New Roman" w:cs="Times New Roman" w:eastAsia="Times New Roman" w:hAnsi="Times New Roman"/>
                <w:sz w:val="12"/>
                <w:szCs w:val="12"/>
                <w:color w:val="0000FF"/>
              </w:rPr>
            </w:pPr>
            <w:hyperlink r:id="rId184">
              <w:r>
                <w:rPr>
                  <w:rFonts w:ascii="Times New Roman" w:cs="Times New Roman" w:eastAsia="Times New Roman" w:hAnsi="Times New Roman"/>
                  <w:sz w:val="12"/>
                  <w:szCs w:val="12"/>
                  <w:color w:val="0000FF"/>
                </w:rPr>
                <w:t>vTv Therapeutics Inc. Form of Nonqualified Option Award Agreement (incorporated by reference from Exhibit 10.7 to the Company’s Form 8-K, filed August 4, 2015 (File No. 001-37524)).</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10.9†</w:t>
            </w:r>
          </w:p>
        </w:tc>
        <w:tc>
          <w:tcPr>
            <w:tcW w:w="9660" w:type="dxa"/>
            <w:vAlign w:val="bottom"/>
            <w:tcBorders>
              <w:bottom w:val="single" w:sz="8" w:color="0000FF"/>
            </w:tcBorders>
            <w:gridSpan w:val="17"/>
          </w:tcPr>
          <w:p>
            <w:pPr>
              <w:spacing w:after="0"/>
              <w:rPr>
                <w:rFonts w:ascii="Times New Roman" w:cs="Times New Roman" w:eastAsia="Times New Roman" w:hAnsi="Times New Roman"/>
                <w:sz w:val="12"/>
                <w:szCs w:val="12"/>
                <w:color w:val="0000FF"/>
                <w:w w:val="99"/>
              </w:rPr>
            </w:pPr>
            <w:hyperlink r:id="rId185">
              <w:r>
                <w:rPr>
                  <w:rFonts w:ascii="Times New Roman" w:cs="Times New Roman" w:eastAsia="Times New Roman" w:hAnsi="Times New Roman"/>
                  <w:sz w:val="12"/>
                  <w:szCs w:val="12"/>
                  <w:color w:val="0000FF"/>
                  <w:w w:val="99"/>
                </w:rPr>
                <w:t>vTv Therapeutics Inc. 2024 Equity Incentive Plan (incorporated by reference from Exhibit 4.5 to the Company’s Registration Statement on Form S-8, dated September 23, 2024 (File No. 333-282290)).</w:t>
              </w:r>
            </w:hyperlink>
          </w:p>
        </w:tc>
        <w:tc>
          <w:tcPr>
            <w:tcW w:w="5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10.10††</w:t>
            </w:r>
          </w:p>
        </w:tc>
        <w:tc>
          <w:tcPr>
            <w:tcW w:w="10200" w:type="dxa"/>
            <w:vAlign w:val="bottom"/>
            <w:gridSpan w:val="32"/>
          </w:tcPr>
          <w:p>
            <w:pPr>
              <w:spacing w:after="0"/>
              <w:rPr>
                <w:rFonts w:ascii="Times New Roman" w:cs="Times New Roman" w:eastAsia="Times New Roman" w:hAnsi="Times New Roman"/>
                <w:sz w:val="12"/>
                <w:szCs w:val="12"/>
                <w:color w:val="0000FF"/>
              </w:rPr>
            </w:pPr>
            <w:hyperlink r:id="rId186">
              <w:r>
                <w:rPr>
                  <w:rFonts w:ascii="Times New Roman" w:cs="Times New Roman" w:eastAsia="Times New Roman" w:hAnsi="Times New Roman"/>
                  <w:sz w:val="12"/>
                  <w:szCs w:val="12"/>
                  <w:color w:val="0000FF"/>
                </w:rPr>
                <w:t>Agreement Concerning Glucokinase Activator Project, dated as of February 20, 2007, by and between Novo Nordisk A/S and TransTech Pharma, Inc. (incorporated by reference from Exhibit 10.8 to</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160" w:type="dxa"/>
            <w:vAlign w:val="bottom"/>
            <w:tcBorders>
              <w:top w:val="single" w:sz="8" w:color="0000FF"/>
            </w:tcBorders>
            <w:gridSpan w:val="30"/>
          </w:tcPr>
          <w:p>
            <w:pPr>
              <w:spacing w:after="0" w:line="97" w:lineRule="exact"/>
              <w:rPr>
                <w:rFonts w:ascii="Times New Roman" w:cs="Times New Roman" w:eastAsia="Times New Roman" w:hAnsi="Times New Roman"/>
                <w:sz w:val="11"/>
                <w:szCs w:val="11"/>
                <w:color w:val="0000FF"/>
              </w:rPr>
            </w:pPr>
            <w:hyperlink r:id="rId186">
              <w:r>
                <w:rPr>
                  <w:rFonts w:ascii="Times New Roman" w:cs="Times New Roman" w:eastAsia="Times New Roman" w:hAnsi="Times New Roman"/>
                  <w:sz w:val="11"/>
                  <w:szCs w:val="11"/>
                  <w:color w:val="0000FF"/>
                </w:rPr>
                <w:t>Amendment No. 1 to the Company’s Registration Statement on Form S-1, dated June 19, 2015 (File No. 333-204951)).</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10.11††</w:t>
            </w:r>
          </w:p>
        </w:tc>
        <w:tc>
          <w:tcPr>
            <w:tcW w:w="10200" w:type="dxa"/>
            <w:vAlign w:val="bottom"/>
            <w:gridSpan w:val="32"/>
          </w:tcPr>
          <w:p>
            <w:pPr>
              <w:spacing w:after="0"/>
              <w:rPr>
                <w:rFonts w:ascii="Times New Roman" w:cs="Times New Roman" w:eastAsia="Times New Roman" w:hAnsi="Times New Roman"/>
                <w:sz w:val="12"/>
                <w:szCs w:val="12"/>
                <w:color w:val="0000FF"/>
              </w:rPr>
            </w:pPr>
            <w:hyperlink r:id="rId187">
              <w:r>
                <w:rPr>
                  <w:rFonts w:ascii="Times New Roman" w:cs="Times New Roman" w:eastAsia="Times New Roman" w:hAnsi="Times New Roman"/>
                  <w:sz w:val="12"/>
                  <w:szCs w:val="12"/>
                  <w:color w:val="0000FF"/>
                </w:rPr>
                <w:t>License Agreement, dated as of May 31, 2018, by and between Newsoara Biopharma Co., Ltd. and vTv Therapeutics LLC (incorporated by reference from Exhibit 10.1 to the Company’s Form 10-Q, filed</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6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187">
              <w:r>
                <w:rPr>
                  <w:rFonts w:ascii="Times New Roman" w:cs="Times New Roman" w:eastAsia="Times New Roman" w:hAnsi="Times New Roman"/>
                  <w:sz w:val="11"/>
                  <w:szCs w:val="11"/>
                  <w:color w:val="0000FF"/>
                </w:rPr>
                <w:t>August 3, 2018 (File No. 001-37524)).</w:t>
              </w:r>
            </w:hyperlink>
          </w:p>
        </w:tc>
        <w:tc>
          <w:tcPr>
            <w:tcW w:w="8220" w:type="dxa"/>
            <w:vAlign w:val="bottom"/>
            <w:tcBorders>
              <w:top w:val="single" w:sz="8" w:color="0000FF"/>
            </w:tcBorders>
            <w:gridSpan w:val="2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10.12</w:t>
            </w:r>
          </w:p>
        </w:tc>
        <w:tc>
          <w:tcPr>
            <w:tcW w:w="600" w:type="dxa"/>
            <w:vAlign w:val="bottom"/>
          </w:tcPr>
          <w:p>
            <w:pPr>
              <w:spacing w:after="0"/>
              <w:rPr>
                <w:sz w:val="15"/>
                <w:szCs w:val="15"/>
                <w:color w:val="auto"/>
              </w:rPr>
            </w:pPr>
          </w:p>
        </w:tc>
        <w:tc>
          <w:tcPr>
            <w:tcW w:w="9580" w:type="dxa"/>
            <w:vAlign w:val="bottom"/>
            <w:tcBorders>
              <w:bottom w:val="single" w:sz="8" w:color="0000FF"/>
            </w:tcBorders>
            <w:gridSpan w:val="16"/>
          </w:tcPr>
          <w:p>
            <w:pPr>
              <w:spacing w:after="0"/>
              <w:rPr>
                <w:rFonts w:ascii="Times New Roman" w:cs="Times New Roman" w:eastAsia="Times New Roman" w:hAnsi="Times New Roman"/>
                <w:sz w:val="12"/>
                <w:szCs w:val="12"/>
                <w:color w:val="0000FF"/>
                <w:w w:val="99"/>
              </w:rPr>
            </w:pPr>
            <w:hyperlink r:id="rId188">
              <w:r>
                <w:rPr>
                  <w:rFonts w:ascii="Times New Roman" w:cs="Times New Roman" w:eastAsia="Times New Roman" w:hAnsi="Times New Roman"/>
                  <w:sz w:val="12"/>
                  <w:szCs w:val="12"/>
                  <w:color w:val="0000FF"/>
                  <w:w w:val="99"/>
                </w:rPr>
                <w:t>First Amendment to vTv Therapeutics Inc. 2015 Omnibus Equity Incentive Plan (incorporated by reference from Exhibit 3.5 to the Company’s Form S-8, filed August 3, 2020 (File No. 333-240304)).</w:t>
              </w:r>
            </w:hyperlink>
          </w:p>
        </w:tc>
        <w:tc>
          <w:tcPr>
            <w:tcW w:w="62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10.13</w:t>
            </w:r>
          </w:p>
        </w:tc>
        <w:tc>
          <w:tcPr>
            <w:tcW w:w="600" w:type="dxa"/>
            <w:vAlign w:val="bottom"/>
          </w:tcPr>
          <w:p>
            <w:pPr>
              <w:spacing w:after="0"/>
              <w:rPr>
                <w:sz w:val="14"/>
                <w:szCs w:val="14"/>
                <w:color w:val="auto"/>
              </w:rPr>
            </w:pPr>
          </w:p>
        </w:tc>
        <w:tc>
          <w:tcPr>
            <w:tcW w:w="10200" w:type="dxa"/>
            <w:vAlign w:val="bottom"/>
            <w:gridSpan w:val="32"/>
          </w:tcPr>
          <w:p>
            <w:pPr>
              <w:spacing w:after="0"/>
              <w:rPr>
                <w:rFonts w:ascii="Times New Roman" w:cs="Times New Roman" w:eastAsia="Times New Roman" w:hAnsi="Times New Roman"/>
                <w:sz w:val="12"/>
                <w:szCs w:val="12"/>
                <w:color w:val="0000FF"/>
              </w:rPr>
            </w:pPr>
            <w:hyperlink r:id="rId189">
              <w:r>
                <w:rPr>
                  <w:rFonts w:ascii="Times New Roman" w:cs="Times New Roman" w:eastAsia="Times New Roman" w:hAnsi="Times New Roman"/>
                  <w:sz w:val="12"/>
                  <w:szCs w:val="12"/>
                  <w:color w:val="0000FF"/>
                </w:rPr>
                <w:t>Common Stock Purchase Agreement, dated as of May 31, 2022, by and between vTv Therapeutics Inc. and G42 Investments AI Holding RSC Ltd. (incorporated by reference from Exhibit 1.1 to the</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60" w:type="dxa"/>
            <w:vAlign w:val="bottom"/>
            <w:tcBorders>
              <w:top w:val="single" w:sz="8" w:color="0000FF"/>
            </w:tcBorders>
            <w:gridSpan w:val="25"/>
          </w:tcPr>
          <w:p>
            <w:pPr>
              <w:spacing w:after="0" w:line="97" w:lineRule="exact"/>
              <w:rPr>
                <w:rFonts w:ascii="Times New Roman" w:cs="Times New Roman" w:eastAsia="Times New Roman" w:hAnsi="Times New Roman"/>
                <w:sz w:val="11"/>
                <w:szCs w:val="11"/>
                <w:color w:val="0000FF"/>
              </w:rPr>
            </w:pPr>
            <w:hyperlink r:id="rId189">
              <w:r>
                <w:rPr>
                  <w:rFonts w:ascii="Times New Roman" w:cs="Times New Roman" w:eastAsia="Times New Roman" w:hAnsi="Times New Roman"/>
                  <w:sz w:val="11"/>
                  <w:szCs w:val="11"/>
                  <w:color w:val="0000FF"/>
                </w:rPr>
                <w:t>Company’s Form 8-K, filed June 1, 2022 (File No. 001-37524)).</w:t>
              </w:r>
            </w:hyperlink>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10.14</w:t>
            </w:r>
          </w:p>
        </w:tc>
        <w:tc>
          <w:tcPr>
            <w:tcW w:w="600" w:type="dxa"/>
            <w:vAlign w:val="bottom"/>
          </w:tcPr>
          <w:p>
            <w:pPr>
              <w:spacing w:after="0"/>
              <w:rPr>
                <w:sz w:val="15"/>
                <w:szCs w:val="15"/>
                <w:color w:val="auto"/>
              </w:rPr>
            </w:pPr>
          </w:p>
        </w:tc>
        <w:tc>
          <w:tcPr>
            <w:tcW w:w="10200" w:type="dxa"/>
            <w:vAlign w:val="bottom"/>
            <w:gridSpan w:val="32"/>
          </w:tcPr>
          <w:p>
            <w:pPr>
              <w:spacing w:after="0"/>
              <w:rPr>
                <w:rFonts w:ascii="Times New Roman" w:cs="Times New Roman" w:eastAsia="Times New Roman" w:hAnsi="Times New Roman"/>
                <w:sz w:val="12"/>
                <w:szCs w:val="12"/>
                <w:color w:val="0000FF"/>
              </w:rPr>
            </w:pPr>
            <w:hyperlink r:id="rId190">
              <w:r>
                <w:rPr>
                  <w:rFonts w:ascii="Times New Roman" w:cs="Times New Roman" w:eastAsia="Times New Roman" w:hAnsi="Times New Roman"/>
                  <w:sz w:val="12"/>
                  <w:szCs w:val="12"/>
                  <w:color w:val="0000FF"/>
                </w:rPr>
                <w:t>Common Stock and Warrant Purchase Agreement, dated as of July 22, 2022, by and among vTv Therapeutics Inc., CinPax, LLC and CinRx Pharma, LLC (incorporated by reference from Exhibit 10.1 to the</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180" w:type="dxa"/>
            <w:vAlign w:val="bottom"/>
            <w:tcBorders>
              <w:top w:val="single" w:sz="8" w:color="0000FF"/>
            </w:tcBorders>
            <w:gridSpan w:val="31"/>
          </w:tcPr>
          <w:p>
            <w:pPr>
              <w:spacing w:after="0" w:line="97" w:lineRule="exact"/>
              <w:rPr>
                <w:rFonts w:ascii="Times New Roman" w:cs="Times New Roman" w:eastAsia="Times New Roman" w:hAnsi="Times New Roman"/>
                <w:sz w:val="11"/>
                <w:szCs w:val="11"/>
                <w:color w:val="0000FF"/>
              </w:rPr>
            </w:pPr>
            <w:hyperlink r:id="rId190">
              <w:r>
                <w:rPr>
                  <w:rFonts w:ascii="Times New Roman" w:cs="Times New Roman" w:eastAsia="Times New Roman" w:hAnsi="Times New Roman"/>
                  <w:sz w:val="11"/>
                  <w:szCs w:val="11"/>
                  <w:color w:val="0000FF"/>
                </w:rPr>
                <w:t>Company’s Form 8-K, filed July 25, 2022 (File No. 001-37524).</w:t>
              </w:r>
            </w:hyperlink>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10.15†</w:t>
            </w:r>
          </w:p>
        </w:tc>
        <w:tc>
          <w:tcPr>
            <w:tcW w:w="10200" w:type="dxa"/>
            <w:vAlign w:val="bottom"/>
            <w:gridSpan w:val="32"/>
          </w:tcPr>
          <w:p>
            <w:pPr>
              <w:spacing w:after="0"/>
              <w:rPr>
                <w:rFonts w:ascii="Times New Roman" w:cs="Times New Roman" w:eastAsia="Times New Roman" w:hAnsi="Times New Roman"/>
                <w:sz w:val="12"/>
                <w:szCs w:val="12"/>
                <w:color w:val="0000FF"/>
              </w:rPr>
            </w:pPr>
            <w:hyperlink r:id="rId191">
              <w:r>
                <w:rPr>
                  <w:rFonts w:ascii="Times New Roman" w:cs="Times New Roman" w:eastAsia="Times New Roman" w:hAnsi="Times New Roman"/>
                  <w:sz w:val="12"/>
                  <w:szCs w:val="12"/>
                  <w:color w:val="0000FF"/>
                </w:rPr>
                <w:t>Employment Agreement, dated as of July 25, 2022, by and between vTv Therapeutics LLC and Paul Sekhri (incorporated by reference from Exhibit 10.1 to the Company’s Form 8-K, filed July 27, 2022</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140" w:type="dxa"/>
            <w:vAlign w:val="bottom"/>
            <w:tcBorders>
              <w:top w:val="single" w:sz="8" w:color="0000FF"/>
            </w:tcBorders>
            <w:gridSpan w:val="29"/>
          </w:tcPr>
          <w:p>
            <w:pPr>
              <w:spacing w:after="0" w:line="97" w:lineRule="exact"/>
              <w:rPr>
                <w:rFonts w:ascii="Times New Roman" w:cs="Times New Roman" w:eastAsia="Times New Roman" w:hAnsi="Times New Roman"/>
                <w:sz w:val="11"/>
                <w:szCs w:val="11"/>
                <w:color w:val="0000FF"/>
              </w:rPr>
            </w:pPr>
            <w:hyperlink r:id="rId191">
              <w:r>
                <w:rPr>
                  <w:rFonts w:ascii="Times New Roman" w:cs="Times New Roman" w:eastAsia="Times New Roman" w:hAnsi="Times New Roman"/>
                  <w:sz w:val="11"/>
                  <w:szCs w:val="11"/>
                  <w:color w:val="0000FF"/>
                </w:rPr>
                <w:t>(File No. 001-37524)).</w:t>
              </w:r>
            </w:hyperlink>
          </w:p>
        </w:tc>
        <w:tc>
          <w:tcPr>
            <w:tcW w:w="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10.16†</w:t>
            </w:r>
          </w:p>
        </w:tc>
        <w:tc>
          <w:tcPr>
            <w:tcW w:w="10200" w:type="dxa"/>
            <w:vAlign w:val="bottom"/>
            <w:gridSpan w:val="32"/>
          </w:tcPr>
          <w:p>
            <w:pPr>
              <w:spacing w:after="0"/>
              <w:rPr>
                <w:rFonts w:ascii="Times New Roman" w:cs="Times New Roman" w:eastAsia="Times New Roman" w:hAnsi="Times New Roman"/>
                <w:sz w:val="12"/>
                <w:szCs w:val="12"/>
                <w:color w:val="0000FF"/>
              </w:rPr>
            </w:pPr>
            <w:hyperlink r:id="rId192">
              <w:r>
                <w:rPr>
                  <w:rFonts w:ascii="Times New Roman" w:cs="Times New Roman" w:eastAsia="Times New Roman" w:hAnsi="Times New Roman"/>
                  <w:sz w:val="12"/>
                  <w:szCs w:val="12"/>
                  <w:color w:val="0000FF"/>
                </w:rPr>
                <w:t>Inducement Award Agreement, dated as of July 26, 2022, by and between vTv Therapeutics Inc. and Paul Sekhri (incorporated by reference from Exhibit 10.2 to the Company’s Form 8-K, filed July 27,</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Borders>
              <w:top w:val="single" w:sz="8" w:color="0000FF"/>
              <w:bottom w:val="single" w:sz="8" w:color="0000FF"/>
            </w:tcBorders>
            <w:gridSpan w:val="2"/>
          </w:tcPr>
          <w:p>
            <w:pPr>
              <w:spacing w:after="0" w:line="97" w:lineRule="exact"/>
              <w:rPr>
                <w:rFonts w:ascii="Times New Roman" w:cs="Times New Roman" w:eastAsia="Times New Roman" w:hAnsi="Times New Roman"/>
                <w:sz w:val="11"/>
                <w:szCs w:val="11"/>
                <w:color w:val="0000FF"/>
              </w:rPr>
            </w:pPr>
            <w:hyperlink r:id="rId192">
              <w:r>
                <w:rPr>
                  <w:rFonts w:ascii="Times New Roman" w:cs="Times New Roman" w:eastAsia="Times New Roman" w:hAnsi="Times New Roman"/>
                  <w:sz w:val="11"/>
                  <w:szCs w:val="11"/>
                  <w:color w:val="0000FF"/>
                </w:rPr>
                <w:t>2022 (File No. 001-37524)).</w:t>
              </w:r>
            </w:hyperlink>
          </w:p>
        </w:tc>
        <w:tc>
          <w:tcPr>
            <w:tcW w:w="8660" w:type="dxa"/>
            <w:vAlign w:val="bottom"/>
            <w:tcBorders>
              <w:top w:val="single" w:sz="8" w:color="0000FF"/>
            </w:tcBorders>
            <w:gridSpan w:val="21"/>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100" w:type="dxa"/>
            <w:vAlign w:val="bottom"/>
            <w:gridSpan w:val="5"/>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10.17†</w:t>
            </w:r>
          </w:p>
        </w:tc>
        <w:tc>
          <w:tcPr>
            <w:tcW w:w="10200" w:type="dxa"/>
            <w:vAlign w:val="bottom"/>
            <w:gridSpan w:val="32"/>
          </w:tcPr>
          <w:p>
            <w:pPr>
              <w:spacing w:after="0"/>
              <w:rPr>
                <w:rFonts w:ascii="Times New Roman" w:cs="Times New Roman" w:eastAsia="Times New Roman" w:hAnsi="Times New Roman"/>
                <w:sz w:val="12"/>
                <w:szCs w:val="12"/>
                <w:color w:val="0000FF"/>
              </w:rPr>
            </w:pPr>
            <w:hyperlink r:id="rId193">
              <w:r>
                <w:rPr>
                  <w:rFonts w:ascii="Times New Roman" w:cs="Times New Roman" w:eastAsia="Times New Roman" w:hAnsi="Times New Roman"/>
                  <w:sz w:val="12"/>
                  <w:szCs w:val="12"/>
                  <w:color w:val="0000FF"/>
                </w:rPr>
                <w:t xml:space="preserve">Employment Agreement, dated as of May </w:t>
              </w:r>
            </w:hyperlink>
            <w:r>
              <w:rPr>
                <w:rFonts w:ascii="Times New Roman" w:cs="Times New Roman" w:eastAsia="Times New Roman" w:hAnsi="Times New Roman"/>
                <w:sz w:val="12"/>
                <w:szCs w:val="12"/>
                <w:color w:val="0000FF"/>
              </w:rPr>
              <w:t xml:space="preserve">12, 2025, </w:t>
            </w:r>
            <w:hyperlink r:id="rId193">
              <w:r>
                <w:rPr>
                  <w:rFonts w:ascii="Times New Roman" w:cs="Times New Roman" w:eastAsia="Times New Roman" w:hAnsi="Times New Roman"/>
                  <w:sz w:val="12"/>
                  <w:szCs w:val="12"/>
                  <w:color w:val="0000FF"/>
                </w:rPr>
                <w:t xml:space="preserve">by and between vTv Therapeutics LLC and Michael </w:t>
              </w:r>
            </w:hyperlink>
            <w:r>
              <w:rPr>
                <w:rFonts w:ascii="Times New Roman" w:cs="Times New Roman" w:eastAsia="Times New Roman" w:hAnsi="Times New Roman"/>
                <w:sz w:val="12"/>
                <w:szCs w:val="12"/>
                <w:color w:val="0000FF"/>
              </w:rPr>
              <w:t xml:space="preserve">Tung </w:t>
            </w:r>
            <w:hyperlink r:id="rId193">
              <w:r>
                <w:rPr>
                  <w:rFonts w:ascii="Times New Roman" w:cs="Times New Roman" w:eastAsia="Times New Roman" w:hAnsi="Times New Roman"/>
                  <w:sz w:val="12"/>
                  <w:szCs w:val="12"/>
                  <w:color w:val="0000FF"/>
                </w:rPr>
                <w:t xml:space="preserve">(incorporated by reference from Exhibit 10.1 to the Company’s Form 8-K, filed May </w:t>
              </w:r>
            </w:hyperlink>
            <w:r>
              <w:rPr>
                <w:rFonts w:ascii="Times New Roman" w:cs="Times New Roman" w:eastAsia="Times New Roman" w:hAnsi="Times New Roman"/>
                <w:sz w:val="12"/>
                <w:szCs w:val="12"/>
                <w:color w:val="0000FF"/>
              </w:rPr>
              <w:t>19, 2025</w:t>
            </w: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940" w:type="dxa"/>
            <w:vAlign w:val="bottom"/>
            <w:tcBorders>
              <w:top w:val="single" w:sz="8" w:color="0000FF"/>
            </w:tcBorders>
            <w:gridSpan w:val="19"/>
          </w:tcPr>
          <w:p>
            <w:pPr>
              <w:spacing w:after="0" w:line="97" w:lineRule="exact"/>
              <w:rPr>
                <w:rFonts w:ascii="Times New Roman" w:cs="Times New Roman" w:eastAsia="Times New Roman" w:hAnsi="Times New Roman"/>
                <w:sz w:val="11"/>
                <w:szCs w:val="11"/>
                <w:color w:val="0000FF"/>
              </w:rPr>
            </w:pPr>
            <w:hyperlink r:id="rId193">
              <w:r>
                <w:rPr>
                  <w:rFonts w:ascii="Times New Roman" w:cs="Times New Roman" w:eastAsia="Times New Roman" w:hAnsi="Times New Roman"/>
                  <w:sz w:val="11"/>
                  <w:szCs w:val="11"/>
                  <w:color w:val="0000FF"/>
                </w:rPr>
                <w:t>(File No. 001-37524)).</w:t>
              </w:r>
            </w:hyperlink>
          </w:p>
        </w:tc>
        <w:tc>
          <w:tcPr>
            <w:tcW w:w="4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60" w:type="dxa"/>
            <w:vAlign w:val="bottom"/>
            <w:gridSpan w:val="3"/>
          </w:tcPr>
          <w:p>
            <w:pPr>
              <w:spacing w:after="0"/>
              <w:rPr>
                <w:sz w:val="8"/>
                <w:szCs w:val="8"/>
                <w:color w:val="auto"/>
              </w:rPr>
            </w:pPr>
          </w:p>
        </w:tc>
        <w:tc>
          <w:tcPr>
            <w:tcW w:w="100" w:type="dxa"/>
            <w:vAlign w:val="bottom"/>
            <w:gridSpan w:val="5"/>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8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10.18</w:t>
            </w:r>
          </w:p>
        </w:tc>
        <w:tc>
          <w:tcPr>
            <w:tcW w:w="600" w:type="dxa"/>
            <w:vAlign w:val="bottom"/>
          </w:tcPr>
          <w:p>
            <w:pPr>
              <w:spacing w:after="0"/>
              <w:rPr>
                <w:sz w:val="15"/>
                <w:szCs w:val="15"/>
                <w:color w:val="auto"/>
              </w:rPr>
            </w:pPr>
          </w:p>
        </w:tc>
        <w:tc>
          <w:tcPr>
            <w:tcW w:w="10200" w:type="dxa"/>
            <w:vAlign w:val="bottom"/>
            <w:gridSpan w:val="32"/>
          </w:tcPr>
          <w:p>
            <w:pPr>
              <w:spacing w:after="0"/>
              <w:rPr>
                <w:rFonts w:ascii="Times New Roman" w:cs="Times New Roman" w:eastAsia="Times New Roman" w:hAnsi="Times New Roman"/>
                <w:sz w:val="12"/>
                <w:szCs w:val="12"/>
                <w:color w:val="0000FF"/>
              </w:rPr>
            </w:pPr>
            <w:hyperlink r:id="rId194">
              <w:r>
                <w:rPr>
                  <w:rFonts w:ascii="Times New Roman" w:cs="Times New Roman" w:eastAsia="Times New Roman" w:hAnsi="Times New Roman"/>
                  <w:sz w:val="12"/>
                  <w:szCs w:val="12"/>
                  <w:color w:val="0000FF"/>
                </w:rPr>
                <w:t>Collaboration and License Agreement, dated as of May 31, 2022, by and between vTv Therapeutics, LLC and Cogna Technology Solutions LLC (incorporated by reference from Exhibit 10.1 to the</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40" w:type="dxa"/>
            <w:vAlign w:val="bottom"/>
            <w:tcBorders>
              <w:top w:val="single" w:sz="8" w:color="0000FF"/>
            </w:tcBorders>
            <w:gridSpan w:val="24"/>
          </w:tcPr>
          <w:p>
            <w:pPr>
              <w:spacing w:after="0" w:line="97" w:lineRule="exact"/>
              <w:rPr>
                <w:rFonts w:ascii="Times New Roman" w:cs="Times New Roman" w:eastAsia="Times New Roman" w:hAnsi="Times New Roman"/>
                <w:sz w:val="11"/>
                <w:szCs w:val="11"/>
                <w:color w:val="0000FF"/>
              </w:rPr>
            </w:pPr>
            <w:hyperlink r:id="rId194">
              <w:r>
                <w:rPr>
                  <w:rFonts w:ascii="Times New Roman" w:cs="Times New Roman" w:eastAsia="Times New Roman" w:hAnsi="Times New Roman"/>
                  <w:sz w:val="11"/>
                  <w:szCs w:val="11"/>
                  <w:color w:val="0000FF"/>
                </w:rPr>
                <w:t>Company’s Form 10-Q, filed on August 15, 2022 (File No. 001-37524)).</w:t>
              </w:r>
            </w:hyperlink>
          </w:p>
        </w:tc>
        <w:tc>
          <w:tcPr>
            <w:tcW w:w="60" w:type="dxa"/>
            <w:vAlign w:val="bottom"/>
            <w:gridSpan w:val="3"/>
          </w:tcPr>
          <w:p>
            <w:pPr>
              <w:spacing w:after="0"/>
              <w:rPr>
                <w:sz w:val="8"/>
                <w:szCs w:val="8"/>
                <w:color w:val="auto"/>
              </w:rPr>
            </w:pPr>
          </w:p>
        </w:tc>
        <w:tc>
          <w:tcPr>
            <w:tcW w:w="100" w:type="dxa"/>
            <w:vAlign w:val="bottom"/>
            <w:gridSpan w:val="5"/>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80" w:type="dxa"/>
            <w:vAlign w:val="bottom"/>
            <w:gridSpan w:val="11"/>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10.19</w:t>
            </w:r>
          </w:p>
        </w:tc>
        <w:tc>
          <w:tcPr>
            <w:tcW w:w="600" w:type="dxa"/>
            <w:vAlign w:val="bottom"/>
          </w:tcPr>
          <w:p>
            <w:pPr>
              <w:spacing w:after="0"/>
              <w:rPr>
                <w:sz w:val="15"/>
                <w:szCs w:val="15"/>
                <w:color w:val="auto"/>
              </w:rPr>
            </w:pPr>
          </w:p>
        </w:tc>
        <w:tc>
          <w:tcPr>
            <w:tcW w:w="10200" w:type="dxa"/>
            <w:vAlign w:val="bottom"/>
            <w:gridSpan w:val="32"/>
          </w:tcPr>
          <w:p>
            <w:pPr>
              <w:spacing w:after="0"/>
              <w:rPr>
                <w:rFonts w:ascii="Times New Roman" w:cs="Times New Roman" w:eastAsia="Times New Roman" w:hAnsi="Times New Roman"/>
                <w:sz w:val="12"/>
                <w:szCs w:val="12"/>
                <w:color w:val="0000FF"/>
              </w:rPr>
            </w:pPr>
            <w:hyperlink r:id="rId195">
              <w:r>
                <w:rPr>
                  <w:rFonts w:ascii="Times New Roman" w:cs="Times New Roman" w:eastAsia="Times New Roman" w:hAnsi="Times New Roman"/>
                  <w:sz w:val="12"/>
                  <w:szCs w:val="12"/>
                  <w:color w:val="0000FF"/>
                </w:rPr>
                <w:t>Deed of Novation, dated as of December 21, 2022, by and between vTv Therapeutics LLC, G42 Healthcare Technology Projects LLC and G42 Healthcare Technology Solutions LLC (f/k/a Cogna</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980" w:type="dxa"/>
            <w:vAlign w:val="bottom"/>
            <w:tcBorders>
              <w:top w:val="single" w:sz="8" w:color="0000FF"/>
            </w:tcBorders>
            <w:gridSpan w:val="21"/>
          </w:tcPr>
          <w:p>
            <w:pPr>
              <w:spacing w:after="0" w:line="97" w:lineRule="exact"/>
              <w:rPr>
                <w:rFonts w:ascii="Times New Roman" w:cs="Times New Roman" w:eastAsia="Times New Roman" w:hAnsi="Times New Roman"/>
                <w:sz w:val="11"/>
                <w:szCs w:val="11"/>
                <w:color w:val="0000FF"/>
              </w:rPr>
            </w:pPr>
            <w:hyperlink r:id="rId195">
              <w:r>
                <w:rPr>
                  <w:rFonts w:ascii="Times New Roman" w:cs="Times New Roman" w:eastAsia="Times New Roman" w:hAnsi="Times New Roman"/>
                  <w:sz w:val="11"/>
                  <w:szCs w:val="11"/>
                  <w:color w:val="0000FF"/>
                </w:rPr>
                <w:t>Technology Solutions LLC) (incorporated by reference from Exhibit 10.36 (File No. 001-37524)).</w:t>
              </w:r>
            </w:hyperlink>
          </w:p>
        </w:tc>
        <w:tc>
          <w:tcPr>
            <w:tcW w:w="120" w:type="dxa"/>
            <w:vAlign w:val="bottom"/>
            <w:gridSpan w:val="6"/>
          </w:tcPr>
          <w:p>
            <w:pPr>
              <w:spacing w:after="0"/>
              <w:rPr>
                <w:sz w:val="8"/>
                <w:szCs w:val="8"/>
                <w:color w:val="auto"/>
              </w:rPr>
            </w:pPr>
          </w:p>
        </w:tc>
        <w:tc>
          <w:tcPr>
            <w:tcW w:w="100" w:type="dxa"/>
            <w:vAlign w:val="bottom"/>
            <w:gridSpan w:val="5"/>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320" w:type="dxa"/>
            <w:vAlign w:val="bottom"/>
            <w:gridSpan w:val="7"/>
            <w:shd w:val="clear" w:color="auto" w:fill="0000FF"/>
          </w:tcPr>
          <w:p>
            <w:pPr>
              <w:spacing w:after="0" w:line="20" w:lineRule="exact"/>
              <w:rPr>
                <w:sz w:val="1"/>
                <w:szCs w:val="1"/>
                <w:color w:val="auto"/>
              </w:rPr>
            </w:pPr>
          </w:p>
        </w:tc>
        <w:tc>
          <w:tcPr>
            <w:tcW w:w="5400" w:type="dxa"/>
            <w:vAlign w:val="bottom"/>
            <w:gridSpan w:val="1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10.20</w:t>
            </w:r>
          </w:p>
        </w:tc>
        <w:tc>
          <w:tcPr>
            <w:tcW w:w="600" w:type="dxa"/>
            <w:vAlign w:val="bottom"/>
          </w:tcPr>
          <w:p>
            <w:pPr>
              <w:spacing w:after="0"/>
              <w:rPr>
                <w:sz w:val="15"/>
                <w:szCs w:val="15"/>
                <w:color w:val="auto"/>
              </w:rPr>
            </w:pPr>
          </w:p>
        </w:tc>
        <w:tc>
          <w:tcPr>
            <w:tcW w:w="10200" w:type="dxa"/>
            <w:vAlign w:val="bottom"/>
            <w:gridSpan w:val="32"/>
          </w:tcPr>
          <w:p>
            <w:pPr>
              <w:spacing w:after="0"/>
              <w:rPr>
                <w:rFonts w:ascii="Times New Roman" w:cs="Times New Roman" w:eastAsia="Times New Roman" w:hAnsi="Times New Roman"/>
                <w:sz w:val="12"/>
                <w:szCs w:val="12"/>
                <w:color w:val="0000FF"/>
              </w:rPr>
            </w:pPr>
            <w:hyperlink r:id="rId196">
              <w:r>
                <w:rPr>
                  <w:rFonts w:ascii="Times New Roman" w:cs="Times New Roman" w:eastAsia="Times New Roman" w:hAnsi="Times New Roman"/>
                  <w:sz w:val="12"/>
                  <w:szCs w:val="12"/>
                  <w:color w:val="0000FF"/>
                </w:rPr>
                <w:t>Deed of Variation, dated as of February 28, 2023, by and between vTv Therapeutics Inc., G42 Investments AI Holding RSC Ltd., and Group 42 Holding Limited (incorporated by reference from Exhibit</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100" w:type="dxa"/>
            <w:vAlign w:val="bottom"/>
            <w:tcBorders>
              <w:top w:val="single" w:sz="8" w:color="0000FF"/>
            </w:tcBorders>
            <w:gridSpan w:val="27"/>
          </w:tcPr>
          <w:p>
            <w:pPr>
              <w:spacing w:after="0" w:line="97" w:lineRule="exact"/>
              <w:rPr>
                <w:rFonts w:ascii="Times New Roman" w:cs="Times New Roman" w:eastAsia="Times New Roman" w:hAnsi="Times New Roman"/>
                <w:sz w:val="11"/>
                <w:szCs w:val="11"/>
                <w:color w:val="0000FF"/>
              </w:rPr>
            </w:pPr>
            <w:hyperlink r:id="rId196">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37</w:t>
              </w:r>
              <w:r>
                <w:rPr>
                  <w:rFonts w:ascii="Times New Roman" w:cs="Times New Roman" w:eastAsia="Times New Roman" w:hAnsi="Times New Roman"/>
                  <w:sz w:val="11"/>
                  <w:szCs w:val="11"/>
                  <w:color w:val="0000FF"/>
                </w:rPr>
                <w:t xml:space="preserve"> (File No. 001-37524)).</w:t>
              </w:r>
            </w:hyperlink>
          </w:p>
        </w:tc>
        <w:tc>
          <w:tcPr>
            <w:tcW w:w="100" w:type="dxa"/>
            <w:vAlign w:val="bottom"/>
            <w:gridSpan w:val="5"/>
          </w:tcPr>
          <w:p>
            <w:pPr>
              <w:spacing w:after="0"/>
              <w:rPr>
                <w:sz w:val="8"/>
                <w:szCs w:val="8"/>
                <w:color w:val="auto"/>
              </w:rPr>
            </w:pPr>
          </w:p>
        </w:tc>
        <w:tc>
          <w:tcPr>
            <w:tcW w:w="0" w:type="dxa"/>
            <w:vAlign w:val="bottom"/>
          </w:tcPr>
          <w:p>
            <w:pPr>
              <w:spacing w:after="0"/>
              <w:rPr>
                <w:sz w:val="1"/>
                <w:szCs w:val="1"/>
                <w:color w:val="auto"/>
              </w:rPr>
            </w:pPr>
          </w:p>
        </w:tc>
      </w:tr>
      <w:tr>
        <w:trPr>
          <w:trHeight w:val="763"/>
        </w:trPr>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Borders>
              <w:top w:val="single" w:sz="8" w:color="0000FF"/>
            </w:tcBorders>
            <w:gridSpan w:val="3"/>
          </w:tcPr>
          <w:p>
            <w:pPr>
              <w:spacing w:after="0"/>
              <w:rPr>
                <w:sz w:val="24"/>
                <w:szCs w:val="24"/>
                <w:color w:val="auto"/>
              </w:rPr>
            </w:pPr>
          </w:p>
        </w:tc>
        <w:tc>
          <w:tcPr>
            <w:tcW w:w="3320" w:type="dxa"/>
            <w:vAlign w:val="bottom"/>
            <w:gridSpan w:val="7"/>
          </w:tcPr>
          <w:p>
            <w:pPr>
              <w:jc w:val="right"/>
              <w:ind w:right="140"/>
              <w:spacing w:after="0"/>
              <w:rPr>
                <w:sz w:val="20"/>
                <w:szCs w:val="20"/>
                <w:color w:val="auto"/>
              </w:rPr>
            </w:pPr>
            <w:r>
              <w:rPr>
                <w:rFonts w:ascii="Times New Roman" w:cs="Times New Roman" w:eastAsia="Times New Roman" w:hAnsi="Times New Roman"/>
                <w:sz w:val="12"/>
                <w:szCs w:val="12"/>
                <w:color w:val="auto"/>
              </w:rPr>
              <w:t>75</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8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5" w:name="page76"/>
    <w:bookmarkEnd w:id="75"/>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920" w:type="dxa"/>
            <w:vAlign w:val="bottom"/>
            <w:gridSpan w:val="17"/>
            <w:vMerge w:val="restart"/>
          </w:tcPr>
          <w:p>
            <w:pPr>
              <w:ind w:left="50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940" w:type="dxa"/>
            <w:vAlign w:val="bottom"/>
            <w:gridSpan w:val="2"/>
          </w:tcPr>
          <w:p>
            <w:pPr>
              <w:spacing w:after="0" w:line="78" w:lineRule="exact"/>
              <w:rPr>
                <w:sz w:val="20"/>
                <w:szCs w:val="20"/>
                <w:color w:val="auto"/>
              </w:rPr>
            </w:pPr>
            <w:r>
              <w:rPr>
                <w:rFonts w:ascii="Times New Roman" w:cs="Times New Roman" w:eastAsia="Times New Roman" w:hAnsi="Times New Roman"/>
                <w:sz w:val="8"/>
                <w:szCs w:val="8"/>
                <w:b w:val="1"/>
                <w:bCs w:val="1"/>
                <w:color w:val="auto"/>
              </w:rPr>
              <w:t>Number</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920" w:type="dxa"/>
            <w:vAlign w:val="bottom"/>
            <w:gridSpan w:val="1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10.21</w:t>
            </w:r>
          </w:p>
        </w:tc>
        <w:tc>
          <w:tcPr>
            <w:tcW w:w="600" w:type="dxa"/>
            <w:vAlign w:val="bottom"/>
          </w:tcPr>
          <w:p>
            <w:pPr>
              <w:spacing w:after="0"/>
              <w:rPr>
                <w:sz w:val="12"/>
                <w:szCs w:val="12"/>
                <w:color w:val="auto"/>
              </w:rPr>
            </w:pPr>
          </w:p>
        </w:tc>
        <w:tc>
          <w:tcPr>
            <w:tcW w:w="10160" w:type="dxa"/>
            <w:vAlign w:val="bottom"/>
            <w:gridSpan w:val="25"/>
          </w:tcPr>
          <w:p>
            <w:pPr>
              <w:spacing w:after="0"/>
              <w:rPr>
                <w:rFonts w:ascii="Times New Roman" w:cs="Times New Roman" w:eastAsia="Times New Roman" w:hAnsi="Times New Roman"/>
                <w:sz w:val="12"/>
                <w:szCs w:val="12"/>
                <w:color w:val="0000FF"/>
              </w:rPr>
            </w:pPr>
            <w:hyperlink r:id="rId200">
              <w:r>
                <w:rPr>
                  <w:rFonts w:ascii="Times New Roman" w:cs="Times New Roman" w:eastAsia="Times New Roman" w:hAnsi="Times New Roman"/>
                  <w:sz w:val="12"/>
                  <w:szCs w:val="12"/>
                  <w:color w:val="0000FF"/>
                </w:rPr>
                <w:t>Securities Purchase Agreement, dated February 27, 2024, by and among vTv Therapeutics Inc. and the investors party thereto (incorporated by reference from Exhibit 10.1 to the Company's 8-K, filed</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0" w:type="dxa"/>
            <w:vAlign w:val="bottom"/>
            <w:tcBorders>
              <w:top w:val="single" w:sz="8" w:color="0000FF"/>
              <w:bottom w:val="single" w:sz="8" w:color="0000FF"/>
            </w:tcBorders>
            <w:gridSpan w:val="3"/>
          </w:tcPr>
          <w:p>
            <w:pPr>
              <w:spacing w:after="0" w:line="97" w:lineRule="exact"/>
              <w:rPr>
                <w:rFonts w:ascii="Times New Roman" w:cs="Times New Roman" w:eastAsia="Times New Roman" w:hAnsi="Times New Roman"/>
                <w:sz w:val="11"/>
                <w:szCs w:val="11"/>
                <w:color w:val="0000FF"/>
              </w:rPr>
            </w:pPr>
            <w:hyperlink r:id="rId200">
              <w:r>
                <w:rPr>
                  <w:rFonts w:ascii="Times New Roman" w:cs="Times New Roman" w:eastAsia="Times New Roman" w:hAnsi="Times New Roman"/>
                  <w:sz w:val="11"/>
                  <w:szCs w:val="11"/>
                  <w:color w:val="0000FF"/>
                </w:rPr>
                <w:t>February 28, 2024 (File No. 001-37524)).</w:t>
              </w:r>
            </w:hyperlink>
          </w:p>
        </w:tc>
        <w:tc>
          <w:tcPr>
            <w:tcW w:w="7940" w:type="dxa"/>
            <w:vAlign w:val="bottom"/>
            <w:tcBorders>
              <w:top w:val="single" w:sz="8" w:color="0000FF"/>
            </w:tcBorders>
            <w:gridSpan w:val="1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10.22</w:t>
            </w:r>
          </w:p>
        </w:tc>
        <w:tc>
          <w:tcPr>
            <w:tcW w:w="600" w:type="dxa"/>
            <w:vAlign w:val="bottom"/>
          </w:tcPr>
          <w:p>
            <w:pPr>
              <w:spacing w:after="0"/>
              <w:rPr>
                <w:sz w:val="15"/>
                <w:szCs w:val="15"/>
                <w:color w:val="auto"/>
              </w:rPr>
            </w:pPr>
          </w:p>
        </w:tc>
        <w:tc>
          <w:tcPr>
            <w:tcW w:w="10160" w:type="dxa"/>
            <w:vAlign w:val="bottom"/>
            <w:gridSpan w:val="25"/>
          </w:tcPr>
          <w:p>
            <w:pPr>
              <w:spacing w:after="0"/>
              <w:rPr>
                <w:rFonts w:ascii="Times New Roman" w:cs="Times New Roman" w:eastAsia="Times New Roman" w:hAnsi="Times New Roman"/>
                <w:sz w:val="12"/>
                <w:szCs w:val="12"/>
                <w:color w:val="0000FF"/>
              </w:rPr>
            </w:pPr>
            <w:hyperlink r:id="rId201">
              <w:r>
                <w:rPr>
                  <w:rFonts w:ascii="Times New Roman" w:cs="Times New Roman" w:eastAsia="Times New Roman" w:hAnsi="Times New Roman"/>
                  <w:sz w:val="12"/>
                  <w:szCs w:val="12"/>
                  <w:color w:val="0000FF"/>
                </w:rPr>
                <w:t>Registration Rights Agreement, dated February 27, 2024, by and among vTv Therapeutics Inc. and the investors party thereto (incorporated by reference from Exhibit 10.2 to the Company's 8-K, filed</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0" w:type="dxa"/>
            <w:vAlign w:val="bottom"/>
            <w:tcBorders>
              <w:top w:val="single" w:sz="8" w:color="0000FF"/>
              <w:bottom w:val="single" w:sz="8" w:color="0000FF"/>
            </w:tcBorders>
            <w:gridSpan w:val="3"/>
          </w:tcPr>
          <w:p>
            <w:pPr>
              <w:spacing w:after="0" w:line="97" w:lineRule="exact"/>
              <w:rPr>
                <w:rFonts w:ascii="Times New Roman" w:cs="Times New Roman" w:eastAsia="Times New Roman" w:hAnsi="Times New Roman"/>
                <w:sz w:val="11"/>
                <w:szCs w:val="11"/>
                <w:color w:val="0000FF"/>
              </w:rPr>
            </w:pPr>
            <w:hyperlink r:id="rId201">
              <w:r>
                <w:rPr>
                  <w:rFonts w:ascii="Times New Roman" w:cs="Times New Roman" w:eastAsia="Times New Roman" w:hAnsi="Times New Roman"/>
                  <w:sz w:val="11"/>
                  <w:szCs w:val="11"/>
                  <w:color w:val="0000FF"/>
                </w:rPr>
                <w:t>February 28, 2024 (File No. 001-37524)).</w:t>
              </w:r>
            </w:hyperlink>
          </w:p>
        </w:tc>
        <w:tc>
          <w:tcPr>
            <w:tcW w:w="7980" w:type="dxa"/>
            <w:vAlign w:val="bottom"/>
            <w:tcBorders>
              <w:top w:val="single" w:sz="8" w:color="0000FF"/>
            </w:tcBorders>
            <w:gridSpan w:val="16"/>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10.23</w:t>
            </w:r>
          </w:p>
        </w:tc>
        <w:tc>
          <w:tcPr>
            <w:tcW w:w="600" w:type="dxa"/>
            <w:vAlign w:val="bottom"/>
          </w:tcPr>
          <w:p>
            <w:pPr>
              <w:spacing w:after="0"/>
              <w:rPr>
                <w:sz w:val="15"/>
                <w:szCs w:val="15"/>
                <w:color w:val="auto"/>
              </w:rPr>
            </w:pPr>
          </w:p>
        </w:tc>
        <w:tc>
          <w:tcPr>
            <w:tcW w:w="10160" w:type="dxa"/>
            <w:vAlign w:val="bottom"/>
            <w:gridSpan w:val="25"/>
          </w:tcPr>
          <w:p>
            <w:pPr>
              <w:spacing w:after="0"/>
              <w:rPr>
                <w:rFonts w:ascii="Times New Roman" w:cs="Times New Roman" w:eastAsia="Times New Roman" w:hAnsi="Times New Roman"/>
                <w:sz w:val="12"/>
                <w:szCs w:val="12"/>
                <w:color w:val="0000FF"/>
              </w:rPr>
            </w:pPr>
            <w:hyperlink r:id="rId202">
              <w:r>
                <w:rPr>
                  <w:rFonts w:ascii="Times New Roman" w:cs="Times New Roman" w:eastAsia="Times New Roman" w:hAnsi="Times New Roman"/>
                  <w:sz w:val="12"/>
                  <w:szCs w:val="12"/>
                  <w:color w:val="0000FF"/>
                </w:rPr>
                <w:t>Amendment to Common Stock and Warrant Purchase Agreement, dated February 27, 2024, by and between vTv Therapeutics Inc. and G42 Investments AI Holdings RSC Ltd (incorporated by reference</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40" w:type="dxa"/>
            <w:vAlign w:val="bottom"/>
            <w:tcBorders>
              <w:top w:val="single" w:sz="8" w:color="0000FF"/>
            </w:tcBorders>
            <w:gridSpan w:val="22"/>
          </w:tcPr>
          <w:p>
            <w:pPr>
              <w:spacing w:after="0" w:line="97" w:lineRule="exact"/>
              <w:rPr>
                <w:rFonts w:ascii="Times New Roman" w:cs="Times New Roman" w:eastAsia="Times New Roman" w:hAnsi="Times New Roman"/>
                <w:sz w:val="11"/>
                <w:szCs w:val="11"/>
                <w:color w:val="0000FF"/>
              </w:rPr>
            </w:pPr>
            <w:hyperlink r:id="rId202">
              <w:r>
                <w:rPr>
                  <w:rFonts w:ascii="Times New Roman" w:cs="Times New Roman" w:eastAsia="Times New Roman" w:hAnsi="Times New Roman"/>
                  <w:sz w:val="11"/>
                  <w:szCs w:val="11"/>
                  <w:color w:val="0000FF"/>
                </w:rPr>
                <w:t>from Exhibit 10.3 to the Company's 8-K, filed February 28, 2024 (File No. 001-37524)).</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10.24</w:t>
            </w:r>
          </w:p>
        </w:tc>
        <w:tc>
          <w:tcPr>
            <w:tcW w:w="600" w:type="dxa"/>
            <w:vAlign w:val="bottom"/>
          </w:tcPr>
          <w:p>
            <w:pPr>
              <w:spacing w:after="0"/>
              <w:rPr>
                <w:sz w:val="15"/>
                <w:szCs w:val="15"/>
                <w:color w:val="auto"/>
              </w:rPr>
            </w:pPr>
          </w:p>
        </w:tc>
        <w:tc>
          <w:tcPr>
            <w:tcW w:w="10160" w:type="dxa"/>
            <w:vAlign w:val="bottom"/>
            <w:gridSpan w:val="25"/>
          </w:tcPr>
          <w:p>
            <w:pPr>
              <w:spacing w:after="0"/>
              <w:rPr>
                <w:rFonts w:ascii="Times New Roman" w:cs="Times New Roman" w:eastAsia="Times New Roman" w:hAnsi="Times New Roman"/>
                <w:sz w:val="12"/>
                <w:szCs w:val="12"/>
                <w:color w:val="0000FF"/>
              </w:rPr>
            </w:pPr>
            <w:hyperlink r:id="rId203">
              <w:r>
                <w:rPr>
                  <w:rFonts w:ascii="Times New Roman" w:cs="Times New Roman" w:eastAsia="Times New Roman" w:hAnsi="Times New Roman"/>
                  <w:sz w:val="12"/>
                  <w:szCs w:val="12"/>
                  <w:color w:val="0000FF"/>
                </w:rPr>
                <w:t>Amendment to Common Stock Purchase Agreement, dated February 27, 2024, by and among vTv Therapeutics Inc., CinPax, LLC and CinRx Pharma, LLC (incorporated by reference from Exhibit 10.4 to</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40" w:type="dxa"/>
            <w:vAlign w:val="bottom"/>
            <w:tcBorders>
              <w:top w:val="single" w:sz="8" w:color="0000FF"/>
              <w:bottom w:val="single" w:sz="8" w:color="0000FF"/>
            </w:tcBorders>
            <w:gridSpan w:val="6"/>
          </w:tcPr>
          <w:p>
            <w:pPr>
              <w:spacing w:after="0" w:line="97" w:lineRule="exact"/>
              <w:rPr>
                <w:rFonts w:ascii="Times New Roman" w:cs="Times New Roman" w:eastAsia="Times New Roman" w:hAnsi="Times New Roman"/>
                <w:sz w:val="11"/>
                <w:szCs w:val="11"/>
                <w:color w:val="0000FF"/>
              </w:rPr>
            </w:pPr>
            <w:hyperlink r:id="rId203">
              <w:r>
                <w:rPr>
                  <w:rFonts w:ascii="Times New Roman" w:cs="Times New Roman" w:eastAsia="Times New Roman" w:hAnsi="Times New Roman"/>
                  <w:sz w:val="11"/>
                  <w:szCs w:val="11"/>
                  <w:color w:val="0000FF"/>
                </w:rPr>
                <w:t>the Company's 8-K, filed February 28, 2024 (File No. 001-37524)).</w:t>
              </w:r>
            </w:hyperlink>
          </w:p>
        </w:tc>
        <w:tc>
          <w:tcPr>
            <w:tcW w:w="6840" w:type="dxa"/>
            <w:vAlign w:val="bottom"/>
            <w:tcBorders>
              <w:top w:val="single" w:sz="8" w:color="0000FF"/>
            </w:tcBorders>
            <w:gridSpan w:val="18"/>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10.25</w:t>
            </w:r>
          </w:p>
        </w:tc>
        <w:tc>
          <w:tcPr>
            <w:tcW w:w="600" w:type="dxa"/>
            <w:vAlign w:val="bottom"/>
          </w:tcPr>
          <w:p>
            <w:pPr>
              <w:spacing w:after="0"/>
              <w:rPr>
                <w:sz w:val="15"/>
                <w:szCs w:val="15"/>
                <w:color w:val="auto"/>
              </w:rPr>
            </w:pPr>
          </w:p>
        </w:tc>
        <w:tc>
          <w:tcPr>
            <w:tcW w:w="10160" w:type="dxa"/>
            <w:vAlign w:val="bottom"/>
            <w:gridSpan w:val="25"/>
          </w:tcPr>
          <w:p>
            <w:pPr>
              <w:spacing w:after="0"/>
              <w:rPr>
                <w:rFonts w:ascii="Times New Roman" w:cs="Times New Roman" w:eastAsia="Times New Roman" w:hAnsi="Times New Roman"/>
                <w:sz w:val="12"/>
                <w:szCs w:val="12"/>
                <w:color w:val="0000FF"/>
              </w:rPr>
            </w:pPr>
            <w:hyperlink r:id="rId204">
              <w:r>
                <w:rPr>
                  <w:rFonts w:ascii="Times New Roman" w:cs="Times New Roman" w:eastAsia="Times New Roman" w:hAnsi="Times New Roman"/>
                  <w:sz w:val="12"/>
                  <w:szCs w:val="12"/>
                  <w:color w:val="0000FF"/>
                </w:rPr>
                <w:t>Amendment to Investor Rights Agreement, dated February 27, 2024, by and between vTv Therapeutics Inc. and M&amp;F TTP Holdings Two LLC (as successor in interest to vTv Therapeutics Holdings LLC)</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960" w:type="dxa"/>
            <w:vAlign w:val="bottom"/>
            <w:tcBorders>
              <w:top w:val="single" w:sz="8" w:color="0000FF"/>
            </w:tcBorders>
            <w:gridSpan w:val="18"/>
          </w:tcPr>
          <w:p>
            <w:pPr>
              <w:spacing w:after="0" w:line="97" w:lineRule="exact"/>
              <w:rPr>
                <w:rFonts w:ascii="Times New Roman" w:cs="Times New Roman" w:eastAsia="Times New Roman" w:hAnsi="Times New Roman"/>
                <w:sz w:val="11"/>
                <w:szCs w:val="11"/>
                <w:color w:val="0000FF"/>
              </w:rPr>
            </w:pPr>
            <w:hyperlink r:id="rId204">
              <w:r>
                <w:rPr>
                  <w:rFonts w:ascii="Times New Roman" w:cs="Times New Roman" w:eastAsia="Times New Roman" w:hAnsi="Times New Roman"/>
                  <w:sz w:val="11"/>
                  <w:szCs w:val="11"/>
                  <w:color w:val="0000FF"/>
                </w:rPr>
                <w:t>(incorporated by reference from Exhibit 10.5 to the Company's 8-K, filed February 28, 2024 (File No. 001-37524)).</w:t>
              </w:r>
            </w:hyperlink>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w w:val="96"/>
              </w:rPr>
              <w:t>10.26*</w:t>
            </w:r>
          </w:p>
        </w:tc>
        <w:tc>
          <w:tcPr>
            <w:tcW w:w="600" w:type="dxa"/>
            <w:vAlign w:val="bottom"/>
          </w:tcPr>
          <w:p>
            <w:pPr>
              <w:spacing w:after="0"/>
              <w:rPr>
                <w:sz w:val="15"/>
                <w:szCs w:val="15"/>
                <w:color w:val="auto"/>
              </w:rPr>
            </w:pPr>
          </w:p>
        </w:tc>
        <w:tc>
          <w:tcPr>
            <w:tcW w:w="10160" w:type="dxa"/>
            <w:vAlign w:val="bottom"/>
            <w:gridSpan w:val="25"/>
          </w:tcPr>
          <w:p>
            <w:pPr>
              <w:spacing w:after="0"/>
              <w:rPr>
                <w:sz w:val="20"/>
                <w:szCs w:val="20"/>
                <w:color w:val="auto"/>
              </w:rPr>
            </w:pPr>
            <w:r>
              <w:rPr>
                <w:rFonts w:ascii="Times New Roman" w:cs="Times New Roman" w:eastAsia="Times New Roman" w:hAnsi="Times New Roman"/>
                <w:sz w:val="12"/>
                <w:szCs w:val="12"/>
                <w:color w:val="0000FF"/>
              </w:rPr>
              <w:t>First Amendment to License Agreement, dated as of November 11, 2020, by and between Newsoara Biopharma Co., Ltd., and vTv Therapeutics LLC.</w:t>
            </w:r>
          </w:p>
        </w:tc>
        <w:tc>
          <w:tcPr>
            <w:tcW w:w="0" w:type="dxa"/>
            <w:vAlign w:val="bottom"/>
          </w:tcPr>
          <w:p>
            <w:pPr>
              <w:spacing w:after="0"/>
              <w:rPr>
                <w:sz w:val="1"/>
                <w:szCs w:val="1"/>
                <w:color w:val="auto"/>
              </w:rPr>
            </w:pPr>
          </w:p>
        </w:tc>
      </w:tr>
      <w:tr>
        <w:trPr>
          <w:trHeight w:val="169"/>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w w:val="96"/>
              </w:rPr>
              <w:t>10.27*</w:t>
            </w:r>
          </w:p>
        </w:tc>
        <w:tc>
          <w:tcPr>
            <w:tcW w:w="600" w:type="dxa"/>
            <w:vAlign w:val="bottom"/>
          </w:tcPr>
          <w:p>
            <w:pPr>
              <w:spacing w:after="0"/>
              <w:rPr>
                <w:sz w:val="14"/>
                <w:szCs w:val="14"/>
                <w:color w:val="auto"/>
              </w:rPr>
            </w:pPr>
          </w:p>
        </w:tc>
        <w:tc>
          <w:tcPr>
            <w:tcW w:w="70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2"/>
                <w:szCs w:val="12"/>
                <w:color w:val="0000FF"/>
                <w:w w:val="99"/>
              </w:rPr>
              <w:t>Second Amendment to License Agreement, dated as of June 26, 2024, by and between Newsoara Biopharma Co., Ltd., and vTv Therapeutics LLC.</w:t>
            </w:r>
          </w:p>
        </w:tc>
        <w:tc>
          <w:tcPr>
            <w:tcW w:w="140" w:type="dxa"/>
            <w:vAlign w:val="bottom"/>
            <w:tcBorders>
              <w:top w:val="single" w:sz="8" w:color="0000FF"/>
            </w:tcBorders>
          </w:tcPr>
          <w:p>
            <w:pPr>
              <w:spacing w:after="0"/>
              <w:rPr>
                <w:sz w:val="14"/>
                <w:szCs w:val="14"/>
                <w:color w:val="auto"/>
              </w:rPr>
            </w:pPr>
          </w:p>
        </w:tc>
        <w:tc>
          <w:tcPr>
            <w:tcW w:w="29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w w:val="96"/>
              </w:rPr>
              <w:t>10.28*</w:t>
            </w:r>
          </w:p>
        </w:tc>
        <w:tc>
          <w:tcPr>
            <w:tcW w:w="600" w:type="dxa"/>
            <w:vAlign w:val="bottom"/>
          </w:tcPr>
          <w:p>
            <w:pPr>
              <w:spacing w:after="0"/>
              <w:rPr>
                <w:sz w:val="14"/>
                <w:szCs w:val="14"/>
                <w:color w:val="auto"/>
              </w:rPr>
            </w:pPr>
          </w:p>
        </w:tc>
        <w:tc>
          <w:tcPr>
            <w:tcW w:w="10160" w:type="dxa"/>
            <w:vAlign w:val="bottom"/>
            <w:gridSpan w:val="25"/>
          </w:tcPr>
          <w:p>
            <w:pPr>
              <w:spacing w:after="0"/>
              <w:rPr>
                <w:sz w:val="20"/>
                <w:szCs w:val="20"/>
                <w:color w:val="auto"/>
              </w:rPr>
            </w:pPr>
            <w:r>
              <w:rPr>
                <w:rFonts w:ascii="Times New Roman" w:cs="Times New Roman" w:eastAsia="Times New Roman" w:hAnsi="Times New Roman"/>
                <w:sz w:val="12"/>
                <w:szCs w:val="12"/>
                <w:color w:val="0000FF"/>
              </w:rPr>
              <w:t>Second Amendment to License Agreement, dated as of January 30, 2026, by and between Newsoara Biopharma Co., Ltd., and vTv Therapeutics LLC.</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1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10.29</w:t>
            </w:r>
          </w:p>
        </w:tc>
        <w:tc>
          <w:tcPr>
            <w:tcW w:w="600" w:type="dxa"/>
            <w:vAlign w:val="bottom"/>
          </w:tcPr>
          <w:p>
            <w:pPr>
              <w:spacing w:after="0"/>
              <w:rPr>
                <w:sz w:val="14"/>
                <w:szCs w:val="14"/>
                <w:color w:val="auto"/>
              </w:rPr>
            </w:pPr>
          </w:p>
        </w:tc>
        <w:tc>
          <w:tcPr>
            <w:tcW w:w="10160" w:type="dxa"/>
            <w:vAlign w:val="bottom"/>
            <w:gridSpan w:val="25"/>
          </w:tcPr>
          <w:p>
            <w:pPr>
              <w:spacing w:after="0"/>
              <w:rPr>
                <w:rFonts w:ascii="Times New Roman" w:cs="Times New Roman" w:eastAsia="Times New Roman" w:hAnsi="Times New Roman"/>
                <w:sz w:val="12"/>
                <w:szCs w:val="12"/>
                <w:color w:val="0000FF"/>
              </w:rPr>
            </w:pPr>
            <w:hyperlink r:id="rId205">
              <w:r>
                <w:rPr>
                  <w:rFonts w:ascii="Times New Roman" w:cs="Times New Roman" w:eastAsia="Times New Roman" w:hAnsi="Times New Roman"/>
                  <w:sz w:val="12"/>
                  <w:szCs w:val="12"/>
                  <w:color w:val="0000FF"/>
                </w:rPr>
                <w:t xml:space="preserve">Securities Purchase Agreement, dated August </w:t>
              </w:r>
            </w:hyperlink>
            <w:r>
              <w:rPr>
                <w:rFonts w:ascii="Times New Roman" w:cs="Times New Roman" w:eastAsia="Times New Roman" w:hAnsi="Times New Roman"/>
                <w:sz w:val="12"/>
                <w:szCs w:val="12"/>
                <w:color w:val="0000FF"/>
              </w:rPr>
              <w:t xml:space="preserve">29, 2025, </w:t>
            </w:r>
            <w:hyperlink r:id="rId205">
              <w:r>
                <w:rPr>
                  <w:rFonts w:ascii="Times New Roman" w:cs="Times New Roman" w:eastAsia="Times New Roman" w:hAnsi="Times New Roman"/>
                  <w:sz w:val="12"/>
                  <w:szCs w:val="12"/>
                  <w:color w:val="0000FF"/>
                </w:rPr>
                <w:t>by and among vTv Therapeutics Inc. and the investors party thereto (incorporated by reference from Exhibit 10.1 to the Company's 8-K, filed</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2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205">
              <w:r>
                <w:rPr>
                  <w:rFonts w:ascii="Times New Roman" w:cs="Times New Roman" w:eastAsia="Times New Roman" w:hAnsi="Times New Roman"/>
                  <w:sz w:val="11"/>
                  <w:szCs w:val="11"/>
                  <w:color w:val="0000FF"/>
                </w:rPr>
                <w:t>September 2, 2025 (File No. 001-37524)).</w:t>
              </w:r>
            </w:hyperlink>
          </w:p>
        </w:tc>
        <w:tc>
          <w:tcPr>
            <w:tcW w:w="7980" w:type="dxa"/>
            <w:vAlign w:val="bottom"/>
            <w:tcBorders>
              <w:top w:val="single" w:sz="8" w:color="0000FF"/>
            </w:tcBorders>
            <w:gridSpan w:val="16"/>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10.30</w:t>
            </w:r>
          </w:p>
        </w:tc>
        <w:tc>
          <w:tcPr>
            <w:tcW w:w="600" w:type="dxa"/>
            <w:vAlign w:val="bottom"/>
          </w:tcPr>
          <w:p>
            <w:pPr>
              <w:spacing w:after="0"/>
              <w:rPr>
                <w:sz w:val="15"/>
                <w:szCs w:val="15"/>
                <w:color w:val="auto"/>
              </w:rPr>
            </w:pPr>
          </w:p>
        </w:tc>
        <w:tc>
          <w:tcPr>
            <w:tcW w:w="10160" w:type="dxa"/>
            <w:vAlign w:val="bottom"/>
            <w:gridSpan w:val="25"/>
          </w:tcPr>
          <w:p>
            <w:pPr>
              <w:spacing w:after="0"/>
              <w:rPr>
                <w:rFonts w:ascii="Times New Roman" w:cs="Times New Roman" w:eastAsia="Times New Roman" w:hAnsi="Times New Roman"/>
                <w:sz w:val="12"/>
                <w:szCs w:val="12"/>
                <w:color w:val="0000FF"/>
              </w:rPr>
            </w:pPr>
            <w:hyperlink r:id="rId206">
              <w:r>
                <w:rPr>
                  <w:rFonts w:ascii="Times New Roman" w:cs="Times New Roman" w:eastAsia="Times New Roman" w:hAnsi="Times New Roman"/>
                  <w:sz w:val="12"/>
                  <w:szCs w:val="12"/>
                  <w:color w:val="0000FF"/>
                </w:rPr>
                <w:t xml:space="preserve">Registration Rights Agreement, dated August 29, </w:t>
              </w:r>
            </w:hyperlink>
            <w:r>
              <w:rPr>
                <w:rFonts w:ascii="Times New Roman" w:cs="Times New Roman" w:eastAsia="Times New Roman" w:hAnsi="Times New Roman"/>
                <w:sz w:val="12"/>
                <w:szCs w:val="12"/>
                <w:color w:val="0000FF"/>
              </w:rPr>
              <w:t xml:space="preserve">2025, </w:t>
            </w:r>
            <w:hyperlink r:id="rId206">
              <w:r>
                <w:rPr>
                  <w:rFonts w:ascii="Times New Roman" w:cs="Times New Roman" w:eastAsia="Times New Roman" w:hAnsi="Times New Roman"/>
                  <w:sz w:val="12"/>
                  <w:szCs w:val="12"/>
                  <w:color w:val="0000FF"/>
                </w:rPr>
                <w:t>by and among vTv Therapeutics Inc. and the investors party thereto (incorporated by reference from Exhibit 10.2 to the Company's 8-K, filed</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2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206">
              <w:r>
                <w:rPr>
                  <w:rFonts w:ascii="Times New Roman" w:cs="Times New Roman" w:eastAsia="Times New Roman" w:hAnsi="Times New Roman"/>
                  <w:sz w:val="11"/>
                  <w:szCs w:val="11"/>
                  <w:color w:val="0000FF"/>
                </w:rPr>
                <w:t>September 2, 2025 (File No. 001-37524)).</w:t>
              </w:r>
            </w:hyperlink>
          </w:p>
        </w:tc>
        <w:tc>
          <w:tcPr>
            <w:tcW w:w="8040" w:type="dxa"/>
            <w:vAlign w:val="bottom"/>
            <w:tcBorders>
              <w:top w:val="single" w:sz="8" w:color="0000FF"/>
            </w:tcBorders>
            <w:gridSpan w:val="19"/>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19.1*</w:t>
            </w:r>
          </w:p>
        </w:tc>
        <w:tc>
          <w:tcPr>
            <w:tcW w:w="600" w:type="dxa"/>
            <w:vAlign w:val="bottom"/>
          </w:tcPr>
          <w:p>
            <w:pPr>
              <w:spacing w:after="0"/>
              <w:rPr>
                <w:sz w:val="15"/>
                <w:szCs w:val="15"/>
                <w:color w:val="auto"/>
              </w:rPr>
            </w:pPr>
          </w:p>
        </w:tc>
        <w:tc>
          <w:tcPr>
            <w:tcW w:w="10160" w:type="dxa"/>
            <w:vAlign w:val="bottom"/>
            <w:gridSpan w:val="25"/>
          </w:tcPr>
          <w:p>
            <w:pPr>
              <w:spacing w:after="0"/>
              <w:rPr>
                <w:sz w:val="20"/>
                <w:szCs w:val="20"/>
                <w:color w:val="auto"/>
              </w:rPr>
            </w:pPr>
            <w:r>
              <w:rPr>
                <w:rFonts w:ascii="Times New Roman" w:cs="Times New Roman" w:eastAsia="Times New Roman" w:hAnsi="Times New Roman"/>
                <w:sz w:val="12"/>
                <w:szCs w:val="12"/>
                <w:color w:val="0000FF"/>
              </w:rPr>
              <w:t>Securities Trading Policy of vTv Therapeutics Inc.</w:t>
            </w:r>
          </w:p>
        </w:tc>
        <w:tc>
          <w:tcPr>
            <w:tcW w:w="0" w:type="dxa"/>
            <w:vAlign w:val="bottom"/>
          </w:tcPr>
          <w:p>
            <w:pPr>
              <w:spacing w:after="0"/>
              <w:rPr>
                <w:sz w:val="1"/>
                <w:szCs w:val="1"/>
                <w:color w:val="auto"/>
              </w:rPr>
            </w:pPr>
          </w:p>
        </w:tc>
      </w:tr>
      <w:tr>
        <w:trPr>
          <w:trHeight w:val="169"/>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21.1*</w:t>
            </w:r>
          </w:p>
        </w:tc>
        <w:tc>
          <w:tcPr>
            <w:tcW w:w="600" w:type="dxa"/>
            <w:vAlign w:val="bottom"/>
          </w:tcPr>
          <w:p>
            <w:pPr>
              <w:spacing w:after="0"/>
              <w:rPr>
                <w:sz w:val="14"/>
                <w:szCs w:val="14"/>
                <w:color w:val="auto"/>
              </w:rPr>
            </w:pPr>
          </w:p>
        </w:tc>
        <w:tc>
          <w:tcPr>
            <w:tcW w:w="18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Subsidiaries of vTv Therapeutics Inc.</w:t>
            </w:r>
          </w:p>
        </w:tc>
        <w:tc>
          <w:tcPr>
            <w:tcW w:w="620" w:type="dxa"/>
            <w:vAlign w:val="bottom"/>
            <w:tcBorders>
              <w:top w:val="single" w:sz="8" w:color="0000FF"/>
            </w:tcBorders>
            <w:gridSpan w:val="3"/>
          </w:tcPr>
          <w:p>
            <w:pPr>
              <w:spacing w:after="0"/>
              <w:rPr>
                <w:sz w:val="14"/>
                <w:szCs w:val="14"/>
                <w:color w:val="auto"/>
              </w:rPr>
            </w:pPr>
          </w:p>
        </w:tc>
        <w:tc>
          <w:tcPr>
            <w:tcW w:w="774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23.1*</w:t>
            </w:r>
          </w:p>
        </w:tc>
        <w:tc>
          <w:tcPr>
            <w:tcW w:w="600" w:type="dxa"/>
            <w:vAlign w:val="bottom"/>
          </w:tcPr>
          <w:p>
            <w:pPr>
              <w:spacing w:after="0"/>
              <w:rPr>
                <w:sz w:val="14"/>
                <w:szCs w:val="14"/>
                <w:color w:val="auto"/>
              </w:rPr>
            </w:pPr>
          </w:p>
        </w:tc>
        <w:tc>
          <w:tcPr>
            <w:tcW w:w="39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2"/>
                <w:szCs w:val="12"/>
                <w:color w:val="0000FF"/>
                <w:w w:val="98"/>
              </w:rPr>
              <w:t>Consent of Ernst &amp; Young LLP, Independent Registered Public Accounting Firm.</w:t>
            </w:r>
          </w:p>
        </w:tc>
        <w:tc>
          <w:tcPr>
            <w:tcW w:w="624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31.1*</w:t>
            </w:r>
          </w:p>
        </w:tc>
        <w:tc>
          <w:tcPr>
            <w:tcW w:w="600" w:type="dxa"/>
            <w:vAlign w:val="bottom"/>
          </w:tcPr>
          <w:p>
            <w:pPr>
              <w:spacing w:after="0"/>
              <w:rPr>
                <w:sz w:val="14"/>
                <w:szCs w:val="14"/>
                <w:color w:val="auto"/>
              </w:rPr>
            </w:pPr>
          </w:p>
        </w:tc>
        <w:tc>
          <w:tcPr>
            <w:tcW w:w="10160" w:type="dxa"/>
            <w:vAlign w:val="bottom"/>
            <w:gridSpan w:val="25"/>
          </w:tcPr>
          <w:p>
            <w:pPr>
              <w:spacing w:after="0"/>
              <w:rPr>
                <w:sz w:val="20"/>
                <w:szCs w:val="20"/>
                <w:color w:val="auto"/>
              </w:rPr>
            </w:pPr>
            <w:r>
              <w:rPr>
                <w:rFonts w:ascii="Times New Roman" w:cs="Times New Roman" w:eastAsia="Times New Roman" w:hAnsi="Times New Roman"/>
                <w:sz w:val="12"/>
                <w:szCs w:val="12"/>
                <w:color w:val="0000FF"/>
              </w:rPr>
              <w:t>Certification of President and Chief Executive Officer required by Rule 13a-14(a)/15d-14(a) under the Securities Exchange Act of 1934, as amended, as adopted pursuant to Section 302 of the Sarbanes-</w:t>
            </w: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Borders>
              <w:top w:val="single" w:sz="8" w:color="0000FF"/>
              <w:bottom w:val="single" w:sz="8" w:color="0000FF"/>
            </w:tcBorders>
          </w:tcPr>
          <w:p>
            <w:pPr>
              <w:spacing w:after="0" w:line="97" w:lineRule="exact"/>
              <w:rPr>
                <w:sz w:val="20"/>
                <w:szCs w:val="20"/>
                <w:color w:val="auto"/>
              </w:rPr>
            </w:pPr>
            <w:r>
              <w:rPr>
                <w:rFonts w:ascii="Times New Roman" w:cs="Times New Roman" w:eastAsia="Times New Roman" w:hAnsi="Times New Roman"/>
                <w:sz w:val="11"/>
                <w:szCs w:val="11"/>
                <w:color w:val="0000FF"/>
              </w:rPr>
              <w:t>Oxley Act of 2002.</w:t>
            </w:r>
          </w:p>
        </w:tc>
        <w:tc>
          <w:tcPr>
            <w:tcW w:w="9100" w:type="dxa"/>
            <w:vAlign w:val="bottom"/>
            <w:tcBorders>
              <w:top w:val="single" w:sz="8" w:color="0000FF"/>
            </w:tcBorders>
            <w:gridSpan w:val="20"/>
          </w:tcPr>
          <w:p>
            <w:pPr>
              <w:spacing w:after="0"/>
              <w:rPr>
                <w:sz w:val="8"/>
                <w:szCs w:val="8"/>
                <w:color w:val="auto"/>
              </w:rPr>
            </w:pPr>
          </w:p>
        </w:tc>
        <w:tc>
          <w:tcPr>
            <w:tcW w:w="14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31.2*</w:t>
            </w:r>
          </w:p>
        </w:tc>
        <w:tc>
          <w:tcPr>
            <w:tcW w:w="600" w:type="dxa"/>
            <w:vAlign w:val="bottom"/>
          </w:tcPr>
          <w:p>
            <w:pPr>
              <w:spacing w:after="0"/>
              <w:rPr>
                <w:sz w:val="15"/>
                <w:szCs w:val="15"/>
                <w:color w:val="auto"/>
              </w:rPr>
            </w:pPr>
          </w:p>
        </w:tc>
        <w:tc>
          <w:tcPr>
            <w:tcW w:w="9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2"/>
                <w:szCs w:val="12"/>
                <w:color w:val="0000FF"/>
                <w:w w:val="99"/>
              </w:rPr>
              <w:t>Certification of Chief Financial Officer required by Rule 13a-14(a)/15d-14(a) under the Securities Exchange Act of 1934, as amended, as adopted pursuant to Section 302 of the Sarbanes-Oxley Act of 2002.</w:t>
            </w:r>
          </w:p>
        </w:tc>
        <w:tc>
          <w:tcPr>
            <w:tcW w:w="26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32.1*</w:t>
            </w:r>
          </w:p>
        </w:tc>
        <w:tc>
          <w:tcPr>
            <w:tcW w:w="600" w:type="dxa"/>
            <w:vAlign w:val="bottom"/>
          </w:tcPr>
          <w:p>
            <w:pPr>
              <w:spacing w:after="0"/>
              <w:rPr>
                <w:sz w:val="14"/>
                <w:szCs w:val="14"/>
                <w:color w:val="auto"/>
              </w:rPr>
            </w:pPr>
          </w:p>
        </w:tc>
        <w:tc>
          <w:tcPr>
            <w:tcW w:w="10160" w:type="dxa"/>
            <w:vAlign w:val="bottom"/>
            <w:gridSpan w:val="25"/>
          </w:tcPr>
          <w:p>
            <w:pPr>
              <w:spacing w:after="0"/>
              <w:rPr>
                <w:sz w:val="20"/>
                <w:szCs w:val="20"/>
                <w:color w:val="auto"/>
              </w:rPr>
            </w:pPr>
            <w:r>
              <w:rPr>
                <w:rFonts w:ascii="Times New Roman" w:cs="Times New Roman" w:eastAsia="Times New Roman" w:hAnsi="Times New Roman"/>
                <w:sz w:val="12"/>
                <w:szCs w:val="12"/>
                <w:color w:val="0000FF"/>
              </w:rPr>
              <w:t>Certification of President and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9"/>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32.2*</w:t>
            </w:r>
          </w:p>
        </w:tc>
        <w:tc>
          <w:tcPr>
            <w:tcW w:w="600" w:type="dxa"/>
            <w:vAlign w:val="bottom"/>
          </w:tcPr>
          <w:p>
            <w:pPr>
              <w:spacing w:after="0"/>
              <w:rPr>
                <w:sz w:val="14"/>
                <w:szCs w:val="14"/>
                <w:color w:val="auto"/>
              </w:rPr>
            </w:pPr>
          </w:p>
        </w:tc>
        <w:tc>
          <w:tcPr>
            <w:tcW w:w="70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2"/>
                <w:szCs w:val="12"/>
                <w:color w:val="0000FF"/>
                <w:w w:val="99"/>
              </w:rPr>
              <w:t>Certification of Chief Financial Officer pursuant to 18 U.S.C. Section 1350, as adopted pursuant to Section 906 of the Sarbanes-Oxley Act of 2002.</w:t>
            </w:r>
          </w:p>
        </w:tc>
        <w:tc>
          <w:tcPr>
            <w:tcW w:w="700" w:type="dxa"/>
            <w:vAlign w:val="bottom"/>
            <w:tcBorders>
              <w:top w:val="single" w:sz="8" w:color="0000FF"/>
            </w:tcBorders>
            <w:gridSpan w:val="2"/>
          </w:tcPr>
          <w:p>
            <w:pPr>
              <w:spacing w:after="0"/>
              <w:rPr>
                <w:sz w:val="14"/>
                <w:szCs w:val="14"/>
                <w:color w:val="auto"/>
              </w:rPr>
            </w:pPr>
          </w:p>
        </w:tc>
        <w:tc>
          <w:tcPr>
            <w:tcW w:w="23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97.1</w:t>
            </w:r>
          </w:p>
        </w:tc>
        <w:tc>
          <w:tcPr>
            <w:tcW w:w="600" w:type="dxa"/>
            <w:vAlign w:val="bottom"/>
          </w:tcPr>
          <w:p>
            <w:pPr>
              <w:spacing w:after="0"/>
              <w:rPr>
                <w:sz w:val="14"/>
                <w:szCs w:val="14"/>
                <w:color w:val="auto"/>
              </w:rPr>
            </w:pPr>
          </w:p>
        </w:tc>
        <w:tc>
          <w:tcPr>
            <w:tcW w:w="8000" w:type="dxa"/>
            <w:vAlign w:val="bottom"/>
            <w:tcBorders>
              <w:bottom w:val="single" w:sz="8" w:color="0000FF"/>
            </w:tcBorders>
            <w:gridSpan w:val="15"/>
          </w:tcPr>
          <w:p>
            <w:pPr>
              <w:spacing w:after="0"/>
              <w:rPr>
                <w:rFonts w:ascii="Times New Roman" w:cs="Times New Roman" w:eastAsia="Times New Roman" w:hAnsi="Times New Roman"/>
                <w:sz w:val="12"/>
                <w:szCs w:val="12"/>
                <w:color w:val="0000FF"/>
                <w:w w:val="99"/>
              </w:rPr>
            </w:pPr>
            <w:hyperlink r:id="rId207">
              <w:r>
                <w:rPr>
                  <w:rFonts w:ascii="Times New Roman" w:cs="Times New Roman" w:eastAsia="Times New Roman" w:hAnsi="Times New Roman"/>
                  <w:sz w:val="12"/>
                  <w:szCs w:val="12"/>
                  <w:color w:val="0000FF"/>
                  <w:w w:val="99"/>
                </w:rPr>
                <w:t>Clawback Policy dated as of October 2, 2023 (incorporated by reference from Exhibit 97.1 to the Company’s Form 10-K, filed March 13, 2024 (File No. 001-37524)).</w:t>
              </w:r>
            </w:hyperlink>
          </w:p>
        </w:tc>
        <w:tc>
          <w:tcPr>
            <w:tcW w:w="21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101*</w:t>
            </w:r>
          </w:p>
        </w:tc>
        <w:tc>
          <w:tcPr>
            <w:tcW w:w="600" w:type="dxa"/>
            <w:vAlign w:val="bottom"/>
          </w:tcPr>
          <w:p>
            <w:pPr>
              <w:spacing w:after="0"/>
              <w:rPr>
                <w:sz w:val="16"/>
                <w:szCs w:val="16"/>
                <w:color w:val="auto"/>
              </w:rPr>
            </w:pPr>
          </w:p>
        </w:tc>
        <w:tc>
          <w:tcPr>
            <w:tcW w:w="10160" w:type="dxa"/>
            <w:vAlign w:val="bottom"/>
            <w:gridSpan w:val="25"/>
          </w:tcPr>
          <w:p>
            <w:pPr>
              <w:spacing w:after="0"/>
              <w:rPr>
                <w:sz w:val="20"/>
                <w:szCs w:val="20"/>
                <w:color w:val="auto"/>
              </w:rPr>
            </w:pPr>
            <w:r>
              <w:rPr>
                <w:rFonts w:ascii="Times New Roman" w:cs="Times New Roman" w:eastAsia="Times New Roman" w:hAnsi="Times New Roman"/>
                <w:sz w:val="12"/>
                <w:szCs w:val="12"/>
                <w:color w:val="auto"/>
              </w:rPr>
              <w:t>The following materials from the Company’s Annual Report on Form 10-K for the year ended December 31, 2025, formatted in iXBRL (Inline Extensible Business Reporting Language): (i) Consolidated</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160" w:type="dxa"/>
            <w:vAlign w:val="bottom"/>
            <w:gridSpan w:val="25"/>
          </w:tcPr>
          <w:p>
            <w:pPr>
              <w:spacing w:after="0"/>
              <w:rPr>
                <w:sz w:val="20"/>
                <w:szCs w:val="20"/>
                <w:color w:val="auto"/>
              </w:rPr>
            </w:pPr>
            <w:r>
              <w:rPr>
                <w:rFonts w:ascii="Times New Roman" w:cs="Times New Roman" w:eastAsia="Times New Roman" w:hAnsi="Times New Roman"/>
                <w:sz w:val="12"/>
                <w:szCs w:val="12"/>
                <w:color w:val="auto"/>
              </w:rPr>
              <w:t>Balance Sheets (unaudited), (ii) Consolidated Statements of Operations (unaudited), (iii) Consolidated Statements of Changes in Redeemable Noncontrolling Interest and Stockholders’ Deficit (unaudited),</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160" w:type="dxa"/>
            <w:vAlign w:val="bottom"/>
            <w:gridSpan w:val="25"/>
          </w:tcPr>
          <w:p>
            <w:pPr>
              <w:spacing w:after="0"/>
              <w:rPr>
                <w:sz w:val="20"/>
                <w:szCs w:val="20"/>
                <w:color w:val="auto"/>
              </w:rPr>
            </w:pPr>
            <w:r>
              <w:rPr>
                <w:rFonts w:ascii="Times New Roman" w:cs="Times New Roman" w:eastAsia="Times New Roman" w:hAnsi="Times New Roman"/>
                <w:sz w:val="12"/>
                <w:szCs w:val="12"/>
                <w:color w:val="auto"/>
              </w:rPr>
              <w:t>(iv) Consolidated Statements of Cash Flows (unaudited) and (v) Notes to Consolidated Financial Statements (unaudited), tagged as blocks of text and including detailed tags</w:t>
            </w:r>
          </w:p>
        </w:tc>
        <w:tc>
          <w:tcPr>
            <w:tcW w:w="0" w:type="dxa"/>
            <w:vAlign w:val="bottom"/>
          </w:tcPr>
          <w:p>
            <w:pPr>
              <w:spacing w:after="0"/>
              <w:rPr>
                <w:sz w:val="1"/>
                <w:szCs w:val="1"/>
                <w:color w:val="auto"/>
              </w:rPr>
            </w:pPr>
          </w:p>
        </w:tc>
      </w:tr>
      <w:tr>
        <w:trPr>
          <w:trHeight w:val="729"/>
        </w:trPr>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40" w:type="dxa"/>
            <w:vAlign w:val="bottom"/>
            <w:gridSpan w:val="9"/>
          </w:tcPr>
          <w:p>
            <w:pPr>
              <w:ind w:left="4440"/>
              <w:spacing w:after="0"/>
              <w:rPr>
                <w:sz w:val="20"/>
                <w:szCs w:val="20"/>
                <w:color w:val="auto"/>
              </w:rPr>
            </w:pPr>
            <w:r>
              <w:rPr>
                <w:rFonts w:ascii="Times New Roman" w:cs="Times New Roman" w:eastAsia="Times New Roman" w:hAnsi="Times New Roman"/>
                <w:sz w:val="12"/>
                <w:szCs w:val="12"/>
                <w:color w:val="auto"/>
              </w:rPr>
              <w:t>76</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9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6" w:name="page77"/>
    <w:bookmarkEnd w:id="76"/>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200" w:type="dxa"/>
        <w:tblCellMar>
          <w:top w:w="0" w:type="dxa"/>
          <w:left w:w="0" w:type="dxa"/>
          <w:bottom w:w="0" w:type="dxa"/>
          <w:right w:w="0" w:type="dxa"/>
        </w:tblCellMar>
      </w:tblPr>
      <w:tr>
        <w:trPr>
          <w:trHeight w:val="115"/>
        </w:trPr>
        <w:tc>
          <w:tcPr>
            <w:tcW w:w="6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6140" w:type="dxa"/>
            <w:vAlign w:val="bottom"/>
            <w:gridSpan w:val="3"/>
            <w:vMerge w:val="restart"/>
          </w:tcPr>
          <w:p>
            <w:pPr>
              <w:ind w:left="50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97"/>
        </w:trPr>
        <w:tc>
          <w:tcPr>
            <w:tcW w:w="640" w:type="dxa"/>
            <w:vAlign w:val="bottom"/>
            <w:gridSpan w:val="2"/>
          </w:tcPr>
          <w:p>
            <w:pPr>
              <w:spacing w:after="0" w:line="78" w:lineRule="exact"/>
              <w:rPr>
                <w:sz w:val="20"/>
                <w:szCs w:val="20"/>
                <w:color w:val="auto"/>
              </w:rPr>
            </w:pPr>
            <w:r>
              <w:rPr>
                <w:rFonts w:ascii="Times New Roman" w:cs="Times New Roman" w:eastAsia="Times New Roman" w:hAnsi="Times New Roman"/>
                <w:sz w:val="8"/>
                <w:szCs w:val="8"/>
                <w:b w:val="1"/>
                <w:bCs w:val="1"/>
                <w:color w:val="auto"/>
              </w:rPr>
              <w:t>Number</w:t>
            </w:r>
          </w:p>
        </w:tc>
        <w:tc>
          <w:tcPr>
            <w:tcW w:w="61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300" w:type="dxa"/>
            <w:vAlign w:val="bottom"/>
          </w:tcPr>
          <w:p>
            <w:pPr>
              <w:spacing w:after="0"/>
              <w:rPr>
                <w:sz w:val="17"/>
                <w:szCs w:val="17"/>
                <w:color w:val="auto"/>
              </w:rPr>
            </w:pPr>
          </w:p>
        </w:tc>
        <w:tc>
          <w:tcPr>
            <w:tcW w:w="614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w w:val="99"/>
              </w:rPr>
              <w:t>The cover page from this Annual Report on Form 10-K for the year ended December 31, 2025, formatted in Inline XBRL</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w:t>
      </w:r>
    </w:p>
    <w:p>
      <w:pPr>
        <w:spacing w:after="0" w:line="105" w:lineRule="exact"/>
        <w:rPr>
          <w:sz w:val="20"/>
          <w:szCs w:val="20"/>
          <w:color w:val="auto"/>
        </w:rPr>
      </w:pPr>
    </w:p>
    <w:p>
      <w:pPr>
        <w:ind w:left="360" w:hanging="356"/>
        <w:spacing w:after="0"/>
        <w:tabs>
          <w:tab w:leader="none" w:pos="36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contract or compensatory plan or arrangement</w:t>
      </w:r>
    </w:p>
    <w:p>
      <w:pPr>
        <w:spacing w:after="0" w:line="17" w:lineRule="exact"/>
        <w:rPr>
          <w:sz w:val="20"/>
          <w:szCs w:val="20"/>
          <w:color w:val="auto"/>
        </w:rPr>
      </w:pPr>
    </w:p>
    <w:p>
      <w:pPr>
        <w:ind w:left="360" w:hanging="356"/>
        <w:spacing w:after="0"/>
        <w:tabs>
          <w:tab w:leader="none" w:pos="3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Confidential treatment received with respect to portions of this exhibit.</w:t>
      </w:r>
    </w:p>
    <w:p>
      <w:pPr>
        <w:spacing w:after="0" w:line="15"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27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16.</w:t>
      </w:r>
      <w:r>
        <w:rPr>
          <w:sz w:val="20"/>
          <w:szCs w:val="20"/>
          <w:color w:val="auto"/>
        </w:rPr>
        <w:tab/>
      </w:r>
      <w:r>
        <w:rPr>
          <w:rFonts w:ascii="Times New Roman" w:cs="Times New Roman" w:eastAsia="Times New Roman" w:hAnsi="Times New Roman"/>
          <w:sz w:val="11"/>
          <w:szCs w:val="11"/>
          <w:b w:val="1"/>
          <w:bCs w:val="1"/>
          <w:color w:val="auto"/>
        </w:rPr>
        <w:t>FORM 10-K SUMMARY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319"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201" w:right="1440" w:bottom="1440" w:gutter="0" w:footer="0" w:header="0"/>
        </w:sectPr>
      </w:pPr>
    </w:p>
    <w:bookmarkStart w:id="77" w:name="page78"/>
    <w:bookmarkEnd w:id="77"/>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10, 2026</w:t>
      </w:r>
    </w:p>
    <w:p>
      <w:pPr>
        <w:spacing w:after="0" w:line="114" w:lineRule="exact"/>
        <w:rPr>
          <w:sz w:val="20"/>
          <w:szCs w:val="20"/>
          <w:color w:val="auto"/>
        </w:rPr>
      </w:pPr>
    </w:p>
    <w:tbl>
      <w:tblPr>
        <w:tblLayout w:type="fixed"/>
        <w:tblInd w:w="6720" w:type="dxa"/>
        <w:tblCellMar>
          <w:top w:w="0" w:type="dxa"/>
          <w:left w:w="0" w:type="dxa"/>
          <w:bottom w:w="0" w:type="dxa"/>
          <w:right w:w="0" w:type="dxa"/>
        </w:tblCellMar>
      </w:tblPr>
      <w:tr>
        <w:trPr>
          <w:trHeight w:val="155"/>
        </w:trPr>
        <w:tc>
          <w:tcPr>
            <w:tcW w:w="540" w:type="dxa"/>
            <w:vAlign w:val="bottom"/>
          </w:tcPr>
          <w:p>
            <w:pPr>
              <w:spacing w:after="0"/>
              <w:rPr>
                <w:sz w:val="13"/>
                <w:szCs w:val="13"/>
                <w:color w:val="auto"/>
              </w:rPr>
            </w:pPr>
          </w:p>
        </w:tc>
        <w:tc>
          <w:tcPr>
            <w:tcW w:w="404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VTV THERAPEUTICS INC.</w:t>
            </w:r>
          </w:p>
        </w:tc>
      </w:tr>
      <w:tr>
        <w:trPr>
          <w:trHeight w:val="180"/>
        </w:trPr>
        <w:tc>
          <w:tcPr>
            <w:tcW w:w="540" w:type="dxa"/>
            <w:vAlign w:val="bottom"/>
          </w:tcPr>
          <w:p>
            <w:pPr>
              <w:spacing w:after="0"/>
              <w:rPr>
                <w:sz w:val="15"/>
                <w:szCs w:val="15"/>
                <w:color w:val="auto"/>
              </w:rPr>
            </w:pPr>
          </w:p>
        </w:tc>
        <w:tc>
          <w:tcPr>
            <w:tcW w:w="404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(Registrant)</w:t>
            </w:r>
          </w:p>
        </w:tc>
      </w:tr>
      <w:tr>
        <w:trPr>
          <w:trHeight w:val="279"/>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Paul J. Sekhri</w:t>
            </w:r>
          </w:p>
        </w:tc>
      </w:tr>
      <w:tr>
        <w:trPr>
          <w:trHeight w:val="140"/>
        </w:trPr>
        <w:tc>
          <w:tcPr>
            <w:tcW w:w="540" w:type="dxa"/>
            <w:vAlign w:val="bottom"/>
          </w:tcPr>
          <w:p>
            <w:pPr>
              <w:spacing w:after="0"/>
              <w:rPr>
                <w:sz w:val="12"/>
                <w:szCs w:val="12"/>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Paul J. Sekhri</w:t>
            </w:r>
          </w:p>
        </w:tc>
      </w:tr>
      <w:tr>
        <w:trPr>
          <w:trHeight w:val="155"/>
        </w:trPr>
        <w:tc>
          <w:tcPr>
            <w:tcW w:w="540" w:type="dxa"/>
            <w:vAlign w:val="bottom"/>
          </w:tcPr>
          <w:p>
            <w:pPr>
              <w:spacing w:after="0"/>
              <w:rPr>
                <w:sz w:val="13"/>
                <w:szCs w:val="13"/>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President, Chief Executive Officer and Executive Chairperson</w:t>
            </w:r>
          </w:p>
        </w:tc>
      </w:tr>
      <w:tr>
        <w:trPr>
          <w:trHeight w:val="261"/>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Michael Tung</w:t>
            </w:r>
          </w:p>
        </w:tc>
      </w:tr>
      <w:tr>
        <w:trPr>
          <w:trHeight w:val="140"/>
        </w:trPr>
        <w:tc>
          <w:tcPr>
            <w:tcW w:w="540" w:type="dxa"/>
            <w:vAlign w:val="bottom"/>
          </w:tcPr>
          <w:p>
            <w:pPr>
              <w:spacing w:after="0"/>
              <w:rPr>
                <w:sz w:val="12"/>
                <w:szCs w:val="12"/>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Michael Tung</w:t>
            </w:r>
          </w:p>
        </w:tc>
      </w:tr>
      <w:tr>
        <w:trPr>
          <w:trHeight w:val="155"/>
        </w:trPr>
        <w:tc>
          <w:tcPr>
            <w:tcW w:w="540" w:type="dxa"/>
            <w:vAlign w:val="bottom"/>
          </w:tcPr>
          <w:p>
            <w:pPr>
              <w:spacing w:after="0"/>
              <w:rPr>
                <w:sz w:val="13"/>
                <w:szCs w:val="13"/>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r>
    </w:tbl>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0" w:type="dxa"/>
            <w:vAlign w:val="bottom"/>
          </w:tcPr>
          <w:p>
            <w:pPr>
              <w:spacing w:after="0"/>
              <w:rPr>
                <w:sz w:val="13"/>
                <w:szCs w:val="13"/>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J. Sekhri</w:t>
            </w:r>
          </w:p>
        </w:tc>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President, Chief Executive Officer and Executive Chairperson</w:t>
            </w:r>
          </w:p>
        </w:tc>
        <w:tc>
          <w:tcPr>
            <w:tcW w:w="31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March 10, 2026</w:t>
            </w:r>
          </w:p>
        </w:tc>
      </w:tr>
      <w:tr>
        <w:trPr>
          <w:trHeight w:val="144"/>
        </w:trPr>
        <w:tc>
          <w:tcPr>
            <w:tcW w:w="24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Paul J. Sekhri</w:t>
            </w:r>
          </w:p>
        </w:tc>
        <w:tc>
          <w:tcPr>
            <w:tcW w:w="51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(Principal Executive Officer)</w:t>
            </w:r>
          </w:p>
        </w:tc>
        <w:tc>
          <w:tcPr>
            <w:tcW w:w="3140" w:type="dxa"/>
            <w:vAlign w:val="bottom"/>
          </w:tcPr>
          <w:p>
            <w:pPr>
              <w:spacing w:after="0"/>
              <w:rPr>
                <w:sz w:val="12"/>
                <w:szCs w:val="12"/>
                <w:color w:val="auto"/>
              </w:rPr>
            </w:pPr>
          </w:p>
        </w:tc>
      </w:tr>
      <w:tr>
        <w:trPr>
          <w:trHeight w:val="259"/>
        </w:trPr>
        <w:tc>
          <w:tcPr>
            <w:tcW w:w="240" w:type="dxa"/>
            <w:vAlign w:val="bottom"/>
          </w:tcPr>
          <w:p>
            <w:pPr>
              <w:spacing w:after="0"/>
              <w:rPr>
                <w:sz w:val="22"/>
                <w:szCs w:val="22"/>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Michael Tung</w:t>
            </w:r>
          </w:p>
        </w:tc>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c>
          <w:tcPr>
            <w:tcW w:w="31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March 10, 2026</w:t>
            </w:r>
          </w:p>
        </w:tc>
      </w:tr>
      <w:tr>
        <w:trPr>
          <w:trHeight w:val="144"/>
        </w:trPr>
        <w:tc>
          <w:tcPr>
            <w:tcW w:w="24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Michael Tung</w:t>
            </w:r>
          </w:p>
        </w:tc>
        <w:tc>
          <w:tcPr>
            <w:tcW w:w="51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(Principal Financial Officer)</w:t>
            </w:r>
          </w:p>
        </w:tc>
        <w:tc>
          <w:tcPr>
            <w:tcW w:w="3140" w:type="dxa"/>
            <w:vAlign w:val="bottom"/>
          </w:tcPr>
          <w:p>
            <w:pPr>
              <w:spacing w:after="0"/>
              <w:rPr>
                <w:sz w:val="12"/>
                <w:szCs w:val="12"/>
                <w:color w:val="auto"/>
              </w:rPr>
            </w:pPr>
          </w:p>
        </w:tc>
      </w:tr>
      <w:tr>
        <w:trPr>
          <w:trHeight w:val="250"/>
        </w:trPr>
        <w:tc>
          <w:tcPr>
            <w:tcW w:w="240" w:type="dxa"/>
            <w:vAlign w:val="bottom"/>
          </w:tcPr>
          <w:p>
            <w:pPr>
              <w:spacing w:after="0"/>
              <w:rPr>
                <w:sz w:val="21"/>
                <w:szCs w:val="21"/>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Anne M. Phillips</w:t>
            </w:r>
          </w:p>
        </w:tc>
        <w:tc>
          <w:tcPr>
            <w:tcW w:w="51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Director</w:t>
            </w:r>
          </w:p>
        </w:tc>
        <w:tc>
          <w:tcPr>
            <w:tcW w:w="31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March 10, 2026</w:t>
            </w:r>
          </w:p>
        </w:tc>
      </w:tr>
      <w:tr>
        <w:trPr>
          <w:trHeight w:val="144"/>
        </w:trPr>
        <w:tc>
          <w:tcPr>
            <w:tcW w:w="24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Anne M. Phillips</w:t>
            </w:r>
          </w:p>
        </w:tc>
        <w:tc>
          <w:tcPr>
            <w:tcW w:w="5180" w:type="dxa"/>
            <w:vAlign w:val="bottom"/>
          </w:tcPr>
          <w:p>
            <w:pPr>
              <w:spacing w:after="0"/>
              <w:rPr>
                <w:sz w:val="12"/>
                <w:szCs w:val="12"/>
                <w:color w:val="auto"/>
              </w:rPr>
            </w:pPr>
          </w:p>
        </w:tc>
        <w:tc>
          <w:tcPr>
            <w:tcW w:w="3140" w:type="dxa"/>
            <w:vAlign w:val="bottom"/>
          </w:tcPr>
          <w:p>
            <w:pPr>
              <w:spacing w:after="0"/>
              <w:rPr>
                <w:sz w:val="12"/>
                <w:szCs w:val="12"/>
                <w:color w:val="auto"/>
              </w:rPr>
            </w:pPr>
          </w:p>
        </w:tc>
      </w:tr>
      <w:tr>
        <w:trPr>
          <w:trHeight w:val="259"/>
        </w:trPr>
        <w:tc>
          <w:tcPr>
            <w:tcW w:w="240" w:type="dxa"/>
            <w:vAlign w:val="bottom"/>
          </w:tcPr>
          <w:p>
            <w:pPr>
              <w:spacing w:after="0"/>
              <w:rPr>
                <w:sz w:val="22"/>
                <w:szCs w:val="22"/>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Daniel K. Spiegelman</w:t>
            </w:r>
          </w:p>
        </w:tc>
        <w:tc>
          <w:tcPr>
            <w:tcW w:w="51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Director</w:t>
            </w:r>
          </w:p>
        </w:tc>
        <w:tc>
          <w:tcPr>
            <w:tcW w:w="31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March 10, 2026</w:t>
            </w:r>
          </w:p>
        </w:tc>
      </w:tr>
      <w:tr>
        <w:trPr>
          <w:trHeight w:val="144"/>
        </w:trPr>
        <w:tc>
          <w:tcPr>
            <w:tcW w:w="24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Daniel K. Spiegelman</w:t>
            </w:r>
          </w:p>
        </w:tc>
        <w:tc>
          <w:tcPr>
            <w:tcW w:w="5180" w:type="dxa"/>
            <w:vAlign w:val="bottom"/>
          </w:tcPr>
          <w:p>
            <w:pPr>
              <w:spacing w:after="0"/>
              <w:rPr>
                <w:sz w:val="12"/>
                <w:szCs w:val="12"/>
                <w:color w:val="auto"/>
              </w:rPr>
            </w:pPr>
          </w:p>
        </w:tc>
        <w:tc>
          <w:tcPr>
            <w:tcW w:w="3140" w:type="dxa"/>
            <w:vAlign w:val="bottom"/>
          </w:tcPr>
          <w:p>
            <w:pPr>
              <w:spacing w:after="0"/>
              <w:rPr>
                <w:sz w:val="12"/>
                <w:szCs w:val="12"/>
                <w:color w:val="auto"/>
              </w:rPr>
            </w:pPr>
          </w:p>
        </w:tc>
      </w:tr>
      <w:tr>
        <w:trPr>
          <w:trHeight w:val="259"/>
        </w:trPr>
        <w:tc>
          <w:tcPr>
            <w:tcW w:w="240" w:type="dxa"/>
            <w:vAlign w:val="bottom"/>
          </w:tcPr>
          <w:p>
            <w:pPr>
              <w:spacing w:after="0"/>
              <w:rPr>
                <w:sz w:val="22"/>
                <w:szCs w:val="22"/>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Richard Nelson</w:t>
            </w:r>
          </w:p>
        </w:tc>
        <w:tc>
          <w:tcPr>
            <w:tcW w:w="51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Director and Executive Vice President, Chief Business Officer</w:t>
            </w:r>
          </w:p>
        </w:tc>
        <w:tc>
          <w:tcPr>
            <w:tcW w:w="31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March 10, 2026</w:t>
            </w:r>
          </w:p>
        </w:tc>
      </w:tr>
      <w:tr>
        <w:trPr>
          <w:trHeight w:val="144"/>
        </w:trPr>
        <w:tc>
          <w:tcPr>
            <w:tcW w:w="24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Richard Nelson</w:t>
            </w:r>
          </w:p>
        </w:tc>
        <w:tc>
          <w:tcPr>
            <w:tcW w:w="5180" w:type="dxa"/>
            <w:vAlign w:val="bottom"/>
          </w:tcPr>
          <w:p>
            <w:pPr>
              <w:spacing w:after="0"/>
              <w:rPr>
                <w:sz w:val="12"/>
                <w:szCs w:val="12"/>
                <w:color w:val="auto"/>
              </w:rPr>
            </w:pPr>
          </w:p>
        </w:tc>
        <w:tc>
          <w:tcPr>
            <w:tcW w:w="3140" w:type="dxa"/>
            <w:vAlign w:val="bottom"/>
          </w:tcPr>
          <w:p>
            <w:pPr>
              <w:spacing w:after="0"/>
              <w:rPr>
                <w:sz w:val="12"/>
                <w:szCs w:val="12"/>
                <w:color w:val="auto"/>
              </w:rPr>
            </w:pPr>
          </w:p>
        </w:tc>
      </w:tr>
      <w:tr>
        <w:trPr>
          <w:trHeight w:val="259"/>
        </w:trPr>
        <w:tc>
          <w:tcPr>
            <w:tcW w:w="240" w:type="dxa"/>
            <w:vAlign w:val="bottom"/>
          </w:tcPr>
          <w:p>
            <w:pPr>
              <w:spacing w:after="0"/>
              <w:rPr>
                <w:sz w:val="22"/>
                <w:szCs w:val="22"/>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Fahed Al Marzooqi</w:t>
            </w:r>
          </w:p>
        </w:tc>
        <w:tc>
          <w:tcPr>
            <w:tcW w:w="51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Director</w:t>
            </w:r>
          </w:p>
        </w:tc>
        <w:tc>
          <w:tcPr>
            <w:tcW w:w="31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March 10, 2026</w:t>
            </w:r>
          </w:p>
        </w:tc>
      </w:tr>
      <w:tr>
        <w:trPr>
          <w:trHeight w:val="144"/>
        </w:trPr>
        <w:tc>
          <w:tcPr>
            <w:tcW w:w="24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Fahed Al Marzooqi</w:t>
            </w:r>
          </w:p>
        </w:tc>
        <w:tc>
          <w:tcPr>
            <w:tcW w:w="5180" w:type="dxa"/>
            <w:vAlign w:val="bottom"/>
          </w:tcPr>
          <w:p>
            <w:pPr>
              <w:spacing w:after="0"/>
              <w:rPr>
                <w:sz w:val="12"/>
                <w:szCs w:val="12"/>
                <w:color w:val="auto"/>
              </w:rPr>
            </w:pPr>
          </w:p>
        </w:tc>
        <w:tc>
          <w:tcPr>
            <w:tcW w:w="3140" w:type="dxa"/>
            <w:vAlign w:val="bottom"/>
          </w:tcPr>
          <w:p>
            <w:pPr>
              <w:spacing w:after="0"/>
              <w:rPr>
                <w:sz w:val="12"/>
                <w:szCs w:val="12"/>
                <w:color w:val="auto"/>
              </w:rPr>
            </w:pPr>
          </w:p>
        </w:tc>
      </w:tr>
      <w:tr>
        <w:trPr>
          <w:trHeight w:val="331"/>
        </w:trPr>
        <w:tc>
          <w:tcPr>
            <w:tcW w:w="240" w:type="dxa"/>
            <w:vAlign w:val="bottom"/>
          </w:tcPr>
          <w:p>
            <w:pPr>
              <w:spacing w:after="0"/>
              <w:rPr>
                <w:sz w:val="24"/>
                <w:szCs w:val="24"/>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Raymond Cheong</w:t>
            </w:r>
          </w:p>
        </w:tc>
        <w:tc>
          <w:tcPr>
            <w:tcW w:w="51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Director</w:t>
            </w:r>
          </w:p>
        </w:tc>
        <w:tc>
          <w:tcPr>
            <w:tcW w:w="31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March 10, 2026</w:t>
            </w:r>
          </w:p>
        </w:tc>
      </w:tr>
      <w:tr>
        <w:trPr>
          <w:trHeight w:val="144"/>
        </w:trPr>
        <w:tc>
          <w:tcPr>
            <w:tcW w:w="24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Raymond Cheong</w:t>
            </w:r>
          </w:p>
        </w:tc>
        <w:tc>
          <w:tcPr>
            <w:tcW w:w="5180" w:type="dxa"/>
            <w:vAlign w:val="bottom"/>
          </w:tcPr>
          <w:p>
            <w:pPr>
              <w:spacing w:after="0"/>
              <w:rPr>
                <w:sz w:val="12"/>
                <w:szCs w:val="12"/>
                <w:color w:val="auto"/>
              </w:rPr>
            </w:pPr>
          </w:p>
        </w:tc>
        <w:tc>
          <w:tcPr>
            <w:tcW w:w="3140" w:type="dxa"/>
            <w:vAlign w:val="bottom"/>
          </w:tcPr>
          <w:p>
            <w:pPr>
              <w:spacing w:after="0"/>
              <w:rPr>
                <w:sz w:val="12"/>
                <w:szCs w:val="12"/>
                <w:color w:val="auto"/>
              </w:rPr>
            </w:pPr>
          </w:p>
        </w:tc>
      </w:tr>
      <w:tr>
        <w:trPr>
          <w:trHeight w:val="331"/>
        </w:trPr>
        <w:tc>
          <w:tcPr>
            <w:tcW w:w="240" w:type="dxa"/>
            <w:vAlign w:val="bottom"/>
          </w:tcPr>
          <w:p>
            <w:pPr>
              <w:spacing w:after="0"/>
              <w:rPr>
                <w:sz w:val="24"/>
                <w:szCs w:val="24"/>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Srinivas Akkaraju</w:t>
            </w:r>
          </w:p>
        </w:tc>
        <w:tc>
          <w:tcPr>
            <w:tcW w:w="51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Director</w:t>
            </w:r>
          </w:p>
        </w:tc>
        <w:tc>
          <w:tcPr>
            <w:tcW w:w="31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March 10, 2026</w:t>
            </w:r>
          </w:p>
        </w:tc>
      </w:tr>
      <w:tr>
        <w:trPr>
          <w:trHeight w:val="144"/>
        </w:trPr>
        <w:tc>
          <w:tcPr>
            <w:tcW w:w="24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Srinivas Akkaraju</w:t>
            </w:r>
          </w:p>
        </w:tc>
        <w:tc>
          <w:tcPr>
            <w:tcW w:w="5180" w:type="dxa"/>
            <w:vAlign w:val="bottom"/>
          </w:tcPr>
          <w:p>
            <w:pPr>
              <w:spacing w:after="0"/>
              <w:rPr>
                <w:sz w:val="12"/>
                <w:szCs w:val="12"/>
                <w:color w:val="auto"/>
              </w:rPr>
            </w:pPr>
          </w:p>
        </w:tc>
        <w:tc>
          <w:tcPr>
            <w:tcW w:w="3140" w:type="dxa"/>
            <w:vAlign w:val="bottom"/>
          </w:tcPr>
          <w:p>
            <w:pPr>
              <w:spacing w:after="0"/>
              <w:rPr>
                <w:sz w:val="12"/>
                <w:szCs w:val="12"/>
                <w:color w:val="auto"/>
              </w:rPr>
            </w:pPr>
          </w:p>
        </w:tc>
      </w:tr>
      <w:tr>
        <w:trPr>
          <w:trHeight w:val="709"/>
        </w:trPr>
        <w:tc>
          <w:tcPr>
            <w:tcW w:w="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180" w:type="dxa"/>
            <w:vAlign w:val="bottom"/>
          </w:tcPr>
          <w:p>
            <w:pPr>
              <w:ind w:left="2600"/>
              <w:spacing w:after="0"/>
              <w:rPr>
                <w:sz w:val="20"/>
                <w:szCs w:val="20"/>
                <w:color w:val="auto"/>
              </w:rPr>
            </w:pPr>
            <w:r>
              <w:rPr>
                <w:rFonts w:ascii="Times New Roman" w:cs="Times New Roman" w:eastAsia="Times New Roman" w:hAnsi="Times New Roman"/>
                <w:sz w:val="12"/>
                <w:szCs w:val="12"/>
                <w:color w:val="auto"/>
              </w:rPr>
              <w:t>78</w:t>
            </w:r>
          </w:p>
        </w:tc>
        <w:tc>
          <w:tcPr>
            <w:tcW w:w="3140" w:type="dxa"/>
            <w:vAlign w:val="bottom"/>
          </w:tcPr>
          <w:p>
            <w:pPr>
              <w:spacing w:after="0"/>
              <w:rPr>
                <w:sz w:val="24"/>
                <w:szCs w:val="24"/>
                <w:color w:val="auto"/>
              </w:rPr>
            </w:pPr>
          </w:p>
        </w:tc>
      </w:tr>
      <w:tr>
        <w:trPr>
          <w:trHeight w:val="63"/>
        </w:trPr>
        <w:tc>
          <w:tcPr>
            <w:tcW w:w="240" w:type="dxa"/>
            <w:vAlign w:val="bottom"/>
            <w:tcBorders>
              <w:bottom w:val="single" w:sz="8" w:color="9A9A9A"/>
            </w:tcBorders>
          </w:tcPr>
          <w:p>
            <w:pPr>
              <w:spacing w:after="0"/>
              <w:rPr>
                <w:sz w:val="5"/>
                <w:szCs w:val="5"/>
                <w:color w:val="auto"/>
              </w:rPr>
            </w:pPr>
          </w:p>
        </w:tc>
        <w:tc>
          <w:tcPr>
            <w:tcW w:w="2740" w:type="dxa"/>
            <w:vAlign w:val="bottom"/>
            <w:tcBorders>
              <w:bottom w:val="single" w:sz="8" w:color="9A9A9A"/>
            </w:tcBorders>
          </w:tcPr>
          <w:p>
            <w:pPr>
              <w:spacing w:after="0"/>
              <w:rPr>
                <w:sz w:val="5"/>
                <w:szCs w:val="5"/>
                <w:color w:val="auto"/>
              </w:rPr>
            </w:pPr>
          </w:p>
        </w:tc>
        <w:tc>
          <w:tcPr>
            <w:tcW w:w="5180" w:type="dxa"/>
            <w:vAlign w:val="bottom"/>
            <w:tcBorders>
              <w:bottom w:val="single" w:sz="8" w:color="9A9A9A"/>
            </w:tcBorders>
          </w:tcPr>
          <w:p>
            <w:pPr>
              <w:spacing w:after="0"/>
              <w:rPr>
                <w:sz w:val="5"/>
                <w:szCs w:val="5"/>
                <w:color w:val="auto"/>
              </w:rPr>
            </w:pPr>
          </w:p>
        </w:tc>
        <w:tc>
          <w:tcPr>
            <w:tcW w:w="314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8" w:name="page79"/>
    <w:bookmarkEnd w:id="78"/>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INDEX TO FINANCIAL STATEMENTS</w:t>
      </w:r>
    </w:p>
    <w:p>
      <w:pPr>
        <w:spacing w:after="0" w:line="103" w:lineRule="exact"/>
        <w:rPr>
          <w:sz w:val="20"/>
          <w:szCs w:val="20"/>
          <w:color w:val="auto"/>
        </w:rPr>
      </w:pPr>
    </w:p>
    <w:tbl>
      <w:tblPr>
        <w:tblLayout w:type="fixed"/>
        <w:tblInd w:w="100" w:type="dxa"/>
        <w:tblCellMar>
          <w:top w:w="0" w:type="dxa"/>
          <w:left w:w="0" w:type="dxa"/>
          <w:bottom w:w="0" w:type="dxa"/>
          <w:right w:w="0" w:type="dxa"/>
        </w:tblCellMar>
      </w:tblPr>
      <w:tr>
        <w:trPr>
          <w:trHeight w:val="131"/>
        </w:trPr>
        <w:tc>
          <w:tcPr>
            <w:tcW w:w="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297"/>
        </w:trPr>
        <w:tc>
          <w:tcPr>
            <w:tcW w:w="10420" w:type="dxa"/>
            <w:vAlign w:val="bottom"/>
            <w:gridSpan w:val="15"/>
          </w:tcPr>
          <w:p>
            <w:pPr>
              <w:spacing w:after="0"/>
              <w:rPr>
                <w:sz w:val="20"/>
                <w:szCs w:val="20"/>
                <w:color w:val="auto"/>
              </w:rPr>
            </w:pPr>
            <w:r>
              <w:rPr>
                <w:rFonts w:ascii="Times New Roman" w:cs="Times New Roman" w:eastAsia="Times New Roman" w:hAnsi="Times New Roman"/>
                <w:sz w:val="12"/>
                <w:szCs w:val="12"/>
                <w:b w:val="1"/>
                <w:bCs w:val="1"/>
                <w:color w:val="0000FF"/>
              </w:rPr>
              <w:t xml:space="preserve">Report of Independent Registered Public Accounting Firm </w:t>
            </w:r>
            <w:r>
              <w:rPr>
                <w:rFonts w:ascii="Times New Roman" w:cs="Times New Roman" w:eastAsia="Times New Roman" w:hAnsi="Times New Roman"/>
                <w:sz w:val="12"/>
                <w:szCs w:val="12"/>
                <w:b w:val="1"/>
                <w:bCs w:val="1"/>
                <w:color w:val="000000"/>
              </w:rPr>
              <w:t>PCAOB ID No. (42</w:t>
            </w:r>
            <w:r>
              <w:rPr>
                <w:rFonts w:ascii="Times New Roman" w:cs="Times New Roman" w:eastAsia="Times New Roman" w:hAnsi="Times New Roman"/>
                <w:sz w:val="12"/>
                <w:szCs w:val="12"/>
                <w:b w:val="1"/>
                <w:bCs w:val="1"/>
                <w:u w:val="single" w:color="auto"/>
                <w:color w:val="000000"/>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2"/>
                <w:szCs w:val="12"/>
                <w:color w:val="auto"/>
                <w:w w:val="95"/>
              </w:rPr>
              <w:t>F-2</w:t>
            </w:r>
          </w:p>
        </w:tc>
      </w:tr>
      <w:tr>
        <w:trPr>
          <w:trHeight w:val="338"/>
        </w:trPr>
        <w:tc>
          <w:tcPr>
            <w:tcW w:w="30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2"/>
                <w:szCs w:val="12"/>
                <w:b w:val="1"/>
                <w:bCs w:val="1"/>
                <w:color w:val="auto"/>
              </w:rPr>
              <w:t>Financial Statements:</w:t>
            </w:r>
          </w:p>
        </w:tc>
        <w:tc>
          <w:tcPr>
            <w:tcW w:w="860" w:type="dxa"/>
            <w:vAlign w:val="bottom"/>
            <w:tcBorders>
              <w:top w:val="single" w:sz="8" w:color="auto"/>
            </w:tcBorders>
            <w:gridSpan w:val="3"/>
          </w:tcPr>
          <w:p>
            <w:pPr>
              <w:spacing w:after="0"/>
              <w:rPr>
                <w:sz w:val="24"/>
                <w:szCs w:val="24"/>
                <w:color w:val="auto"/>
              </w:rPr>
            </w:pPr>
          </w:p>
        </w:tc>
        <w:tc>
          <w:tcPr>
            <w:tcW w:w="652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r>
      <w:tr>
        <w:trPr>
          <w:trHeight w:val="128"/>
        </w:trPr>
        <w:tc>
          <w:tcPr>
            <w:tcW w:w="280" w:type="dxa"/>
            <w:vAlign w:val="bottom"/>
          </w:tcPr>
          <w:p>
            <w:pPr>
              <w:spacing w:after="0"/>
              <w:rPr>
                <w:sz w:val="11"/>
                <w:szCs w:val="11"/>
                <w:color w:val="auto"/>
              </w:rPr>
            </w:pPr>
          </w:p>
        </w:tc>
        <w:tc>
          <w:tcPr>
            <w:tcW w:w="10140" w:type="dxa"/>
            <w:vAlign w:val="bottom"/>
            <w:gridSpan w:val="14"/>
          </w:tcPr>
          <w:p>
            <w:pPr>
              <w:spacing w:after="0" w:line="128" w:lineRule="exact"/>
              <w:rPr>
                <w:sz w:val="20"/>
                <w:szCs w:val="20"/>
                <w:color w:val="auto"/>
              </w:rPr>
            </w:pPr>
            <w:r>
              <w:rPr>
                <w:rFonts w:ascii="Times New Roman" w:cs="Times New Roman" w:eastAsia="Times New Roman" w:hAnsi="Times New Roman"/>
                <w:sz w:val="12"/>
                <w:szCs w:val="12"/>
                <w:color w:val="0000FF"/>
              </w:rPr>
              <w:t>Consolidated Balance Sheets as of December 31, 2025 and 2024</w:t>
            </w:r>
          </w:p>
        </w:tc>
        <w:tc>
          <w:tcPr>
            <w:tcW w:w="680" w:type="dxa"/>
            <w:vAlign w:val="bottom"/>
          </w:tcPr>
          <w:p>
            <w:pPr>
              <w:ind w:left="500"/>
              <w:spacing w:after="0" w:line="128" w:lineRule="exact"/>
              <w:rPr>
                <w:sz w:val="20"/>
                <w:szCs w:val="20"/>
                <w:color w:val="auto"/>
              </w:rPr>
            </w:pPr>
            <w:r>
              <w:rPr>
                <w:rFonts w:ascii="Times New Roman" w:cs="Times New Roman" w:eastAsia="Times New Roman" w:hAnsi="Times New Roman"/>
                <w:sz w:val="12"/>
                <w:szCs w:val="12"/>
                <w:color w:val="auto"/>
                <w:w w:val="95"/>
              </w:rPr>
              <w:t>F-4</w:t>
            </w:r>
          </w:p>
        </w:tc>
      </w:tr>
      <w:tr>
        <w:trPr>
          <w:trHeight w:val="20"/>
        </w:trPr>
        <w:tc>
          <w:tcPr>
            <w:tcW w:w="28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33"/>
        </w:trPr>
        <w:tc>
          <w:tcPr>
            <w:tcW w:w="280" w:type="dxa"/>
            <w:vAlign w:val="bottom"/>
          </w:tcPr>
          <w:p>
            <w:pPr>
              <w:spacing w:after="0"/>
              <w:rPr>
                <w:sz w:val="11"/>
                <w:szCs w:val="11"/>
                <w:color w:val="auto"/>
              </w:rPr>
            </w:pPr>
          </w:p>
        </w:tc>
        <w:tc>
          <w:tcPr>
            <w:tcW w:w="10140" w:type="dxa"/>
            <w:vAlign w:val="bottom"/>
            <w:gridSpan w:val="14"/>
          </w:tcPr>
          <w:p>
            <w:pPr>
              <w:spacing w:after="0" w:line="133" w:lineRule="exact"/>
              <w:rPr>
                <w:sz w:val="20"/>
                <w:szCs w:val="20"/>
                <w:color w:val="auto"/>
              </w:rPr>
            </w:pPr>
            <w:r>
              <w:rPr>
                <w:rFonts w:ascii="Times New Roman" w:cs="Times New Roman" w:eastAsia="Times New Roman" w:hAnsi="Times New Roman"/>
                <w:sz w:val="12"/>
                <w:szCs w:val="12"/>
                <w:color w:val="0000FF"/>
              </w:rPr>
              <w:t xml:space="preserve">Consolidated Statements of Operations for the Years Ended </w:t>
            </w:r>
            <w:r>
              <w:rPr>
                <w:rFonts w:ascii="Times New Roman" w:cs="Times New Roman" w:eastAsia="Times New Roman" w:hAnsi="Times New Roman"/>
                <w:sz w:val="12"/>
                <w:szCs w:val="12"/>
                <w:color w:val="000000"/>
              </w:rPr>
              <w:t>December 31, 2025</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2024</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2023</w:t>
            </w:r>
          </w:p>
        </w:tc>
        <w:tc>
          <w:tcPr>
            <w:tcW w:w="680" w:type="dxa"/>
            <w:vAlign w:val="bottom"/>
          </w:tcPr>
          <w:p>
            <w:pPr>
              <w:ind w:left="500"/>
              <w:spacing w:after="0" w:line="133" w:lineRule="exact"/>
              <w:rPr>
                <w:sz w:val="20"/>
                <w:szCs w:val="20"/>
                <w:color w:val="auto"/>
              </w:rPr>
            </w:pPr>
            <w:r>
              <w:rPr>
                <w:rFonts w:ascii="Times New Roman" w:cs="Times New Roman" w:eastAsia="Times New Roman" w:hAnsi="Times New Roman"/>
                <w:sz w:val="12"/>
                <w:szCs w:val="12"/>
                <w:color w:val="auto"/>
                <w:w w:val="95"/>
              </w:rPr>
              <w:t>F-5</w:t>
            </w:r>
          </w:p>
        </w:tc>
      </w:tr>
      <w:tr>
        <w:trPr>
          <w:trHeight w:val="20"/>
        </w:trPr>
        <w:tc>
          <w:tcPr>
            <w:tcW w:w="28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right w:val="single" w:sz="8" w:color="0000FF"/>
            </w:tcBorders>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33"/>
        </w:trPr>
        <w:tc>
          <w:tcPr>
            <w:tcW w:w="280" w:type="dxa"/>
            <w:vAlign w:val="bottom"/>
          </w:tcPr>
          <w:p>
            <w:pPr>
              <w:spacing w:after="0"/>
              <w:rPr>
                <w:sz w:val="11"/>
                <w:szCs w:val="11"/>
                <w:color w:val="auto"/>
              </w:rPr>
            </w:pPr>
          </w:p>
        </w:tc>
        <w:tc>
          <w:tcPr>
            <w:tcW w:w="10140" w:type="dxa"/>
            <w:vAlign w:val="bottom"/>
            <w:gridSpan w:val="14"/>
          </w:tcPr>
          <w:p>
            <w:pPr>
              <w:spacing w:after="0" w:line="133" w:lineRule="exact"/>
              <w:rPr>
                <w:sz w:val="20"/>
                <w:szCs w:val="20"/>
                <w:color w:val="auto"/>
              </w:rPr>
            </w:pPr>
            <w:r>
              <w:rPr>
                <w:rFonts w:ascii="Times New Roman" w:cs="Times New Roman" w:eastAsia="Times New Roman" w:hAnsi="Times New Roman"/>
                <w:sz w:val="12"/>
                <w:szCs w:val="12"/>
                <w:color w:val="0000FF"/>
              </w:rPr>
              <w:t xml:space="preserve">Consolidated Statements of Changes in Redeemable Noncontrolling Interest and Stockholders’ Equity (Deficit) for the Years Ended </w:t>
            </w:r>
            <w:r>
              <w:rPr>
                <w:rFonts w:ascii="Times New Roman" w:cs="Times New Roman" w:eastAsia="Times New Roman" w:hAnsi="Times New Roman"/>
                <w:sz w:val="12"/>
                <w:szCs w:val="12"/>
                <w:color w:val="000000"/>
              </w:rPr>
              <w:t>December 31, 2025</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2024</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2023</w:t>
            </w:r>
          </w:p>
        </w:tc>
        <w:tc>
          <w:tcPr>
            <w:tcW w:w="680" w:type="dxa"/>
            <w:vAlign w:val="bottom"/>
          </w:tcPr>
          <w:p>
            <w:pPr>
              <w:ind w:left="500"/>
              <w:spacing w:after="0" w:line="133" w:lineRule="exact"/>
              <w:rPr>
                <w:sz w:val="20"/>
                <w:szCs w:val="20"/>
                <w:color w:val="auto"/>
              </w:rPr>
            </w:pPr>
            <w:r>
              <w:rPr>
                <w:rFonts w:ascii="Times New Roman" w:cs="Times New Roman" w:eastAsia="Times New Roman" w:hAnsi="Times New Roman"/>
                <w:sz w:val="12"/>
                <w:szCs w:val="12"/>
                <w:color w:val="auto"/>
                <w:w w:val="95"/>
              </w:rPr>
              <w:t>F-6</w:t>
            </w:r>
          </w:p>
        </w:tc>
      </w:tr>
      <w:tr>
        <w:trPr>
          <w:trHeight w:val="133"/>
        </w:trPr>
        <w:tc>
          <w:tcPr>
            <w:tcW w:w="280" w:type="dxa"/>
            <w:vAlign w:val="bottom"/>
          </w:tcPr>
          <w:p>
            <w:pPr>
              <w:spacing w:after="0"/>
              <w:rPr>
                <w:sz w:val="11"/>
                <w:szCs w:val="11"/>
                <w:color w:val="auto"/>
              </w:rPr>
            </w:pPr>
          </w:p>
        </w:tc>
        <w:tc>
          <w:tcPr>
            <w:tcW w:w="6360" w:type="dxa"/>
            <w:vAlign w:val="bottom"/>
            <w:tcBorders>
              <w:top w:val="single" w:sz="8" w:color="0000FF"/>
            </w:tcBorders>
            <w:gridSpan w:val="11"/>
          </w:tcPr>
          <w:p>
            <w:pPr>
              <w:spacing w:after="0" w:line="133" w:lineRule="exact"/>
              <w:rPr>
                <w:sz w:val="20"/>
                <w:szCs w:val="20"/>
                <w:color w:val="auto"/>
              </w:rPr>
            </w:pPr>
            <w:r>
              <w:rPr>
                <w:rFonts w:ascii="Times New Roman" w:cs="Times New Roman" w:eastAsia="Times New Roman" w:hAnsi="Times New Roman"/>
                <w:sz w:val="12"/>
                <w:szCs w:val="12"/>
                <w:color w:val="0000FF"/>
              </w:rPr>
              <w:t xml:space="preserve">Consolidated Statements of Cash Flows for the Years Ended </w:t>
            </w:r>
            <w:r>
              <w:rPr>
                <w:rFonts w:ascii="Times New Roman" w:cs="Times New Roman" w:eastAsia="Times New Roman" w:hAnsi="Times New Roman"/>
                <w:sz w:val="12"/>
                <w:szCs w:val="12"/>
                <w:color w:val="000000"/>
              </w:rPr>
              <w:t>December 31, 2025</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2024</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2023</w:t>
            </w:r>
          </w:p>
        </w:tc>
        <w:tc>
          <w:tcPr>
            <w:tcW w:w="124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300" w:type="dxa"/>
            <w:vAlign w:val="bottom"/>
          </w:tcPr>
          <w:p>
            <w:pPr>
              <w:spacing w:after="0"/>
              <w:rPr>
                <w:sz w:val="11"/>
                <w:szCs w:val="11"/>
                <w:color w:val="auto"/>
              </w:rPr>
            </w:pPr>
          </w:p>
        </w:tc>
        <w:tc>
          <w:tcPr>
            <w:tcW w:w="680" w:type="dxa"/>
            <w:vAlign w:val="bottom"/>
          </w:tcPr>
          <w:p>
            <w:pPr>
              <w:ind w:left="500"/>
              <w:spacing w:after="0" w:line="133" w:lineRule="exact"/>
              <w:rPr>
                <w:sz w:val="20"/>
                <w:szCs w:val="20"/>
                <w:color w:val="auto"/>
              </w:rPr>
            </w:pPr>
            <w:r>
              <w:rPr>
                <w:rFonts w:ascii="Times New Roman" w:cs="Times New Roman" w:eastAsia="Times New Roman" w:hAnsi="Times New Roman"/>
                <w:sz w:val="12"/>
                <w:szCs w:val="12"/>
                <w:color w:val="auto"/>
                <w:w w:val="95"/>
              </w:rPr>
              <w:t>F-7</w:t>
            </w:r>
          </w:p>
        </w:tc>
      </w:tr>
      <w:tr>
        <w:trPr>
          <w:trHeight w:val="20"/>
        </w:trPr>
        <w:tc>
          <w:tcPr>
            <w:tcW w:w="28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3"/>
        </w:trPr>
        <w:tc>
          <w:tcPr>
            <w:tcW w:w="2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b w:val="1"/>
                <w:bCs w:val="1"/>
                <w:color w:val="0000FF"/>
                <w:w w:val="99"/>
              </w:rPr>
              <w:t>Notes to Consolidated Financial Statements</w:t>
            </w:r>
          </w:p>
        </w:tc>
        <w:tc>
          <w:tcPr>
            <w:tcW w:w="8180" w:type="dxa"/>
            <w:vAlign w:val="bottom"/>
            <w:gridSpan w:val="12"/>
          </w:tcPr>
          <w:p>
            <w:pPr>
              <w:spacing w:after="0"/>
              <w:rPr>
                <w:sz w:val="24"/>
                <w:szCs w:val="24"/>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2"/>
                <w:szCs w:val="12"/>
                <w:color w:val="auto"/>
                <w:w w:val="95"/>
              </w:rPr>
              <w:t>F-8</w:t>
            </w:r>
          </w:p>
        </w:tc>
      </w:tr>
    </w:tbl>
    <w:p>
      <w:pPr>
        <w:spacing w:after="0" w:line="14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Annual Report on Form 10-K to the “Company”, “we”, “us” and “our” refer to vTv Therapeutics Inc. and its consolidated subsidiaries.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Shareholders and the Board of Directors of vTv Therapeutics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10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vTv Therapeutics Inc. (the Company) as of December 31, 2025 and 2024, the related consolidated statements of operations, changes in redeemable noncontrolling interest and stockholders’ equity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Critical Audit Matter</w:t>
      </w:r>
    </w:p>
    <w:p>
      <w:pPr>
        <w:spacing w:after="0" w:line="10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3333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61" w:right="299" w:bottom="1440" w:gutter="0" w:footer="0" w:header="0"/>
        </w:sectPr>
      </w:pPr>
    </w:p>
    <w:bookmarkStart w:id="80" w:name="page81"/>
    <w:bookmarkEnd w:id="80"/>
    <w:p>
      <w:pPr>
        <w:spacing w:after="0" w:line="335" w:lineRule="exact"/>
        <w:rPr>
          <w:sz w:val="20"/>
          <w:szCs w:val="20"/>
          <w:color w:val="auto"/>
        </w:rPr>
      </w:pPr>
    </w:p>
    <w:p>
      <w:pPr>
        <w:ind w:right="120"/>
        <w:spacing w:after="0" w:line="345" w:lineRule="auto"/>
        <w:rPr>
          <w:sz w:val="20"/>
          <w:szCs w:val="20"/>
          <w:color w:val="auto"/>
        </w:rPr>
      </w:pPr>
      <w:r>
        <w:rPr>
          <w:rFonts w:ascii="Times New Roman" w:cs="Times New Roman" w:eastAsia="Times New Roman" w:hAnsi="Times New Roman"/>
          <w:sz w:val="12"/>
          <w:szCs w:val="12"/>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i w:val="1"/>
          <w:iCs w:val="1"/>
          <w:color w:val="333333"/>
        </w:rPr>
        <w:t>Accrued Development Costs</w:t>
      </w:r>
    </w:p>
    <w:p>
      <w:pPr>
        <w:spacing w:after="0" w:line="280" w:lineRule="exact"/>
        <w:rPr>
          <w:sz w:val="20"/>
          <w:szCs w:val="20"/>
          <w:color w:val="auto"/>
        </w:rPr>
      </w:pPr>
    </w:p>
    <w:p>
      <w:pPr>
        <w:jc w:val="both"/>
        <w:ind w:left="1660"/>
        <w:spacing w:after="0" w:line="257" w:lineRule="auto"/>
        <w:rPr>
          <w:sz w:val="20"/>
          <w:szCs w:val="20"/>
          <w:color w:val="auto"/>
        </w:rPr>
      </w:pPr>
      <w:r>
        <w:rPr>
          <w:rFonts w:ascii="Times New Roman" w:cs="Times New Roman" w:eastAsia="Times New Roman" w:hAnsi="Times New Roman"/>
          <w:sz w:val="12"/>
          <w:szCs w:val="12"/>
          <w:color w:val="auto"/>
        </w:rPr>
        <w:t>As discussed in Notes 2 and 6 to the consolidated financial statements, the Company has recorded $3 million of accrued development costs as of the year ended December 31, 2025, which includes costs for clinical trial and contract manufacturing activities, among others. The accrual is based upon estimates of expenses incurred through the balance sheet date that have yet to be invoiced by contract research organizations, clinical study sites, contract manufacturing organizations, or other vendors (together, clinical vendors). This accrual process involves identifying services that have been performed and estimating the level of service performed and the associated cost when the Company has not yet been invoiced or otherwise notified of actual costs incurred.</w:t>
      </w:r>
    </w:p>
    <w:p>
      <w:pPr>
        <w:spacing w:after="0" w:line="53" w:lineRule="exact"/>
        <w:rPr>
          <w:sz w:val="20"/>
          <w:szCs w:val="20"/>
          <w:color w:val="auto"/>
        </w:rPr>
      </w:pPr>
    </w:p>
    <w:p>
      <w:pPr>
        <w:jc w:val="both"/>
        <w:ind w:left="1660"/>
        <w:spacing w:after="0" w:line="279" w:lineRule="auto"/>
        <w:rPr>
          <w:sz w:val="20"/>
          <w:szCs w:val="20"/>
          <w:color w:val="auto"/>
        </w:rPr>
      </w:pPr>
      <w:r>
        <w:rPr>
          <w:rFonts w:ascii="Times New Roman" w:cs="Times New Roman" w:eastAsia="Times New Roman" w:hAnsi="Times New Roman"/>
          <w:sz w:val="12"/>
          <w:szCs w:val="12"/>
          <w:color w:val="auto"/>
        </w:rPr>
        <w:t>Auditing the accrued development costs related to the Company's contract research organization was judgmental because the timing and pattern of vendor invoicing may not correspond to the level of services provided and can include estimates such as expected patient enrollment, site activation, and estimated project duration.</w:t>
      </w:r>
    </w:p>
    <w:p>
      <w:pPr>
        <w:spacing w:after="0" w:line="200" w:lineRule="exact"/>
        <w:rPr>
          <w:sz w:val="20"/>
          <w:szCs w:val="20"/>
          <w:color w:val="auto"/>
        </w:rPr>
      </w:pPr>
    </w:p>
    <w:p>
      <w:pPr>
        <w:sectPr>
          <w:pgSz w:w="11900" w:h="16838" w:orient="portrait"/>
          <w:cols w:equalWidth="0" w:num="2">
            <w:col w:w="1000" w:space="720"/>
            <w:col w:w="9560"/>
          </w:cols>
          <w:pgMar w:left="300" w:top="1061" w:right="31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i w:val="1"/>
          <w:iCs w:val="1"/>
          <w:color w:val="auto"/>
        </w:rPr>
        <w:t>How We Addressed</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i w:val="1"/>
          <w:iCs w:val="1"/>
          <w:color w:val="auto"/>
        </w:rPr>
        <w:t>the Matter in Our</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i w:val="1"/>
          <w:iCs w:val="1"/>
          <w:color w:val="auto"/>
        </w:rPr>
        <w:t>Audit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Ernst &amp; Young LLP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We have served as the Company’s auditor since 2000.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Detroit, Michigan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10,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2"/>
          <w:szCs w:val="12"/>
          <w:color w:val="auto"/>
        </w:rPr>
        <w:t>Our audit procedures included, among others, reading the Company’s contracts with their contract research organization as well as corroborating the progress of clinical development activities through inquiry with the Company’s operations personnel that oversee the activities. We confirmed contract terms and the level of services provided directly with the contract research organization and tested the Company’s hindsight analysis of prior year estimates to assess the accuracy of management’s accrual estimation process. In addition, we tested invoices received from clinical vendors subsequent to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43815</wp:posOffset>
            </wp:positionV>
            <wp:extent cx="720344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680" w:space="720"/>
            <w:col w:w="7880"/>
          </w:cols>
          <w:pgMar w:left="300" w:top="1061" w:right="31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2"/>
          <w:szCs w:val="12"/>
          <w:b w:val="1"/>
          <w:bCs w:val="1"/>
          <w:color w:val="auto"/>
        </w:rPr>
        <w:t>vTv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(dollars in thousands, except per share and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60" w:type="dxa"/>
            <w:vAlign w:val="bottom"/>
          </w:tcPr>
          <w:p>
            <w:pPr>
              <w:spacing w:after="0"/>
              <w:rPr>
                <w:sz w:val="10"/>
                <w:szCs w:val="10"/>
                <w:color w:val="auto"/>
              </w:rPr>
            </w:pPr>
          </w:p>
        </w:tc>
        <w:tc>
          <w:tcPr>
            <w:tcW w:w="1200" w:type="dxa"/>
            <w:vAlign w:val="bottom"/>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9"/>
        </w:trPr>
        <w:tc>
          <w:tcPr>
            <w:tcW w:w="8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64"/>
        </w:trPr>
        <w:tc>
          <w:tcPr>
            <w:tcW w:w="8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88,932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36,746</w:t>
            </w:r>
          </w:p>
        </w:tc>
      </w:tr>
      <w:tr>
        <w:trPr>
          <w:trHeight w:val="153"/>
        </w:trPr>
        <w:tc>
          <w:tcPr>
            <w:tcW w:w="82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Prepaid expenses</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1,192</w:t>
            </w: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 current assets</w:t>
            </w: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175</w:t>
            </w:r>
          </w:p>
        </w:tc>
      </w:tr>
      <w:tr>
        <w:trPr>
          <w:trHeight w:val="142"/>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current assets</w:t>
            </w:r>
          </w:p>
        </w:tc>
        <w:tc>
          <w:tcPr>
            <w:tcW w:w="2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89,893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38,113</w:t>
            </w: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 assets</w:t>
            </w: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153</w:t>
            </w:r>
          </w:p>
        </w:tc>
      </w:tr>
      <w:tr>
        <w:trPr>
          <w:trHeight w:val="158"/>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89,899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38,266</w:t>
            </w:r>
          </w:p>
        </w:tc>
      </w:tr>
      <w:tr>
        <w:trPr>
          <w:trHeight w:val="135"/>
        </w:trPr>
        <w:tc>
          <w:tcPr>
            <w:tcW w:w="8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5,027</w:t>
            </w:r>
          </w:p>
        </w:tc>
      </w:tr>
      <w:tr>
        <w:trPr>
          <w:trHeight w:val="153"/>
        </w:trPr>
        <w:tc>
          <w:tcPr>
            <w:tcW w:w="82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26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169</w:t>
            </w:r>
          </w:p>
        </w:tc>
      </w:tr>
      <w:tr>
        <w:trPr>
          <w:trHeight w:val="153"/>
        </w:trPr>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Warrant liability, related party</w:t>
            </w: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6,641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5,196</w:t>
            </w:r>
          </w:p>
        </w:tc>
      </w:tr>
      <w:tr>
        <w:trPr>
          <w:trHeight w:val="153"/>
        </w:trPr>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Contract liabilities, net of current portion</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18,669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18,669</w:t>
            </w:r>
          </w:p>
        </w:tc>
      </w:tr>
      <w:tr>
        <w:trPr>
          <w:trHeight w:val="153"/>
        </w:trPr>
        <w:tc>
          <w:tcPr>
            <w:tcW w:w="8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Warrant liability, related party</w:t>
            </w:r>
          </w:p>
        </w:tc>
        <w:tc>
          <w:tcPr>
            <w:tcW w:w="26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57</w:t>
            </w:r>
          </w:p>
        </w:tc>
      </w:tr>
      <w:tr>
        <w:trPr>
          <w:trHeight w:val="153"/>
        </w:trPr>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Warrant liability</w:t>
            </w: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43</w:t>
            </w:r>
          </w:p>
        </w:tc>
      </w:tr>
      <w:tr>
        <w:trPr>
          <w:trHeight w:val="142"/>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liabilities</w:t>
            </w:r>
          </w:p>
        </w:tc>
        <w:tc>
          <w:tcPr>
            <w:tcW w:w="2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25,462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23,965</w:t>
            </w:r>
          </w:p>
        </w:tc>
      </w:tr>
      <w:tr>
        <w:trPr>
          <w:trHeight w:val="153"/>
        </w:trPr>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Commitments and contingencies</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Stockholders’ equity:</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Class A common stock, $0.01 par value; 200,000,000 shares authorized, 3,938,654 and 2,612,257 shares outstanding as of December 31, 2025 and 2024, respectively</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26</w:t>
            </w:r>
          </w:p>
        </w:tc>
      </w:tr>
      <w:tr>
        <w:trPr>
          <w:trHeight w:val="153"/>
        </w:trPr>
        <w:tc>
          <w:tcPr>
            <w:tcW w:w="82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Class B common stock, $0.01 par value; 100,000,000 shares authorized, and 241 and 577,349 outstanding as of December 31, 2025 and 2024, respectively</w:t>
            </w:r>
          </w:p>
        </w:tc>
        <w:tc>
          <w:tcPr>
            <w:tcW w:w="26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w:t>
            </w: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391,090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311,885</w:t>
            </w:r>
          </w:p>
        </w:tc>
      </w:tr>
      <w:tr>
        <w:trPr>
          <w:trHeight w:val="153"/>
        </w:trPr>
        <w:tc>
          <w:tcPr>
            <w:tcW w:w="8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Accumulated deficit</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(326,692)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(299,718)</w:t>
            </w:r>
          </w:p>
        </w:tc>
      </w:tr>
      <w:tr>
        <w:trPr>
          <w:trHeight w:val="1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stockholders’ equity attributable to vTv Therapeutics Inc.</w:t>
            </w: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64,437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12,199</w:t>
            </w:r>
          </w:p>
        </w:tc>
      </w:tr>
      <w:tr>
        <w:trPr>
          <w:trHeight w:val="153"/>
        </w:trPr>
        <w:tc>
          <w:tcPr>
            <w:tcW w:w="8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Noncontrolling interest</w:t>
            </w:r>
          </w:p>
        </w:tc>
        <w:tc>
          <w:tcPr>
            <w:tcW w:w="26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2,102</w:t>
            </w:r>
          </w:p>
        </w:tc>
      </w:tr>
      <w:tr>
        <w:trPr>
          <w:trHeight w:val="142"/>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64,437</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14,301</w:t>
            </w:r>
          </w:p>
        </w:tc>
      </w:tr>
      <w:tr>
        <w:trPr>
          <w:trHeight w:val="158"/>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liabilities, redeemable noncontrolling interest and stockholders’ equity</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89,899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38,266</w:t>
            </w:r>
          </w:p>
        </w:tc>
      </w:tr>
      <w:tr>
        <w:trPr>
          <w:trHeight w:val="162"/>
        </w:trPr>
        <w:tc>
          <w:tcPr>
            <w:tcW w:w="8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43815</wp:posOffset>
            </wp:positionV>
            <wp:extent cx="720344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40" w:top="935" w:right="359" w:bottom="1440" w:gutter="0" w:footer="0" w:header="0"/>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vTv Therapeutics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per share and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Years Ending December 31,</w:t>
            </w: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43"/>
        </w:trPr>
        <w:tc>
          <w:tcPr>
            <w:tcW w:w="65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2025</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5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880" w:type="dxa"/>
            <w:vAlign w:val="bottom"/>
            <w:shd w:val="clear" w:color="auto" w:fill="CCEEFF"/>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1,017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17,861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11,546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13,595</w:t>
            </w:r>
          </w:p>
        </w:tc>
      </w:tr>
      <w:tr>
        <w:trPr>
          <w:trHeight w:val="153"/>
        </w:trPr>
        <w:tc>
          <w:tcPr>
            <w:tcW w:w="6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14,947</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13,651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11,907</w:t>
            </w:r>
          </w:p>
        </w:tc>
      </w:tr>
      <w:tr>
        <w:trPr>
          <w:trHeight w:val="142"/>
        </w:trPr>
        <w:tc>
          <w:tcPr>
            <w:tcW w:w="6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Total operating expenses</w:t>
            </w:r>
          </w:p>
        </w:tc>
        <w:tc>
          <w:tcPr>
            <w:tcW w:w="8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32,808</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25,197</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25,502</w:t>
            </w:r>
          </w:p>
        </w:tc>
      </w:tr>
      <w:tr>
        <w:trPr>
          <w:trHeight w:val="142"/>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(24,180)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(25,502)</w:t>
            </w:r>
          </w:p>
        </w:tc>
      </w:tr>
      <w:tr>
        <w:trPr>
          <w:trHeight w:val="15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 income, net</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(1,497)</w:t>
            </w: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income – related party</w:t>
            </w:r>
          </w:p>
        </w:tc>
        <w:tc>
          <w:tcPr>
            <w:tcW w:w="8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574</w:t>
            </w:r>
          </w:p>
        </w:tc>
      </w:tr>
      <w:tr>
        <w:trPr>
          <w:trHeight w:val="15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1,565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472</w:t>
            </w: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42"/>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income taxes and noncontrolling interest</w:t>
            </w:r>
          </w:p>
        </w:tc>
        <w:tc>
          <w:tcPr>
            <w:tcW w:w="8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(31,080)</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(22,605)</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(25,966)</w:t>
            </w: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Income tax provision</w:t>
            </w:r>
          </w:p>
        </w:tc>
        <w:tc>
          <w:tcPr>
            <w:tcW w:w="8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before noncontrolling interest</w:t>
            </w:r>
          </w:p>
        </w:tc>
        <w:tc>
          <w:tcPr>
            <w:tcW w:w="8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(31,080)</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(22,705)</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(25,966)</w:t>
            </w:r>
          </w:p>
        </w:tc>
      </w:tr>
      <w:tr>
        <w:trPr>
          <w:trHeight w:val="153"/>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net loss attributable to noncontrolling interest</w:t>
            </w: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(4,106)</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(4,243)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(5,716)</w:t>
            </w:r>
          </w:p>
        </w:tc>
      </w:tr>
      <w:tr>
        <w:trPr>
          <w:trHeight w:val="158"/>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attributable to vTv Therapeutics Inc.</w:t>
            </w:r>
          </w:p>
        </w:tc>
        <w:tc>
          <w:tcPr>
            <w:tcW w:w="880" w:type="dxa"/>
            <w:vAlign w:val="bottom"/>
            <w:tcBorders>
              <w:bottom w:val="single" w:sz="8" w:color="auto"/>
            </w:tcBorders>
            <w:shd w:val="clear" w:color="auto" w:fill="CCEEFF"/>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(26,974)</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(18,462)</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(20,250)</w:t>
            </w:r>
          </w:p>
        </w:tc>
      </w:tr>
      <w:tr>
        <w:trPr>
          <w:trHeight w:val="169"/>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loss attributable to vTv Therapeutics Inc. common shareholders</w:t>
            </w:r>
          </w:p>
        </w:tc>
        <w:tc>
          <w:tcPr>
            <w:tcW w:w="880" w:type="dxa"/>
            <w:vAlign w:val="bottom"/>
            <w:tcBorders>
              <w:bottom w:val="single" w:sz="8" w:color="auto"/>
            </w:tcBorders>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(26,974)</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(18,462)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(20,250)</w:t>
            </w:r>
          </w:p>
        </w:tc>
      </w:tr>
      <w:tr>
        <w:trPr>
          <w:trHeight w:val="169"/>
        </w:trPr>
        <w:tc>
          <w:tcPr>
            <w:tcW w:w="6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Net loss per share of vTv Therapeutics Inc. Class A common stock, basic and diluted</w:t>
            </w:r>
          </w:p>
        </w:tc>
        <w:tc>
          <w:tcPr>
            <w:tcW w:w="880" w:type="dxa"/>
            <w:vAlign w:val="bottom"/>
            <w:tcBorders>
              <w:bottom w:val="single" w:sz="8" w:color="auto"/>
            </w:tcBorders>
            <w:shd w:val="clear" w:color="auto" w:fill="CCEEFF"/>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w:t>
            </w:r>
          </w:p>
        </w:tc>
      </w:tr>
      <w:tr>
        <w:trPr>
          <w:trHeight w:val="153"/>
        </w:trPr>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Weighted average number of vTv Therapeutics Inc. Class A common stock, basic and diluted</w:t>
            </w: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8,423,632</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5,771,052</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2,084,973</w:t>
            </w:r>
          </w:p>
        </w:tc>
      </w:tr>
      <w:tr>
        <w:trPr>
          <w:trHeight w:val="20"/>
        </w:trPr>
        <w:tc>
          <w:tcPr>
            <w:tcW w:w="6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43815</wp:posOffset>
            </wp:positionV>
            <wp:extent cx="720344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400" w:top="773" w:right="399" w:bottom="1440" w:gutter="0" w:footer="0" w:header="0"/>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vTv Therapeutics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Changes in Redeemable Noncontrolling Interest and Stockholders’ Equity (Deficit)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right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5"/>
          </w:tcPr>
          <w:p>
            <w:pPr>
              <w:ind w:left="380"/>
              <w:spacing w:after="0"/>
              <w:rPr>
                <w:sz w:val="20"/>
                <w:szCs w:val="20"/>
                <w:color w:val="auto"/>
              </w:rPr>
            </w:pPr>
            <w:r>
              <w:rPr>
                <w:rFonts w:ascii="Times New Roman" w:cs="Times New Roman" w:eastAsia="Times New Roman" w:hAnsi="Times New Roman"/>
                <w:sz w:val="8"/>
                <w:szCs w:val="8"/>
                <w:b w:val="1"/>
                <w:bCs w:val="1"/>
                <w:color w:val="auto"/>
              </w:rPr>
              <w:t>Class A Common Stock</w:t>
            </w:r>
          </w:p>
        </w:tc>
        <w:tc>
          <w:tcPr>
            <w:tcW w:w="1460" w:type="dxa"/>
            <w:vAlign w:val="bottom"/>
            <w:tcBorders>
              <w:top w:val="single" w:sz="8" w:color="auto"/>
            </w:tcBorders>
            <w:gridSpan w:val="3"/>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Class B Common Stock</w:t>
            </w: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r>
      <w:tr>
        <w:trPr>
          <w:trHeight w:val="92"/>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Total vTv</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99"/>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right w:val="single" w:sz="8" w:color="auto"/>
            </w:tcBorders>
          </w:tcPr>
          <w:p>
            <w:pPr>
              <w:jc w:val="center"/>
              <w:ind w:right="138"/>
              <w:spacing w:after="0"/>
              <w:rPr>
                <w:sz w:val="20"/>
                <w:szCs w:val="20"/>
                <w:color w:val="auto"/>
              </w:rPr>
            </w:pPr>
            <w:r>
              <w:rPr>
                <w:rFonts w:ascii="Times New Roman" w:cs="Times New Roman" w:eastAsia="Times New Roman" w:hAnsi="Times New Roman"/>
                <w:sz w:val="8"/>
                <w:szCs w:val="8"/>
                <w:b w:val="1"/>
                <w:bCs w:val="1"/>
                <w:color w:val="auto"/>
              </w:rPr>
              <w:t>Redeemable</w:t>
            </w: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Therapeutics Inc</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99"/>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right w:val="single" w:sz="8" w:color="auto"/>
            </w:tcBorders>
          </w:tcPr>
          <w:p>
            <w:pPr>
              <w:jc w:val="center"/>
              <w:ind w:right="118"/>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Paid-in</w:t>
            </w: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Stockholders’ Equity</w:t>
            </w:r>
          </w:p>
        </w:tc>
        <w:tc>
          <w:tcPr>
            <w:tcW w:w="100" w:type="dxa"/>
            <w:vAlign w:val="bottom"/>
          </w:tcPr>
          <w:p>
            <w:pPr>
              <w:spacing w:after="0"/>
              <w:rPr>
                <w:sz w:val="8"/>
                <w:szCs w:val="8"/>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40" w:type="dxa"/>
            <w:vAlign w:val="bottom"/>
          </w:tcPr>
          <w:p>
            <w:pPr>
              <w:spacing w:after="0"/>
              <w:rPr>
                <w:sz w:val="8"/>
                <w:szCs w:val="8"/>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8"/>
                <w:szCs w:val="8"/>
                <w:b w:val="1"/>
                <w:bCs w:val="1"/>
                <w:color w:val="auto"/>
              </w:rPr>
              <w:t>Total Stockholders'</w:t>
            </w:r>
          </w:p>
        </w:tc>
      </w:tr>
      <w:tr>
        <w:trPr>
          <w:trHeight w:val="133"/>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right w:val="single" w:sz="8" w:color="auto"/>
            </w:tcBorders>
          </w:tcPr>
          <w:p>
            <w:pPr>
              <w:jc w:val="center"/>
              <w:ind w:right="138"/>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40" w:type="dxa"/>
            <w:vAlign w:val="bottom"/>
          </w:tcPr>
          <w:p>
            <w:pPr>
              <w:spacing w:after="0"/>
              <w:rPr>
                <w:sz w:val="11"/>
                <w:szCs w:val="11"/>
                <w:color w:val="auto"/>
              </w:rPr>
            </w:pP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160" w:type="dxa"/>
            <w:vAlign w:val="bottom"/>
          </w:tcPr>
          <w:p>
            <w:pPr>
              <w:spacing w:after="0"/>
              <w:rPr>
                <w:sz w:val="11"/>
                <w:szCs w:val="11"/>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Amount</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8"/>
                <w:szCs w:val="8"/>
                <w:b w:val="1"/>
                <w:bCs w:val="1"/>
                <w:color w:val="auto"/>
              </w:rPr>
              <w:t>Accumulated Deficit</w:t>
            </w:r>
          </w:p>
        </w:tc>
        <w:tc>
          <w:tcPr>
            <w:tcW w:w="80" w:type="dxa"/>
            <w:vAlign w:val="bottom"/>
          </w:tcPr>
          <w:p>
            <w:pPr>
              <w:spacing w:after="0"/>
              <w:rPr>
                <w:sz w:val="11"/>
                <w:szCs w:val="11"/>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00" w:type="dxa"/>
            <w:vAlign w:val="bottom"/>
          </w:tcPr>
          <w:p>
            <w:pPr>
              <w:spacing w:after="0"/>
              <w:rPr>
                <w:sz w:val="11"/>
                <w:szCs w:val="11"/>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40" w:type="dxa"/>
            <w:vAlign w:val="bottom"/>
          </w:tcPr>
          <w:p>
            <w:pPr>
              <w:spacing w:after="0"/>
              <w:rPr>
                <w:sz w:val="11"/>
                <w:szCs w:val="11"/>
                <w:color w:val="auto"/>
              </w:rPr>
            </w:pPr>
          </w:p>
        </w:tc>
        <w:tc>
          <w:tcPr>
            <w:tcW w:w="76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Equity (Deficit)</w:t>
            </w:r>
          </w:p>
        </w:tc>
      </w:tr>
      <w:tr>
        <w:trPr>
          <w:trHeight w:val="112"/>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Balances at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780" w:type="dxa"/>
            <w:vAlign w:val="bottom"/>
            <w:tcBorders>
              <w:top w:val="single" w:sz="8" w:color="auto"/>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16,579</w:t>
            </w:r>
          </w:p>
        </w:tc>
        <w:tc>
          <w:tcPr>
            <w:tcW w:w="4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2,084,973</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21</w:t>
            </w:r>
          </w:p>
        </w:tc>
        <w:tc>
          <w:tcPr>
            <w:tcW w:w="4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577,349</w:t>
            </w:r>
          </w:p>
        </w:tc>
        <w:tc>
          <w:tcPr>
            <w:tcW w:w="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6</w:t>
            </w: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254,757</w:t>
            </w:r>
          </w:p>
        </w:tc>
        <w:tc>
          <w:tcPr>
            <w:tcW w:w="4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(265,524)</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(10,740)</w:t>
            </w: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(10,740)</w:t>
            </w:r>
          </w:p>
        </w:tc>
      </w:tr>
      <w:tr>
        <w:trPr>
          <w:trHeight w:val="112"/>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Net loss</w:t>
            </w:r>
          </w:p>
        </w:tc>
        <w:tc>
          <w:tcPr>
            <w:tcW w:w="100" w:type="dxa"/>
            <w:vAlign w:val="bottom"/>
          </w:tcPr>
          <w:p>
            <w:pPr>
              <w:spacing w:after="0"/>
              <w:rPr>
                <w:sz w:val="9"/>
                <w:szCs w:val="9"/>
                <w:color w:val="auto"/>
              </w:rPr>
            </w:pPr>
          </w:p>
        </w:tc>
        <w:tc>
          <w:tcPr>
            <w:tcW w:w="780" w:type="dxa"/>
            <w:vAlign w:val="bottom"/>
            <w:tcBorders>
              <w:right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(5,716)</w:t>
            </w:r>
          </w:p>
        </w:tc>
        <w:tc>
          <w:tcPr>
            <w:tcW w:w="40" w:type="dxa"/>
            <w:vAlign w:val="bottom"/>
          </w:tcPr>
          <w:p>
            <w:pPr>
              <w:spacing w:after="0"/>
              <w:rPr>
                <w:sz w:val="9"/>
                <w:szCs w:val="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spacing w:after="0"/>
              <w:rPr>
                <w:sz w:val="9"/>
                <w:szCs w:val="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(20,250)</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(20,250)</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(20,250)</w:t>
            </w:r>
          </w:p>
        </w:tc>
      </w:tr>
      <w:tr>
        <w:trPr>
          <w:trHeight w:val="122"/>
        </w:trPr>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Share-based compensation</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1,578</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1,578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1,578</w:t>
            </w:r>
          </w:p>
        </w:tc>
      </w:tr>
      <w:tr>
        <w:trPr>
          <w:trHeight w:val="112"/>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Change in redemption value of noncontrolling interest</w:t>
            </w:r>
          </w:p>
        </w:tc>
        <w:tc>
          <w:tcPr>
            <w:tcW w:w="100" w:type="dxa"/>
            <w:vAlign w:val="bottom"/>
          </w:tcPr>
          <w:p>
            <w:pPr>
              <w:spacing w:after="0"/>
              <w:rPr>
                <w:sz w:val="9"/>
                <w:szCs w:val="9"/>
                <w:color w:val="auto"/>
              </w:rPr>
            </w:pPr>
          </w:p>
        </w:tc>
        <w:tc>
          <w:tcPr>
            <w:tcW w:w="780" w:type="dxa"/>
            <w:vAlign w:val="bottom"/>
            <w:tcBorders>
              <w:right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(4,732)</w:t>
            </w:r>
          </w:p>
        </w:tc>
        <w:tc>
          <w:tcPr>
            <w:tcW w:w="40" w:type="dxa"/>
            <w:vAlign w:val="bottom"/>
          </w:tcPr>
          <w:p>
            <w:pPr>
              <w:spacing w:after="0"/>
              <w:rPr>
                <w:sz w:val="9"/>
                <w:szCs w:val="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spacing w:after="0"/>
              <w:rPr>
                <w:sz w:val="9"/>
                <w:szCs w:val="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4,732</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4,732</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4,732</w:t>
            </w:r>
          </w:p>
        </w:tc>
      </w:tr>
      <w:tr>
        <w:trPr>
          <w:trHeight w:val="111"/>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Balances at December 31, 2023</w:t>
            </w:r>
          </w:p>
        </w:tc>
        <w:tc>
          <w:tcPr>
            <w:tcW w:w="100" w:type="dxa"/>
            <w:vAlign w:val="bottom"/>
            <w:tcBorders>
              <w:top w:val="single" w:sz="8" w:color="auto"/>
              <w:bottom w:val="single" w:sz="8" w:color="auto"/>
            </w:tcBorders>
            <w:shd w:val="clear" w:color="auto" w:fill="CCEEFF"/>
          </w:tcPr>
          <w:p>
            <w:pPr>
              <w:spacing w:after="0"/>
              <w:rPr>
                <w:sz w:val="9"/>
                <w:szCs w:val="9"/>
                <w:color w:val="auto"/>
              </w:rPr>
            </w:pPr>
          </w:p>
        </w:tc>
        <w:tc>
          <w:tcPr>
            <w:tcW w:w="780" w:type="dxa"/>
            <w:vAlign w:val="bottom"/>
            <w:tcBorders>
              <w:top w:val="single" w:sz="8" w:color="auto"/>
              <w:bottom w:val="single" w:sz="8" w:color="auto"/>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6,131</w:t>
            </w:r>
          </w:p>
        </w:tc>
        <w:tc>
          <w:tcPr>
            <w:tcW w:w="4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2,084,973</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21</w:t>
            </w:r>
          </w:p>
        </w:tc>
        <w:tc>
          <w:tcPr>
            <w:tcW w:w="4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577,349</w:t>
            </w:r>
          </w:p>
        </w:tc>
        <w:tc>
          <w:tcPr>
            <w:tcW w:w="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auto"/>
            </w:tcBorders>
            <w:shd w:val="clear" w:color="auto" w:fill="CCEEFF"/>
          </w:tcPr>
          <w:p>
            <w:pPr>
              <w:spacing w:after="0"/>
              <w:rPr>
                <w:sz w:val="9"/>
                <w:szCs w:val="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6</w:t>
            </w: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256,335</w:t>
            </w:r>
          </w:p>
        </w:tc>
        <w:tc>
          <w:tcPr>
            <w:tcW w:w="4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auto"/>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(281,042)</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(24,680)</w:t>
            </w: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auto"/>
            </w:tcBorders>
            <w:shd w:val="clear" w:color="auto" w:fill="CCEEFF"/>
          </w:tcPr>
          <w:p>
            <w:pPr>
              <w:spacing w:after="0"/>
              <w:rPr>
                <w:sz w:val="9"/>
                <w:szCs w:val="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(24,680)</w:t>
            </w:r>
          </w:p>
        </w:tc>
      </w:tr>
      <w:tr>
        <w:trPr>
          <w:trHeight w:val="101"/>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Net loss attributable to vTv Therapeutics Inc.</w:t>
            </w:r>
          </w:p>
        </w:tc>
        <w:tc>
          <w:tcPr>
            <w:tcW w:w="100" w:type="dxa"/>
            <w:vAlign w:val="bottom"/>
          </w:tcPr>
          <w:p>
            <w:pPr>
              <w:spacing w:after="0"/>
              <w:rPr>
                <w:sz w:val="8"/>
                <w:szCs w:val="8"/>
                <w:color w:val="auto"/>
              </w:rPr>
            </w:pPr>
          </w:p>
        </w:tc>
        <w:tc>
          <w:tcPr>
            <w:tcW w:w="78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(18,462)</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(18,462)</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(18,462)</w:t>
            </w:r>
          </w:p>
        </w:tc>
      </w:tr>
      <w:tr>
        <w:trPr>
          <w:trHeight w:val="122"/>
        </w:trPr>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Net loss attributable to redeemable noncontrolling interest</w:t>
            </w:r>
            <w:r>
              <w:rPr>
                <w:rFonts w:ascii="Times New Roman" w:cs="Times New Roman" w:eastAsia="Times New Roman" w:hAnsi="Times New Roman"/>
                <w:sz w:val="10"/>
                <w:szCs w:val="10"/>
                <w:color w:val="auto"/>
                <w:vertAlign w:val="superscript"/>
              </w:rPr>
              <w:t>(*)</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color w:val="auto"/>
              </w:rPr>
              <w:t>(1,085)</w:t>
            </w:r>
          </w:p>
        </w:tc>
        <w:tc>
          <w:tcPr>
            <w:tcW w:w="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2"/>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Change in redemption value of redeemable noncontrolling interest</w:t>
            </w:r>
          </w:p>
        </w:tc>
        <w:tc>
          <w:tcPr>
            <w:tcW w:w="100" w:type="dxa"/>
            <w:vAlign w:val="bottom"/>
          </w:tcPr>
          <w:p>
            <w:pPr>
              <w:spacing w:after="0"/>
              <w:rPr>
                <w:sz w:val="9"/>
                <w:szCs w:val="9"/>
                <w:color w:val="auto"/>
              </w:rPr>
            </w:pPr>
          </w:p>
        </w:tc>
        <w:tc>
          <w:tcPr>
            <w:tcW w:w="78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214</w:t>
            </w:r>
          </w:p>
        </w:tc>
        <w:tc>
          <w:tcPr>
            <w:tcW w:w="40" w:type="dxa"/>
            <w:vAlign w:val="bottom"/>
          </w:tcPr>
          <w:p>
            <w:pPr>
              <w:spacing w:after="0"/>
              <w:rPr>
                <w:sz w:val="9"/>
                <w:szCs w:val="9"/>
                <w:color w:val="auto"/>
              </w:rPr>
            </w:pPr>
          </w:p>
        </w:tc>
        <w:tc>
          <w:tcPr>
            <w:tcW w:w="840" w:type="dxa"/>
            <w:vAlign w:val="bottom"/>
            <w:gridSpan w:val="2"/>
          </w:tcPr>
          <w:p>
            <w:pPr>
              <w:ind w:left="6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spacing w:after="0"/>
              <w:rPr>
                <w:sz w:val="9"/>
                <w:szCs w:val="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(214)</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(214)</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(214)</w:t>
            </w:r>
          </w:p>
        </w:tc>
      </w:tr>
      <w:tr>
        <w:trPr>
          <w:trHeight w:val="86"/>
        </w:trPr>
        <w:tc>
          <w:tcPr>
            <w:tcW w:w="2760" w:type="dxa"/>
            <w:vAlign w:val="bottom"/>
            <w:shd w:val="clear" w:color="auto" w:fill="CCEEFF"/>
          </w:tcPr>
          <w:p>
            <w:pPr>
              <w:ind w:left="160"/>
              <w:spacing w:after="0" w:line="86" w:lineRule="exact"/>
              <w:rPr>
                <w:sz w:val="20"/>
                <w:szCs w:val="20"/>
                <w:color w:val="auto"/>
              </w:rPr>
            </w:pPr>
            <w:r>
              <w:rPr>
                <w:rFonts w:ascii="Times New Roman" w:cs="Times New Roman" w:eastAsia="Times New Roman" w:hAnsi="Times New Roman"/>
                <w:sz w:val="8"/>
                <w:szCs w:val="8"/>
                <w:color w:val="auto"/>
              </w:rPr>
              <w:t>Reclassification of redeemable noncontrolling interest to permanent equity</w:t>
            </w:r>
          </w:p>
        </w:tc>
        <w:tc>
          <w:tcPr>
            <w:tcW w:w="100" w:type="dxa"/>
            <w:vAlign w:val="bottom"/>
            <w:shd w:val="clear" w:color="auto" w:fill="CCEEFF"/>
          </w:tcPr>
          <w:p>
            <w:pPr>
              <w:spacing w:after="0"/>
              <w:rPr>
                <w:sz w:val="7"/>
                <w:szCs w:val="7"/>
                <w:color w:val="auto"/>
              </w:rPr>
            </w:pPr>
          </w:p>
        </w:tc>
        <w:tc>
          <w:tcPr>
            <w:tcW w:w="780" w:type="dxa"/>
            <w:vAlign w:val="bottom"/>
            <w:tcBorders>
              <w:right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r>
      <w:tr>
        <w:trPr>
          <w:trHeight w:val="126"/>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(See Note 10)</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color w:val="auto"/>
              </w:rPr>
              <w:t>(5,260)</w:t>
            </w:r>
          </w:p>
        </w:tc>
        <w:tc>
          <w:tcPr>
            <w:tcW w:w="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5,260</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5,260</w:t>
            </w:r>
          </w:p>
        </w:tc>
      </w:tr>
      <w:tr>
        <w:trPr>
          <w:trHeight w:val="112"/>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Share-based compensation</w:t>
            </w:r>
          </w:p>
        </w:tc>
        <w:tc>
          <w:tcPr>
            <w:tcW w:w="100" w:type="dxa"/>
            <w:vAlign w:val="bottom"/>
          </w:tcPr>
          <w:p>
            <w:pPr>
              <w:spacing w:after="0"/>
              <w:rPr>
                <w:sz w:val="9"/>
                <w:szCs w:val="9"/>
                <w:color w:val="auto"/>
              </w:rPr>
            </w:pPr>
          </w:p>
        </w:tc>
        <w:tc>
          <w:tcPr>
            <w:tcW w:w="78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840" w:type="dxa"/>
            <w:vAlign w:val="bottom"/>
            <w:gridSpan w:val="2"/>
          </w:tcPr>
          <w:p>
            <w:pPr>
              <w:ind w:left="6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spacing w:after="0"/>
              <w:rPr>
                <w:sz w:val="9"/>
                <w:szCs w:val="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2,757</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2,757</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2,757</w:t>
            </w:r>
          </w:p>
        </w:tc>
      </w:tr>
      <w:tr>
        <w:trPr>
          <w:trHeight w:val="86"/>
        </w:trPr>
        <w:tc>
          <w:tcPr>
            <w:tcW w:w="2760" w:type="dxa"/>
            <w:vAlign w:val="bottom"/>
            <w:shd w:val="clear" w:color="auto" w:fill="CCEEFF"/>
          </w:tcPr>
          <w:p>
            <w:pPr>
              <w:ind w:left="160"/>
              <w:spacing w:after="0" w:line="86" w:lineRule="exact"/>
              <w:rPr>
                <w:sz w:val="20"/>
                <w:szCs w:val="20"/>
                <w:color w:val="auto"/>
              </w:rPr>
            </w:pPr>
            <w:r>
              <w:rPr>
                <w:rFonts w:ascii="Times New Roman" w:cs="Times New Roman" w:eastAsia="Times New Roman" w:hAnsi="Times New Roman"/>
                <w:sz w:val="8"/>
                <w:szCs w:val="8"/>
                <w:color w:val="auto"/>
              </w:rPr>
              <w:t>Issuance of Class A common stock and pre-funded warrants, net offering</w:t>
            </w:r>
          </w:p>
        </w:tc>
        <w:tc>
          <w:tcPr>
            <w:tcW w:w="100" w:type="dxa"/>
            <w:vAlign w:val="bottom"/>
            <w:shd w:val="clear" w:color="auto" w:fill="CCEEFF"/>
          </w:tcPr>
          <w:p>
            <w:pPr>
              <w:spacing w:after="0"/>
              <w:rPr>
                <w:sz w:val="7"/>
                <w:szCs w:val="7"/>
                <w:color w:val="auto"/>
              </w:rPr>
            </w:pPr>
          </w:p>
        </w:tc>
        <w:tc>
          <w:tcPr>
            <w:tcW w:w="780" w:type="dxa"/>
            <w:vAlign w:val="bottom"/>
            <w:tcBorders>
              <w:right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r>
      <w:tr>
        <w:trPr>
          <w:trHeight w:val="126"/>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costs</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347,884</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4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50,332</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50,335</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50,335</w:t>
            </w:r>
          </w:p>
        </w:tc>
      </w:tr>
      <w:tr>
        <w:trPr>
          <w:trHeight w:val="112"/>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Issuance of Class A Common Stock under ATM offering</w:t>
            </w:r>
          </w:p>
        </w:tc>
        <w:tc>
          <w:tcPr>
            <w:tcW w:w="100" w:type="dxa"/>
            <w:vAlign w:val="bottom"/>
          </w:tcPr>
          <w:p>
            <w:pPr>
              <w:spacing w:after="0"/>
              <w:rPr>
                <w:sz w:val="9"/>
                <w:szCs w:val="9"/>
                <w:color w:val="auto"/>
              </w:rPr>
            </w:pPr>
          </w:p>
        </w:tc>
        <w:tc>
          <w:tcPr>
            <w:tcW w:w="78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179,400</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40" w:type="dxa"/>
            <w:vAlign w:val="bottom"/>
          </w:tcPr>
          <w:p>
            <w:pPr>
              <w:spacing w:after="0"/>
              <w:rPr>
                <w:sz w:val="9"/>
                <w:szCs w:val="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spacing w:after="0"/>
              <w:rPr>
                <w:sz w:val="9"/>
                <w:szCs w:val="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2,461</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2,463</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2,463</w:t>
            </w:r>
          </w:p>
        </w:tc>
      </w:tr>
      <w:tr>
        <w:trPr>
          <w:trHeight w:val="122"/>
        </w:trPr>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Net loss attributable to noncontrolling interest</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(3,158)</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(3,158)</w:t>
            </w:r>
          </w:p>
        </w:tc>
      </w:tr>
      <w:tr>
        <w:trPr>
          <w:trHeight w:val="102"/>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8"/>
                <w:szCs w:val="8"/>
                <w:b w:val="1"/>
                <w:bCs w:val="1"/>
                <w:color w:val="auto"/>
              </w:rPr>
              <w:t>Balances at December 31, 2024</w:t>
            </w:r>
          </w:p>
        </w:tc>
        <w:tc>
          <w:tcPr>
            <w:tcW w:w="100" w:type="dxa"/>
            <w:vAlign w:val="bottom"/>
            <w:tcBorders>
              <w:top w:val="single" w:sz="8" w:color="auto"/>
              <w:bottom w:val="single" w:sz="8" w:color="auto"/>
            </w:tcBorders>
          </w:tcPr>
          <w:p>
            <w:pPr>
              <w:spacing w:after="0"/>
              <w:rPr>
                <w:sz w:val="8"/>
                <w:szCs w:val="8"/>
                <w:color w:val="auto"/>
              </w:rPr>
            </w:pPr>
          </w:p>
        </w:tc>
        <w:tc>
          <w:tcPr>
            <w:tcW w:w="780" w:type="dxa"/>
            <w:vAlign w:val="bottom"/>
            <w:tcBorders>
              <w:top w:val="single" w:sz="8" w:color="auto"/>
              <w:bottom w:val="single" w:sz="8" w:color="auto"/>
              <w:right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Borders>
              <w:bottom w:val="single" w:sz="8" w:color="CCEEFF"/>
            </w:tcBorders>
          </w:tcPr>
          <w:p>
            <w:pPr>
              <w:spacing w:after="0"/>
              <w:rPr>
                <w:sz w:val="8"/>
                <w:szCs w:val="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2,612,257</w:t>
            </w:r>
          </w:p>
        </w:tc>
        <w:tc>
          <w:tcPr>
            <w:tcW w:w="60" w:type="dxa"/>
            <w:vAlign w:val="bottom"/>
            <w:tcBorders>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26</w:t>
            </w:r>
          </w:p>
        </w:tc>
        <w:tc>
          <w:tcPr>
            <w:tcW w:w="40" w:type="dxa"/>
            <w:vAlign w:val="bottom"/>
            <w:tcBorders>
              <w:bottom w:val="single" w:sz="8" w:color="CCEEFF"/>
            </w:tcBorders>
          </w:tcPr>
          <w:p>
            <w:pPr>
              <w:spacing w:after="0"/>
              <w:rPr>
                <w:sz w:val="8"/>
                <w:szCs w:val="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577,349</w:t>
            </w:r>
          </w:p>
        </w:tc>
        <w:tc>
          <w:tcPr>
            <w:tcW w:w="60" w:type="dxa"/>
            <w:vAlign w:val="bottom"/>
            <w:tcBorders>
              <w:bottom w:val="single" w:sz="8" w:color="CCEEFF"/>
            </w:tcBorders>
          </w:tcPr>
          <w:p>
            <w:pPr>
              <w:spacing w:after="0"/>
              <w:rPr>
                <w:sz w:val="8"/>
                <w:szCs w:val="8"/>
                <w:color w:val="auto"/>
              </w:rPr>
            </w:pPr>
          </w:p>
        </w:tc>
        <w:tc>
          <w:tcPr>
            <w:tcW w:w="60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6</w:t>
            </w:r>
          </w:p>
        </w:tc>
        <w:tc>
          <w:tcPr>
            <w:tcW w:w="60" w:type="dxa"/>
            <w:vAlign w:val="bottom"/>
            <w:tcBorders>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311,885</w:t>
            </w:r>
          </w:p>
        </w:tc>
        <w:tc>
          <w:tcPr>
            <w:tcW w:w="40" w:type="dxa"/>
            <w:vAlign w:val="bottom"/>
            <w:tcBorders>
              <w:bottom w:val="single" w:sz="8" w:color="CCEEFF"/>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(299,718)</w:t>
            </w:r>
          </w:p>
        </w:tc>
        <w:tc>
          <w:tcPr>
            <w:tcW w:w="4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12,199</w:t>
            </w:r>
          </w:p>
        </w:tc>
        <w:tc>
          <w:tcPr>
            <w:tcW w:w="6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2,102</w:t>
            </w:r>
          </w:p>
        </w:tc>
        <w:tc>
          <w:tcPr>
            <w:tcW w:w="60" w:type="dxa"/>
            <w:vAlign w:val="bottom"/>
            <w:tcBorders>
              <w:bottom w:val="single" w:sz="8" w:color="CCEEFF"/>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14,301</w:t>
            </w:r>
          </w:p>
        </w:tc>
      </w:tr>
      <w:tr>
        <w:trPr>
          <w:trHeight w:val="110"/>
        </w:trPr>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Net loss attributable to vTv Therapeutics Inc.</w:t>
            </w:r>
          </w:p>
        </w:tc>
        <w:tc>
          <w:tcPr>
            <w:tcW w:w="100" w:type="dxa"/>
            <w:vAlign w:val="bottom"/>
            <w:shd w:val="clear" w:color="auto" w:fill="CCEEFF"/>
          </w:tcPr>
          <w:p>
            <w:pPr>
              <w:spacing w:after="0"/>
              <w:rPr>
                <w:sz w:val="9"/>
                <w:szCs w:val="9"/>
                <w:color w:val="auto"/>
              </w:rPr>
            </w:pPr>
          </w:p>
        </w:tc>
        <w:tc>
          <w:tcPr>
            <w:tcW w:w="780" w:type="dxa"/>
            <w:vAlign w:val="bottom"/>
            <w:tcBorders>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(26,974)</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(26,974)</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(26,974)</w:t>
            </w:r>
          </w:p>
        </w:tc>
      </w:tr>
      <w:tr>
        <w:trPr>
          <w:trHeight w:val="129"/>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Issuance of common stock upon exercise of stock options</w:t>
            </w:r>
          </w:p>
        </w:tc>
        <w:tc>
          <w:tcPr>
            <w:tcW w:w="100" w:type="dxa"/>
            <w:vAlign w:val="bottom"/>
          </w:tcPr>
          <w:p>
            <w:pPr>
              <w:spacing w:after="0"/>
              <w:rPr>
                <w:sz w:val="11"/>
                <w:szCs w:val="11"/>
                <w:color w:val="auto"/>
              </w:rPr>
            </w:pPr>
          </w:p>
        </w:tc>
        <w:tc>
          <w:tcPr>
            <w:tcW w:w="78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1,336</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spacing w:after="0"/>
              <w:rPr>
                <w:sz w:val="11"/>
                <w:szCs w:val="1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w:t>
            </w:r>
          </w:p>
        </w:tc>
      </w:tr>
      <w:tr>
        <w:trPr>
          <w:trHeight w:val="141"/>
        </w:trPr>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Shares withheld related to net share settlement of equity awards</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4,258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(51)</w:t>
            </w:r>
          </w:p>
        </w:tc>
      </w:tr>
      <w:tr>
        <w:trPr>
          <w:trHeight w:val="112"/>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Share-based compensation</w:t>
            </w:r>
          </w:p>
        </w:tc>
        <w:tc>
          <w:tcPr>
            <w:tcW w:w="100" w:type="dxa"/>
            <w:vAlign w:val="bottom"/>
          </w:tcPr>
          <w:p>
            <w:pPr>
              <w:spacing w:after="0"/>
              <w:rPr>
                <w:sz w:val="9"/>
                <w:szCs w:val="9"/>
                <w:color w:val="auto"/>
              </w:rPr>
            </w:pPr>
          </w:p>
        </w:tc>
        <w:tc>
          <w:tcPr>
            <w:tcW w:w="78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spacing w:after="0"/>
              <w:rPr>
                <w:sz w:val="9"/>
                <w:szCs w:val="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3,775</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3,775</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3,775</w:t>
            </w:r>
          </w:p>
        </w:tc>
      </w:tr>
      <w:tr>
        <w:trPr>
          <w:trHeight w:val="86"/>
        </w:trPr>
        <w:tc>
          <w:tcPr>
            <w:tcW w:w="2760" w:type="dxa"/>
            <w:vAlign w:val="bottom"/>
            <w:shd w:val="clear" w:color="auto" w:fill="CCEEFF"/>
          </w:tcPr>
          <w:p>
            <w:pPr>
              <w:ind w:left="160"/>
              <w:spacing w:after="0" w:line="86" w:lineRule="exact"/>
              <w:rPr>
                <w:sz w:val="20"/>
                <w:szCs w:val="20"/>
                <w:color w:val="auto"/>
              </w:rPr>
            </w:pPr>
            <w:r>
              <w:rPr>
                <w:rFonts w:ascii="Times New Roman" w:cs="Times New Roman" w:eastAsia="Times New Roman" w:hAnsi="Times New Roman"/>
                <w:sz w:val="8"/>
                <w:szCs w:val="8"/>
                <w:color w:val="auto"/>
              </w:rPr>
              <w:t>Issuance of common shares and equity classified warrants, net of offering</w:t>
            </w:r>
          </w:p>
        </w:tc>
        <w:tc>
          <w:tcPr>
            <w:tcW w:w="100" w:type="dxa"/>
            <w:vAlign w:val="bottom"/>
            <w:shd w:val="clear" w:color="auto" w:fill="CCEEFF"/>
          </w:tcPr>
          <w:p>
            <w:pPr>
              <w:spacing w:after="0"/>
              <w:rPr>
                <w:sz w:val="7"/>
                <w:szCs w:val="7"/>
                <w:color w:val="auto"/>
              </w:rPr>
            </w:pPr>
          </w:p>
        </w:tc>
        <w:tc>
          <w:tcPr>
            <w:tcW w:w="780" w:type="dxa"/>
            <w:vAlign w:val="bottom"/>
            <w:tcBorders>
              <w:right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r>
      <w:tr>
        <w:trPr>
          <w:trHeight w:val="126"/>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costs</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682,018</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4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77,469</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77,476</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77,476</w:t>
            </w:r>
          </w:p>
        </w:tc>
      </w:tr>
      <w:tr>
        <w:trPr>
          <w:trHeight w:val="112"/>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Issuance of common stock - warrants exercised</w:t>
            </w:r>
          </w:p>
        </w:tc>
        <w:tc>
          <w:tcPr>
            <w:tcW w:w="100" w:type="dxa"/>
            <w:vAlign w:val="bottom"/>
          </w:tcPr>
          <w:p>
            <w:pPr>
              <w:spacing w:after="0"/>
              <w:rPr>
                <w:sz w:val="9"/>
                <w:szCs w:val="9"/>
                <w:color w:val="auto"/>
              </w:rPr>
            </w:pPr>
          </w:p>
        </w:tc>
        <w:tc>
          <w:tcPr>
            <w:tcW w:w="78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61,677</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spacing w:after="0"/>
              <w:rPr>
                <w:sz w:val="9"/>
                <w:szCs w:val="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9"/>
                <w:szCs w:val="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22"/>
        </w:trPr>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Conversion of Class B Common Stock to Class A Common Stock</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577,108</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(577,108)</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2"/>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Reclassification of noncontrolling interest to additional paid-in capital</w:t>
            </w:r>
          </w:p>
        </w:tc>
        <w:tc>
          <w:tcPr>
            <w:tcW w:w="100" w:type="dxa"/>
            <w:vAlign w:val="bottom"/>
          </w:tcPr>
          <w:p>
            <w:pPr>
              <w:spacing w:after="0"/>
              <w:rPr>
                <w:sz w:val="9"/>
                <w:szCs w:val="9"/>
                <w:color w:val="auto"/>
              </w:rPr>
            </w:pPr>
          </w:p>
        </w:tc>
        <w:tc>
          <w:tcPr>
            <w:tcW w:w="78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840" w:type="dxa"/>
            <w:vAlign w:val="bottom"/>
            <w:gridSpan w:val="2"/>
          </w:tcPr>
          <w:p>
            <w:pPr>
              <w:ind w:left="6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spacing w:after="0"/>
              <w:rPr>
                <w:sz w:val="9"/>
                <w:szCs w:val="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(2,004)</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(2,004)</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2,004</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22"/>
        </w:trPr>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Net loss attributable to noncontrolling interest</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(4,106)</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(4,106)</w:t>
            </w:r>
          </w:p>
        </w:tc>
      </w:tr>
      <w:tr>
        <w:trPr>
          <w:trHeight w:val="106"/>
        </w:trPr>
        <w:tc>
          <w:tcPr>
            <w:tcW w:w="27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Balances at December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780" w:type="dxa"/>
            <w:vAlign w:val="bottom"/>
            <w:tcBorders>
              <w:top w:val="single" w:sz="8" w:color="auto"/>
              <w:bottom w:val="single" w:sz="8" w:color="auto"/>
              <w:right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Pr>
          <w:p>
            <w:pPr>
              <w:spacing w:after="0"/>
              <w:rPr>
                <w:sz w:val="9"/>
                <w:szCs w:val="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3,938,654</w:t>
            </w:r>
          </w:p>
        </w:tc>
        <w:tc>
          <w:tcPr>
            <w:tcW w:w="6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39</w:t>
            </w:r>
          </w:p>
        </w:tc>
        <w:tc>
          <w:tcPr>
            <w:tcW w:w="40" w:type="dxa"/>
            <w:vAlign w:val="bottom"/>
          </w:tcPr>
          <w:p>
            <w:pPr>
              <w:spacing w:after="0"/>
              <w:rPr>
                <w:sz w:val="9"/>
                <w:szCs w:val="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241</w:t>
            </w:r>
          </w:p>
        </w:tc>
        <w:tc>
          <w:tcPr>
            <w:tcW w:w="6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391,090</w:t>
            </w:r>
          </w:p>
        </w:tc>
        <w:tc>
          <w:tcPr>
            <w:tcW w:w="40" w:type="dxa"/>
            <w:vAlign w:val="bottom"/>
          </w:tcPr>
          <w:p>
            <w:pPr>
              <w:spacing w:after="0"/>
              <w:rPr>
                <w:sz w:val="9"/>
                <w:szCs w:val="9"/>
                <w:color w:val="auto"/>
              </w:rPr>
            </w:pPr>
          </w:p>
        </w:tc>
        <w:tc>
          <w:tcPr>
            <w:tcW w:w="26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(326,692)</w:t>
            </w:r>
          </w:p>
        </w:tc>
        <w:tc>
          <w:tcPr>
            <w:tcW w:w="4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64,437</w:t>
            </w:r>
          </w:p>
        </w:tc>
        <w:tc>
          <w:tcPr>
            <w:tcW w:w="6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64,437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78040" cy="857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1">
                      <a:extLst>
                        <a:ext uri="{28A0092B-C50C-407E-A947-70E740481C1C}"/>
                      </a:extLst>
                    </a:blip>
                    <a:srcRect/>
                    <a:stretch>
                      <a:fillRect/>
                    </a:stretch>
                  </pic:blipFill>
                  <pic:spPr bwMode="auto">
                    <a:xfrm>
                      <a:off x="0" y="0"/>
                      <a:ext cx="7178040" cy="857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0"/>
          <w:szCs w:val="10"/>
          <w:b w:val="1"/>
          <w:bCs w:val="1"/>
          <w:color w:val="auto"/>
        </w:rPr>
        <w:t>(*) Allocation of NCI net loss was a result from the reclassification to permanent equity on February 27, 2024 (See Note 10)</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2"/>
          <w:szCs w:val="12"/>
          <w:b w:val="1"/>
          <w:bCs w:val="1"/>
          <w:color w:val="auto"/>
        </w:rPr>
        <w:t>vTv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94"/>
              </w:rPr>
              <w:t>Twelve Months Ended December 31,</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1"/>
        </w:trPr>
        <w:tc>
          <w:tcPr>
            <w:tcW w:w="6680" w:type="dxa"/>
            <w:vAlign w:val="bottom"/>
          </w:tcPr>
          <w:p>
            <w:pPr>
              <w:spacing w:after="0"/>
              <w:rPr>
                <w:sz w:val="12"/>
                <w:szCs w:val="12"/>
                <w:color w:val="auto"/>
              </w:rPr>
            </w:pPr>
          </w:p>
        </w:tc>
        <w:tc>
          <w:tcPr>
            <w:tcW w:w="8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rPr>
              <w:t>2025</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44"/>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5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 before noncontrolling interest</w:t>
            </w:r>
          </w:p>
        </w:tc>
        <w:tc>
          <w:tcPr>
            <w:tcW w:w="86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(31,080)</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(25,966)</w:t>
            </w:r>
          </w:p>
        </w:tc>
      </w:tr>
      <w:tr>
        <w:trPr>
          <w:trHeight w:val="153"/>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loss before noncontrolling interest to net cash used in operating activities:</w:t>
            </w: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Depreciation expense</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r>
      <w:tr>
        <w:trPr>
          <w:trHeight w:val="153"/>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Loss on disposal of property and equipment</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Loss from G42 Promissory Note early redemption</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w:t>
            </w: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Non-cash interest income</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53"/>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1,578</w:t>
            </w:r>
          </w:p>
        </w:tc>
      </w:tr>
      <w:tr>
        <w:trPr>
          <w:trHeight w:val="153"/>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Realized gain on sale of investment in Reneo Pharmaceuticals, Inc.</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(3,061)</w:t>
            </w:r>
          </w:p>
        </w:tc>
      </w:tr>
      <w:tr>
        <w:trPr>
          <w:trHeight w:val="153"/>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Impairment of investments in Anteris Bio, Inc.</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4,245</w:t>
            </w:r>
          </w:p>
        </w:tc>
      </w:tr>
      <w:tr>
        <w:trPr>
          <w:trHeight w:val="153"/>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Change in fair value of warrants, related party</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w:t>
            </w:r>
          </w:p>
        </w:tc>
      </w:tr>
      <w:tr>
        <w:trPr>
          <w:trHeight w:val="153"/>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Change in fair value of warrants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Prepaid expenses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w:t>
            </w:r>
          </w:p>
        </w:tc>
      </w:tr>
      <w:tr>
        <w:trPr>
          <w:trHeight w:val="153"/>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current assets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53"/>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Other assets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r>
      <w:tr>
        <w:trPr>
          <w:trHeight w:val="153"/>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2,929</w:t>
            </w:r>
          </w:p>
        </w:tc>
      </w:tr>
      <w:tr>
        <w:trPr>
          <w:trHeight w:val="153"/>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Contract liabilities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Other liabilities</w:t>
            </w:r>
          </w:p>
        </w:tc>
        <w:tc>
          <w:tcPr>
            <w:tcW w:w="8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w:t>
            </w:r>
          </w:p>
        </w:tc>
      </w:tr>
      <w:tr>
        <w:trPr>
          <w:trHeight w:val="14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(25,255)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(25,307)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(19,081)</w:t>
            </w:r>
          </w:p>
        </w:tc>
      </w:tr>
      <w:tr>
        <w:trPr>
          <w:trHeight w:val="153"/>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Proceed from sale of investments in Reneo Pharmaceuticals, Inc.</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4,404</w:t>
            </w:r>
          </w:p>
        </w:tc>
      </w:tr>
      <w:tr>
        <w:trPr>
          <w:trHeight w:val="142"/>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8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4,404</w:t>
            </w:r>
          </w:p>
        </w:tc>
      </w:tr>
      <w:tr>
        <w:trPr>
          <w:trHeight w:val="15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sale of Class A common stock, pre-funded and common warrants, net of offering costs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77,476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sale of Class A common stock and pre-funded warrants, net of offering costs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50,335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issuance of Class A common stock, net of offering costs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sale of Class A common stock to collaboration partner, net of offering costs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12,030</w:t>
            </w: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the exercise of stock options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Taxes paid related to net share settlement of equity awards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debt issuance</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w:t>
            </w:r>
          </w:p>
        </w:tc>
      </w:tr>
      <w:tr>
        <w:trPr>
          <w:trHeight w:val="153"/>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Repayment of notes payable</w:t>
            </w:r>
          </w:p>
        </w:tc>
        <w:tc>
          <w:tcPr>
            <w:tcW w:w="8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(599)</w:t>
            </w:r>
          </w:p>
        </w:tc>
      </w:tr>
      <w:tr>
        <w:trPr>
          <w:trHeight w:val="142"/>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77,441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52,607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11,997</w:t>
            </w:r>
          </w:p>
        </w:tc>
      </w:tr>
      <w:tr>
        <w:trPr>
          <w:trHeight w:val="15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increase (decrease) in cash, cash equivalents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52,186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27,300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(2,680)</w:t>
            </w:r>
          </w:p>
        </w:tc>
      </w:tr>
      <w:tr>
        <w:trPr>
          <w:trHeight w:val="15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cash and cash equivalents, beginning of year</w:t>
            </w:r>
          </w:p>
        </w:tc>
        <w:tc>
          <w:tcPr>
            <w:tcW w:w="8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36,746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9,446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12,126</w:t>
            </w:r>
          </w:p>
        </w:tc>
      </w:tr>
      <w:tr>
        <w:trPr>
          <w:trHeight w:val="162"/>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cash and cash equivalents, end of year</w:t>
            </w:r>
          </w:p>
        </w:tc>
        <w:tc>
          <w:tcPr>
            <w:tcW w:w="86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88,932</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36,746</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9,446</w:t>
            </w:r>
          </w:p>
        </w:tc>
      </w:tr>
      <w:tr>
        <w:trPr>
          <w:trHeight w:val="149"/>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Supplemental cash flow information:</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80"/>
        </w:trPr>
        <w:tc>
          <w:tcPr>
            <w:tcW w:w="6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Cash paid for interest</w:t>
            </w:r>
          </w:p>
        </w:tc>
        <w:tc>
          <w:tcPr>
            <w:tcW w:w="86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58"/>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Cash paid for income taxes</w:t>
            </w:r>
          </w:p>
        </w:tc>
        <w:tc>
          <w:tcPr>
            <w:tcW w:w="860" w:type="dxa"/>
            <w:vAlign w:val="bottom"/>
            <w:tcBorders>
              <w:top w:val="single" w:sz="8" w:color="auto"/>
              <w:bottom w:val="single" w:sz="8" w:color="auto"/>
            </w:tcBorders>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90"/>
        </w:trPr>
        <w:tc>
          <w:tcPr>
            <w:tcW w:w="66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r>
      <w:tr>
        <w:trPr>
          <w:trHeight w:val="153"/>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Non-cash activities:</w:t>
            </w: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Change in redemption value of noncontrolling interest</w:t>
            </w:r>
          </w:p>
        </w:tc>
        <w:tc>
          <w:tcPr>
            <w:tcW w:w="86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(4,732)</w:t>
            </w:r>
          </w:p>
        </w:tc>
      </w:tr>
      <w:tr>
        <w:trPr>
          <w:trHeight w:val="155"/>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Reclassification of noncontrolling interest to additional paid-in capital</w:t>
            </w:r>
          </w:p>
        </w:tc>
        <w:tc>
          <w:tcPr>
            <w:tcW w:w="860" w:type="dxa"/>
            <w:vAlign w:val="bottom"/>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5,260</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43815</wp:posOffset>
            </wp:positionV>
            <wp:extent cx="720344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20"/>
          </w:cols>
          <w:pgMar w:left="480" w:top="701" w:right="49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2"/>
          <w:szCs w:val="12"/>
          <w:b w:val="1"/>
          <w:bCs w:val="1"/>
          <w:color w:val="auto"/>
        </w:rPr>
        <w:t>vTv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(dollar amounts are in thousands, unless otherwise noted)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Description of Business, Basis of Presentation and Going Concern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Description of Business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 xml:space="preserve">vTv Therapeutics Inc. (the “Company,” the “Registrant,” “we” or “us”) was incorporated in the state of Delaware in April 2015. The Company is a late-stage biopharmaceutical company focused on developing oral, small molecule drug candidates intended to help treat people living with diabetes and other chronic diseases. The Company’s clinical pipeline is led by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currently in a Phase 3 trial, a potential first-in-class oral liver-selective glucokinase activator being investigated as an adjunctive therapy to insulin for the treatment of type 1 diabetes. The Company and its development partners are investigating multiple molecules across different indications for chronic diseases.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Principles of Consolidation</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vTv Therapeutics Inc. is a holding company, and its principal asset is a controlling equity interest in vTv Therapeutics LLC (“vTv LLC”), the Company’s principal operating subsidiary.</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Consolidated Financial Statements. The assets and liabilities of vTv LLC represent substantially all of the Company's consolidated assets and liabilities with the exception of the Warrants and $68.4 million of cash and cash equivalents.</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Various holders own non-voting interests in vTv LLC, representing a de minimis amount of economic interest. Effectively, vTv Therapeutics Inc.’s interest is approximately 100% of vTv LLC’s economic results. vTv Therapeutics Inc. has provided financial and other support to vTv LLC in the form of its purchase of vTv Units with the net proceeds of the Company’s various debt and equity transactions in prior years and equity purchase agreements with various parties. vTv Therapeutics Inc. will not be required to provide financial or other support for vTv LLC. 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Liquidity</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To date, the Company has not generated any product revenue and has not achieved profitable operations. The continuing development of our drug candidates will require additional financing. From its inception through December 31, 2025,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December 31, 2025, the Company had an accumulated deficit of $326.7 million and has generated net losses in each year of its existence. As of December 31, 2025, the Company's liquidity sources included cash and cash equivalents of $88.9 million. See Note 9 for details on financing transactions for the years ended December 31, 2025 and 2024.</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On February 28, 2024, we entered into the TD Cowen Sales Agreement, pursuant to which we may offer and sell, from time to time, through or to TD Cowen, as sales agent or principal, shares of our Class A common stock, having an aggregate offering price of up to $50.0 million (the “TD Cowen ATM Offering”). Pursuant to General Instruction I.B.6 of Form S-3, at no time will we sell securities registered on the registration statement relating to the TD Cowen ATM Offering in an aggregate amount exceeding one-third of our public float during any 12-calendar month period, so long as our public float remains below $75.0 million. Under the terms of the TD Cowen Sales Agreement, we will pay TD Cowen a commission of 3.0% of the aggregate proceeds from the sale of shares and reimburse certain legal fees or other disbursements. On September 17, 2024, the Company sold 179,400 shares of Class A common stock under the TD Cowen ATM Offering for net proceeds of $2.5 million.</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On January 30, 2026, the Company entered into a Second Amendment to License Agreement with Newsoara Biopharma Co., Ltd. (“Newsoara”) (the “Second Amendment”). Under the Second Amendment, Newsoara's rights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2"/>
          <w:szCs w:val="12"/>
          <w:color w:val="auto"/>
        </w:rPr>
        <w:t xml:space="preserve">Company's PDE4 inhibitor,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will expand to include all countries of the world upon Newsoara's payment of the upfront fee of $20.0 million. See Note 15 for further details.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Summary of Significant Accounting Policies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preparation of the consolidated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Actual results could differ from those estimates.</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an ongoing basis, the Company evaluates its estimates, including those related to the grant date fair value of equity awards, the fair value of warrants to purchase shares of its Class A common stock, the useful lives of property and equipment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Concentration of Credit Risk</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Financial instruments that potentially expose the Company to concentrations of credit risk consist principally of cash on deposit with multiple financial institutions. The balance of the cash account frequently exceeds insured limits. The associated risk of concentration for cash and cash equivalents is mitigated by transferring a majority of our cash to a AAA rated money market account with a creditworthy institution.</w:t>
      </w:r>
    </w:p>
    <w:p>
      <w:pPr>
        <w:spacing w:after="0" w:line="39" w:lineRule="exact"/>
        <w:rPr>
          <w:sz w:val="20"/>
          <w:szCs w:val="20"/>
          <w:color w:val="auto"/>
        </w:rPr>
      </w:pPr>
    </w:p>
    <w:p>
      <w:pPr>
        <w:jc w:val="both"/>
        <w:ind w:firstLine="324"/>
        <w:spacing w:after="0" w:line="326" w:lineRule="auto"/>
        <w:rPr>
          <w:sz w:val="20"/>
          <w:szCs w:val="20"/>
          <w:color w:val="auto"/>
        </w:rPr>
      </w:pPr>
      <w:r>
        <w:rPr>
          <w:rFonts w:ascii="Times New Roman" w:cs="Times New Roman" w:eastAsia="Times New Roman" w:hAnsi="Times New Roman"/>
          <w:sz w:val="12"/>
          <w:szCs w:val="12"/>
          <w:color w:val="auto"/>
        </w:rPr>
        <w:t>Two collaboration partners represented 100% of the revenue earned during the year ended December 31, 2024 and was attributable from the satisfaction of a development milestone from the Newsoara License Agreement and the satisfaction of a performance obligation from the First Huadong Amendment (as defined herein). The Company did not have any revenue during the years ended December 31, 2025 or December 31, 2023.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and Cash Equivalents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considers any highly liquid investments with an original maturity of three months or less to be cash and cash equivalents.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Collaboration Revenue and Accounts Receivable</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majority of the Company’s collaboration revenue and accounts receivable relates to its agreements to license certain of its potential drug products for development. See Note 3 for further discussion of the Company’s collaboration agreements.</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Accounts receivable are stated at net realizable value. On a periodic basis, the Company evaluates its accounts receivable and establishes an allowance based on its history of collections and write-offs and the current status of all receivables.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Property and Equipment and other Long-lived Assets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records property and equipment at cost less accumulated depreciation. Costs of renewals and improvements that extend the useful lives of the assets are capitalized. Maintenance and repairs are expensed as incurred. Depreciation is determined on a straight-line basis over the estimated useful lives of the assets, which generally range from three to seven years. Leasehold improvements are depreciated over the shorter of the useful life of the asset or the term of the related lease. Upon retirement or disposition of assets, the costs and related accumulated depreciation are removed from the accounts with the resulting gains or losses, if any, reflected in results of operations.</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estimated useful lives of property and equipment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580" w:type="dxa"/>
            <w:vAlign w:val="bottom"/>
          </w:tcPr>
          <w:p>
            <w:pPr>
              <w:ind w:left="2980"/>
              <w:spacing w:after="0"/>
              <w:rPr>
                <w:sz w:val="20"/>
                <w:szCs w:val="20"/>
                <w:color w:val="auto"/>
              </w:rPr>
            </w:pPr>
            <w:r>
              <w:rPr>
                <w:rFonts w:ascii="Times New Roman" w:cs="Times New Roman" w:eastAsia="Times New Roman" w:hAnsi="Times New Roman"/>
                <w:sz w:val="10"/>
                <w:szCs w:val="10"/>
                <w:b w:val="1"/>
                <w:bCs w:val="1"/>
                <w:color w:val="auto"/>
              </w:rPr>
              <w:t>Asset Category</w:t>
            </w:r>
          </w:p>
        </w:tc>
        <w:tc>
          <w:tcPr>
            <w:tcW w:w="6720" w:type="dxa"/>
            <w:vAlign w:val="bottom"/>
            <w:gridSpan w:val="2"/>
          </w:tcPr>
          <w:p>
            <w:pPr>
              <w:jc w:val="center"/>
              <w:ind w:left="1762"/>
              <w:spacing w:after="0"/>
              <w:rPr>
                <w:sz w:val="20"/>
                <w:szCs w:val="20"/>
                <w:color w:val="auto"/>
              </w:rPr>
            </w:pPr>
            <w:r>
              <w:rPr>
                <w:rFonts w:ascii="Times New Roman" w:cs="Times New Roman" w:eastAsia="Times New Roman" w:hAnsi="Times New Roman"/>
                <w:sz w:val="10"/>
                <w:szCs w:val="10"/>
                <w:b w:val="1"/>
                <w:bCs w:val="1"/>
                <w:color w:val="auto"/>
                <w:w w:val="95"/>
              </w:rPr>
              <w:t>Useful Life (in years)</w:t>
            </w:r>
          </w:p>
        </w:tc>
      </w:tr>
      <w:tr>
        <w:trPr>
          <w:trHeight w:val="16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Computers and hardware</w:t>
            </w:r>
          </w:p>
        </w:tc>
        <w:tc>
          <w:tcPr>
            <w:tcW w:w="6500" w:type="dxa"/>
            <w:vAlign w:val="bottom"/>
            <w:shd w:val="clear" w:color="auto" w:fill="CCEEFF"/>
          </w:tcPr>
          <w:p>
            <w:pPr>
              <w:jc w:val="center"/>
              <w:ind w:left="1962"/>
              <w:spacing w:after="0"/>
              <w:rPr>
                <w:sz w:val="20"/>
                <w:szCs w:val="20"/>
                <w:color w:val="auto"/>
              </w:rPr>
            </w:pPr>
            <w:r>
              <w:rPr>
                <w:rFonts w:ascii="Times New Roman" w:cs="Times New Roman" w:eastAsia="Times New Roman" w:hAnsi="Times New Roman"/>
                <w:sz w:val="12"/>
                <w:szCs w:val="12"/>
                <w:color w:val="auto"/>
                <w:w w:val="99"/>
              </w:rPr>
              <w:t>3-5</w:t>
            </w:r>
          </w:p>
        </w:tc>
        <w:tc>
          <w:tcPr>
            <w:tcW w:w="220" w:type="dxa"/>
            <w:vAlign w:val="bottom"/>
          </w:tcPr>
          <w:p>
            <w:pPr>
              <w:spacing w:after="0"/>
              <w:rPr>
                <w:sz w:val="14"/>
                <w:szCs w:val="14"/>
                <w:color w:val="auto"/>
              </w:rPr>
            </w:pPr>
          </w:p>
        </w:tc>
      </w:tr>
      <w:tr>
        <w:trPr>
          <w:trHeight w:val="153"/>
        </w:trPr>
        <w:tc>
          <w:tcPr>
            <w:tcW w:w="4580" w:type="dxa"/>
            <w:vAlign w:val="bottom"/>
          </w:tcPr>
          <w:p>
            <w:pPr>
              <w:spacing w:after="0"/>
              <w:rPr>
                <w:sz w:val="20"/>
                <w:szCs w:val="20"/>
                <w:color w:val="auto"/>
              </w:rPr>
            </w:pPr>
            <w:r>
              <w:rPr>
                <w:rFonts w:ascii="Times New Roman" w:cs="Times New Roman" w:eastAsia="Times New Roman" w:hAnsi="Times New Roman"/>
                <w:sz w:val="12"/>
                <w:szCs w:val="12"/>
                <w:color w:val="auto"/>
              </w:rPr>
              <w:t>Furniture and office equipment</w:t>
            </w:r>
          </w:p>
        </w:tc>
        <w:tc>
          <w:tcPr>
            <w:tcW w:w="6500" w:type="dxa"/>
            <w:vAlign w:val="bottom"/>
          </w:tcPr>
          <w:p>
            <w:pPr>
              <w:jc w:val="center"/>
              <w:ind w:left="1962"/>
              <w:spacing w:after="0"/>
              <w:rPr>
                <w:sz w:val="20"/>
                <w:szCs w:val="20"/>
                <w:color w:val="auto"/>
              </w:rPr>
            </w:pPr>
            <w:r>
              <w:rPr>
                <w:rFonts w:ascii="Times New Roman" w:cs="Times New Roman" w:eastAsia="Times New Roman" w:hAnsi="Times New Roman"/>
                <w:sz w:val="12"/>
                <w:szCs w:val="12"/>
                <w:color w:val="auto"/>
                <w:w w:val="99"/>
              </w:rPr>
              <w:t>3-7</w:t>
            </w:r>
          </w:p>
        </w:tc>
        <w:tc>
          <w:tcPr>
            <w:tcW w:w="220" w:type="dxa"/>
            <w:vAlign w:val="bottom"/>
          </w:tcPr>
          <w:p>
            <w:pPr>
              <w:spacing w:after="0"/>
              <w:rPr>
                <w:sz w:val="13"/>
                <w:szCs w:val="13"/>
                <w:color w:val="auto"/>
              </w:rPr>
            </w:pPr>
          </w:p>
        </w:tc>
      </w:tr>
      <w:tr>
        <w:trPr>
          <w:trHeight w:val="15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Software</w:t>
            </w:r>
          </w:p>
        </w:tc>
        <w:tc>
          <w:tcPr>
            <w:tcW w:w="6500" w:type="dxa"/>
            <w:vAlign w:val="bottom"/>
            <w:shd w:val="clear" w:color="auto" w:fill="CCEEFF"/>
          </w:tcPr>
          <w:p>
            <w:pPr>
              <w:jc w:val="center"/>
              <w:ind w:left="1982"/>
              <w:spacing w:after="0"/>
              <w:rPr>
                <w:sz w:val="20"/>
                <w:szCs w:val="20"/>
                <w:color w:val="auto"/>
              </w:rPr>
            </w:pPr>
            <w:r>
              <w:rPr>
                <w:rFonts w:ascii="Times New Roman" w:cs="Times New Roman" w:eastAsia="Times New Roman" w:hAnsi="Times New Roman"/>
                <w:sz w:val="12"/>
                <w:szCs w:val="12"/>
                <w:color w:val="auto"/>
                <w:w w:val="99"/>
              </w:rPr>
              <w:t>3</w:t>
            </w:r>
          </w:p>
        </w:tc>
        <w:tc>
          <w:tcPr>
            <w:tcW w:w="220" w:type="dxa"/>
            <w:vAlign w:val="bottom"/>
          </w:tcPr>
          <w:p>
            <w:pPr>
              <w:spacing w:after="0"/>
              <w:rPr>
                <w:sz w:val="13"/>
                <w:szCs w:val="13"/>
                <w:color w:val="auto"/>
              </w:rPr>
            </w:pPr>
          </w:p>
        </w:tc>
      </w:tr>
      <w:tr>
        <w:trPr>
          <w:trHeight w:val="155"/>
        </w:trPr>
        <w:tc>
          <w:tcPr>
            <w:tcW w:w="4580" w:type="dxa"/>
            <w:vAlign w:val="bottom"/>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6500" w:type="dxa"/>
            <w:vAlign w:val="bottom"/>
          </w:tcPr>
          <w:p>
            <w:pPr>
              <w:jc w:val="center"/>
              <w:ind w:left="1962"/>
              <w:spacing w:after="0"/>
              <w:rPr>
                <w:sz w:val="20"/>
                <w:szCs w:val="20"/>
                <w:color w:val="auto"/>
              </w:rPr>
            </w:pPr>
            <w:r>
              <w:rPr>
                <w:rFonts w:ascii="Times New Roman" w:cs="Times New Roman" w:eastAsia="Times New Roman" w:hAnsi="Times New Roman"/>
                <w:sz w:val="12"/>
                <w:szCs w:val="12"/>
                <w:color w:val="auto"/>
                <w:w w:val="99"/>
              </w:rPr>
              <w:t>Shorter of useful life or remaining term of lease</w:t>
            </w:r>
          </w:p>
        </w:tc>
        <w:tc>
          <w:tcPr>
            <w:tcW w:w="220" w:type="dxa"/>
            <w:vAlign w:val="bottom"/>
          </w:tcPr>
          <w:p>
            <w:pPr>
              <w:spacing w:after="0"/>
              <w:rPr>
                <w:sz w:val="13"/>
                <w:szCs w:val="13"/>
                <w:color w:val="auto"/>
              </w:rPr>
            </w:pPr>
          </w:p>
        </w:tc>
      </w:tr>
      <w:tr>
        <w:trPr>
          <w:trHeight w:val="718"/>
        </w:trPr>
        <w:tc>
          <w:tcPr>
            <w:tcW w:w="4580" w:type="dxa"/>
            <w:vAlign w:val="bottom"/>
          </w:tcPr>
          <w:p>
            <w:pPr>
              <w:spacing w:after="0"/>
              <w:rPr>
                <w:sz w:val="24"/>
                <w:szCs w:val="24"/>
                <w:color w:val="auto"/>
              </w:rPr>
            </w:pPr>
          </w:p>
        </w:tc>
        <w:tc>
          <w:tcPr>
            <w:tcW w:w="672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F-9</w:t>
            </w:r>
          </w:p>
        </w:tc>
      </w:tr>
      <w:tr>
        <w:trPr>
          <w:trHeight w:val="63"/>
        </w:trPr>
        <w:tc>
          <w:tcPr>
            <w:tcW w:w="4580" w:type="dxa"/>
            <w:vAlign w:val="bottom"/>
            <w:tcBorders>
              <w:bottom w:val="single" w:sz="8" w:color="9A9A9A"/>
            </w:tcBorders>
          </w:tcPr>
          <w:p>
            <w:pPr>
              <w:spacing w:after="0"/>
              <w:rPr>
                <w:sz w:val="5"/>
                <w:szCs w:val="5"/>
                <w:color w:val="auto"/>
              </w:rPr>
            </w:pPr>
          </w:p>
        </w:tc>
        <w:tc>
          <w:tcPr>
            <w:tcW w:w="65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47" w:right="299" w:bottom="1440" w:gutter="0" w:footer="0" w:header="0"/>
        </w:sectPr>
      </w:pPr>
    </w:p>
    <w:bookmarkStart w:id="87" w:name="page88"/>
    <w:bookmarkEnd w:id="87"/>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periodically assesses its property and equipment and other long-lived assets for impairment in accordance with the relevant accounting guidance. No such charges were recognized during the years ended December 31, 2025, 2024 or 2023. There were no assets held for sale at December 31, 2025 or 2024.</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Investments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Investments in entities in which the Company has no control or significant influence, is not the primary beneficiary, and have a readily determinable fair value are classified as equity investments with readily determinable fair value. The investments are measured at fair value based on a quoted market price per unit in active markets multiplied by the number of units held without consideration of transaction costs (Level 1). Gains and losses are recorded in other (expense) income, net on the Consolidated Statements of Operations.</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Equity investments without readily determinable fair value include ownership rights that do not provide the Company with control or significant influence and these investments do not have readily determinable fair values. The Company has elected to measure its equity investments without readily determinable fair values at cost minus impairment, if any, plus or minus changes resulting from observable price changes in orderly transactions for the identical or similar investment.</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December 31, 2025 and 2024, the Company has no investments.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 xml:space="preserve">The Company uses the revenue recognition guidance established by ASC 606, “Revenue From Contracts With Customers” (“ASC 606”). When an agreement falls under the scope of other standards, such as ASC 808, </w:t>
      </w:r>
      <w:r>
        <w:rPr>
          <w:rFonts w:ascii="Times New Roman" w:cs="Times New Roman" w:eastAsia="Times New Roman" w:hAnsi="Times New Roman"/>
          <w:sz w:val="12"/>
          <w:szCs w:val="12"/>
          <w:i w:val="1"/>
          <w:iCs w:val="1"/>
          <w:color w:val="auto"/>
        </w:rPr>
        <w:t xml:space="preserve">Collaborative Arrangements </w:t>
      </w:r>
      <w:r>
        <w:rPr>
          <w:rFonts w:ascii="Times New Roman" w:cs="Times New Roman" w:eastAsia="Times New Roman" w:hAnsi="Times New Roman"/>
          <w:sz w:val="12"/>
          <w:szCs w:val="12"/>
          <w:color w:val="auto"/>
        </w:rPr>
        <w:t>(“ASC 808”), the Company will apply the recognition, measurement, presentation, and disclosure guidance in ASC 606 to the performance obligations in the agreements if those performance obligations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a customer. Revenue recognized by analogizing to ASC 606, is recorded as collaboration revenue on the statements of operations.</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 The Company will recognize collaboration revenue under ASC 808 as a stand-ready obligation under ASC 606 over time based on the estimated period of performance.</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discernible pattern over which the services will be provided.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of Financial Instruments</w:t>
      </w:r>
    </w:p>
    <w:p>
      <w:pPr>
        <w:spacing w:after="0" w:line="21"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2"/>
          <w:szCs w:val="12"/>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carrying amount of certain of the Company’s financial instruments, including cash and cash equivalents, other assets, accounts payable and other accrued liabilities approximate fair value due to their short-term nature. The hierarchy requires the Company to use observable inputs when available, and to minimize the use of unobservable inputs, when determining fair value. The three tiers are defined as follows:</w:t>
      </w:r>
    </w:p>
    <w:p>
      <w:pPr>
        <w:spacing w:after="0" w:line="53" w:lineRule="exact"/>
        <w:rPr>
          <w:sz w:val="20"/>
          <w:szCs w:val="20"/>
          <w:color w:val="auto"/>
        </w:rPr>
      </w:pPr>
    </w:p>
    <w:p>
      <w:pPr>
        <w:ind w:left="640" w:hanging="324"/>
        <w:spacing w:after="0"/>
        <w:tabs>
          <w:tab w:leader="none" w:pos="64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1—Observable inputs that reflect quoted market prices (unadjusted) for identical assets or liabilities in active markets;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2—Observable inputs other than quoted prices in active markets that are observable either directly or indirectly in the marketplace for identical or similar assets and liabilities; 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88" w:name="page89"/>
    <w:bookmarkEnd w:id="88"/>
    <w:p>
      <w:pPr>
        <w:ind w:left="640" w:hanging="324"/>
        <w:spacing w:after="0"/>
        <w:tabs>
          <w:tab w:leader="none" w:pos="64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3—Unobservable inputs that are supported by little or no market data, which require the Company to develop its own assumptions.</w:t>
      </w:r>
    </w:p>
    <w:p>
      <w:pPr>
        <w:spacing w:after="0" w:line="78" w:lineRule="exact"/>
        <w:rPr>
          <w:sz w:val="20"/>
          <w:szCs w:val="20"/>
          <w:color w:val="auto"/>
        </w:rPr>
      </w:pPr>
    </w:p>
    <w:p>
      <w:pPr>
        <w:ind w:right="120" w:firstLine="324"/>
        <w:spacing w:after="0" w:line="279" w:lineRule="auto"/>
        <w:rPr>
          <w:sz w:val="20"/>
          <w:szCs w:val="20"/>
          <w:color w:val="auto"/>
        </w:rPr>
      </w:pPr>
      <w:r>
        <w:rPr>
          <w:rFonts w:ascii="Times New Roman" w:cs="Times New Roman" w:eastAsia="Times New Roman" w:hAnsi="Times New Roman"/>
          <w:sz w:val="12"/>
          <w:szCs w:val="12"/>
          <w:color w:val="auto"/>
        </w:rPr>
        <w:t>The Company’s warrants are classified as Level 3 within the fair value hierarchy, with no material activity during the years ended December 31, 2025 and 2024. Gains and losses recognized due to the change in fair value of the warrant liabilities are recognized as a component of other (expense) income, related party in the Consolidated Statements of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Major components of research and development costs include cash compensation to employees, depreciation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Research and development costs are expensed as incurred.</w:t>
      </w:r>
    </w:p>
    <w:p>
      <w:pPr>
        <w:spacing w:after="0" w:line="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Company records accruals based on estimates of the services received, efforts expended and amounts owed pursuant to contracts with numerous contract research and manufacturing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consolidated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records nonrefundable advance payments it makes for future research and development activities as prepaid expenses. Prepaid expenses are recognized as expenses in the Consolidated Statements of Operations as the Company receives the related goods or services.</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Research and development costs that are reimbursed under a cost-sharing arrangement are reflected as a reduction of research and development expense.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Patent Costs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Patent costs, including related legal costs, are expensed as incurred and recorded within general and administrative operating expenses on the Consolidated Statements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From its formation on August 1, 2015, vTv Therapeutics Inc. has been subject to corporate level income taxes. Prior to July 30, 2015, the Company’s predecessor entities were taxed as partnerships and all their income and deductions flowed through and were subject to tax at the partner level.</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vTv Therapeutics Inc. is required to recognize deferred tax assets and liabilities for the difference between the financial reporting and tax basis of its investment in vTv LLC.</w:t>
      </w:r>
    </w:p>
    <w:p>
      <w:pPr>
        <w:spacing w:after="0" w:line="78"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Company’s income tax expense, deferred tax assets and liabilities and reserves for unrecognized tax benefits reflect management’s best assessment of estimated future taxes to be paid. The Company is subject to income taxes in both the United States and various state jurisdictions. Significant judgments and estimates are required in determining the consolidated income tax expense.</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accounts for income taxes under the asset and liability method, which requires the recognition of deferred tax assets and liabilities for the expected future tax consequences of events included in the consolidated financial statements. Under this method, the Company determines deferred tax assets and liabilities on the basis of differences between the consolidated financial statement and tax bases of assets and liabilities by using enacted tax rates in effect for the year in which the differences are expected to reverse. The effect of a change in tax rates on deferred tax assets and liabilities is recognized in income in the period in which the enactment date occurs.</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 recognizes deferred tax assets to the extent it believes these assets are more-likely-than-not to be realized. In making such a determination, the Company considers all available positive and negative evidence, including future reversals of existing taxable temporary differences, projected future taxable income, tax planning strategies and recent results of operations.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89" w:name="page90"/>
    <w:bookmarkEnd w:id="89"/>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records uncertain tax positions on the basis of a two-step process in which (1) it determines whether it is more-likely-than-not that the tax positions will be sustained on the basis of the technical merits of the position and (2) for those tax positions meeting the more-likely-than-not recognition threshold, it recognizes the largest amount of tax benefit that is more than 50% likely to be realized upon ultimate settlement with the related tax authority.</w:t>
      </w:r>
    </w:p>
    <w:p>
      <w:pPr>
        <w:spacing w:after="0" w:line="4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Interest and penalties related to income taxes are included in the benefit (provision) for income taxes in the Company’s Consolidated Statements of Operations. The Company has not incurred any significant interest or penalties related to income taxes in any of the periods presented.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Noncontrolling Interest</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Non-controlling interests have been recorded to reflect the various holders of non-voting interests in vTv LLC, which represents a de minimis amount of economic interest as of December 31, 2025. This non-controlling interest is presented as a separate component of equity in the consolidated balance sheets and as a loss in the consolidated statements of operations.</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Prior to February 27, 2024, the Company recorded the noncontrolling interest represented by the vTv Units and the Class B common stock at the higher of (1) its initial fair value plus accumulated earnings/losses associated with the noncontrolling interest or (2) the redemption value as of the balance sheet date. See discussion and additional detail of the noncontrolling interest at Note 10.</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Segment and Geographic Information</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Operating segments are defined as an enterprise’s components (business activities from which it earns revenue and incurs expenses) for which discrete financial information is (1) available; and (2) is regularly reviewed by the chief operating decision maker (“CODM”) in deciding how to allocate resources and in assessing performance. The Company’s CODM is its President and Chief Executive Officer. All of the Company's principal operations, assets, and decision-making functions are based in the U.S., and as a result, all of our financial information is derived from domestic sources. The Company’s business operates in one reportable segment comprised of one operating segment.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Company determines if an arrangement is a lease at inception. Balances recognized related to operating leases are included in operating lease right-of-use assets and operating lease liabilities in the Consolidated Balance Sheets. Operating lease right-of-use assets and operating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operating lease right-of-use asset also includes any lease payments made and excludes lease incentives and initial direct costs incurred. The Company has elected a practical expedient to not separate its lease and non-lease components and instead account for them as a single lease component.</w:t>
      </w:r>
    </w:p>
    <w:p>
      <w:pPr>
        <w:spacing w:after="0" w:line="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December 31, 2025, the Company did not have any lease arrangements with an initial term greater than 12 months.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Share-Based Compensation</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Compensation expense for share-based compensation awards issued is based on the fair value of the award at the date of grant, and compensation expense is recognized for those awards earned over the service period. The grant date fair value of stock option awards is estimated using the Black-Scholes option pricing formula. Expected volatility is based on the historical volatility of the Company’s common stock over the most recent period commensurate with the estimated expected term of the Company’s stock options offering period which is derived from historical experience.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w:t>
      </w:r>
    </w:p>
    <w:p>
      <w:pPr>
        <w:spacing w:after="0" w:line="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If stock-based awards are granted in contemplation of or shortly before a planned release of material nonpublic information, and such information is expected to result in a material increase in the Company’s share price, the Company considers whether an adjustment to the observable market price is required when estimating fair values.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90" w:name="page91"/>
    <w:bookmarkEnd w:id="90"/>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the event the participant’s employment by or engagement with (as a director or otherwise) the Company terminates before exercise of the options granted, the stock options granted to the participant shall immediately expire and all rights to purchase shares there under shall immediately cease and expire and be of no further force or effect, other than applicable exercise rights for vested shares that may extend past the termination date as provided for in the participant’s applicable option award agreement.</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fair value of restricted stock units (“RSU”) grants is based on the market value of the Class A common stock on the date of grant. The Company also estimates the amount of share-based awards that are expected to be forfeited based on historical employee turnover rates.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Comprehensive Income</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does not have any components of other comprehensive income recorded within its Consolidated Financial Statements, and, therefore, does not separately present a statement of comprehensive income in its Consolidated Financial Statements.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Employee Benefit Plan</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has a 401(k)-retirement plan in which all of its full-time employees are eligible to participate. The plan provides for the Company to make discretionary 50% matching contributions up to a maximum of 6% of employees’ eligible compensation. Employer contributions under the plan were immaterial for the periods presented.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Accounting Pronouncements Adopted During the Current Year</w:t>
      </w:r>
    </w:p>
    <w:p>
      <w:pPr>
        <w:spacing w:after="0" w:line="7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Income Taxes</w:t>
      </w:r>
      <w:r>
        <w:rPr>
          <w:rFonts w:ascii="Times New Roman" w:cs="Times New Roman" w:eastAsia="Times New Roman" w:hAnsi="Times New Roman"/>
          <w:sz w:val="12"/>
          <w:szCs w:val="12"/>
          <w:color w:val="auto"/>
        </w:rPr>
        <w:t>: In December 2023, the FASB issued ASU 2023-09: “</w:t>
      </w:r>
      <w:r>
        <w:rPr>
          <w:rFonts w:ascii="Times New Roman" w:cs="Times New Roman" w:eastAsia="Times New Roman" w:hAnsi="Times New Roman"/>
          <w:sz w:val="12"/>
          <w:szCs w:val="12"/>
          <w:i w:val="1"/>
          <w:iCs w:val="1"/>
          <w:color w:val="auto"/>
        </w:rPr>
        <w:t>Improvements to Income Tax Disclosures</w:t>
      </w:r>
      <w:r>
        <w:rPr>
          <w:rFonts w:ascii="Times New Roman" w:cs="Times New Roman" w:eastAsia="Times New Roman" w:hAnsi="Times New Roman"/>
          <w:sz w:val="12"/>
          <w:szCs w:val="12"/>
          <w:color w:val="auto"/>
        </w:rPr>
        <w:t>” (“ASU 2023-09”). The ASU is intended to enhance the transparency and decision usefulness of income tax</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disclosures. The amendments in the ASU address investor requests for enhanced income tax information primarily through changes to the rate reconciliation and income taxes paid information. ASU 2023-09 will be effective for us in the annual period beginning January 1, 2025, though early adoption is permitted. The Company adopted ASU 2023-09 effective December 31, 2025, on a prospective basis. Refer to Note 13 for changes to our income tax disclosures.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Recently Issued Accounting Pronouncements Not Yet Adopted</w:t>
      </w:r>
    </w:p>
    <w:p>
      <w:pPr>
        <w:spacing w:after="0" w:line="7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Disaggregation of Income Statement Expenses: </w:t>
      </w:r>
      <w:r>
        <w:rPr>
          <w:rFonts w:ascii="Times New Roman" w:cs="Times New Roman" w:eastAsia="Times New Roman" w:hAnsi="Times New Roman"/>
          <w:sz w:val="12"/>
          <w:szCs w:val="12"/>
          <w:color w:val="auto"/>
        </w:rPr>
        <w:t>In November 2024, the FASB issued ASU No. 2024-03,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“Income Statement—Reporting Comprehensive Income—Expense Disaggregation Disclosures: Disaggregation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Income Statement Expenses”</w:t>
      </w:r>
      <w:r>
        <w:rPr>
          <w:rFonts w:ascii="Times New Roman" w:cs="Times New Roman" w:eastAsia="Times New Roman" w:hAnsi="Times New Roman"/>
          <w:sz w:val="12"/>
          <w:szCs w:val="12"/>
          <w:color w:val="auto"/>
        </w:rPr>
        <w:t>. This guidance requires disclosures about significant expense categories, including but not limited to, inventory purchases, employee compensation, depreciation, amortization, and selling expenses.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amendment is effective for our annual reporting periods beginning after December 15, 2026, and interim reporting periods beginning after December 15, 2027. We are currently assessing the impact of this guidance on our disclosures.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 Collaboration Agreements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G42 Purchase Agreement and Cogna Collaborative and License Agreement</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Company and G42 Investments AI Holding RSC Ltd, a private limited company (“G42 Investments”), entered into a Common Stock Purchase Agreement (the “G42 Purchase Agreement”), on May 31, 2022, pursuant to which the Company sold to G42 Investments 259,657 shares of the Company’s Class A common stock, for an aggregate purchase price of $25.0 million, which was paid (i) $12.5 million in cash at the closing and (ii) $12.5 million in the form of a promissory note of G42 Investments to be paid at May 31, 2023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(expense)/income in the Company’s Consolidated Statements of Operations.</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G42 Investments has agreed to certain transfer restrictions (including restrictions on short sales or similar transactions) and restrictions on further acquisitions of shares. The Company has granted to G42 Investments certain shelf and piggyback registration rights with respect to those shares of Class A common stock issued to G42 Investments pursuant to the G42 Purchase Agreement, including the ability to conduct an underwritten offering to resell such shares under certain circumstances. The registration rights include customary cooperation, cut-back, expense reimbursement, and indemnification provisions.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91" w:name="page92"/>
    <w:bookmarkEnd w:id="91"/>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 xml:space="preserve">Contemporaneously with the G42 Purchase Agreement, effective on May 31, 2022, the Company entered into a collaboration and license agreement (the “Cogna Agreement”) with Cogna Technology Solutions LLC, an affiliate of G42 Investments (“Cogna”), which requires Cogna to work with the Company in performing clinical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TP399)</w:t>
      </w:r>
      <w:r>
        <w:rPr>
          <w:rFonts w:ascii="Times New Roman" w:cs="Times New Roman" w:eastAsia="Times New Roman" w:hAnsi="Times New Roman"/>
          <w:sz w:val="12"/>
          <w:szCs w:val="12"/>
          <w:color w:val="auto"/>
        </w:rPr>
        <w:t xml:space="preserve"> as well as jointly creating a global development plan to develop, market, and commercialize </w:t>
      </w: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in certain countries in the Middle East, Africa, and Central Asia (the “Partner Territory”). Under the terms of the Cogna Agreement, Cogna will obtain a license under certain intellectual property controlled by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Company to enable it to fulfill its obligations and exercise its rights under the Cogna agreement, including to develop and commercialize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the Partner Territory, but will not have access to the various intellectual property (“IP”) related to the license and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Specifically, the Company will share various protocols with Cogna related to conducting the clinical trials and will provide the patient dosages and placebo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needed to conduct the trials.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color w:val="auto"/>
        </w:rPr>
        <w:t xml:space="preserve">Under the Cogna Agreement, Cogna has the right to develop and commercialize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the Partner Territory at its own cost once restrictions on the use of the IP have been lifted by the Company. The Cogna Agreement determined which specific countries in the Partner Territory that Cogna may pursue development and commercialization and provides the</w:t>
      </w:r>
    </w:p>
    <w:p>
      <w:pPr>
        <w:spacing w:after="0" w:line="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2"/>
          <w:szCs w:val="12"/>
          <w:color w:val="auto"/>
        </w:rPr>
        <w:t xml:space="preserve">Company with the ability to determine when Cogna can benefit from this IP through the powers granted to the Company to approve the global development plan. Further, the Company may supply at cost, or Cogna may manufacture, </w:t>
      </w: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for commercial sale under terms to be agreed upon by the parties at a later date.</w:t>
      </w:r>
    </w:p>
    <w:p>
      <w:pPr>
        <w:spacing w:after="0" w:line="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Separately, the Company will conduct its clinical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outside of the Partner Territory at its own cost. The results of each party’s clinical trials may be combined by the Company to seek FDA approval in the United States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On December 21, 2022, G42 Healthcare Technology Solutions LLC (formerly known as Cogna Technology Solutions LLC) novated its rights and obligation under the Cogna Agreement to G42 Healthcare Research Technology Projects LLC ("G42 Healthcare"), an affiliate of G42 Investments. As a result of the novation, all reference to Cogna herein shall be deemed to refer to G42 Healthcare.</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color w:val="auto"/>
        </w:rPr>
        <w:t xml:space="preserve">The G42 Purchase Agreement also provides for, following the receipt of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FDA Approval, at the option of G42 Investments, either (a) 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is conditioned upon receipt of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FDA Approval and subject to certain limitations and conditions set forth in the G42 Purchase Agreement. There can be no assurance that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FDA Approval will be granted or as to the timing thereof.</w:t>
      </w:r>
    </w:p>
    <w:p>
      <w:pPr>
        <w:spacing w:after="0" w:line="48"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Once commercialization takes place in the Partner Territory, the Company will receive royalties in the single digits from Cogna on the net sales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for a period of at least ten years after the first commercial sale of </w:t>
      </w: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in the Partner Territory.</w:t>
      </w:r>
    </w:p>
    <w:p>
      <w:pPr>
        <w:spacing w:after="0" w:line="3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 premium was paid on the Class A common stock by G42 Investments of $18.7 million, net of a note receivable discount of $0.6 million. This premium is determined to be the transaction price for all remaining obligations under the agreements, which will be accounted for under ASC 808 or ASC 606 based on determination of the unit of account.</w:t>
      </w:r>
    </w:p>
    <w:p>
      <w:pPr>
        <w:spacing w:after="0" w:line="3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2"/>
          <w:szCs w:val="12"/>
          <w:color w:val="auto"/>
        </w:rPr>
        <w:t xml:space="preserve">The Company determined that certain commitments under the agreements are in the scope of ASC 808 as both the Company and Cogna are active participants in the clinical trials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and both are exposed to significant risks and rewards based on the success of the clinical trials and subsequent FDA approval. Cogna is determined to be a vendor of the Company during the clinical trial phase, working on the Company’s behalf to complete research and development activities, and not in a customer capacity. The Company accounted for the commitments related to the clinical trials, which includes transfer of trial protocols, supply of clinical trial dosages, and collaboration on the joint development committee (“JDC”) as an ASC 808 unit of account, applying the recognition and measurement principles of ASC 606 by analogy. The Company will recognize collaboration revenue for its development activities under ASC 808 over time based on the estimated period of performance.</w:t>
      </w:r>
    </w:p>
    <w:p>
      <w:pPr>
        <w:spacing w:after="0" w:line="5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By applying the principals in ASC 606 by analogy, the Company identified the performance obligation and considered the timing of satisfaction of the obligation to account for the pattern of revenue recognition. In order to recognize collaboration revenue, generally, the Company would begin satisfying its performance obligation and Cogna would need to be able to use and benefit from delivery of the assets or services. The performance obligation under the agreements that fall within the ASC 808 unit of account are concentrated in the clinical trials. As of December 31, 2025, the clinical trials had not commenced. Accordingly, no collaboration revenue was recognized for the ASC 808 unit of account during the year ended December 31, 2025.</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identified certain commitments that are in the scope of ASC 606 as Cogna’s relationship is that of a customer for these commitments. The significant performance obligations that are in the scope of ASC 606 are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92" w:name="page93"/>
    <w:bookmarkEnd w:id="92"/>
    <w:p>
      <w:pPr>
        <w:jc w:val="both"/>
        <w:spacing w:after="0" w:line="257" w:lineRule="auto"/>
        <w:rPr>
          <w:sz w:val="20"/>
          <w:szCs w:val="20"/>
          <w:color w:val="auto"/>
        </w:rPr>
      </w:pPr>
      <w:r>
        <w:rPr>
          <w:rFonts w:ascii="Times New Roman" w:cs="Times New Roman" w:eastAsia="Times New Roman" w:hAnsi="Times New Roman"/>
          <w:sz w:val="12"/>
          <w:szCs w:val="12"/>
          <w:color w:val="auto"/>
        </w:rPr>
        <w:t xml:space="preserve">development, commercialization and manufacturing license of the IP once restrictions on the use of the IP have been lifted by the Company and (2) a potential material right to a commercial supply agreement. The Company will recognize revenue from the development, commercial and manufacturing license at a point in time when the Company releases the restrictions on the use of the IP, which is expected to be after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is approved by the FDA. The Company will recognize revenue from the material right related to Cogna’s ability to purchase the commercial supply at cost as Cogna purchases the commercial supply from the Company, which will occur after the completion of the initial clinical trials (if Cogna decides to purchase the clinical supply from the Company). As a result, the Company has not recognized any revenue under the ASC 606 unit of account during the years ended December 31, 2025 and 2024.</w:t>
      </w:r>
    </w:p>
    <w:p>
      <w:pPr>
        <w:spacing w:after="0" w:line="5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(expense) income in the Company’s Consolidated Statements of Operations. The G42 Promissory Note receivable was classified and accounted for under ASC 310 Receivables (“ASC 310”) and was initially measured at its fair value of $11.9 million. The Company also recorded the $18.7 million as deferred revenue in the Consolidated Balance Sheets, as none of the underlying performance obligations had been satisfied as of and for the</w:t>
      </w:r>
    </w:p>
    <w:p>
      <w:pPr>
        <w:ind w:right="2120"/>
        <w:spacing w:after="0" w:line="358" w:lineRule="auto"/>
        <w:rPr>
          <w:sz w:val="20"/>
          <w:szCs w:val="20"/>
          <w:color w:val="auto"/>
        </w:rPr>
      </w:pPr>
      <w:r>
        <w:rPr>
          <w:rFonts w:ascii="Times New Roman" w:cs="Times New Roman" w:eastAsia="Times New Roman" w:hAnsi="Times New Roman"/>
          <w:sz w:val="12"/>
          <w:szCs w:val="12"/>
          <w:color w:val="auto"/>
        </w:rPr>
        <w:t>years ended December 31, 2025 and 2024</w:t>
      </w:r>
      <w:r>
        <w:rPr>
          <w:rFonts w:ascii="Arial" w:cs="Arial" w:eastAsia="Arial" w:hAnsi="Arial"/>
          <w:sz w:val="14"/>
          <w:szCs w:val="14"/>
          <w:color w:val="auto"/>
        </w:rPr>
        <w:t>.</w:t>
      </w:r>
      <w:r>
        <w:rPr>
          <w:rFonts w:ascii="Times New Roman" w:cs="Times New Roman" w:eastAsia="Times New Roman" w:hAnsi="Times New Roman"/>
          <w:sz w:val="12"/>
          <w:szCs w:val="12"/>
          <w:color w:val="auto"/>
        </w:rPr>
        <w:t xml:space="preserve"> On February 27, 2024, the Company and G42 Investments further amended the G42 Purchase Agreement in connection with the Private Placement. </w:t>
      </w:r>
      <w:r>
        <w:rPr>
          <w:rFonts w:ascii="Times New Roman" w:cs="Times New Roman" w:eastAsia="Times New Roman" w:hAnsi="Times New Roman"/>
          <w:sz w:val="12"/>
          <w:szCs w:val="12"/>
          <w:b w:val="1"/>
          <w:bCs w:val="1"/>
          <w:i w:val="1"/>
          <w:iCs w:val="1"/>
          <w:color w:val="auto"/>
        </w:rPr>
        <w:t>Newsoara License Agreement</w:t>
      </w:r>
    </w:p>
    <w:p>
      <w:pPr>
        <w:spacing w:after="0" w:line="1"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 xml:space="preserve">On May 31, 2018, the Company entered into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in China and other Pacific Rim territories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spacing w:after="0" w:line="5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The Newsoara License Agreement was amended in 2020 to change certain future milestone payments and patent rights (the “First Newsoara Amendment”). Under the terms of the Newsoara License Agreement, Newsoara paid the Company an upfront cash payment of $2.0 million. During the year ended December 31, 2019, the Company received an additional payment of $1.0 million related to the satisfaction of a development milestone during the year. As amended, the Company is eligible to receive additional potential development, regulatory and sales-based milestone payments totaling up to $76.5 million. In addition, Newsoara is obligated to pay the Company royalty payments at mid to upper single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The Company previously entered into a second amendment with Newsoara to expand the original agreement which became null and void in June 2025. On January 30, 2026, the Company entered into a new Second Amendment with Newsoara. See Note 15 for further details.</w:t>
      </w:r>
    </w:p>
    <w:p>
      <w:pPr>
        <w:spacing w:after="0" w:line="54"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Pursuant to the terms of the Newsoara License Agreement, the Company is required to provide technology transfer services for a defined period after the effective date. In accordance with ASC 606, the Company identified all of the performance obligations at the inception of the Newsoara License Agreement. The significant obligations were determined to be the license and the technology transfer services. The Company determined that the license and technology transfer services represent a single performance obligation because they were not capable of being distinct on their own. The transaction price has been fully allocated to this combined performance obligation and the related revenue was recognized during the year ended December 31, 2018.</w:t>
      </w:r>
    </w:p>
    <w:p>
      <w:pPr>
        <w:spacing w:after="0" w:line="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the first quarter of 2024, the transaction price for this performance obligation was increased by $1.0 million due to the satisfaction of a development milestone under the Newsoara License Agreement. This amount was fully recognized as revenue during the year ended December 31, 2024, as the related performance obligation was fully satisfied. There were no changes to the transaction price during the years ended December 31, 2025 and 2023.</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remaining milestone payments that the Company is eligible to receive have not been included in the transaction price as of December 31, 2025, as it is not considered probable that such payments will be received.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2"/>
          <w:szCs w:val="12"/>
          <w:b w:val="1"/>
          <w:bCs w:val="1"/>
          <w:color w:val="auto"/>
        </w:rPr>
        <w:t>Note 4: Share-Based Compensation</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The Company has issued non-qualified stock option awards to management, other key employees, consultants, and nonemployee directors and these options vest ratably over a four-year period. In addition, we issued options in connection with the private placement on February 27, 2024, that vest ratably over a three-year period. The option awards expire after a term of ten years from the date of grant. For the years ended December 31, 2025, 2024 and 2023, the Company recognized $3.8 million, $2.8 million and $1.6 million, respectively, of compensation expense related to share-based awards. Given that the Company has established a full valuation allowance against its deferred tax assets, the Company has recognized no tax benefit related to these awards. As of December 31, 2025, the Company had total unrecognized stock-based compensation expense of approximately $6.2 million, which is expected to be recognized on a straight-line basis over a weighted average period of 2.5 years. The weighted average grant date fair value for all option grants during the years ended December 31, 2025, 2024 and 2023 was $15.37, $14.76 and $24.78 per option, respectively. The total intrinsic value of stock options exercised was $0.2 million during the year ended December 31, 2025. The total fair value of stock options vested during the years ended December 31, 2025, 2024 and 2023 was $2.9 million, $2.9 million and $2.2 million, respectively.</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uses the Black-Scholes option pricing model to calculate the fair value of stock options granted. The fair value of stock options granted was estimated using the following assumptions during the years ended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31, 2025, 2024 and 2023:</w:t>
      </w:r>
    </w:p>
    <w:p>
      <w:pPr>
        <w:spacing w:after="0" w:line="161" w:lineRule="exact"/>
        <w:rPr>
          <w:sz w:val="20"/>
          <w:szCs w:val="20"/>
          <w:color w:val="auto"/>
        </w:rPr>
      </w:pPr>
    </w:p>
    <w:tbl>
      <w:tblPr>
        <w:tblLayout w:type="fixed"/>
        <w:tblInd w:w="200" w:type="dxa"/>
        <w:tblCellMar>
          <w:top w:w="0" w:type="dxa"/>
          <w:left w:w="0" w:type="dxa"/>
          <w:bottom w:w="0" w:type="dxa"/>
          <w:right w:w="0" w:type="dxa"/>
        </w:tblCellMar>
      </w:tblPr>
      <w:tr>
        <w:trPr>
          <w:trHeight w:val="125"/>
        </w:trPr>
        <w:tc>
          <w:tcPr>
            <w:tcW w:w="4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3"/>
          </w:tcPr>
          <w:p>
            <w:pPr>
              <w:ind w:left="32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3"/>
        </w:trPr>
        <w:tc>
          <w:tcPr>
            <w:tcW w:w="4620" w:type="dxa"/>
            <w:vAlign w:val="bottom"/>
            <w:tcBorders>
              <w:bottom w:val="single" w:sz="8" w:color="CCEEFF"/>
            </w:tcBorders>
          </w:tcPr>
          <w:p>
            <w:pPr>
              <w:spacing w:after="0"/>
              <w:rPr>
                <w:sz w:val="12"/>
                <w:szCs w:val="12"/>
                <w:color w:val="auto"/>
              </w:rPr>
            </w:pPr>
          </w:p>
        </w:tc>
        <w:tc>
          <w:tcPr>
            <w:tcW w:w="2040" w:type="dxa"/>
            <w:vAlign w:val="bottom"/>
            <w:tcBorders>
              <w:bottom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2"/>
                <w:szCs w:val="12"/>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80" w:type="dxa"/>
            <w:vAlign w:val="bottom"/>
            <w:tcBorders>
              <w:bottom w:val="single" w:sz="8" w:color="CCEEFF"/>
            </w:tcBorders>
          </w:tcPr>
          <w:p>
            <w:pPr>
              <w:spacing w:after="0"/>
              <w:rPr>
                <w:sz w:val="12"/>
                <w:szCs w:val="12"/>
                <w:color w:val="auto"/>
              </w:rPr>
            </w:pPr>
          </w:p>
        </w:tc>
        <w:tc>
          <w:tcPr>
            <w:tcW w:w="2020" w:type="dxa"/>
            <w:vAlign w:val="bottom"/>
            <w:tcBorders>
              <w:bottom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7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Expected volatility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89.03%</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- 93.76%</w:t>
            </w:r>
          </w:p>
        </w:tc>
        <w:tc>
          <w:tcPr>
            <w:tcW w:w="8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96.84% - 108.61%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121.01%</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- 126.76%</w:t>
            </w:r>
          </w:p>
        </w:tc>
      </w:tr>
      <w:tr>
        <w:trPr>
          <w:trHeight w:val="153"/>
        </w:trPr>
        <w:tc>
          <w:tcPr>
            <w:tcW w:w="4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Expected life of option, in years</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- 6.1</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- 6.1</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40" w:type="dxa"/>
            <w:vAlign w:val="bottom"/>
          </w:tcPr>
          <w:p>
            <w:pPr>
              <w:spacing w:after="0"/>
              <w:rPr>
                <w:sz w:val="20"/>
                <w:szCs w:val="20"/>
                <w:color w:val="auto"/>
              </w:rPr>
            </w:pPr>
            <w:r>
              <w:rPr>
                <w:rFonts w:ascii="Times New Roman" w:cs="Times New Roman" w:eastAsia="Times New Roman" w:hAnsi="Times New Roman"/>
                <w:sz w:val="12"/>
                <w:szCs w:val="12"/>
                <w:color w:val="auto"/>
              </w:rPr>
              <w:t>- 6.1</w:t>
            </w:r>
          </w:p>
        </w:tc>
      </w:tr>
      <w:tr>
        <w:trPr>
          <w:trHeight w:val="18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Risk-free interest rate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- 4.13%</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- 4.36%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- 4.61%</w:t>
            </w:r>
          </w:p>
        </w:tc>
      </w:tr>
      <w:tr>
        <w:trPr>
          <w:trHeight w:val="155"/>
        </w:trPr>
        <w:tc>
          <w:tcPr>
            <w:tcW w:w="4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Expected dividend yield</w:t>
            </w:r>
          </w:p>
        </w:tc>
        <w:tc>
          <w:tcPr>
            <w:tcW w:w="2040" w:type="dxa"/>
            <w:vAlign w:val="bottom"/>
            <w:gridSpan w:val="2"/>
          </w:tcPr>
          <w:p>
            <w:pPr>
              <w:jc w:val="right"/>
              <w:ind w:right="800"/>
              <w:spacing w:after="0"/>
              <w:rPr>
                <w:sz w:val="20"/>
                <w:szCs w:val="20"/>
                <w:color w:val="auto"/>
              </w:rPr>
            </w:pPr>
            <w:r>
              <w:rPr>
                <w:rFonts w:ascii="Times New Roman" w:cs="Times New Roman" w:eastAsia="Times New Roman" w:hAnsi="Times New Roman"/>
                <w:sz w:val="12"/>
                <w:szCs w:val="12"/>
                <w:color w:val="auto"/>
              </w:rPr>
              <w:t>0.00%</w:t>
            </w:r>
          </w:p>
        </w:tc>
        <w:tc>
          <w:tcPr>
            <w:tcW w:w="80" w:type="dxa"/>
            <w:vAlign w:val="bottom"/>
          </w:tcPr>
          <w:p>
            <w:pPr>
              <w:spacing w:after="0"/>
              <w:rPr>
                <w:sz w:val="13"/>
                <w:szCs w:val="13"/>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0.00%</w:t>
            </w:r>
          </w:p>
        </w:tc>
        <w:tc>
          <w:tcPr>
            <w:tcW w:w="80" w:type="dxa"/>
            <w:vAlign w:val="bottom"/>
          </w:tcPr>
          <w:p>
            <w:pPr>
              <w:spacing w:after="0"/>
              <w:rPr>
                <w:sz w:val="13"/>
                <w:szCs w:val="13"/>
                <w:color w:val="auto"/>
              </w:rPr>
            </w:pPr>
          </w:p>
        </w:tc>
        <w:tc>
          <w:tcPr>
            <w:tcW w:w="2020" w:type="dxa"/>
            <w:vAlign w:val="bottom"/>
            <w:gridSpan w:val="2"/>
          </w:tcPr>
          <w:p>
            <w:pPr>
              <w:jc w:val="right"/>
              <w:ind w:right="800"/>
              <w:spacing w:after="0"/>
              <w:rPr>
                <w:sz w:val="20"/>
                <w:szCs w:val="20"/>
                <w:color w:val="auto"/>
              </w:rPr>
            </w:pPr>
            <w:r>
              <w:rPr>
                <w:rFonts w:ascii="Times New Roman" w:cs="Times New Roman" w:eastAsia="Times New Roman" w:hAnsi="Times New Roman"/>
                <w:sz w:val="12"/>
                <w:szCs w:val="12"/>
                <w:color w:val="auto"/>
              </w:rPr>
              <w:t>0.00%</w:t>
            </w:r>
          </w:p>
        </w:tc>
      </w:tr>
    </w:tbl>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table summarizes the activity related to the stock option awards for the year ended December 31, 2025 (in thousands, except per share amounts):</w:t>
      </w:r>
    </w:p>
    <w:p>
      <w:pPr>
        <w:spacing w:after="0" w:line="82" w:lineRule="exact"/>
        <w:rPr>
          <w:sz w:val="20"/>
          <w:szCs w:val="20"/>
          <w:color w:val="auto"/>
        </w:rPr>
      </w:pPr>
    </w:p>
    <w:tbl>
      <w:tblPr>
        <w:tblLayout w:type="fixed"/>
        <w:tblInd w:w="240" w:type="dxa"/>
        <w:tblCellMar>
          <w:top w:w="0" w:type="dxa"/>
          <w:left w:w="0" w:type="dxa"/>
          <w:bottom w:w="0" w:type="dxa"/>
          <w:right w:w="0" w:type="dxa"/>
        </w:tblCellMar>
      </w:tblPr>
      <w:tr>
        <w:trPr>
          <w:trHeight w:val="115"/>
        </w:trPr>
        <w:tc>
          <w:tcPr>
            <w:tcW w:w="6160" w:type="dxa"/>
            <w:vAlign w:val="bottom"/>
          </w:tcPr>
          <w:p>
            <w:pPr>
              <w:spacing w:after="0"/>
              <w:rPr>
                <w:sz w:val="10"/>
                <w:szCs w:val="10"/>
                <w:color w:val="auto"/>
              </w:rPr>
            </w:pPr>
          </w:p>
        </w:tc>
        <w:tc>
          <w:tcPr>
            <w:tcW w:w="1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0"/>
                <w:szCs w:val="10"/>
                <w:b w:val="1"/>
                <w:bCs w:val="1"/>
                <w:color w:val="auto"/>
              </w:rPr>
              <w:t>Number of Shares</w:t>
            </w:r>
          </w:p>
        </w:tc>
        <w:tc>
          <w:tcPr>
            <w:tcW w:w="180" w:type="dxa"/>
            <w:vAlign w:val="bottom"/>
          </w:tcPr>
          <w:p>
            <w:pPr>
              <w:spacing w:after="0"/>
              <w:rPr>
                <w:sz w:val="10"/>
                <w:szCs w:val="1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Weighted</w:t>
            </w:r>
          </w:p>
        </w:tc>
        <w:tc>
          <w:tcPr>
            <w:tcW w:w="120" w:type="dxa"/>
            <w:vAlign w:val="bottom"/>
          </w:tcPr>
          <w:p>
            <w:pPr>
              <w:spacing w:after="0"/>
              <w:rPr>
                <w:sz w:val="10"/>
                <w:szCs w:val="10"/>
                <w:color w:val="auto"/>
              </w:rPr>
            </w:pPr>
          </w:p>
        </w:tc>
        <w:tc>
          <w:tcPr>
            <w:tcW w:w="1440" w:type="dxa"/>
            <w:vAlign w:val="bottom"/>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w w:val="97"/>
              </w:rPr>
              <w:t>Aggregate Intrinsic Value (in</w:t>
            </w:r>
          </w:p>
        </w:tc>
        <w:tc>
          <w:tcPr>
            <w:tcW w:w="0" w:type="dxa"/>
            <w:vAlign w:val="bottom"/>
          </w:tcPr>
          <w:p>
            <w:pPr>
              <w:spacing w:after="0"/>
              <w:rPr>
                <w:sz w:val="1"/>
                <w:szCs w:val="1"/>
                <w:color w:val="auto"/>
              </w:rPr>
            </w:pPr>
          </w:p>
        </w:tc>
      </w:tr>
      <w:tr>
        <w:trPr>
          <w:trHeight w:val="130"/>
        </w:trPr>
        <w:tc>
          <w:tcPr>
            <w:tcW w:w="61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Average Exercise Price</w:t>
            </w:r>
          </w:p>
        </w:tc>
        <w:tc>
          <w:tcPr>
            <w:tcW w:w="120" w:type="dxa"/>
            <w:vAlign w:val="bottom"/>
          </w:tcPr>
          <w:p>
            <w:pPr>
              <w:spacing w:after="0"/>
              <w:rPr>
                <w:sz w:val="11"/>
                <w:szCs w:val="11"/>
                <w:color w:val="auto"/>
              </w:rPr>
            </w:pPr>
          </w:p>
        </w:tc>
        <w:tc>
          <w:tcPr>
            <w:tcW w:w="1440" w:type="dxa"/>
            <w:vAlign w:val="bottom"/>
          </w:tcPr>
          <w:p>
            <w:pPr>
              <w:jc w:val="right"/>
              <w:ind w:right="506"/>
              <w:spacing w:after="0"/>
              <w:rPr>
                <w:sz w:val="20"/>
                <w:szCs w:val="20"/>
                <w:color w:val="auto"/>
              </w:rPr>
            </w:pPr>
            <w:r>
              <w:rPr>
                <w:rFonts w:ascii="Times New Roman" w:cs="Times New Roman" w:eastAsia="Times New Roman" w:hAnsi="Times New Roman"/>
                <w:sz w:val="10"/>
                <w:szCs w:val="10"/>
                <w:b w:val="1"/>
                <w:bCs w:val="1"/>
                <w:color w:val="auto"/>
              </w:rPr>
              <w:t>thousands)</w:t>
            </w:r>
          </w:p>
        </w:tc>
        <w:tc>
          <w:tcPr>
            <w:tcW w:w="0" w:type="dxa"/>
            <w:vAlign w:val="bottom"/>
          </w:tcPr>
          <w:p>
            <w:pPr>
              <w:spacing w:after="0"/>
              <w:rPr>
                <w:sz w:val="1"/>
                <w:szCs w:val="1"/>
                <w:color w:val="auto"/>
              </w:rPr>
            </w:pPr>
          </w:p>
        </w:tc>
      </w:tr>
      <w:tr>
        <w:trPr>
          <w:trHeight w:val="147"/>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Awards outstanding at December 31, 2024</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705,593</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35.85</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1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409,066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(21,355)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11.81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1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(58,350)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16.98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(17,334)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384.72</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Awards outstanding at December 31,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1,017,620</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25.18</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2"/>
                <w:szCs w:val="12"/>
                <w:color w:val="auto"/>
              </w:rPr>
              <w:t>19,750</w:t>
            </w:r>
          </w:p>
        </w:tc>
        <w:tc>
          <w:tcPr>
            <w:tcW w:w="0" w:type="dxa"/>
            <w:vAlign w:val="bottom"/>
          </w:tcPr>
          <w:p>
            <w:pPr>
              <w:spacing w:after="0"/>
              <w:rPr>
                <w:sz w:val="1"/>
                <w:szCs w:val="1"/>
                <w:color w:val="auto"/>
              </w:rPr>
            </w:pPr>
          </w:p>
        </w:tc>
      </w:tr>
      <w:tr>
        <w:trPr>
          <w:trHeight w:val="15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exercisable at December 31, 2025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404,640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35.25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6,593</w:t>
            </w:r>
          </w:p>
        </w:tc>
        <w:tc>
          <w:tcPr>
            <w:tcW w:w="0" w:type="dxa"/>
            <w:vAlign w:val="bottom"/>
          </w:tcPr>
          <w:p>
            <w:pPr>
              <w:spacing w:after="0"/>
              <w:rPr>
                <w:sz w:val="1"/>
                <w:szCs w:val="1"/>
                <w:color w:val="auto"/>
              </w:rPr>
            </w:pPr>
          </w:p>
        </w:tc>
      </w:tr>
      <w:tr>
        <w:trPr>
          <w:trHeight w:val="153"/>
        </w:trPr>
        <w:tc>
          <w:tcPr>
            <w:tcW w:w="61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Weighted average remaining contractual term</w:t>
            </w:r>
          </w:p>
        </w:tc>
        <w:tc>
          <w:tcPr>
            <w:tcW w:w="1540" w:type="dxa"/>
            <w:vAlign w:val="bottom"/>
            <w:gridSpan w:val="2"/>
          </w:tcPr>
          <w:p>
            <w:pPr>
              <w:ind w:left="1000"/>
              <w:spacing w:after="0"/>
              <w:rPr>
                <w:sz w:val="20"/>
                <w:szCs w:val="20"/>
                <w:color w:val="auto"/>
              </w:rPr>
            </w:pPr>
            <w:r>
              <w:rPr>
                <w:rFonts w:ascii="Times New Roman" w:cs="Times New Roman" w:eastAsia="Times New Roman" w:hAnsi="Times New Roman"/>
                <w:sz w:val="12"/>
                <w:szCs w:val="12"/>
                <w:color w:val="auto"/>
              </w:rPr>
              <w:t>6.9 Years</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vested and expected to vest at December 31, 2025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899,743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Weighted average remaining contractual term</w:t>
            </w:r>
          </w:p>
        </w:tc>
        <w:tc>
          <w:tcPr>
            <w:tcW w:w="1540" w:type="dxa"/>
            <w:vAlign w:val="bottom"/>
            <w:gridSpan w:val="2"/>
          </w:tcPr>
          <w:p>
            <w:pPr>
              <w:ind w:left="1000"/>
              <w:spacing w:after="0"/>
              <w:rPr>
                <w:sz w:val="20"/>
                <w:szCs w:val="20"/>
                <w:color w:val="auto"/>
              </w:rPr>
            </w:pPr>
            <w:r>
              <w:rPr>
                <w:rFonts w:ascii="Times New Roman" w:cs="Times New Roman" w:eastAsia="Times New Roman" w:hAnsi="Times New Roman"/>
                <w:sz w:val="12"/>
                <w:szCs w:val="12"/>
                <w:color w:val="auto"/>
              </w:rPr>
              <w:t>8.0 Years</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Compensation expense related to the grants of stock options is included in research and development and general and administrative expense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740" w:type="dxa"/>
            <w:vAlign w:val="bottom"/>
            <w:gridSpan w:val="2"/>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2025</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1"/>
                <w:szCs w:val="11"/>
                <w:color w:val="auto"/>
              </w:rPr>
            </w:pPr>
          </w:p>
        </w:tc>
      </w:tr>
      <w:tr>
        <w:trPr>
          <w:trHeight w:val="151"/>
        </w:trPr>
        <w:tc>
          <w:tcPr>
            <w:tcW w:w="100" w:type="dxa"/>
            <w:vAlign w:val="bottom"/>
          </w:tcPr>
          <w:p>
            <w:pPr>
              <w:spacing w:after="0"/>
              <w:rPr>
                <w:sz w:val="13"/>
                <w:szCs w:val="13"/>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276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1,124</w:t>
            </w: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425</w:t>
            </w:r>
          </w:p>
        </w:tc>
        <w:tc>
          <w:tcPr>
            <w:tcW w:w="1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7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2,651</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1,153</w:t>
            </w:r>
          </w:p>
        </w:tc>
        <w:tc>
          <w:tcPr>
            <w:tcW w:w="100" w:type="dxa"/>
            <w:vAlign w:val="bottom"/>
          </w:tcPr>
          <w:p>
            <w:pPr>
              <w:spacing w:after="0"/>
              <w:rPr>
                <w:sz w:val="13"/>
                <w:szCs w:val="13"/>
                <w:color w:val="auto"/>
              </w:rPr>
            </w:pPr>
          </w:p>
        </w:tc>
      </w:tr>
      <w:tr>
        <w:trPr>
          <w:trHeight w:val="158"/>
        </w:trPr>
        <w:tc>
          <w:tcPr>
            <w:tcW w:w="100" w:type="dxa"/>
            <w:vAlign w:val="bottom"/>
          </w:tcPr>
          <w:p>
            <w:pPr>
              <w:spacing w:after="0"/>
              <w:rPr>
                <w:sz w:val="13"/>
                <w:szCs w:val="13"/>
                <w:color w:val="auto"/>
              </w:rPr>
            </w:pPr>
          </w:p>
        </w:tc>
        <w:tc>
          <w:tcPr>
            <w:tcW w:w="3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share-based compensation expense</w:t>
            </w:r>
          </w:p>
        </w:tc>
        <w:tc>
          <w:tcPr>
            <w:tcW w:w="27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3,775</w:t>
            </w:r>
          </w:p>
        </w:tc>
        <w:tc>
          <w:tcPr>
            <w:tcW w:w="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2,757</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1,578</w:t>
            </w:r>
          </w:p>
        </w:tc>
        <w:tc>
          <w:tcPr>
            <w:tcW w:w="100" w:type="dxa"/>
            <w:vAlign w:val="bottom"/>
          </w:tcPr>
          <w:p>
            <w:pPr>
              <w:spacing w:after="0"/>
              <w:rPr>
                <w:sz w:val="13"/>
                <w:szCs w:val="13"/>
                <w:color w:val="auto"/>
              </w:rPr>
            </w:pPr>
          </w:p>
        </w:tc>
      </w:tr>
      <w:tr>
        <w:trPr>
          <w:trHeight w:val="882"/>
        </w:trPr>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740" w:type="dxa"/>
            <w:vAlign w:val="bottom"/>
            <w:gridSpan w:val="2"/>
          </w:tcPr>
          <w:p>
            <w:pPr>
              <w:jc w:val="right"/>
              <w:ind w:right="1826"/>
              <w:spacing w:after="0"/>
              <w:rPr>
                <w:sz w:val="20"/>
                <w:szCs w:val="20"/>
                <w:color w:val="auto"/>
              </w:rPr>
            </w:pPr>
            <w:r>
              <w:rPr>
                <w:rFonts w:ascii="Times New Roman" w:cs="Times New Roman" w:eastAsia="Times New Roman" w:hAnsi="Times New Roman"/>
                <w:sz w:val="12"/>
                <w:szCs w:val="12"/>
                <w:color w:val="auto"/>
              </w:rPr>
              <w:t>F-16</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3"/>
        </w:trPr>
        <w:tc>
          <w:tcPr>
            <w:tcW w:w="100" w:type="dxa"/>
            <w:vAlign w:val="bottom"/>
            <w:tcBorders>
              <w:bottom w:val="single" w:sz="8" w:color="9A9A9A"/>
            </w:tcBorders>
          </w:tcPr>
          <w:p>
            <w:pPr>
              <w:spacing w:after="0"/>
              <w:rPr>
                <w:sz w:val="5"/>
                <w:szCs w:val="5"/>
                <w:color w:val="auto"/>
              </w:rPr>
            </w:pPr>
          </w:p>
        </w:tc>
        <w:tc>
          <w:tcPr>
            <w:tcW w:w="3800" w:type="dxa"/>
            <w:vAlign w:val="bottom"/>
            <w:tcBorders>
              <w:bottom w:val="single" w:sz="8" w:color="9A9A9A"/>
            </w:tcBorders>
          </w:tcPr>
          <w:p>
            <w:pPr>
              <w:spacing w:after="0"/>
              <w:rPr>
                <w:sz w:val="5"/>
                <w:szCs w:val="5"/>
                <w:color w:val="auto"/>
              </w:rPr>
            </w:pPr>
          </w:p>
        </w:tc>
        <w:tc>
          <w:tcPr>
            <w:tcW w:w="276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b w:val="1"/>
          <w:bCs w:val="1"/>
          <w:color w:val="auto"/>
        </w:rPr>
        <w:t>Note 5: Prepaid Expenses and Other Current Assets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Prepaid expenses and other current assets consist of the following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0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gridSpan w:val="3"/>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20" w:type="dxa"/>
            <w:vAlign w:val="bottom"/>
          </w:tcPr>
          <w:p>
            <w:pPr>
              <w:spacing w:after="0"/>
              <w:rPr>
                <w:sz w:val="10"/>
                <w:szCs w:val="10"/>
                <w:color w:val="auto"/>
              </w:rPr>
            </w:pPr>
          </w:p>
        </w:tc>
      </w:tr>
      <w:tr>
        <w:trPr>
          <w:trHeight w:val="143"/>
        </w:trPr>
        <w:tc>
          <w:tcPr>
            <w:tcW w:w="100" w:type="dxa"/>
            <w:vAlign w:val="bottom"/>
          </w:tcPr>
          <w:p>
            <w:pPr>
              <w:spacing w:after="0"/>
              <w:rPr>
                <w:sz w:val="12"/>
                <w:szCs w:val="12"/>
                <w:color w:val="auto"/>
              </w:rPr>
            </w:pPr>
          </w:p>
        </w:tc>
        <w:tc>
          <w:tcPr>
            <w:tcW w:w="8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2025</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51"/>
        </w:trPr>
        <w:tc>
          <w:tcPr>
            <w:tcW w:w="100" w:type="dxa"/>
            <w:vAlign w:val="bottom"/>
          </w:tcPr>
          <w:p>
            <w:pPr>
              <w:spacing w:after="0"/>
              <w:rPr>
                <w:sz w:val="13"/>
                <w:szCs w:val="13"/>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insurance</w:t>
            </w:r>
          </w:p>
        </w:tc>
        <w:tc>
          <w:tcPr>
            <w:tcW w:w="98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577</w:t>
            </w:r>
          </w:p>
        </w:tc>
      </w:tr>
      <w:tr>
        <w:trPr>
          <w:trHeight w:val="153"/>
        </w:trPr>
        <w:tc>
          <w:tcPr>
            <w:tcW w:w="100" w:type="dxa"/>
            <w:vAlign w:val="bottom"/>
          </w:tcPr>
          <w:p>
            <w:pPr>
              <w:spacing w:after="0"/>
              <w:rPr>
                <w:sz w:val="13"/>
                <w:szCs w:val="13"/>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Prepaid software</w:t>
            </w:r>
          </w:p>
        </w:tc>
        <w:tc>
          <w:tcPr>
            <w:tcW w:w="980" w:type="dxa"/>
            <w:vAlign w:val="bottom"/>
          </w:tcPr>
          <w:p>
            <w:pPr>
              <w:spacing w:after="0"/>
              <w:rPr>
                <w:sz w:val="13"/>
                <w:szCs w:val="13"/>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w:t>
            </w:r>
          </w:p>
        </w:tc>
      </w:tr>
      <w:tr>
        <w:trPr>
          <w:trHeight w:val="153"/>
        </w:trPr>
        <w:tc>
          <w:tcPr>
            <w:tcW w:w="100" w:type="dxa"/>
            <w:vAlign w:val="bottom"/>
          </w:tcPr>
          <w:p>
            <w:pPr>
              <w:spacing w:after="0"/>
              <w:rPr>
                <w:sz w:val="13"/>
                <w:szCs w:val="13"/>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 other</w:t>
            </w: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572</w:t>
            </w:r>
          </w:p>
        </w:tc>
      </w:tr>
      <w:tr>
        <w:trPr>
          <w:trHeight w:val="153"/>
        </w:trPr>
        <w:tc>
          <w:tcPr>
            <w:tcW w:w="100" w:type="dxa"/>
            <w:vAlign w:val="bottom"/>
          </w:tcPr>
          <w:p>
            <w:pPr>
              <w:spacing w:after="0"/>
              <w:rPr>
                <w:sz w:val="13"/>
                <w:szCs w:val="13"/>
                <w:color w:val="auto"/>
              </w:rPr>
            </w:pPr>
          </w:p>
        </w:tc>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current assets</w:t>
            </w: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218</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175</w:t>
            </w:r>
          </w:p>
        </w:tc>
      </w:tr>
      <w:tr>
        <w:trPr>
          <w:trHeight w:val="162"/>
        </w:trPr>
        <w:tc>
          <w:tcPr>
            <w:tcW w:w="100" w:type="dxa"/>
            <w:vAlign w:val="bottom"/>
          </w:tcPr>
          <w:p>
            <w:pPr>
              <w:spacing w:after="0"/>
              <w:rPr>
                <w:sz w:val="14"/>
                <w:szCs w:val="14"/>
                <w:color w:val="auto"/>
              </w:rPr>
            </w:pPr>
          </w:p>
        </w:tc>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961</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1,367</w:t>
            </w:r>
          </w:p>
        </w:tc>
      </w:tr>
      <w:tr>
        <w:trPr>
          <w:trHeight w:val="365"/>
        </w:trPr>
        <w:tc>
          <w:tcPr>
            <w:tcW w:w="82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6: Accounts Payable and Accrued Expenses</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Accounts payable and accrued expenses consist of the following (in thousands):</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0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gridSpan w:val="3"/>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20" w:type="dxa"/>
            <w:vAlign w:val="bottom"/>
          </w:tcPr>
          <w:p>
            <w:pPr>
              <w:spacing w:after="0"/>
              <w:rPr>
                <w:sz w:val="18"/>
                <w:szCs w:val="18"/>
                <w:color w:val="auto"/>
              </w:rPr>
            </w:pPr>
          </w:p>
        </w:tc>
      </w:tr>
      <w:tr>
        <w:trPr>
          <w:trHeight w:val="143"/>
        </w:trPr>
        <w:tc>
          <w:tcPr>
            <w:tcW w:w="100" w:type="dxa"/>
            <w:vAlign w:val="bottom"/>
          </w:tcPr>
          <w:p>
            <w:pPr>
              <w:spacing w:after="0"/>
              <w:rPr>
                <w:sz w:val="12"/>
                <w:szCs w:val="12"/>
                <w:color w:val="auto"/>
              </w:rPr>
            </w:pPr>
          </w:p>
        </w:tc>
        <w:tc>
          <w:tcPr>
            <w:tcW w:w="8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2025</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50"/>
        </w:trPr>
        <w:tc>
          <w:tcPr>
            <w:tcW w:w="100" w:type="dxa"/>
            <w:vAlign w:val="bottom"/>
          </w:tcPr>
          <w:p>
            <w:pPr>
              <w:spacing w:after="0"/>
              <w:rPr>
                <w:sz w:val="13"/>
                <w:szCs w:val="13"/>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w:t>
            </w:r>
          </w:p>
        </w:tc>
        <w:tc>
          <w:tcPr>
            <w:tcW w:w="98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1,132</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939</w:t>
            </w:r>
          </w:p>
        </w:tc>
      </w:tr>
      <w:tr>
        <w:trPr>
          <w:trHeight w:val="153"/>
        </w:trPr>
        <w:tc>
          <w:tcPr>
            <w:tcW w:w="100" w:type="dxa"/>
            <w:vAlign w:val="bottom"/>
          </w:tcPr>
          <w:p>
            <w:pPr>
              <w:spacing w:after="0"/>
              <w:rPr>
                <w:sz w:val="13"/>
                <w:szCs w:val="13"/>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Accrued development costs</w:t>
            </w:r>
          </w:p>
        </w:tc>
        <w:tc>
          <w:tcPr>
            <w:tcW w:w="980" w:type="dxa"/>
            <w:vAlign w:val="bottom"/>
          </w:tcPr>
          <w:p>
            <w:pPr>
              <w:spacing w:after="0"/>
              <w:rPr>
                <w:sz w:val="13"/>
                <w:szCs w:val="13"/>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3,045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2,263</w:t>
            </w:r>
          </w:p>
        </w:tc>
      </w:tr>
      <w:tr>
        <w:trPr>
          <w:trHeight w:val="153"/>
        </w:trPr>
        <w:tc>
          <w:tcPr>
            <w:tcW w:w="100" w:type="dxa"/>
            <w:vAlign w:val="bottom"/>
          </w:tcPr>
          <w:p>
            <w:pPr>
              <w:spacing w:after="0"/>
              <w:rPr>
                <w:sz w:val="13"/>
                <w:szCs w:val="13"/>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compensation and related costs</w:t>
            </w: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2,081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1,509</w:t>
            </w:r>
          </w:p>
        </w:tc>
      </w:tr>
      <w:tr>
        <w:trPr>
          <w:trHeight w:val="153"/>
        </w:trPr>
        <w:tc>
          <w:tcPr>
            <w:tcW w:w="100" w:type="dxa"/>
            <w:vAlign w:val="bottom"/>
          </w:tcPr>
          <w:p>
            <w:pPr>
              <w:spacing w:after="0"/>
              <w:rPr>
                <w:sz w:val="13"/>
                <w:szCs w:val="13"/>
                <w:color w:val="auto"/>
              </w:rPr>
            </w:pPr>
          </w:p>
        </w:tc>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Accrued other</w:t>
            </w: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299</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316</w:t>
            </w:r>
          </w:p>
        </w:tc>
      </w:tr>
      <w:tr>
        <w:trPr>
          <w:trHeight w:val="158"/>
        </w:trPr>
        <w:tc>
          <w:tcPr>
            <w:tcW w:w="100" w:type="dxa"/>
            <w:vAlign w:val="bottom"/>
          </w:tcPr>
          <w:p>
            <w:pPr>
              <w:spacing w:after="0"/>
              <w:rPr>
                <w:sz w:val="13"/>
                <w:szCs w:val="13"/>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Total</w:t>
            </w: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6,557</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5,027</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7: Leases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In August 2019, the Company leased office space for its headquarters location under an operating lease. This lease commenced in November 2019 after the completion of certain tenant improvements made by the lessor. The lease included an option to renew for a five-year term as well as an option to terminate after three years, neither of which was recognized as part of its related right of use assets or lease liabilities as their election was not considered reasonably certain. In November 2022, the Company entered into a second amendment to the lease, (i) to reduce the square footage and (ii) to extend the lease term, which constituted a modification event under ASC 842 and, the lease classification for the asset remains as an operating lease. Further, the second amendment to the lease does not include any material residual value guarantee or restrictive covenants. In November 2025, the Company did not renew its leased office space and the related lease expired with no remaining lease obligations.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December 31, 2024, the Company's operating leases had a weighted average remaining lease term of 0.9 years and a weighted average incremental borrowing rate of 9.5%.</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Operating lease cost was $0.2 million for the years ended December 31, 2025, 2024 and 2023, respectively. During the years ended December 31, 2025 and December 31, 2024, cash paid for operating leases was $0.2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8: Commitments and Contingencies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Legal Matters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Novo Nordisk</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 xml:space="preserve">In February 2007, the Company entered into an Agreement (the “Novo License Agreement”) Concerning Glucokinase Activator Project with Novo Nordisk A/S (the “Novo Nordisk”)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This agreement was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sectPr>
      </w:pPr>
    </w:p>
    <w:bookmarkStart w:id="95" w:name="page96"/>
    <w:bookmarkEnd w:id="95"/>
    <w:p>
      <w:pPr>
        <w:jc w:val="both"/>
        <w:spacing w:after="0" w:line="257" w:lineRule="auto"/>
        <w:rPr>
          <w:sz w:val="20"/>
          <w:szCs w:val="20"/>
          <w:color w:val="auto"/>
        </w:rPr>
      </w:pPr>
      <w:r>
        <w:rPr>
          <w:rFonts w:ascii="Times New Roman" w:cs="Times New Roman" w:eastAsia="Times New Roman" w:hAnsi="Times New Roman"/>
          <w:sz w:val="12"/>
          <w:szCs w:val="12"/>
          <w:color w:val="auto"/>
        </w:rPr>
        <w:t>amended in May 2019 to create milestone payments applicable to certain specific and non-specific areas of therapeutic use. Under the terms of the Novo License Agreement, the Company has additional potential developmental and regulatory milestone payments totaling up to $6.0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During the year ended December 31, 2025, the Company recorded a payment of $1.0 million for the milestone associated with the initiation of a phase 3 clinical trial under this agreement. As of December 31, 2025, the Company does not have any commercialized licensed products.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9: Stockholders’ Equity (Deficit)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Amendment to Certificate of Incorporation</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On November 20, 2023, the Company filed an amendment to its Amended and Restated Certificate of Incorporation as amended, to effect a reverse stock split at a ratio of 1-for-40 (the "Reverse Stock Split"). Pursuant to the Reverse Stock Split, every 40 shares of the Company’s Class A common stock was combined into one issued and outstanding share of Class A Common Stock and every 40 shares of the Company’s Class B common stock was combined into one issued and outstanding share of Class B Common Stock. The Reverse Stock Split did not reduce the number of authorized shares of Class A and Class B common stock, which remained at 200,000,000 and 100,000,000 respectively and did not change the par value of the common stock, which remained at $0.01 per share. The Reverse Stock Split did not have any effect on the number of authorized shares of the Company’s preferred stock, par value of $0.01 per share, which would remain at 50,000,000 shares. Currently no shares of preferred stock are outstanding.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Common Stock and Pre-funded Warrants</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In August 2025, the Company entered into a securities purchase agreement with certain Private Placement Investors, pursuant to which we agreed to issue and sell 5,243,732 Units to the Private Placement Investors in a private placement. Each unit is comprised of one share of Class A common stock for an aggregate of 682,018 shares, at a purchase price of $15.265 per share and Pre-Funded Warrants to purchase an aggregate of 4,561,714 shares of the Company’s Class A common stock at a price of $15.255 per Pre-Funded Warrant. Additionally, each unit has an accompanying Common Warrant to purchase an aggregate of 5,243,732 shares of the Company’s Class A common stock. We received aggregate gross proceeds from the Private Placement of approximately $80 million, before deducting offering costs payable by us. The Pre-Funded Warrants were immediately exercisable, have an exercise price of $0.01 and may be exercised at any time after the date of issuance. The Common Warrants are exercisable for (x) $22.71, if exercised for a Share, or (y) $22.70 if exercised for a Pre-Funded Warrant, after the original issuance through the termination date. The Common Warrants will expire upon the earlier to occur of (i) the fifth anniversary of the issuance of the Warrants and (ii) 90 days following the announcement of positive top-line data from the Company’s ongoing CATT1 clinical trial.</w:t>
      </w:r>
    </w:p>
    <w:p>
      <w:pPr>
        <w:spacing w:after="0" w:line="5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In February 2024, the Company entered into a Securities Purchase Agreement with certain Private Placement Investors, pursuant to which we agreed to issue and sell to the Private Placement Investors in a private placement (i) an aggregate of 464,377 shares of our Class A common stock, at a purchase price of $11.81 per share and (ii) issued pre-funded warrants to purchase an aggregate of 3,853,997 shares of the Company’s Class A common stock at a price of $11.80 per pre-funded warrant. The pre-funded warrants were immediately exercisable, have an exercise price of $0.01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w:t>
      </w:r>
    </w:p>
    <w:p>
      <w:pPr>
        <w:spacing w:after="0" w:line="53"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59"/>
        </w:trPr>
        <w:tc>
          <w:tcPr>
            <w:tcW w:w="7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Equity-Based Stock Warrants</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table summarizes the equity-based stock warrant activity for the year ended December 31, 2025:</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43"/>
        </w:trPr>
        <w:tc>
          <w:tcPr>
            <w:tcW w:w="6580" w:type="dxa"/>
            <w:vAlign w:val="bottom"/>
          </w:tcPr>
          <w:p>
            <w:pPr>
              <w:spacing w:after="0"/>
              <w:rPr>
                <w:sz w:val="21"/>
                <w:szCs w:val="21"/>
                <w:color w:val="auto"/>
              </w:rPr>
            </w:pPr>
          </w:p>
        </w:tc>
        <w:tc>
          <w:tcPr>
            <w:tcW w:w="1240" w:type="dxa"/>
            <w:vAlign w:val="bottom"/>
          </w:tcPr>
          <w:p>
            <w:pPr>
              <w:ind w:left="8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Weighted Average Exercise Price</w:t>
            </w:r>
          </w:p>
        </w:tc>
      </w:tr>
      <w:tr>
        <w:trPr>
          <w:trHeight w:val="153"/>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December 31, 2024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3,970,587</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7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9,805,446</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w:t>
            </w:r>
          </w:p>
        </w:tc>
      </w:tr>
      <w:tr>
        <w:trPr>
          <w:trHeight w:val="153"/>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(61,677)</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7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Expired or cancelled</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42"/>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December 31, 2025*</w:t>
            </w:r>
          </w:p>
        </w:tc>
        <w:tc>
          <w:tcPr>
            <w:tcW w:w="12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13,714,356</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8.69</w:t>
            </w:r>
          </w:p>
        </w:tc>
      </w:tr>
      <w:tr>
        <w:trPr>
          <w:trHeight w:val="158"/>
        </w:trPr>
        <w:tc>
          <w:tcPr>
            <w:tcW w:w="6580" w:type="dxa"/>
            <w:vAlign w:val="bottom"/>
          </w:tcPr>
          <w:p>
            <w:pPr>
              <w:spacing w:after="0"/>
              <w:rPr>
                <w:sz w:val="20"/>
                <w:szCs w:val="20"/>
                <w:color w:val="auto"/>
              </w:rPr>
            </w:pPr>
            <w:r>
              <w:rPr>
                <w:rFonts w:ascii="Times New Roman" w:cs="Times New Roman" w:eastAsia="Times New Roman" w:hAnsi="Times New Roman"/>
                <w:sz w:val="12"/>
                <w:szCs w:val="12"/>
                <w:color w:val="auto"/>
              </w:rPr>
              <w:t>Exercisable at December 31, 2025</w:t>
            </w:r>
          </w:p>
        </w:tc>
        <w:tc>
          <w:tcPr>
            <w:tcW w:w="1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13,714,356</w:t>
            </w:r>
          </w:p>
        </w:tc>
        <w:tc>
          <w:tcPr>
            <w:tcW w:w="3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8.69</w:t>
            </w:r>
          </w:p>
        </w:tc>
      </w:tr>
    </w:tbl>
    <w:p>
      <w:pPr>
        <w:spacing w:after="0" w:line="124"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2"/>
          <w:szCs w:val="12"/>
          <w:color w:val="auto"/>
        </w:rPr>
        <w:t>*</w:t>
        <w:tab/>
        <w:t>Amount includes 8,470,624 Pre-Funded Warrants and 5,243,732 Common Warrants.</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Pre-Funded and Common Warrants were classified as a component of permanent equity in the Company’s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G42 Investments Transaction</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On May 31, 2022, the Company and G42 Investments entered in to the G42 Purchase Agreement (see Note 3), pursuant to which the Company agreed to sell to G42 Investments 259,657 shares of the Company's Class A common stock, for an aggregate purchase price of $25.0 million, consisting of (i) $12.5 million in cash at the closing of the transaction and (ii) $12.5 million in the form of a promissory note of G42 Investments to be paid at the one-year anniversary of the execution of the G42 Purchase Agreement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(expense) income net, in the Company’s Consolidated Statements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ATM Offering</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(the “TD Cowen ATM Offering”). Pursuant to General Instruction I.B.6 of Form S-3, at no time will we sell securities registered on the registration statement relating to the TD Cowen ATM Offering with an aggregate amount exceeding one-third of our public float during any 12-calendar month period, so long as our public float remains below $75.0 million. Under the terms of the TD Cowen Sales Agreement, we will pay TD Cowen a commission of 3.0% of the aggregate proceeds from the sale of shares and reimburse certain legal fees or other disbursements.</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During the year ended December 31, 2025, the Company did not sell any shares of Class A common stock under the TD Cowen ATM Offering.</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During the year ended December 31, 2024, the Company sold 179,400 shares of Class A common stock under the TD Cowen ATM Offering for net proceeds of $2.5 million.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Letter Agreement Warrants</w:t>
      </w:r>
    </w:p>
    <w:p>
      <w:pPr>
        <w:spacing w:after="0" w:line="8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previously entered into the Letter Agreements with MacAndrews. Under the terms of the Letter Agreements, the Company had the right to sell to MacAndrews shares of its Class A common stock at a specified price per share, and MacAndrews had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 The Letter Agreement Warrants were recorded as warrant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5" w:right="299" w:bottom="1440" w:gutter="0" w:footer="0" w:header="0"/>
        </w:sectPr>
      </w:pPr>
    </w:p>
    <w:bookmarkStart w:id="97" w:name="page98"/>
    <w:bookmarkEnd w:id="97"/>
    <w:p>
      <w:pPr>
        <w:jc w:val="both"/>
        <w:spacing w:after="0" w:line="279" w:lineRule="auto"/>
        <w:rPr>
          <w:sz w:val="20"/>
          <w:szCs w:val="20"/>
          <w:color w:val="auto"/>
        </w:rPr>
      </w:pPr>
      <w:r>
        <w:rPr>
          <w:rFonts w:ascii="Times New Roman" w:cs="Times New Roman" w:eastAsia="Times New Roman" w:hAnsi="Times New Roman"/>
          <w:sz w:val="12"/>
          <w:szCs w:val="12"/>
          <w:color w:val="auto"/>
        </w:rPr>
        <w:t>liability, related party within the Company’s Consolidated Balance Sheets based on their fair value. The issuance of the Letter Agreement Warrants was considered to be a cost of equity recorded as a reduction to additional paid-in capital. During the years ended December 31, 2025, 2024 and 2023 the change in fair value in related party warrants was immaterial.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10: Noncontrolling Interest</w:t>
      </w:r>
    </w:p>
    <w:p>
      <w:pPr>
        <w:spacing w:after="0" w:line="7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is subject to the Exchange Agreement with respect to the vTv Units representing a de minimis noncontrolling interest in vTv LLC (see Note 11).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 day volume weighted average price of the Class A common stock as defined in the Exchange Agreement, subject to customary conversion rate adjustments for stock splits, stock dividends and reclassifications.</w:t>
      </w:r>
    </w:p>
    <w:p>
      <w:pPr>
        <w:spacing w:after="0" w:line="3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February 27, 2024, in connection with the Private Placement financing, the Investor Rights Agreement altered M&amp;F TTP Holdings Two LLC (“M&amp;F”) governance rights such that directors designated by M&amp;F no longer comprise a majority of the Company’s Board of Directors (see Note 11). The redeemable noncontrolling interest redemption feature to exchange vTv Units for cash rather than shares of Class A common stock is a contingent event that is now within control of the Company through the Company’s independent Board of Directors. As a result, $5.3 million representing the fair value of redeemable noncontrolling interest on February 27, 2024, was reclassified from temporary equity in the mezzanine section of the Consolidated Balance Sheets to noncontrolling interest as a component of permanent equity.</w:t>
      </w:r>
    </w:p>
    <w:p>
      <w:pPr>
        <w:spacing w:after="0" w:line="4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loss attributable to vTv Therapeutics Inc. and transfers to noncontrolling interest:</w:t>
      </w:r>
    </w:p>
    <w:p>
      <w:pPr>
        <w:spacing w:after="0" w:line="61" w:lineRule="exact"/>
        <w:rPr>
          <w:sz w:val="20"/>
          <w:szCs w:val="20"/>
          <w:color w:val="auto"/>
        </w:rPr>
      </w:pPr>
    </w:p>
    <w:tbl>
      <w:tblPr>
        <w:tblLayout w:type="fixed"/>
        <w:tblInd w:w="100" w:type="dxa"/>
        <w:tblCellMar>
          <w:top w:w="0" w:type="dxa"/>
          <w:left w:w="0" w:type="dxa"/>
          <w:bottom w:w="0" w:type="dxa"/>
          <w:right w:w="0" w:type="dxa"/>
        </w:tblCellMar>
      </w:tblPr>
      <w:tr>
        <w:trPr>
          <w:trHeight w:val="125"/>
        </w:trPr>
        <w:tc>
          <w:tcPr>
            <w:tcW w:w="6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41"/>
        </w:trPr>
        <w:tc>
          <w:tcPr>
            <w:tcW w:w="6560" w:type="dxa"/>
            <w:vAlign w:val="bottom"/>
          </w:tcPr>
          <w:p>
            <w:pPr>
              <w:spacing w:after="0"/>
              <w:rPr>
                <w:sz w:val="12"/>
                <w:szCs w:val="12"/>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2025</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Net loss attributable to vTv Therapeutics Inc. common shareholders</w:t>
            </w:r>
          </w:p>
        </w:tc>
        <w:tc>
          <w:tcPr>
            <w:tcW w:w="920" w:type="dxa"/>
            <w:vAlign w:val="bottom"/>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(26,974)</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(18,462)</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(20,250)</w:t>
            </w:r>
          </w:p>
        </w:tc>
      </w:tr>
      <w:tr>
        <w:trPr>
          <w:trHeight w:val="15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Decrease in vTv Therapeutics Inc. stockholders' equity for sale of vTv Units as a result of common stock issuances</w:t>
            </w:r>
          </w:p>
        </w:tc>
        <w:tc>
          <w:tcPr>
            <w:tcW w:w="9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(7,592)</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Change from net loss attributable to vTv Therapeutics Inc. common shareholders and transfers to noncontrolling interest</w:t>
            </w:r>
          </w:p>
        </w:tc>
        <w:tc>
          <w:tcPr>
            <w:tcW w:w="92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(27,029)</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(26,054)</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(20,250)</w:t>
            </w:r>
          </w:p>
        </w:tc>
      </w:tr>
      <w:tr>
        <w:trPr>
          <w:trHeight w:val="20"/>
        </w:trPr>
        <w:tc>
          <w:tcPr>
            <w:tcW w:w="6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11: Related-Party Transactions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MacAndrews &amp; Forbes Incorporated</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During the year ended December 31, 2025, MacAndrews converted all 577,108 outstanding shares of their Class B common stock (together with an equal number of vTv LLC units) into Class A common stock. As a result, vTv Therapeutics Inc. now owns approximately 100% of vTv LLC, as of December 31, 2025. Further, as of December 31, 2025, MacAndrews directly or indirectly holds 1,490,090 shares of the Company’s Class A common stock. As a result, as of December 31, 2025 MacAndrews’ holdings represented approximately 37.8% of the combined voting power of the Company’s outstanding common stock.</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Exchange Agreement</w:t>
      </w:r>
    </w:p>
    <w:p>
      <w:pPr>
        <w:spacing w:after="0" w:line="8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Pursuant to the terms of the Exchange Agreement, but subject to the Amended and Restated LLC Agreement of vTv Therapeutics LLC, the vTv Units (along with a corresponding number of shares of the Class B common stock) are exchangeable for (i) shares of the Company's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As of December 31, 2025, MacAndrews had exchanged 577,108 shares under the provisions of the Exchange Agreement.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98" w:name="page99"/>
    <w:bookmarkEnd w:id="98"/>
    <w:p>
      <w:pPr>
        <w:ind w:left="8"/>
        <w:spacing w:after="0"/>
        <w:rPr>
          <w:sz w:val="20"/>
          <w:szCs w:val="20"/>
          <w:color w:val="auto"/>
        </w:rPr>
      </w:pPr>
      <w:r>
        <w:rPr>
          <w:rFonts w:ascii="Times New Roman" w:cs="Times New Roman" w:eastAsia="Times New Roman" w:hAnsi="Times New Roman"/>
          <w:sz w:val="12"/>
          <w:szCs w:val="12"/>
          <w:i w:val="1"/>
          <w:iCs w:val="1"/>
          <w:color w:val="auto"/>
        </w:rPr>
        <w:t>Tax Receivable Agreement</w:t>
      </w:r>
    </w:p>
    <w:p>
      <w:pPr>
        <w:spacing w:after="0" w:line="80" w:lineRule="exact"/>
        <w:rPr>
          <w:sz w:val="20"/>
          <w:szCs w:val="20"/>
          <w:color w:val="auto"/>
        </w:rPr>
      </w:pPr>
    </w:p>
    <w:p>
      <w:pPr>
        <w:jc w:val="both"/>
        <w:ind w:left="8" w:firstLine="324"/>
        <w:spacing w:after="0" w:line="260" w:lineRule="auto"/>
        <w:rPr>
          <w:sz w:val="20"/>
          <w:szCs w:val="20"/>
          <w:color w:val="auto"/>
        </w:rPr>
      </w:pPr>
      <w:r>
        <w:rPr>
          <w:rFonts w:ascii="Times New Roman" w:cs="Times New Roman" w:eastAsia="Times New Roman" w:hAnsi="Times New Roman"/>
          <w:sz w:val="12"/>
          <w:szCs w:val="12"/>
          <w:color w:val="auto"/>
        </w:rPr>
        <w:t>The Company and MacAndrews are party to a tax receivable agreement (the "Tax Receivable Agreement"), which provides for the payment by the Company, M&amp;F TTP Holdings Two LLC, as successor in interest to vTv Therapeutics Holdings (“M&amp;F”) and M&amp;F TTP Holdings LLC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w:t>
      </w:r>
    </w:p>
    <w:p>
      <w:pPr>
        <w:spacing w:after="0" w:line="5"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attributable to payments under the Tax Receivable Agreement. MacAndrews exchanged 577,108 shares pursuant to the Exchange Agreement (discussed above), and the Company has not recognized any liability, nor has it made any payments pursuant to the Tax Receivable Agreement as of December 31, 2025.</w:t>
      </w:r>
    </w:p>
    <w:p>
      <w:pPr>
        <w:spacing w:after="0" w:line="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Investor Rights Agreement</w:t>
      </w:r>
    </w:p>
    <w:p>
      <w:pPr>
        <w:spacing w:after="0" w:line="80" w:lineRule="exact"/>
        <w:rPr>
          <w:sz w:val="20"/>
          <w:szCs w:val="20"/>
          <w:color w:val="auto"/>
        </w:rPr>
      </w:pPr>
    </w:p>
    <w:p>
      <w:pPr>
        <w:jc w:val="both"/>
        <w:ind w:left="8" w:firstLine="324"/>
        <w:spacing w:after="0" w:line="256" w:lineRule="auto"/>
        <w:rPr>
          <w:sz w:val="20"/>
          <w:szCs w:val="20"/>
          <w:color w:val="auto"/>
        </w:rPr>
      </w:pPr>
      <w:r>
        <w:rPr>
          <w:rFonts w:ascii="Times New Roman" w:cs="Times New Roman" w:eastAsia="Times New Roman" w:hAnsi="Times New Roman"/>
          <w:sz w:val="12"/>
          <w:szCs w:val="12"/>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 The Investor Rights Agreement was amended on February 27, 2024 to alter M&amp;F governance rights that now entitles M&amp;F the right to designate two members of our Board of Directors, and as part of the Private Placement, the Private Placement Investors have rights to designate three members of our Board of Directors, making it more difficult for a third party to acquire control of our Board. The agreement with the Private Placement Investors also provides that five of our directors must approve certain actions including any acquisition by a third party, which makes it more difficult for our Board of Directors to approve such a transaction.</w:t>
      </w:r>
    </w:p>
    <w:p>
      <w:pPr>
        <w:spacing w:after="0" w:line="1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12: Segment Information</w:t>
      </w:r>
    </w:p>
    <w:p>
      <w:pPr>
        <w:spacing w:after="0" w:line="55" w:lineRule="exact"/>
        <w:rPr>
          <w:sz w:val="20"/>
          <w:szCs w:val="20"/>
          <w:color w:val="auto"/>
        </w:rPr>
      </w:pPr>
    </w:p>
    <w:p>
      <w:pPr>
        <w:jc w:val="both"/>
        <w:ind w:left="8" w:firstLine="324"/>
        <w:spacing w:after="0" w:line="279" w:lineRule="auto"/>
        <w:rPr>
          <w:sz w:val="20"/>
          <w:szCs w:val="20"/>
          <w:color w:val="auto"/>
        </w:rPr>
      </w:pPr>
      <w:r>
        <w:rPr>
          <w:rFonts w:ascii="Times New Roman" w:cs="Times New Roman" w:eastAsia="Times New Roman" w:hAnsi="Times New Roman"/>
          <w:sz w:val="12"/>
          <w:szCs w:val="12"/>
          <w:color w:val="auto"/>
        </w:rPr>
        <w:t>Our CODM is our President and Chief Executive Officer, Paul Sekhri. The CODM makes decisions on resource allocation, assesses performance of the business, and monitors budget versus actual results using net loss. Net loss is also a measure that is considered in monitoring budget versus actual results. The measure of the segment assets is reported on the consolidated balance sheet as total assets.</w:t>
      </w:r>
    </w:p>
    <w:p>
      <w:pPr>
        <w:spacing w:after="0" w:line="10" w:lineRule="exact"/>
        <w:rPr>
          <w:sz w:val="20"/>
          <w:szCs w:val="20"/>
          <w:color w:val="auto"/>
        </w:rPr>
      </w:pPr>
    </w:p>
    <w:p>
      <w:pPr>
        <w:jc w:val="both"/>
        <w:ind w:left="8" w:right="20" w:firstLine="324"/>
        <w:spacing w:after="0" w:line="266" w:lineRule="auto"/>
        <w:rPr>
          <w:sz w:val="20"/>
          <w:szCs w:val="20"/>
          <w:color w:val="auto"/>
        </w:rPr>
      </w:pPr>
      <w:r>
        <w:rPr>
          <w:rFonts w:ascii="Times New Roman" w:cs="Times New Roman" w:eastAsia="Times New Roman" w:hAnsi="Times New Roman"/>
          <w:sz w:val="12"/>
          <w:szCs w:val="12"/>
          <w:color w:val="auto"/>
        </w:rPr>
        <w:t xml:space="preserve">The Company manages its business activities on a consolidated basis and operates in a single reportable segment. Its operations primarily focus on the research and development of its lead product candidate,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and it has not yet generated any revenue. All of the Company's principal operations, assets, and decision-making functions are based in the U.S., and as a result, all of our financial information is derived from domestic sources except for revenue of $1.0 million during the year ended December 31, 2024, which was derived from two foreign collaboration partners located in China.</w:t>
      </w:r>
    </w:p>
    <w:p>
      <w:pPr>
        <w:spacing w:after="0" w:line="4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1"/>
          <w:szCs w:val="11"/>
          <w:color w:val="auto"/>
        </w:rPr>
        <w:t>Significant segment expenses are included in the table below and represent direct and indirect research and development expenses by project for the years ended December 31, 2025, 2024 and 2023 were as follows (in thousands):</w:t>
      </w:r>
    </w:p>
    <w:p>
      <w:pPr>
        <w:spacing w:after="0" w:line="113" w:lineRule="exact"/>
        <w:rPr>
          <w:sz w:val="20"/>
          <w:szCs w:val="20"/>
          <w:color w:val="auto"/>
        </w:rPr>
      </w:pPr>
    </w:p>
    <w:p>
      <w:pPr>
        <w:ind w:left="8148"/>
        <w:spacing w:after="0"/>
        <w:rPr>
          <w:sz w:val="20"/>
          <w:szCs w:val="20"/>
          <w:color w:val="auto"/>
        </w:rPr>
      </w:pPr>
      <w:r>
        <w:rPr>
          <w:rFonts w:ascii="Times New Roman" w:cs="Times New Roman" w:eastAsia="Times New Roman" w:hAnsi="Times New Roman"/>
          <w:sz w:val="12"/>
          <w:szCs w:val="12"/>
          <w:b w:val="1"/>
          <w:bCs w:val="1"/>
          <w:color w:val="auto"/>
        </w:rPr>
        <w:t>Years Ended December 31,</w:t>
      </w:r>
    </w:p>
    <w:p>
      <w:pPr>
        <w:spacing w:after="0" w:line="21" w:lineRule="exact"/>
        <w:rPr>
          <w:sz w:val="20"/>
          <w:szCs w:val="20"/>
          <w:color w:val="auto"/>
        </w:rPr>
      </w:pPr>
    </w:p>
    <w:tbl>
      <w:tblPr>
        <w:tblLayout w:type="fixed"/>
        <w:tblInd w:w="8" w:type="dxa"/>
        <w:tblCellMar>
          <w:top w:w="0" w:type="dxa"/>
          <w:left w:w="0" w:type="dxa"/>
          <w:bottom w:w="0" w:type="dxa"/>
          <w:right w:w="0" w:type="dxa"/>
        </w:tblCellMar>
      </w:tblPr>
      <w:tr>
        <w:trPr>
          <w:trHeight w:val="124"/>
        </w:trPr>
        <w:tc>
          <w:tcPr>
            <w:tcW w:w="6560" w:type="dxa"/>
            <w:vAlign w:val="bottom"/>
            <w:tcBorders>
              <w:bottom w:val="single" w:sz="8" w:color="CCEEFF"/>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rPr>
              <w:t>2025</w:t>
            </w:r>
          </w:p>
        </w:tc>
        <w:tc>
          <w:tcPr>
            <w:tcW w:w="5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0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6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Direct research and development expense:</w:t>
            </w:r>
          </w:p>
        </w:tc>
        <w:tc>
          <w:tcPr>
            <w:tcW w:w="9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53"/>
        </w:trPr>
        <w:tc>
          <w:tcPr>
            <w:tcW w:w="6560" w:type="dxa"/>
            <w:vAlign w:val="bottom"/>
          </w:tcPr>
          <w:p>
            <w:pPr>
              <w:ind w:left="80"/>
              <w:spacing w:after="0"/>
              <w:rPr>
                <w:sz w:val="20"/>
                <w:szCs w:val="20"/>
                <w:color w:val="auto"/>
              </w:rPr>
            </w:pPr>
            <w:r>
              <w:rPr>
                <w:rFonts w:ascii="Times New Roman" w:cs="Times New Roman" w:eastAsia="Times New Roman" w:hAnsi="Times New Roman"/>
                <w:sz w:val="12"/>
                <w:szCs w:val="12"/>
                <w:i w:val="1"/>
                <w:iCs w:val="1"/>
                <w:color w:val="auto"/>
              </w:rPr>
              <w:t>Cadisegliatin</w:t>
            </w:r>
          </w:p>
        </w:tc>
        <w:tc>
          <w:tcPr>
            <w:tcW w:w="9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11,434</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10,182</w:t>
            </w:r>
          </w:p>
        </w:tc>
      </w:tr>
      <w:tr>
        <w:trPr>
          <w:trHeight w:val="153"/>
        </w:trPr>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projects*</w:t>
            </w: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(1,258)</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676</w:t>
            </w:r>
          </w:p>
        </w:tc>
      </w:tr>
      <w:tr>
        <w:trPr>
          <w:trHeight w:val="153"/>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Indirect research and development expense†</w:t>
            </w:r>
          </w:p>
        </w:tc>
        <w:tc>
          <w:tcPr>
            <w:tcW w:w="9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7,685</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2,737</w:t>
            </w:r>
          </w:p>
        </w:tc>
      </w:tr>
      <w:tr>
        <w:trPr>
          <w:trHeight w:val="158"/>
        </w:trPr>
        <w:tc>
          <w:tcPr>
            <w:tcW w:w="6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research and development expense</w:t>
            </w:r>
          </w:p>
        </w:tc>
        <w:tc>
          <w:tcPr>
            <w:tcW w:w="94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17,861</w:t>
            </w: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11,546</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13,595</w:t>
            </w:r>
          </w:p>
        </w:tc>
      </w:tr>
    </w:tbl>
    <w:p>
      <w:pPr>
        <w:spacing w:after="0" w:line="161" w:lineRule="exact"/>
        <w:rPr>
          <w:sz w:val="20"/>
          <w:szCs w:val="20"/>
          <w:color w:val="auto"/>
        </w:rPr>
      </w:pPr>
    </w:p>
    <w:p>
      <w:pPr>
        <w:ind w:left="268" w:hanging="256"/>
        <w:spacing w:after="0"/>
        <w:tabs>
          <w:tab w:leader="none" w:pos="268" w:val="left"/>
        </w:tabs>
        <w:numPr>
          <w:ilvl w:val="0"/>
          <w:numId w:val="59"/>
        </w:numPr>
        <w:rPr>
          <w:rFonts w:ascii="Times New Roman" w:cs="Times New Roman" w:eastAsia="Times New Roman" w:hAnsi="Times New Roman"/>
          <w:sz w:val="10"/>
          <w:szCs w:val="10"/>
          <w:color w:val="auto"/>
        </w:rPr>
      </w:pPr>
      <w:r>
        <w:rPr>
          <w:rFonts w:ascii="Times New Roman" w:cs="Times New Roman" w:eastAsia="Times New Roman" w:hAnsi="Times New Roman"/>
          <w:sz w:val="8"/>
          <w:szCs w:val="8"/>
          <w:i w:val="1"/>
          <w:iCs w:val="1"/>
          <w:color w:val="auto"/>
        </w:rPr>
        <w:t>Includes HPP737 and azeliragon</w:t>
      </w:r>
    </w:p>
    <w:p>
      <w:pPr>
        <w:spacing w:after="0" w:line="6" w:lineRule="exact"/>
        <w:rPr>
          <w:rFonts w:ascii="Times New Roman" w:cs="Times New Roman" w:eastAsia="Times New Roman" w:hAnsi="Times New Roman"/>
          <w:sz w:val="10"/>
          <w:szCs w:val="10"/>
          <w:color w:val="auto"/>
        </w:rPr>
      </w:pPr>
    </w:p>
    <w:p>
      <w:pPr>
        <w:ind w:left="8"/>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8"/>
          <w:szCs w:val="8"/>
          <w:i w:val="1"/>
          <w:iCs w:val="1"/>
          <w:color w:val="auto"/>
        </w:rPr>
        <w:t>Includes share-based compensation</w:t>
      </w:r>
    </w:p>
    <w:p>
      <w:pPr>
        <w:spacing w:after="0" w:line="14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Segment revenue is consistent with what is presented in the Company’s Consolidated Statements of Operations. Other segment items consist of (i) general and administrative expenses, which include share-based compensation,</w:t>
      </w:r>
    </w:p>
    <w:p>
      <w:pPr>
        <w:spacing w:after="0" w:line="17" w:lineRule="exact"/>
        <w:rPr>
          <w:sz w:val="20"/>
          <w:szCs w:val="20"/>
          <w:color w:val="auto"/>
        </w:rPr>
      </w:pPr>
    </w:p>
    <w:p>
      <w:pPr>
        <w:ind w:left="168" w:hanging="168"/>
        <w:spacing w:after="0"/>
        <w:tabs>
          <w:tab w:leader="none" w:pos="168"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and other (expense) income and (iii) income tax expense, all of which are reflected in the Company’s Statements of Operations.</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70" w:lineRule="exact"/>
        <w:rPr>
          <w:rFonts w:ascii="Times New Roman" w:cs="Times New Roman" w:eastAsia="Times New Roman" w:hAnsi="Times New Roman"/>
          <w:sz w:val="12"/>
          <w:szCs w:val="12"/>
          <w:color w:val="auto"/>
        </w:rPr>
      </w:pPr>
    </w:p>
    <w:p>
      <w:pPr>
        <w:ind w:left="55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7" w:right="2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2"/>
          <w:szCs w:val="12"/>
          <w:b w:val="1"/>
          <w:bCs w:val="1"/>
          <w:color w:val="auto"/>
        </w:rPr>
        <w:t>Note 13: Income Taxes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account for income taxes under the liability method; under this method, deferred tax assets and liabilities are determined based on differences between financial reporting and tax reporting bases of assets and liabilities and are measured using enacted tax rates and laws that are expected to be in effect when the differences are expected to reverse. Realization of deferred tax assets is dependent upon future earnings, the timing and amount of which are uncertain.</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utilize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Company is subject to U.S. federal income taxes as well as state taxes. The Company has not recorded any state taxes in 2025, 2024 and 2023. However, the jurisdictions that comprise the majority (greater than 50%) of the composite state is Florida. The Company did not record an income tax provision for the years ended December 31, 2025 and December 31, 2023. The Company's income tax provision for the year ended December 31, 2024 was $0.1 million representing foreign withholding taxes incurred in connection with payments received under license agreements with foreign entities.</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For financial reporting purposes, Loss before provision for income taxes and noncontrolling interest, includes solely domestic operations for all years presented.</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 reconciliation of the U.S. federal statutory income tax rate to the Company’s effective tax rate is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5"/>
          </w:tcPr>
          <w:p>
            <w:pPr>
              <w:jc w:val="center"/>
              <w:ind w:left="42"/>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1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28"/>
        </w:trPr>
        <w:tc>
          <w:tcPr>
            <w:tcW w:w="320" w:type="dxa"/>
            <w:vAlign w:val="bottom"/>
          </w:tcPr>
          <w:p>
            <w:pPr>
              <w:spacing w:after="0"/>
              <w:rPr>
                <w:sz w:val="11"/>
                <w:szCs w:val="11"/>
                <w:color w:val="auto"/>
              </w:rPr>
            </w:pPr>
          </w:p>
        </w:tc>
        <w:tc>
          <w:tcPr>
            <w:tcW w:w="3960" w:type="dxa"/>
            <w:vAlign w:val="bottom"/>
            <w:tcBorders>
              <w:bottom w:val="single" w:sz="8" w:color="CCEEFF"/>
            </w:tcBorders>
          </w:tcPr>
          <w:p>
            <w:pPr>
              <w:spacing w:after="0"/>
              <w:rPr>
                <w:sz w:val="11"/>
                <w:szCs w:val="11"/>
                <w:color w:val="auto"/>
              </w:rPr>
            </w:pPr>
          </w:p>
        </w:tc>
        <w:tc>
          <w:tcPr>
            <w:tcW w:w="20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4"/>
          </w:tcPr>
          <w:p>
            <w:pPr>
              <w:jc w:val="center"/>
              <w:ind w:right="680"/>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1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7"/>
        </w:trPr>
        <w:tc>
          <w:tcPr>
            <w:tcW w:w="3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At statutory rate</w:t>
            </w:r>
          </w:p>
        </w:tc>
        <w:tc>
          <w:tcPr>
            <w:tcW w:w="2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2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21.0 %</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3"/>
        </w:trPr>
        <w:tc>
          <w:tcPr>
            <w:tcW w:w="320" w:type="dxa"/>
            <w:vAlign w:val="bottom"/>
          </w:tcPr>
          <w:p>
            <w:pPr>
              <w:spacing w:after="0"/>
              <w:rPr>
                <w:sz w:val="13"/>
                <w:szCs w:val="13"/>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3"/>
        </w:trPr>
        <w:tc>
          <w:tcPr>
            <w:tcW w:w="32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credits</w:t>
            </w: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3"/>
        </w:trPr>
        <w:tc>
          <w:tcPr>
            <w:tcW w:w="320" w:type="dxa"/>
            <w:vAlign w:val="bottom"/>
          </w:tcPr>
          <w:p>
            <w:pPr>
              <w:spacing w:after="0"/>
              <w:rPr>
                <w:sz w:val="13"/>
                <w:szCs w:val="13"/>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20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2"/>
        </w:trPr>
        <w:tc>
          <w:tcPr>
            <w:tcW w:w="320" w:type="dxa"/>
            <w:vAlign w:val="bottom"/>
          </w:tcPr>
          <w:p>
            <w:pPr>
              <w:spacing w:after="0"/>
              <w:rPr>
                <w:sz w:val="14"/>
                <w:szCs w:val="14"/>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2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33"/>
        </w:trPr>
        <w:tc>
          <w:tcPr>
            <w:tcW w:w="320" w:type="dxa"/>
            <w:vAlign w:val="bottom"/>
          </w:tcPr>
          <w:p>
            <w:pPr>
              <w:spacing w:after="0"/>
              <w:rPr>
                <w:sz w:val="11"/>
                <w:szCs w:val="11"/>
                <w:color w:val="auto"/>
              </w:rPr>
            </w:pPr>
          </w:p>
        </w:tc>
        <w:tc>
          <w:tcPr>
            <w:tcW w:w="39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Effective income tax rate</w:t>
            </w: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77"/>
        </w:trPr>
        <w:tc>
          <w:tcPr>
            <w:tcW w:w="320" w:type="dxa"/>
            <w:vAlign w:val="bottom"/>
          </w:tcPr>
          <w:p>
            <w:pPr>
              <w:spacing w:after="0"/>
              <w:rPr>
                <w:sz w:val="24"/>
                <w:szCs w:val="24"/>
                <w:color w:val="auto"/>
              </w:rPr>
            </w:pPr>
          </w:p>
        </w:tc>
        <w:tc>
          <w:tcPr>
            <w:tcW w:w="76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The provision (benefit) for income taxes for the year ended December 31, 2024 and 2023 consists of the following (in thousands):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7"/>
        </w:trPr>
        <w:tc>
          <w:tcPr>
            <w:tcW w:w="3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28"/>
        </w:trPr>
        <w:tc>
          <w:tcPr>
            <w:tcW w:w="3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40" w:type="dxa"/>
            <w:vAlign w:val="bottom"/>
            <w:gridSpan w:val="3"/>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20" w:type="dxa"/>
            <w:vAlign w:val="bottom"/>
          </w:tcPr>
          <w:p>
            <w:pPr>
              <w:jc w:val="right"/>
              <w:ind w:right="922"/>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7"/>
        </w:trPr>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U.S. statutory tax benefit</w:t>
            </w:r>
          </w:p>
        </w:tc>
        <w:tc>
          <w:tcPr>
            <w:tcW w:w="20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(4,747)</w:t>
            </w:r>
          </w:p>
        </w:tc>
        <w:tc>
          <w:tcPr>
            <w:tcW w:w="80" w:type="dxa"/>
            <w:vAlign w:val="bottom"/>
            <w:tcBorders>
              <w:top w:val="single" w:sz="8" w:color="CCEEFF"/>
            </w:tcBorders>
            <w:gridSpan w:val="2"/>
            <w:shd w:val="clear" w:color="auto" w:fill="CCEEFF"/>
          </w:tcPr>
          <w:p>
            <w:pPr>
              <w:spacing w:after="0"/>
              <w:rPr>
                <w:sz w:val="12"/>
                <w:szCs w:val="12"/>
                <w:color w:val="auto"/>
              </w:rPr>
            </w:pPr>
          </w:p>
        </w:tc>
        <w:tc>
          <w:tcPr>
            <w:tcW w:w="800" w:type="dxa"/>
            <w:vAlign w:val="bottom"/>
            <w:tcBorders>
              <w:top w:val="single" w:sz="8" w:color="auto"/>
            </w:tcBorders>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(5,453)</w:t>
            </w: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Pr>
          <w:p>
            <w:pPr>
              <w:spacing w:after="0"/>
              <w:rPr>
                <w:sz w:val="12"/>
                <w:szCs w:val="12"/>
                <w:color w:val="auto"/>
              </w:rPr>
            </w:pPr>
          </w:p>
        </w:tc>
      </w:tr>
      <w:tr>
        <w:trPr>
          <w:trHeight w:val="153"/>
        </w:trPr>
        <w:tc>
          <w:tcPr>
            <w:tcW w:w="4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Partnership income (federal) not subject to tax to the Company</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891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3"/>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withholding tax</w:t>
            </w: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79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r>
      <w:tr>
        <w:trPr>
          <w:trHeight w:val="153"/>
        </w:trPr>
        <w:tc>
          <w:tcPr>
            <w:tcW w:w="4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State taxes (net of federal benefit)</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(928)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3"/>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tax credit</w:t>
            </w: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(373)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80" w:type="dxa"/>
            <w:vAlign w:val="bottom"/>
            <w:shd w:val="clear" w:color="auto" w:fill="CCEEFF"/>
          </w:tcPr>
          <w:p>
            <w:pPr>
              <w:spacing w:after="0"/>
              <w:rPr>
                <w:sz w:val="13"/>
                <w:szCs w:val="13"/>
                <w:color w:val="auto"/>
              </w:rPr>
            </w:pPr>
          </w:p>
        </w:tc>
        <w:tc>
          <w:tcPr>
            <w:tcW w:w="220" w:type="dxa"/>
            <w:vAlign w:val="bottom"/>
          </w:tcPr>
          <w:p>
            <w:pPr>
              <w:spacing w:after="0"/>
              <w:rPr>
                <w:sz w:val="13"/>
                <w:szCs w:val="13"/>
                <w:color w:val="auto"/>
              </w:rPr>
            </w:pPr>
          </w:p>
        </w:tc>
      </w:tr>
      <w:tr>
        <w:trPr>
          <w:trHeight w:val="153"/>
        </w:trPr>
        <w:tc>
          <w:tcPr>
            <w:tcW w:w="4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190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3"/>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4,988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4,592</w:t>
            </w:r>
          </w:p>
        </w:tc>
        <w:tc>
          <w:tcPr>
            <w:tcW w:w="80" w:type="dxa"/>
            <w:vAlign w:val="bottom"/>
            <w:tcBorders>
              <w:bottom w:val="single" w:sz="8" w:color="auto"/>
            </w:tcBorders>
            <w:shd w:val="clear" w:color="auto" w:fill="CCEEFF"/>
          </w:tcPr>
          <w:p>
            <w:pPr>
              <w:spacing w:after="0"/>
              <w:rPr>
                <w:sz w:val="13"/>
                <w:szCs w:val="13"/>
                <w:color w:val="auto"/>
              </w:rPr>
            </w:pPr>
          </w:p>
        </w:tc>
        <w:tc>
          <w:tcPr>
            <w:tcW w:w="220" w:type="dxa"/>
            <w:vAlign w:val="bottom"/>
          </w:tcPr>
          <w:p>
            <w:pPr>
              <w:spacing w:after="0"/>
              <w:rPr>
                <w:sz w:val="13"/>
                <w:szCs w:val="13"/>
                <w:color w:val="auto"/>
              </w:rPr>
            </w:pPr>
          </w:p>
        </w:tc>
      </w:tr>
      <w:tr>
        <w:trPr>
          <w:trHeight w:val="158"/>
        </w:trPr>
        <w:tc>
          <w:tcPr>
            <w:tcW w:w="42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0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Borders>
              <w:bottom w:val="single" w:sz="8" w:color="CCEEFF"/>
            </w:tcBorders>
            <w:gridSpan w:val="2"/>
          </w:tcPr>
          <w:p>
            <w:pPr>
              <w:spacing w:after="0"/>
              <w:rPr>
                <w:sz w:val="13"/>
                <w:szCs w:val="13"/>
                <w:color w:val="auto"/>
              </w:rPr>
            </w:pPr>
          </w:p>
        </w:tc>
        <w:tc>
          <w:tcPr>
            <w:tcW w:w="800" w:type="dxa"/>
            <w:vAlign w:val="bottom"/>
            <w:tcBorders>
              <w:bottom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r>
      <w:tr>
        <w:trPr>
          <w:trHeight w:val="153"/>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Effective income tax rate</w:t>
            </w: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0.0 %</w:t>
            </w:r>
          </w:p>
        </w:tc>
        <w:tc>
          <w:tcPr>
            <w:tcW w:w="220" w:type="dxa"/>
            <w:vAlign w:val="bottom"/>
          </w:tcPr>
          <w:p>
            <w:pPr>
              <w:spacing w:after="0"/>
              <w:rPr>
                <w:sz w:val="13"/>
                <w:szCs w:val="13"/>
                <w:color w:val="auto"/>
              </w:rPr>
            </w:pPr>
          </w:p>
        </w:tc>
      </w:tr>
      <w:tr>
        <w:trPr>
          <w:trHeight w:val="711"/>
        </w:trPr>
        <w:tc>
          <w:tcPr>
            <w:tcW w:w="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660" w:type="dxa"/>
            <w:vAlign w:val="bottom"/>
            <w:gridSpan w:val="4"/>
          </w:tcPr>
          <w:p>
            <w:pPr>
              <w:jc w:val="right"/>
              <w:ind w:right="2120"/>
              <w:spacing w:after="0"/>
              <w:rPr>
                <w:sz w:val="20"/>
                <w:szCs w:val="20"/>
                <w:color w:val="auto"/>
              </w:rPr>
            </w:pPr>
            <w:r>
              <w:rPr>
                <w:rFonts w:ascii="Times New Roman" w:cs="Times New Roman" w:eastAsia="Times New Roman" w:hAnsi="Times New Roman"/>
                <w:sz w:val="12"/>
                <w:szCs w:val="12"/>
                <w:color w:val="auto"/>
              </w:rPr>
              <w:t>F-22</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3"/>
        </w:trPr>
        <w:tc>
          <w:tcPr>
            <w:tcW w:w="320" w:type="dxa"/>
            <w:vAlign w:val="bottom"/>
            <w:tcBorders>
              <w:bottom w:val="single" w:sz="8" w:color="9A9A9A"/>
            </w:tcBorders>
          </w:tcPr>
          <w:p>
            <w:pPr>
              <w:spacing w:after="0"/>
              <w:rPr>
                <w:sz w:val="5"/>
                <w:szCs w:val="5"/>
                <w:color w:val="auto"/>
              </w:rPr>
            </w:pPr>
          </w:p>
        </w:tc>
        <w:tc>
          <w:tcPr>
            <w:tcW w:w="3960" w:type="dxa"/>
            <w:vAlign w:val="bottom"/>
            <w:tcBorders>
              <w:bottom w:val="single" w:sz="8" w:color="9A9A9A"/>
            </w:tcBorders>
          </w:tcPr>
          <w:p>
            <w:pPr>
              <w:spacing w:after="0"/>
              <w:rPr>
                <w:sz w:val="5"/>
                <w:szCs w:val="5"/>
                <w:color w:val="auto"/>
              </w:rPr>
            </w:pPr>
          </w:p>
        </w:tc>
        <w:tc>
          <w:tcPr>
            <w:tcW w:w="20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4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2"/>
          <w:szCs w:val="12"/>
          <w:b w:val="1"/>
          <w:bCs w:val="1"/>
          <w:color w:val="auto"/>
        </w:rPr>
        <w:t>Deferred Tax Assets</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our deferred tax assets for federal and state income taxes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1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20" w:type="dxa"/>
            <w:vAlign w:val="bottom"/>
            <w:tcBorders>
              <w:bottom w:val="single" w:sz="8" w:color="auto"/>
            </w:tcBorders>
          </w:tcPr>
          <w:p>
            <w:pPr>
              <w:spacing w:after="0"/>
              <w:rPr>
                <w:sz w:val="11"/>
                <w:szCs w:val="11"/>
                <w:color w:val="auto"/>
              </w:rPr>
            </w:pPr>
          </w:p>
        </w:tc>
      </w:tr>
      <w:tr>
        <w:trPr>
          <w:trHeight w:val="128"/>
        </w:trPr>
        <w:tc>
          <w:tcPr>
            <w:tcW w:w="81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2025</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8"/>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53"/>
        </w:trPr>
        <w:tc>
          <w:tcPr>
            <w:tcW w:w="8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920" w:type="dxa"/>
            <w:vAlign w:val="bottom"/>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37,094</w:t>
            </w:r>
          </w:p>
        </w:tc>
        <w:tc>
          <w:tcPr>
            <w:tcW w:w="100" w:type="dxa"/>
            <w:vAlign w:val="bottom"/>
          </w:tcPr>
          <w:p>
            <w:pPr>
              <w:spacing w:after="0"/>
              <w:rPr>
                <w:sz w:val="13"/>
                <w:szCs w:val="13"/>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27,819</w:t>
            </w:r>
          </w:p>
        </w:tc>
      </w:tr>
      <w:tr>
        <w:trPr>
          <w:trHeight w:val="153"/>
        </w:trPr>
        <w:tc>
          <w:tcPr>
            <w:tcW w:w="8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R&amp;D Tax Credit carryforwards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2,815</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2,491</w:t>
            </w:r>
          </w:p>
        </w:tc>
      </w:tr>
      <w:tr>
        <w:trPr>
          <w:trHeight w:val="153"/>
        </w:trPr>
        <w:tc>
          <w:tcPr>
            <w:tcW w:w="8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Investment in partnerships</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9,789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3,322</w:t>
            </w:r>
          </w:p>
        </w:tc>
      </w:tr>
      <w:tr>
        <w:trPr>
          <w:trHeight w:val="153"/>
        </w:trPr>
        <w:tc>
          <w:tcPr>
            <w:tcW w:w="8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Capital loss carryforward</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w:t>
            </w:r>
          </w:p>
        </w:tc>
      </w:tr>
      <w:tr>
        <w:trPr>
          <w:trHeight w:val="153"/>
        </w:trPr>
        <w:tc>
          <w:tcPr>
            <w:tcW w:w="8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42"/>
        </w:trPr>
        <w:tc>
          <w:tcPr>
            <w:tcW w:w="8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deferred tax assets</w:t>
            </w: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50,128</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34,030</w:t>
            </w:r>
          </w:p>
        </w:tc>
      </w:tr>
      <w:tr>
        <w:trPr>
          <w:trHeight w:val="153"/>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Valuation allowance</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(50,128)</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(34,030)</w:t>
            </w:r>
          </w:p>
        </w:tc>
      </w:tr>
      <w:tr>
        <w:trPr>
          <w:trHeight w:val="158"/>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deferred tax assets</w:t>
            </w:r>
          </w:p>
        </w:tc>
        <w:tc>
          <w:tcPr>
            <w:tcW w:w="92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24"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assesses the available positive evidence and negative evidence to estimate whether sufficient future taxable income will be generated to permit use of existing deferred tax assets. A significant piece of objective negative evidence evaluated was the Company’s recent operating losses. Such objective evidence limits the ability to consider other subjective evidence, such as forecasts of profitability. Based on the weight of objective evidence, including cumulative pre-tax losses in recent years, the Company concluded that its deferred tax assets were not realizable on a more-likely-than-not basis and recorded a full valuation allowance. During the year ended December 31, 2025, the Company’s valuation allowance increased by $16.1 million.</w:t>
      </w:r>
    </w:p>
    <w:p>
      <w:pPr>
        <w:spacing w:after="0" w:line="5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has federal net operating loss carryforwards of $171.1 million that will be available to offset future taxable income. Approximately, $38.8 million of these carryforwards expire in varying amounts starting in 2035 to 2037, if not utilized and are available to offset 100% of future taxable income. The remaining $132.3 million may be carried forward indefinitely but are only available to offset 80% of future taxable income. The Company has federal research and development tax credits of $2.8 million which expire in varying amounts starting in 2035 to 2045. In addition, the Company has North Carolina net operating loss carryforwards of approximately $51.7 million which are set to expire beginning in 2030 through 2045.</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applies applicable authoritative guidance which prescribes a comprehensive model for the manner in which a company should recognize, measure, present and disclose in its consolidated financial statements all material uncertain tax positions that the Company has taken or expects to take on a tax return. As of December 31, 2025, the Company had no uncertain tax positions. There are no uncertain tax positions for which it is reasonably possible that the total amount of unrecognized tax benefits will significantly increase or decrease within twelve months of December 31, 2025.</w:t>
      </w:r>
    </w:p>
    <w:p>
      <w:pPr>
        <w:spacing w:after="0" w:line="4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files U.S. federal income tax returns and income tax returns in various state and local jurisdictions. The earliest open tax years that are still subject to examination by the IRS and the aforementioned state tax authorities are 2022 to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14: Net Loss per Share</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Basic loss per share is computed by dividing net loss attributable to vTv Therapeutics Inc. by the weighted 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 reconciliation of the numerator and denominator used in the calculation of basic and diluted net loss per share of Class A common stock is as follows (amounts in thousands, except per share amounts):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5" w:right="299" w:bottom="1440" w:gutter="0" w:footer="0" w:header="0"/>
        </w:sectPr>
      </w:pPr>
    </w:p>
    <w:bookmarkStart w:id="101" w:name="page102"/>
    <w:bookmarkEnd w:id="101"/>
    <w:tbl>
      <w:tblPr>
        <w:tblLayout w:type="fixed"/>
        <w:tblInd w:w="100" w:type="dxa"/>
        <w:tblCellMar>
          <w:top w:w="0" w:type="dxa"/>
          <w:left w:w="0" w:type="dxa"/>
          <w:bottom w:w="0" w:type="dxa"/>
          <w:right w:w="0" w:type="dxa"/>
        </w:tblCellMar>
      </w:tblPr>
      <w:tr>
        <w:trPr>
          <w:trHeight w:val="134"/>
        </w:trPr>
        <w:tc>
          <w:tcPr>
            <w:tcW w:w="65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28"/>
        </w:trPr>
        <w:tc>
          <w:tcPr>
            <w:tcW w:w="656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2025</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8"/>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Numerator:</w:t>
            </w:r>
          </w:p>
        </w:tc>
        <w:tc>
          <w:tcPr>
            <w:tcW w:w="9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53"/>
        </w:trPr>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loss</w:t>
            </w:r>
          </w:p>
        </w:tc>
        <w:tc>
          <w:tcPr>
            <w:tcW w:w="900" w:type="dxa"/>
            <w:vAlign w:val="bottom"/>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(31,080)</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(22,705)</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(25,966)</w:t>
            </w:r>
          </w:p>
        </w:tc>
      </w:tr>
      <w:tr>
        <w:trPr>
          <w:trHeight w:val="153"/>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Less: Net loss attributable to noncontrolling interests</w:t>
            </w:r>
          </w:p>
        </w:tc>
        <w:tc>
          <w:tcPr>
            <w:tcW w:w="9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(4,106)</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(4,243)</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(5,716)</w:t>
            </w:r>
          </w:p>
        </w:tc>
      </w:tr>
      <w:tr>
        <w:trPr>
          <w:trHeight w:val="142"/>
        </w:trPr>
        <w:tc>
          <w:tcPr>
            <w:tcW w:w="6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Net loss attributable to vTv Therapeutics Inc.</w:t>
            </w:r>
          </w:p>
        </w:tc>
        <w:tc>
          <w:tcPr>
            <w:tcW w:w="9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(26,974)</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(18,462)</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(20,250)</w:t>
            </w:r>
          </w:p>
        </w:tc>
      </w:tr>
      <w:tr>
        <w:trPr>
          <w:trHeight w:val="142"/>
        </w:trPr>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Net loss attributable to common shareholders of vTv Therapeutics Inc., basic and diluted</w:t>
            </w:r>
          </w:p>
        </w:tc>
        <w:tc>
          <w:tcPr>
            <w:tcW w:w="90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(26,974)</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(18,462)</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(20,250)</w:t>
            </w:r>
          </w:p>
        </w:tc>
      </w:tr>
      <w:tr>
        <w:trPr>
          <w:trHeight w:val="133"/>
        </w:trPr>
        <w:tc>
          <w:tcPr>
            <w:tcW w:w="6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Denominator:</w:t>
            </w: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3"/>
        </w:trPr>
        <w:tc>
          <w:tcPr>
            <w:tcW w:w="6560" w:type="dxa"/>
            <w:vAlign w:val="bottom"/>
            <w:shd w:val="clear" w:color="auto" w:fill="CCEEFF"/>
          </w:tcPr>
          <w:p>
            <w:pPr>
              <w:ind w:left="160"/>
              <w:spacing w:after="0" w:line="153" w:lineRule="exact"/>
              <w:rPr>
                <w:sz w:val="20"/>
                <w:szCs w:val="20"/>
                <w:color w:val="auto"/>
              </w:rPr>
            </w:pPr>
            <w:r>
              <w:rPr>
                <w:rFonts w:ascii="Times New Roman" w:cs="Times New Roman" w:eastAsia="Times New Roman" w:hAnsi="Times New Roman"/>
                <w:sz w:val="12"/>
                <w:szCs w:val="12"/>
                <w:color w:val="auto"/>
              </w:rPr>
              <w:t xml:space="preserve">Weighted average vTv Therapeutics Inc. Class A common stock, basic and diluted </w:t>
            </w:r>
            <w:r>
              <w:rPr>
                <w:rFonts w:ascii="Times New Roman" w:cs="Times New Roman" w:eastAsia="Times New Roman" w:hAnsi="Times New Roman"/>
                <w:sz w:val="15"/>
                <w:szCs w:val="15"/>
                <w:color w:val="auto"/>
                <w:vertAlign w:val="superscript"/>
              </w:rPr>
              <w:t>(1)</w:t>
            </w:r>
          </w:p>
        </w:tc>
        <w:tc>
          <w:tcPr>
            <w:tcW w:w="9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8,423,632</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5,771,052</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2,084,973</w:t>
            </w:r>
          </w:p>
        </w:tc>
      </w:tr>
      <w:tr>
        <w:trPr>
          <w:trHeight w:val="142"/>
        </w:trPr>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loss per share of vTv Therapeutics Inc. Class A common stock, basic and diluted</w:t>
            </w:r>
          </w:p>
        </w:tc>
        <w:tc>
          <w:tcPr>
            <w:tcW w:w="90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(9.71)</w:t>
            </w:r>
          </w:p>
        </w:tc>
      </w:tr>
      <w:tr>
        <w:trPr>
          <w:trHeight w:val="20"/>
        </w:trPr>
        <w:tc>
          <w:tcPr>
            <w:tcW w:w="6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920" w:right="220" w:hanging="457"/>
        <w:spacing w:after="0" w:line="208" w:lineRule="auto"/>
        <w:tabs>
          <w:tab w:leader="none" w:pos="920" w:val="left"/>
        </w:tabs>
        <w:numPr>
          <w:ilvl w:val="0"/>
          <w:numId w:val="6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shares underlying the pre-funded warrants to purchase shares of the Company’s common stock have been included in the calculation of the weighted-average number of shares outstanding, basic and diluted, for the year ended December 31, 2025 and 2024.</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Potentially dilutive securities not included in the calculation of dilutive net loss per share are as follows:</w:t>
      </w:r>
    </w:p>
    <w:p>
      <w:pPr>
        <w:spacing w:after="0" w:line="9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10" w:lineRule="exact"/>
        <w:rPr>
          <w:sz w:val="20"/>
          <w:szCs w:val="20"/>
          <w:color w:val="auto"/>
        </w:rPr>
      </w:pPr>
    </w:p>
    <w:tbl>
      <w:tblPr>
        <w:tblLayout w:type="fixed"/>
        <w:tblInd w:w="100" w:type="dxa"/>
        <w:tblCellMar>
          <w:top w:w="0" w:type="dxa"/>
          <w:left w:w="0" w:type="dxa"/>
          <w:bottom w:w="0" w:type="dxa"/>
          <w:right w:w="0" w:type="dxa"/>
        </w:tblCellMar>
      </w:tblPr>
      <w:tr>
        <w:trPr>
          <w:trHeight w:val="136"/>
        </w:trPr>
        <w:tc>
          <w:tcPr>
            <w:tcW w:w="656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2025</w:t>
            </w:r>
          </w:p>
        </w:tc>
        <w:tc>
          <w:tcPr>
            <w:tcW w:w="5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46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top w:val="single" w:sz="8" w:color="auto"/>
              <w:bottom w:val="single" w:sz="8" w:color="CCEEFF"/>
            </w:tcBorders>
          </w:tcPr>
          <w:p>
            <w:pPr>
              <w:spacing w:after="0"/>
              <w:rPr>
                <w:sz w:val="11"/>
                <w:szCs w:val="11"/>
                <w:color w:val="auto"/>
              </w:rPr>
            </w:pPr>
          </w:p>
        </w:tc>
        <w:tc>
          <w:tcPr>
            <w:tcW w:w="146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47"/>
        </w:trPr>
        <w:tc>
          <w:tcPr>
            <w:tcW w:w="65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 xml:space="preserve">Class B common stock </w:t>
            </w:r>
            <w:r>
              <w:rPr>
                <w:rFonts w:ascii="Times New Roman" w:cs="Times New Roman" w:eastAsia="Times New Roman" w:hAnsi="Times New Roman"/>
                <w:sz w:val="15"/>
                <w:szCs w:val="15"/>
                <w:color w:val="auto"/>
                <w:vertAlign w:val="superscript"/>
              </w:rPr>
              <w:t>(1)</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577,349</w:t>
            </w: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577,349</w:t>
            </w:r>
          </w:p>
        </w:tc>
      </w:tr>
      <w:tr>
        <w:trPr>
          <w:trHeight w:val="153"/>
        </w:trPr>
        <w:tc>
          <w:tcPr>
            <w:tcW w:w="7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Common stock options granted under the Plan</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1,017,620</w:t>
            </w:r>
          </w:p>
        </w:tc>
        <w:tc>
          <w:tcPr>
            <w:tcW w:w="8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705,593</w:t>
            </w:r>
          </w:p>
        </w:tc>
        <w:tc>
          <w:tcPr>
            <w:tcW w:w="8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249,247</w:t>
            </w:r>
          </w:p>
        </w:tc>
      </w:tr>
      <w:tr>
        <w:trPr>
          <w:trHeight w:val="15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 warrants</w:t>
            </w:r>
          </w:p>
        </w:tc>
        <w:tc>
          <w:tcPr>
            <w:tcW w:w="8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5,292,892</w:t>
            </w:r>
          </w:p>
        </w:tc>
        <w:tc>
          <w:tcPr>
            <w:tcW w:w="80" w:type="dxa"/>
            <w:vAlign w:val="bottom"/>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70,639</w:t>
            </w:r>
          </w:p>
        </w:tc>
        <w:tc>
          <w:tcPr>
            <w:tcW w:w="80" w:type="dxa"/>
            <w:vAlign w:val="bottom"/>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76,545</w:t>
            </w:r>
          </w:p>
        </w:tc>
      </w:tr>
      <w:tr>
        <w:trPr>
          <w:trHeight w:val="142"/>
        </w:trPr>
        <w:tc>
          <w:tcPr>
            <w:tcW w:w="7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Total</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6,310,753</w:t>
            </w:r>
          </w:p>
        </w:tc>
        <w:tc>
          <w:tcPr>
            <w:tcW w:w="80" w:type="dxa"/>
            <w:vAlign w:val="bottom"/>
          </w:tcPr>
          <w:p>
            <w:pPr>
              <w:spacing w:after="0"/>
              <w:rPr>
                <w:sz w:val="12"/>
                <w:szCs w:val="12"/>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1,353,581</w:t>
            </w:r>
          </w:p>
        </w:tc>
        <w:tc>
          <w:tcPr>
            <w:tcW w:w="80" w:type="dxa"/>
            <w:vAlign w:val="bottom"/>
          </w:tcPr>
          <w:p>
            <w:pPr>
              <w:spacing w:after="0"/>
              <w:rPr>
                <w:sz w:val="12"/>
                <w:szCs w:val="12"/>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903,141</w:t>
            </w:r>
          </w:p>
        </w:tc>
      </w:tr>
      <w:tr>
        <w:trPr>
          <w:trHeight w:val="20"/>
        </w:trPr>
        <w:tc>
          <w:tcPr>
            <w:tcW w:w="6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w:t>
      </w:r>
    </w:p>
    <w:p>
      <w:pPr>
        <w:spacing w:after="0" w:line="78" w:lineRule="exact"/>
        <w:rPr>
          <w:sz w:val="20"/>
          <w:szCs w:val="20"/>
          <w:color w:val="auto"/>
        </w:rPr>
      </w:pPr>
    </w:p>
    <w:p>
      <w:pPr>
        <w:ind w:left="640" w:hanging="324"/>
        <w:spacing w:after="0" w:line="279" w:lineRule="auto"/>
        <w:tabs>
          <w:tab w:leader="none" w:pos="636"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15: Subsequent Events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 xml:space="preserve">On January 30, 2026, vTv Therapeutics LLC (“vTv LLC” or the "Company"), a subsidiary of vTv Therapeutics Inc., entered into the Second Amendment to License Agreement with Newsoara Biopharma Co., Ltd. (“Newsoara”) (the “Second Amendment”) to amend the License Agreement previously entered into between vTv LLC and Newsoara on May 31, 2018 (the “Original Agreement”). Although the Company had previously entered into an amendment with Newsoara to expand the Original Agreement, that amendment became null and void in June 2025. Under the new Second Amendment, Newsoara's rights in the Company's PDE4 inhibitor,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will expand to include all countries of the world upon Newsoara's payment of the upfront fee of $20.0 million. The Second Amendment also requires Newsoara to pay vTv LLC up to $50.0 million in development milestones, $65.0 million in sales-related milestones and royalties in the mid single digits depending upon sales volumes.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F-24</w:t>
      </w:r>
    </w:p>
    <w:p>
      <w:pPr>
        <w:sectPr>
          <w:pgSz w:w="11900" w:h="16838" w:orient="portrait"/>
          <w:cols w:equalWidth="0" w:num="1">
            <w:col w:w="11300"/>
          </w:cols>
          <w:pgMar w:left="300" w:top="870" w:right="299" w:bottom="1440" w:gutter="0" w:footer="0" w:header="0"/>
        </w:sectPr>
      </w:pPr>
    </w:p>
    <w:bookmarkStart w:id="102" w:name="page103"/>
    <w:bookmarkEnd w:id="102"/>
    <w:p>
      <w:pPr>
        <w:ind w:left="4740"/>
        <w:spacing w:after="0"/>
        <w:rPr>
          <w:sz w:val="20"/>
          <w:szCs w:val="20"/>
          <w:color w:val="auto"/>
        </w:rPr>
      </w:pPr>
      <w:r>
        <w:rPr>
          <w:rFonts w:ascii="Times New Roman" w:cs="Times New Roman" w:eastAsia="Times New Roman" w:hAnsi="Times New Roman"/>
          <w:sz w:val="12"/>
          <w:szCs w:val="12"/>
          <w:b w:val="1"/>
          <w:bCs w:val="1"/>
          <w:color w:val="auto"/>
        </w:rPr>
        <w:t>Exhibit 4.6</w:t>
      </w:r>
    </w:p>
    <w:p>
      <w:pPr>
        <w:ind w:left="4480"/>
        <w:spacing w:after="0"/>
        <w:rPr>
          <w:sz w:val="20"/>
          <w:szCs w:val="20"/>
          <w:color w:val="auto"/>
        </w:rPr>
      </w:pPr>
      <w:r>
        <w:rPr>
          <w:rFonts w:ascii="Times New Roman" w:cs="Times New Roman" w:eastAsia="Times New Roman" w:hAnsi="Times New Roman"/>
          <w:sz w:val="12"/>
          <w:szCs w:val="12"/>
          <w:b w:val="1"/>
          <w:bCs w:val="1"/>
          <w:color w:val="auto"/>
        </w:rPr>
        <w:t>DESCRIPTION OF THE CAPITAL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Capital Stock</w:t>
      </w:r>
    </w:p>
    <w:p>
      <w:pPr>
        <w:spacing w:after="0" w:line="136" w:lineRule="exact"/>
        <w:rPr>
          <w:sz w:val="20"/>
          <w:szCs w:val="20"/>
          <w:color w:val="auto"/>
        </w:rPr>
      </w:pPr>
    </w:p>
    <w:p>
      <w:pPr>
        <w:jc w:val="both"/>
        <w:ind w:firstLine="324"/>
        <w:spacing w:after="0" w:line="215" w:lineRule="auto"/>
        <w:rPr>
          <w:sz w:val="20"/>
          <w:szCs w:val="20"/>
          <w:color w:val="auto"/>
        </w:rPr>
      </w:pPr>
      <w:r>
        <w:rPr>
          <w:rFonts w:ascii="Times New Roman" w:cs="Times New Roman" w:eastAsia="Times New Roman" w:hAnsi="Times New Roman"/>
          <w:sz w:val="12"/>
          <w:szCs w:val="12"/>
          <w:color w:val="auto"/>
        </w:rPr>
        <w:t>Our authorized capital stock consists of 200,000,000 shares of Class A common stock, par value $0.01 per share, 100,000,000 shares of Class B common stock, par value $0.01 per share, and 50,000,000 shares of preferred stock, par value $0.01 per share. As of March 10, 2026, we have approximately 3,938,654 shares of our Class A common stock outstanding, 241 shares of our Class B common stock outstanding and no shares of preferred stock outstanding. As of March 10, 2026, there were approximately 44 holders of record of our Class A common stock and 3 holders of record of our Class B common stock. Because almost all of the shares of our Class A common stock are held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brokers, nominees and other institutions on behalf of shareholders, we are unable to estimate the total number of shareholders represented by these record 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Common Stock</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u w:val="single" w:color="auto"/>
          <w:color w:val="auto"/>
        </w:rPr>
        <w:t>Voting</w:t>
      </w:r>
      <w:r>
        <w:rPr>
          <w:rFonts w:ascii="Times New Roman" w:cs="Times New Roman" w:eastAsia="Times New Roman" w:hAnsi="Times New Roman"/>
          <w:sz w:val="12"/>
          <w:szCs w:val="12"/>
          <w:color w:val="auto"/>
        </w:rPr>
        <w:t>. Holders of our Class A common stock and Class B common stock are entitled to one vote for each share held on all matters submitted to stockholders for their vote or approval. The holders of our Class A common stock</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and Class B common stock vote together as a single class on all matters submitted to stockholders for their vote or approval, except with respect to the amendment of certain provisions of our amended and restated certificate of incorporation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w:t>
      </w:r>
    </w:p>
    <w:p>
      <w:pPr>
        <w:spacing w:after="0" w:line="1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As of December 31, 2025, MacAndrews &amp; Forbes Incorporated (collectively “MacAndrews”) converted all 577,108 outstanding shares of their Class B common stock (together with an equal number of vTv LLC units) into Class A common stock. Further as of December 31, 2025, MacAndrews directly or indirectly holds 1,490,090 shares of our Class A common stock and therefore control approximately 37.8% of the combined voting power of our outstanding common stock. As a result, MacAndrews is able to exert significant influence over our business policies and affairs and any action requiring the general approval of our stockholders, including the adoption of amendments to our certificate of incorporation and bylaws, the approval of mergers or sales of substantially all of our assets and the removal of members of our Board of Directors with or without cause. On February 27, 2024, the Investor Rights Agreement was amended to alter MacAndrews governance rights that now entitles MacAndrews the right to designate two members of our Board of Directors. The concentration of ownership and voting power of MacAndrews may also delay, defer or even prevent an acquisition by a third party or other change of control of our company and may make some transactions more difficult or impossible without the support of MacAndrews, even if such events are in the best interests of minority stockholders.</w:t>
      </w:r>
    </w:p>
    <w:p>
      <w:pPr>
        <w:spacing w:after="0" w:line="115"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2"/>
          <w:szCs w:val="12"/>
          <w:i w:val="1"/>
          <w:iCs w:val="1"/>
          <w:u w:val="single" w:color="auto"/>
          <w:color w:val="auto"/>
        </w:rPr>
        <w:t>Dividends</w:t>
      </w:r>
      <w:r>
        <w:rPr>
          <w:rFonts w:ascii="Times New Roman" w:cs="Times New Roman" w:eastAsia="Times New Roman" w:hAnsi="Times New Roman"/>
          <w:sz w:val="12"/>
          <w:szCs w:val="12"/>
          <w:color w:val="auto"/>
        </w:rPr>
        <w:t>. The holders of Class A common stock are entitled to receive dividends when, as, and if declared by our Board of Directors out of legally available funds. The holders of our Class B common stock do not have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right to receive dividends other than dividends consisting of shares of our Class B common stock paid proportionally with respect to each outstanding share of our Class B common stock.</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u w:val="single" w:color="auto"/>
          <w:color w:val="auto"/>
        </w:rPr>
        <w:t>Liquidation or Dissolution</w:t>
      </w:r>
      <w:r>
        <w:rPr>
          <w:rFonts w:ascii="Times New Roman" w:cs="Times New Roman" w:eastAsia="Times New Roman" w:hAnsi="Times New Roman"/>
          <w:sz w:val="12"/>
          <w:szCs w:val="12"/>
          <w:color w:val="auto"/>
        </w:rPr>
        <w:t>. Upon our liquidation or dissolution, the holders of our Class A common stock are entitled to share ratably in those of our assets that are legally available for distribution to stockholders after payment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of liabilities and subject to the prior rights of any holders of preferred stock then outstanding. Other than their par value, the holders of our Class B common stock do not have any right to receive a distribution upon a liquidation or dissolution of our company.</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u w:val="single" w:color="auto"/>
          <w:color w:val="auto"/>
        </w:rPr>
        <w:t>Transferability and Exchange</w:t>
      </w:r>
      <w:r>
        <w:rPr>
          <w:rFonts w:ascii="Times New Roman" w:cs="Times New Roman" w:eastAsia="Times New Roman" w:hAnsi="Times New Roman"/>
          <w:sz w:val="12"/>
          <w:szCs w:val="12"/>
          <w:color w:val="auto"/>
        </w:rPr>
        <w:t>. Subject to the terms of an exchange agreement and the operating agreement of vTv Therapeutics LLC (“vTv LLC”), our principal operating subsidiary, units of vTv LLC (along with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corresponding number of shares of our Class B common stock) are exchangeable for (i) shares of our Class A common stock or (ii) cash (based on the market price of the shares of Class A common stock), at our option (as the managing member of vTv LLC). Any decision to require an exchange for cash rather than shares of Class A common stock will ultimately be determined by our entire Board of Directors. Each such exchange will be on a one-for-one equivalent basis, subject to customary conversion rate adjustments for stock splits, stock dividends and reclassifications. Shares of Class B common stock may not be transferred except in connection with an exchange or transfer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units of vTv LLC.</w:t>
      </w:r>
    </w:p>
    <w:p>
      <w:pPr>
        <w:sectPr>
          <w:pgSz w:w="11900" w:h="16838" w:orient="portrait"/>
          <w:cols w:equalWidth="0" w:num="1">
            <w:col w:w="11300"/>
          </w:cols>
          <w:pgMar w:left="300" w:top="1074" w:right="299" w:bottom="1440" w:gutter="0" w:footer="0" w:header="0"/>
        </w:sectPr>
      </w:pPr>
    </w:p>
    <w:bookmarkStart w:id="103" w:name="page104"/>
    <w:bookmarkEnd w:id="103"/>
    <w:p>
      <w:pPr>
        <w:ind w:left="410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185420</wp:posOffset>
            </wp:positionH>
            <wp:positionV relativeFrom="page">
              <wp:posOffset>700405</wp:posOffset>
            </wp:positionV>
            <wp:extent cx="7218680" cy="11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1430"/>
                    </a:xfrm>
                    <a:prstGeom prst="rect">
                      <a:avLst/>
                    </a:prstGeom>
                    <a:noFill/>
                  </pic:spPr>
                </pic:pic>
              </a:graphicData>
            </a:graphic>
          </wp:anchor>
        </w:drawing>
        <w:t>Upon exchange, each share of our Class B common stock will be cancelled.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Preferred Stock</w:t>
      </w:r>
    </w:p>
    <w:p>
      <w:pPr>
        <w:spacing w:after="0" w:line="127" w:lineRule="exact"/>
        <w:rPr>
          <w:sz w:val="20"/>
          <w:szCs w:val="20"/>
          <w:color w:val="auto"/>
        </w:rPr>
      </w:pPr>
    </w:p>
    <w:p>
      <w:pPr>
        <w:jc w:val="both"/>
        <w:ind w:firstLine="324"/>
        <w:spacing w:after="0" w:line="221" w:lineRule="auto"/>
        <w:rPr>
          <w:sz w:val="20"/>
          <w:szCs w:val="20"/>
          <w:color w:val="auto"/>
        </w:rPr>
      </w:pPr>
      <w:r>
        <w:rPr>
          <w:rFonts w:ascii="Times New Roman" w:cs="Times New Roman" w:eastAsia="Times New Roman" w:hAnsi="Times New Roman"/>
          <w:sz w:val="12"/>
          <w:szCs w:val="12"/>
          <w:color w:val="auto"/>
        </w:rPr>
        <w:t>We have been authorized to issue up to 50,000,000 shares of preferred stock. Our board of directors has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and rights of the shares. Our Board of Directors has also been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Class A common stock and Class B common stock, which could have an adverse impact on the market price of our Class A common stock. We have no current plan to issue any shares of preferred stock.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Opportunities</w:t>
      </w:r>
    </w:p>
    <w:p>
      <w:pPr>
        <w:spacing w:after="0" w:line="127" w:lineRule="exact"/>
        <w:rPr>
          <w:sz w:val="20"/>
          <w:szCs w:val="20"/>
          <w:color w:val="auto"/>
        </w:rPr>
      </w:pPr>
    </w:p>
    <w:p>
      <w:pPr>
        <w:jc w:val="both"/>
        <w:ind w:firstLine="324"/>
        <w:spacing w:after="0" w:line="221" w:lineRule="auto"/>
        <w:rPr>
          <w:sz w:val="20"/>
          <w:szCs w:val="20"/>
          <w:color w:val="auto"/>
        </w:rPr>
      </w:pPr>
      <w:r>
        <w:rPr>
          <w:rFonts w:ascii="Times New Roman" w:cs="Times New Roman" w:eastAsia="Times New Roman" w:hAnsi="Times New Roman"/>
          <w:sz w:val="12"/>
          <w:szCs w:val="12"/>
          <w:color w:val="auto"/>
        </w:rPr>
        <w:t>Our amended and restated certificate of incorporation provides that, to the fullest extent permitted by law, the doctrine of “corporate opportunity” will not apply to MacAndrews, any of our non-employee directors who are employees, affiliates or consultants of MacAndrews or its affiliates (other than us or our subsidiaries) or any of their respective affiliates in a manner that would prohibit them from investing in competing businesses or doing business</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2"/>
          <w:szCs w:val="12"/>
          <w:color w:val="auto"/>
        </w:rPr>
        <w:t>with our clients or customers. See “Risk Factors—Risks Relating to this Offering and Ownership of Our Class A Common Stock—MacAndrews has substantial influence over our business, and their interests may differ from our interests or those of our other stockholders” in our Annual Report on Form 10-K for the year ended December 31, 2021, which is incorporated herein by reference.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Anti-Takeover Effects of our Certificate of Incorporation and Bylaws</w:t>
      </w:r>
    </w:p>
    <w:p>
      <w:pPr>
        <w:spacing w:after="0" w:line="136" w:lineRule="exact"/>
        <w:rPr>
          <w:sz w:val="20"/>
          <w:szCs w:val="20"/>
          <w:color w:val="auto"/>
        </w:rPr>
      </w:pPr>
    </w:p>
    <w:p>
      <w:pPr>
        <w:jc w:val="both"/>
        <w:ind w:right="20" w:firstLine="564"/>
        <w:spacing w:after="0" w:line="236" w:lineRule="auto"/>
        <w:rPr>
          <w:sz w:val="20"/>
          <w:szCs w:val="20"/>
          <w:color w:val="auto"/>
        </w:rPr>
      </w:pPr>
      <w:r>
        <w:rPr>
          <w:rFonts w:ascii="Times New Roman" w:cs="Times New Roman" w:eastAsia="Times New Roman" w:hAnsi="Times New Roman"/>
          <w:sz w:val="12"/>
          <w:szCs w:val="12"/>
          <w:color w:val="auto"/>
        </w:rPr>
        <w:t>Our amended and restated certificate of incorporation and bylaws contain certain provisions that are intended to enhance the likelihood of continuity and stability in the composition of the Board of Directors and which may have the effect of delaying, deferring or preventing a future takeover or change in control of us unless such takeover or change in control is approved by our Board of Directors.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These provisions include:</w:t>
      </w:r>
    </w:p>
    <w:p>
      <w:pPr>
        <w:spacing w:after="0" w:line="130"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2"/>
          <w:szCs w:val="12"/>
          <w:i w:val="1"/>
          <w:iCs w:val="1"/>
          <w:u w:val="single" w:color="auto"/>
          <w:color w:val="auto"/>
        </w:rPr>
        <w:t>Action by Written Consent; Special Meetings of Stockholders</w:t>
      </w:r>
      <w:r>
        <w:rPr>
          <w:rFonts w:ascii="Times New Roman" w:cs="Times New Roman" w:eastAsia="Times New Roman" w:hAnsi="Times New Roman"/>
          <w:sz w:val="12"/>
          <w:szCs w:val="12"/>
          <w:color w:val="auto"/>
        </w:rPr>
        <w:t>. Our amended and restated certificate of incorporation provides that, following the date on which MacAndrews ceases to beneficially own more than 50% of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common stock (the “Triggering Event”), stockholder action can be taken only at an annual or special meeting of stockholders and cannot be taken by written consent in lieu of a meeting. Our amended and restated certificate of incorporation and bylaws also provide that, except as otherwise required by law, special meetings of the stockholders can only be called by the chairman or vice-chairman of the board, the chief executive officer, or pursuant to a</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2"/>
          <w:szCs w:val="12"/>
          <w:color w:val="auto"/>
        </w:rPr>
        <w:t>resolution adopted by a majority of the Board of Directors or, until the Triggering Event, at the request of holders of 50% or more of our outstanding shares of common stock. Except as described above, stockholders will not be permitted to call a special meeting or to require the Board of Directors to call a special meeting.</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u w:val="single" w:color="auto"/>
          <w:color w:val="auto"/>
        </w:rPr>
        <w:t>Advance Notice Procedures</w:t>
      </w:r>
      <w:r>
        <w:rPr>
          <w:rFonts w:ascii="Times New Roman" w:cs="Times New Roman" w:eastAsia="Times New Roman" w:hAnsi="Times New Roman"/>
          <w:sz w:val="12"/>
          <w:szCs w:val="12"/>
          <w:color w:val="auto"/>
        </w:rPr>
        <w:t>. Our bylaws establish an advance notice procedure for stockholder proposals to be brought before an annual meeting of our stockholders, including proposed nominations of persons for election to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do not give the Board of Directors the power to approve or disapprove stockholder nominations of candidates or proposals regarding other business to be conducted at a special or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0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2"/>
          <w:szCs w:val="12"/>
          <w:i w:val="1"/>
          <w:iCs w:val="1"/>
          <w:u w:val="single" w:color="auto"/>
          <w:color w:val="auto"/>
        </w:rPr>
        <w:t>Vacancies and Newly-Created Directorships on the Board of Directors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bylaws provide that the Board of Directors can fill vacancies on the Board of Directors. In addition, the Board of Directors will be permitted to increase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number of directors and fill the vacant positions. These provisions could make it more difficult for shareholders to affect the composition of our Board of Directors.</w:t>
      </w:r>
    </w:p>
    <w:p>
      <w:pPr>
        <w:sectPr>
          <w:pgSz w:w="11900" w:h="16838" w:orient="portrait"/>
          <w:cols w:equalWidth="0" w:num="1">
            <w:col w:w="11300"/>
          </w:cols>
          <w:pgMar w:left="300" w:top="1155" w:right="299" w:bottom="1440" w:gutter="0" w:footer="0" w:header="0"/>
        </w:sectPr>
      </w:pPr>
    </w:p>
    <w:bookmarkStart w:id="104" w:name="page105"/>
    <w:bookmarkEnd w:id="104"/>
    <w:p>
      <w:pPr>
        <w:jc w:val="both"/>
        <w:ind w:firstLine="324"/>
        <w:spacing w:after="0" w:line="226" w:lineRule="auto"/>
        <w:rPr>
          <w:sz w:val="20"/>
          <w:szCs w:val="20"/>
          <w:color w:val="auto"/>
        </w:rPr>
      </w:pPr>
      <w:r>
        <w:rPr>
          <w:rFonts w:ascii="Times New Roman" w:cs="Times New Roman" w:eastAsia="Times New Roman" w:hAnsi="Times New Roman"/>
          <w:sz w:val="12"/>
          <w:szCs w:val="12"/>
          <w:i w:val="1"/>
          <w:iCs w:val="1"/>
          <w:u w:val="single" w:color="auto"/>
          <w:color w:val="auto"/>
        </w:rPr>
        <w:t>Authorized but Unissued Shares</w:t>
      </w:r>
      <w:r>
        <w:rPr>
          <w:rFonts w:ascii="Times New Roman" w:cs="Times New Roman" w:eastAsia="Times New Roman" w:hAnsi="Times New Roman"/>
          <w:sz w:val="12"/>
          <w:szCs w:val="12"/>
          <w:color w:val="auto"/>
        </w:rPr>
        <w:t>. Our authorized but unissued shares of common stock and preferred stock will be available for future issuance without stockholder approval. These additional shares may be utilized for a variety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14"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2"/>
          <w:szCs w:val="12"/>
          <w:i w:val="1"/>
          <w:iCs w:val="1"/>
          <w:u w:val="single" w:color="auto"/>
          <w:color w:val="auto"/>
        </w:rPr>
        <w:t>Business Combinations with Interested Stockholders</w:t>
      </w:r>
      <w:r>
        <w:rPr>
          <w:rFonts w:ascii="Times New Roman" w:cs="Times New Roman" w:eastAsia="Times New Roman" w:hAnsi="Times New Roman"/>
          <w:sz w:val="12"/>
          <w:szCs w:val="12"/>
          <w:color w:val="auto"/>
        </w:rPr>
        <w:t>. We have elected in our amended and restated certificate of incorporation not to be subject to Section 203 of the Delaware General Corporation Law, an antitakeover law.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Accordingly, we will not be subject to any anti-takeover effects of Section 203. Nevertheless, our amended and restated certificate of incorporation contains provisions that have the same effect as Section 203, except that they provide that MacAndrews and its various affiliates, successors and transferees will not be deemed to be “interested stockholders,” regardless of the percentage of our voting stock owned by them, and accordingly will not be subject to such restrictions.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Choice of Forum</w:t>
      </w:r>
    </w:p>
    <w:p>
      <w:pPr>
        <w:spacing w:after="0" w:line="127" w:lineRule="exact"/>
        <w:rPr>
          <w:sz w:val="20"/>
          <w:szCs w:val="20"/>
          <w:color w:val="auto"/>
        </w:rPr>
      </w:pPr>
    </w:p>
    <w:p>
      <w:pPr>
        <w:jc w:val="both"/>
        <w:ind w:firstLine="324"/>
        <w:spacing w:after="0" w:line="221" w:lineRule="auto"/>
        <w:rPr>
          <w:sz w:val="20"/>
          <w:szCs w:val="20"/>
          <w:color w:val="auto"/>
        </w:rPr>
      </w:pPr>
      <w:r>
        <w:rPr>
          <w:rFonts w:ascii="Times New Roman" w:cs="Times New Roman" w:eastAsia="Times New Roman" w:hAnsi="Times New Roman"/>
          <w:sz w:val="12"/>
          <w:szCs w:val="12"/>
          <w:color w:val="auto"/>
        </w:rPr>
        <w:t>Our amended and restated certificate of incorporation provides that the Court of Chancery in the State of Delaware will be the sole and exclusive forum for (i) any derivative action or proceeding brought on our behalf, (ii) any action asserting a claim of breach of a fiduciary duty owed to us or our stockholders by our directors, officers or other employees, (iii) any action asserting a claim arising under the Delaware General Corporation Law, our amended and</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restated certificate of incorporation and amended and restated by-laws or (iv) any action asserting a claim that is governed by the internal affairs doctrine. It is possible that a court could rule that this provision is not applicable or is unenforceable. We may consent in writing to alternative forums. Stockholders will be deemed to have consented to the personal jurisdiction of the state and federal courts located within the State of Delaware and having service of process made on such stockholder’s counsel as agent for such stockholder.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Directors’ Liability; Indemnification of Directors and Officers</w:t>
      </w:r>
    </w:p>
    <w:p>
      <w:pPr>
        <w:spacing w:after="0" w:line="127" w:lineRule="exact"/>
        <w:rPr>
          <w:sz w:val="20"/>
          <w:szCs w:val="20"/>
          <w:color w:val="auto"/>
        </w:rPr>
      </w:pPr>
    </w:p>
    <w:p>
      <w:pPr>
        <w:jc w:val="both"/>
        <w:ind w:firstLine="324"/>
        <w:spacing w:after="0" w:line="221" w:lineRule="auto"/>
        <w:rPr>
          <w:sz w:val="20"/>
          <w:szCs w:val="20"/>
          <w:color w:val="auto"/>
        </w:rPr>
      </w:pPr>
      <w:r>
        <w:rPr>
          <w:rFonts w:ascii="Times New Roman" w:cs="Times New Roman" w:eastAsia="Times New Roman" w:hAnsi="Times New Roman"/>
          <w:sz w:val="12"/>
          <w:szCs w:val="12"/>
          <w:color w:val="auto"/>
        </w:rPr>
        <w:t>Our amended and restated certificate of incorporation limits the liability of our directors to the fullest extent permitted by the Delaware General Corporation Law and provides that we will provide them with customary indemnification. We expect to enter into customary indemnification agreements with each of our executive officers and directors that provide them, in general, with customary indemnification in connection with their service to us or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behalf.</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Transfer Agent and Registrar</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transfer agent and registrar for our Class A common stock is Equiniti Trust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Securities Exchange</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shares of Class A common stock are listed on the NASDAQ Capital Market under the symbol “VTVT”.</w:t>
      </w:r>
    </w:p>
    <w:p>
      <w:pPr>
        <w:sectPr>
          <w:pgSz w:w="11900" w:h="16838" w:orient="portrait"/>
          <w:cols w:equalWidth="0" w:num="1">
            <w:col w:w="11300"/>
          </w:cols>
          <w:pgMar w:left="300" w:top="1081" w:right="299" w:bottom="1440"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3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9">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076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8">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9">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0">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6">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7">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3" w:name="page144"/>
    <w:bookmarkEnd w:id="143"/>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VTV THERAPEUTICS INC.</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AMENDED AND RESTATED SECURITIES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18, 2024</w:t>
      </w: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To Directors, Officers and Employees of vTv Therapeutics Inc. and its subsidiaries (collectively,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60" w:right="20" w:firstLine="432"/>
        <w:spacing w:after="0" w:line="272" w:lineRule="auto"/>
        <w:rPr>
          <w:sz w:val="20"/>
          <w:szCs w:val="20"/>
          <w:color w:val="auto"/>
        </w:rPr>
      </w:pPr>
      <w:r>
        <w:rPr>
          <w:rFonts w:ascii="Times New Roman" w:cs="Times New Roman" w:eastAsia="Times New Roman" w:hAnsi="Times New Roman"/>
          <w:sz w:val="14"/>
          <w:szCs w:val="14"/>
          <w:color w:val="auto"/>
        </w:rPr>
        <w:t>Attached is the Amended and Restated Securities Trading Policy (the “</w:t>
      </w:r>
      <w:r>
        <w:rPr>
          <w:rFonts w:ascii="Times New Roman" w:cs="Times New Roman" w:eastAsia="Times New Roman" w:hAnsi="Times New Roman"/>
          <w:sz w:val="14"/>
          <w:szCs w:val="14"/>
          <w:u w:val="single" w:color="auto"/>
          <w:color w:val="auto"/>
        </w:rPr>
        <w:t>Policy</w:t>
      </w:r>
      <w:r>
        <w:rPr>
          <w:rFonts w:ascii="Times New Roman" w:cs="Times New Roman" w:eastAsia="Times New Roman" w:hAnsi="Times New Roman"/>
          <w:sz w:val="14"/>
          <w:szCs w:val="14"/>
          <w:color w:val="auto"/>
        </w:rPr>
        <w:t xml:space="preserve">”) for directors, officers and employees of the Company, which has been adopted by the Board of Directors on March 12, 2024, and replaces in its entirety the Securities Trading Policy adopted by the Board of Directors on September 9, 2015. </w:t>
      </w:r>
      <w:r>
        <w:rPr>
          <w:rFonts w:ascii="Times New Roman" w:cs="Times New Roman" w:eastAsia="Times New Roman" w:hAnsi="Times New Roman"/>
          <w:sz w:val="14"/>
          <w:szCs w:val="14"/>
          <w:u w:val="single" w:color="auto"/>
          <w:color w:val="auto"/>
        </w:rPr>
        <w:t>Please read this Policy very carefully</w:t>
      </w:r>
      <w:r>
        <w:rPr>
          <w:rFonts w:ascii="Times New Roman" w:cs="Times New Roman" w:eastAsia="Times New Roman" w:hAnsi="Times New Roman"/>
          <w:sz w:val="14"/>
          <w:szCs w:val="14"/>
          <w:color w:val="auto"/>
        </w:rPr>
        <w:t>. All directors, officers and employees who are subject to the blackout periods and pre-clearance procedures described in Parts V and VI of this Policy should sign and return one copy of the Policy to vTv Therapeutics Inc. at 3980 Premiere Drive, Suite 310, High Point NC 27265, to the attention of the General Counsel, if any, and if none, the Chief Financial Officer (the “</w:t>
      </w:r>
      <w:r>
        <w:rPr>
          <w:rFonts w:ascii="Times New Roman" w:cs="Times New Roman" w:eastAsia="Times New Roman" w:hAnsi="Times New Roman"/>
          <w:sz w:val="14"/>
          <w:szCs w:val="14"/>
          <w:u w:val="single" w:color="auto"/>
          <w:color w:val="auto"/>
        </w:rPr>
        <w:t>Responsible Officer</w:t>
      </w:r>
      <w:r>
        <w:rPr>
          <w:rFonts w:ascii="Times New Roman" w:cs="Times New Roman" w:eastAsia="Times New Roman" w:hAnsi="Times New Roman"/>
          <w:sz w:val="14"/>
          <w:szCs w:val="14"/>
          <w:color w:val="auto"/>
        </w:rPr>
        <w:t>”).</w:t>
      </w:r>
    </w:p>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The Policy</w:t>
      </w:r>
    </w:p>
    <w:p>
      <w:pPr>
        <w:spacing w:after="0" w:line="156" w:lineRule="exact"/>
        <w:rPr>
          <w:sz w:val="20"/>
          <w:szCs w:val="20"/>
          <w:color w:val="auto"/>
        </w:rPr>
      </w:pPr>
    </w:p>
    <w:p>
      <w:pPr>
        <w:ind w:left="60" w:right="120" w:firstLine="432"/>
        <w:spacing w:after="0" w:line="282" w:lineRule="auto"/>
        <w:rPr>
          <w:sz w:val="20"/>
          <w:szCs w:val="20"/>
          <w:color w:val="auto"/>
        </w:rPr>
      </w:pPr>
      <w:r>
        <w:rPr>
          <w:rFonts w:ascii="Times New Roman" w:cs="Times New Roman" w:eastAsia="Times New Roman" w:hAnsi="Times New Roman"/>
          <w:sz w:val="14"/>
          <w:szCs w:val="14"/>
          <w:color w:val="auto"/>
        </w:rPr>
        <w:t>The Company’s Class A Common Stock has been publicly traded since our initial public offering. The purchase or sale of, or other transactions in, publicly traded securities of the Company while you are aware of material nonpublic information, or the disclosure of material nonpublic information to others who then trade in publicly traded securities of the Company, is prohibited by U.S. federal securities laws.</w:t>
      </w:r>
    </w:p>
    <w:p>
      <w:pPr>
        <w:spacing w:after="0" w:line="99" w:lineRule="exact"/>
        <w:rPr>
          <w:sz w:val="20"/>
          <w:szCs w:val="20"/>
          <w:color w:val="auto"/>
        </w:rPr>
      </w:pPr>
    </w:p>
    <w:p>
      <w:pPr>
        <w:jc w:val="both"/>
        <w:ind w:left="60" w:firstLine="432"/>
        <w:spacing w:after="0" w:line="275" w:lineRule="auto"/>
        <w:rPr>
          <w:sz w:val="20"/>
          <w:szCs w:val="20"/>
          <w:color w:val="auto"/>
        </w:rPr>
      </w:pPr>
      <w:r>
        <w:rPr>
          <w:rFonts w:ascii="Times New Roman" w:cs="Times New Roman" w:eastAsia="Times New Roman" w:hAnsi="Times New Roman"/>
          <w:sz w:val="14"/>
          <w:szCs w:val="14"/>
          <w:color w:val="auto"/>
        </w:rPr>
        <w:t>U.S. federal securities laws impose liability not only on persons who trade, or tip inside information to others who trade, but on companies and other controlling persons who fail to take reasonable steps to prevent insider trading by company employees. As a result, if we do not take active steps to adopt preventive policies and procedures covering securities trades by personnel (including service providers) of the Company, the consequences could be severe.</w:t>
      </w:r>
    </w:p>
    <w:p>
      <w:pPr>
        <w:spacing w:after="0" w:line="104" w:lineRule="exact"/>
        <w:rPr>
          <w:sz w:val="20"/>
          <w:szCs w:val="20"/>
          <w:color w:val="auto"/>
        </w:rPr>
      </w:pPr>
    </w:p>
    <w:p>
      <w:pPr>
        <w:jc w:val="both"/>
        <w:ind w:left="60" w:right="60" w:firstLine="432"/>
        <w:spacing w:after="0" w:line="296" w:lineRule="auto"/>
        <w:rPr>
          <w:sz w:val="20"/>
          <w:szCs w:val="20"/>
          <w:color w:val="auto"/>
        </w:rPr>
      </w:pPr>
      <w:r>
        <w:rPr>
          <w:rFonts w:ascii="Times New Roman" w:cs="Times New Roman" w:eastAsia="Times New Roman" w:hAnsi="Times New Roman"/>
          <w:sz w:val="14"/>
          <w:szCs w:val="14"/>
          <w:color w:val="auto"/>
        </w:rPr>
        <w:t>In addition to responding to U.S. federal securities laws, we are adopting this Policy to avoid even the appearance of improper conduct on the part of anyone employed by or associated with the Company (not just so-called “insiders”). We have all worked hard over the years to establish our reputation for integrity and ethical conduct. We cannot afford to have that reputation damaged.</w:t>
      </w:r>
    </w:p>
    <w:p>
      <w:pPr>
        <w:spacing w:after="0" w:line="269" w:lineRule="exact"/>
        <w:rPr>
          <w:sz w:val="20"/>
          <w:szCs w:val="20"/>
          <w:color w:val="auto"/>
        </w:rPr>
      </w:pPr>
    </w:p>
    <w:p>
      <w:pPr>
        <w:ind w:left="60" w:right="220" w:firstLine="432"/>
        <w:spacing w:after="0" w:line="272" w:lineRule="auto"/>
        <w:rPr>
          <w:sz w:val="20"/>
          <w:szCs w:val="20"/>
          <w:color w:val="auto"/>
        </w:rPr>
      </w:pPr>
      <w:r>
        <w:rPr>
          <w:rFonts w:ascii="Times New Roman" w:cs="Times New Roman" w:eastAsia="Times New Roman" w:hAnsi="Times New Roman"/>
          <w:sz w:val="14"/>
          <w:szCs w:val="14"/>
          <w:color w:val="auto"/>
        </w:rPr>
        <w:t>In addition to the limitations on trading contained in this Policy, directors and officers of the Company are also subject to certain reporting requirements under Section 16 of the U.S. Securities Exchange Act of 1934 (the “Exchange Act”). In addition, any person who beneficially owns 5% or more of the Company’s Class A Common Stock is subject to certain reporting requirements under Section 13(d) of the Exchange Act. You should contact the Company’s Responsible Officer or his or her designee if you need further information with respect to these reporting obligations.</w:t>
      </w:r>
    </w:p>
    <w:p>
      <w:pPr>
        <w:sectPr>
          <w:pgSz w:w="11900" w:h="16838" w:orient="portrait"/>
          <w:cols w:equalWidth="0" w:num="1">
            <w:col w:w="11140"/>
          </w:cols>
          <w:pgMar w:left="300" w:top="91"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color w:val="auto"/>
        </w:rPr>
        <w:t>The Consequences</w:t>
      </w:r>
    </w:p>
    <w:p>
      <w:pPr>
        <w:spacing w:after="0" w:line="156"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4"/>
          <w:szCs w:val="14"/>
          <w:color w:val="auto"/>
        </w:rPr>
        <w:t>The U.S.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and the U.S. securities exchanges are extremely effective in detecting insider trading. The SEC and the U.S. Department of Justice have prosecuted cases involving trading or tipping by employees at all levels of a business, trading or tipping by family members and friends, trading involving offshore accounts and trading involving only a small amount of stock. The consequences of insider trading violations can be severe:</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 xml:space="preserve">For individuals </w:t>
      </w:r>
      <w:r>
        <w:rPr>
          <w:rFonts w:ascii="Times New Roman" w:cs="Times New Roman" w:eastAsia="Times New Roman" w:hAnsi="Times New Roman"/>
          <w:sz w:val="14"/>
          <w:szCs w:val="14"/>
          <w:color w:val="auto"/>
        </w:rPr>
        <w:t>who trade on inside information (or tip information to others):</w:t>
      </w:r>
    </w:p>
    <w:p>
      <w:pPr>
        <w:spacing w:after="0" w:line="156" w:lineRule="exact"/>
        <w:rPr>
          <w:sz w:val="20"/>
          <w:szCs w:val="20"/>
          <w:color w:val="auto"/>
        </w:rPr>
      </w:pPr>
    </w:p>
    <w:p>
      <w:pPr>
        <w:ind w:left="860" w:hanging="424"/>
        <w:spacing w:after="0"/>
        <w:tabs>
          <w:tab w:leader="none" w:pos="8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penalties of up to three times the profit gained or loss avoided;</w:t>
      </w:r>
    </w:p>
    <w:p>
      <w:pPr>
        <w:spacing w:after="0" w:line="154" w:lineRule="exact"/>
        <w:rPr>
          <w:rFonts w:ascii="Times New Roman" w:cs="Times New Roman" w:eastAsia="Times New Roman" w:hAnsi="Times New Roman"/>
          <w:sz w:val="14"/>
          <w:szCs w:val="14"/>
          <w:color w:val="auto"/>
        </w:rPr>
      </w:pPr>
    </w:p>
    <w:p>
      <w:pPr>
        <w:ind w:left="860" w:hanging="424"/>
        <w:spacing w:after="0"/>
        <w:tabs>
          <w:tab w:leader="none" w:pos="8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criminal fines (no matter how small the profit); and</w:t>
      </w:r>
    </w:p>
    <w:p>
      <w:pPr>
        <w:spacing w:after="0" w:line="154" w:lineRule="exact"/>
        <w:rPr>
          <w:rFonts w:ascii="Times New Roman" w:cs="Times New Roman" w:eastAsia="Times New Roman" w:hAnsi="Times New Roman"/>
          <w:sz w:val="14"/>
          <w:szCs w:val="14"/>
          <w:color w:val="auto"/>
        </w:rPr>
      </w:pPr>
    </w:p>
    <w:p>
      <w:pPr>
        <w:ind w:left="860" w:hanging="424"/>
        <w:spacing w:after="0"/>
        <w:tabs>
          <w:tab w:leader="none" w:pos="8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jail terms.</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 xml:space="preserve">For a company </w:t>
      </w:r>
      <w:r>
        <w:rPr>
          <w:rFonts w:ascii="Times New Roman" w:cs="Times New Roman" w:eastAsia="Times New Roman" w:hAnsi="Times New Roman"/>
          <w:sz w:val="14"/>
          <w:szCs w:val="14"/>
          <w:color w:val="auto"/>
        </w:rPr>
        <w:t>(as well as possibly any supervisory person) that fails to take appropriate steps to prevent illegal trading, civil and criminal penalties.</w:t>
      </w:r>
    </w:p>
    <w:p>
      <w:pPr>
        <w:spacing w:after="0" w:line="165"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Moreover, if any employee violates this Policy, Company-imposed sanctions, including dismissal for misconduct or cause, could result. Needless to say, any of the above consequences, even an investigation by the SEC that does not result in prosecution, can tarnish the reputation of the Company, its management and the person involved, and irreparably damage a career.</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If you have any questions, please feel free to contact the Company’s Responsible Officer at 3980 Premiere Drive, Suite 310, High Point NC 27265.</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Once again, please read this material very carefully.</w:t>
      </w: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Yours truly,</w:t>
      </w:r>
    </w:p>
    <w:p>
      <w:pPr>
        <w:spacing w:after="0" w:line="28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Paul Sekhri</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Enclosure</w:t>
      </w:r>
    </w:p>
    <w:p>
      <w:pPr>
        <w:sectPr>
          <w:pgSz w:w="11900" w:h="16838" w:orient="portrait"/>
          <w:cols w:equalWidth="0" w:num="1">
            <w:col w:w="11060"/>
          </w:cols>
          <w:pgMar w:left="360" w:top="983" w:right="47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4"/>
          <w:szCs w:val="14"/>
          <w:b w:val="1"/>
          <w:bCs w:val="1"/>
          <w:color w:val="auto"/>
        </w:rPr>
        <w:t>(adopted by the Board of Directors on March 12, 2024)</w:t>
      </w:r>
    </w:p>
    <w:p>
      <w:pPr>
        <w:spacing w:after="0" w:line="154" w:lineRule="exact"/>
        <w:rPr>
          <w:sz w:val="20"/>
          <w:szCs w:val="20"/>
          <w:color w:val="auto"/>
        </w:rPr>
      </w:pPr>
    </w:p>
    <w:p>
      <w:pPr>
        <w:ind w:left="420" w:hanging="416"/>
        <w:spacing w:after="0"/>
        <w:tabs>
          <w:tab w:leader="none" w:pos="420"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Purpose</w:t>
      </w:r>
    </w:p>
    <w:p>
      <w:pPr>
        <w:spacing w:after="0" w:line="156" w:lineRule="exact"/>
        <w:rPr>
          <w:sz w:val="20"/>
          <w:szCs w:val="20"/>
          <w:color w:val="auto"/>
        </w:rPr>
      </w:pPr>
    </w:p>
    <w:p>
      <w:pPr>
        <w:ind w:right="500" w:firstLine="432"/>
        <w:spacing w:after="0" w:line="309" w:lineRule="auto"/>
        <w:rPr>
          <w:sz w:val="20"/>
          <w:szCs w:val="20"/>
          <w:color w:val="auto"/>
        </w:rPr>
      </w:pPr>
      <w:r>
        <w:rPr>
          <w:rFonts w:ascii="Times New Roman" w:cs="Times New Roman" w:eastAsia="Times New Roman" w:hAnsi="Times New Roman"/>
          <w:sz w:val="14"/>
          <w:szCs w:val="14"/>
          <w:color w:val="auto"/>
        </w:rPr>
        <w:t>To describe the standards concerning the handling of non-public information relating to vTv Therapeutics Inc. and its subsidiaries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the buying and selling of securities of the Company.</w:t>
      </w:r>
    </w:p>
    <w:p>
      <w:pPr>
        <w:spacing w:after="0" w:line="78" w:lineRule="exact"/>
        <w:rPr>
          <w:sz w:val="20"/>
          <w:szCs w:val="20"/>
          <w:color w:val="auto"/>
        </w:rPr>
      </w:pPr>
    </w:p>
    <w:p>
      <w:pPr>
        <w:ind w:left="440" w:hanging="436"/>
        <w:spacing w:after="0"/>
        <w:tabs>
          <w:tab w:leader="none" w:pos="440"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Persons Affected and Prohibited Transactions</w:t>
      </w:r>
    </w:p>
    <w:p>
      <w:pPr>
        <w:spacing w:after="0" w:line="156" w:lineRule="exact"/>
        <w:rPr>
          <w:sz w:val="20"/>
          <w:szCs w:val="20"/>
          <w:color w:val="auto"/>
        </w:rPr>
      </w:pPr>
    </w:p>
    <w:p>
      <w:pPr>
        <w:ind w:right="140" w:firstLine="432"/>
        <w:spacing w:after="0" w:line="275" w:lineRule="auto"/>
        <w:rPr>
          <w:sz w:val="20"/>
          <w:szCs w:val="20"/>
          <w:color w:val="auto"/>
        </w:rPr>
      </w:pPr>
      <w:r>
        <w:rPr>
          <w:rFonts w:ascii="Times New Roman" w:cs="Times New Roman" w:eastAsia="Times New Roman" w:hAnsi="Times New Roman"/>
          <w:sz w:val="14"/>
          <w:szCs w:val="14"/>
          <w:color w:val="auto"/>
        </w:rPr>
        <w:t xml:space="preserve">This Policy applies to directors, executive officers, other officers and employees of the Company. Please note that </w:t>
      </w:r>
      <w:r>
        <w:rPr>
          <w:rFonts w:ascii="Times New Roman" w:cs="Times New Roman" w:eastAsia="Times New Roman" w:hAnsi="Times New Roman"/>
          <w:sz w:val="14"/>
          <w:szCs w:val="14"/>
          <w:u w:val="single" w:color="auto"/>
          <w:color w:val="auto"/>
        </w:rPr>
        <w:t>the general prohibitions apply to all directors, officers and employees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of the Company</w:t>
      </w:r>
      <w:r>
        <w:rPr>
          <w:rFonts w:ascii="Times New Roman" w:cs="Times New Roman" w:eastAsia="Times New Roman" w:hAnsi="Times New Roman"/>
          <w:sz w:val="14"/>
          <w:szCs w:val="14"/>
          <w:color w:val="auto"/>
        </w:rPr>
        <w:t>, while the restrictions set forth in Part V (blackout periods) and Part VI (pre- clearance) apply only to directors, executive officers and certain designated officers and employees. If you are unsure whether you are subject to the restrictions set forth in Parts V or VI, please contact the Company’s Responsible Party or his or her designee.</w:t>
      </w:r>
    </w:p>
    <w:p>
      <w:pPr>
        <w:spacing w:after="0" w:line="11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4"/>
          <w:szCs w:val="14"/>
          <w:color w:val="auto"/>
        </w:rPr>
        <w:t>The same restrictions that apply to you apply to your family members who reside with you, anyone else who lives in your household and any family members who do not live in your household but whose transactions in securities covered by this Policy are directed by you or are subject to your influence or control (such as parents or children who consult with you before they trade in such securities), and trusts or other entities controlled by you or by any member of your household (collectively “</w:t>
      </w:r>
      <w:r>
        <w:rPr>
          <w:rFonts w:ascii="Times New Roman" w:cs="Times New Roman" w:eastAsia="Times New Roman" w:hAnsi="Times New Roman"/>
          <w:sz w:val="14"/>
          <w:szCs w:val="14"/>
          <w:u w:val="single" w:color="auto"/>
          <w:color w:val="auto"/>
        </w:rPr>
        <w:t>Related Parties</w:t>
      </w:r>
      <w:r>
        <w:rPr>
          <w:rFonts w:ascii="Times New Roman" w:cs="Times New Roman" w:eastAsia="Times New Roman" w:hAnsi="Times New Roman"/>
          <w:sz w:val="14"/>
          <w:szCs w:val="14"/>
          <w:color w:val="auto"/>
        </w:rPr>
        <w:t xml:space="preserve">”), except that this Policy shall not apply to any entity controlled or affiliated with a person covered under this policy if that entity’s principal business is the investment of securities (e.g. an investment fund or partnership) and that entity has established its own insider trading controls and procedures in compliance with applicable securities laws. and the entity complies at all times with applicable securities laws, including prohibitions on trading or otherwise engaging in transactions in the Company's securities while in the possession of material non-public information </w:t>
      </w:r>
      <w:r>
        <w:rPr>
          <w:rFonts w:ascii="Times New Roman" w:cs="Times New Roman" w:eastAsia="Times New Roman" w:hAnsi="Times New Roman"/>
          <w:sz w:val="14"/>
          <w:szCs w:val="14"/>
          <w:b w:val="1"/>
          <w:bCs w:val="1"/>
          <w:u w:val="single" w:color="auto"/>
          <w:color w:val="auto"/>
        </w:rPr>
        <w:t>You will be responsible for compliance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with this Policy by your Related Parties</w:t>
      </w:r>
      <w:r>
        <w:rPr>
          <w:rFonts w:ascii="Times New Roman" w:cs="Times New Roman" w:eastAsia="Times New Roman" w:hAnsi="Times New Roman"/>
          <w:sz w:val="14"/>
          <w:szCs w:val="14"/>
          <w:b w:val="1"/>
          <w:bCs w:val="1"/>
          <w:color w:val="auto"/>
        </w:rPr>
        <w:t>.</w:t>
      </w:r>
    </w:p>
    <w:p>
      <w:pPr>
        <w:spacing w:after="0" w:line="287" w:lineRule="exact"/>
        <w:rPr>
          <w:sz w:val="20"/>
          <w:szCs w:val="20"/>
          <w:color w:val="auto"/>
        </w:rPr>
      </w:pPr>
    </w:p>
    <w:p>
      <w:pPr>
        <w:ind w:right="40" w:firstLine="432"/>
        <w:spacing w:after="0" w:line="268" w:lineRule="auto"/>
        <w:rPr>
          <w:sz w:val="20"/>
          <w:szCs w:val="20"/>
          <w:color w:val="auto"/>
        </w:rPr>
      </w:pPr>
      <w:r>
        <w:rPr>
          <w:rFonts w:ascii="Times New Roman" w:cs="Times New Roman" w:eastAsia="Times New Roman" w:hAnsi="Times New Roman"/>
          <w:sz w:val="14"/>
          <w:szCs w:val="14"/>
          <w:color w:val="auto"/>
        </w:rPr>
        <w:t>For purposes of this Policy, references to “</w:t>
      </w:r>
      <w:r>
        <w:rPr>
          <w:rFonts w:ascii="Times New Roman" w:cs="Times New Roman" w:eastAsia="Times New Roman" w:hAnsi="Times New Roman"/>
          <w:sz w:val="14"/>
          <w:szCs w:val="14"/>
          <w:u w:val="single" w:color="auto"/>
          <w:color w:val="auto"/>
        </w:rPr>
        <w:t>trading</w:t>
      </w:r>
      <w:r>
        <w:rPr>
          <w:rFonts w:ascii="Times New Roman" w:cs="Times New Roman" w:eastAsia="Times New Roman" w:hAnsi="Times New Roman"/>
          <w:sz w:val="14"/>
          <w:szCs w:val="14"/>
          <w:color w:val="auto"/>
        </w:rPr>
        <w:t>” or to “</w:t>
      </w:r>
      <w:r>
        <w:rPr>
          <w:rFonts w:ascii="Times New Roman" w:cs="Times New Roman" w:eastAsia="Times New Roman" w:hAnsi="Times New Roman"/>
          <w:sz w:val="14"/>
          <w:szCs w:val="14"/>
          <w:u w:val="single" w:color="auto"/>
          <w:color w:val="auto"/>
        </w:rPr>
        <w:t>transactions in securities of the Company</w:t>
      </w:r>
      <w:r>
        <w:rPr>
          <w:rFonts w:ascii="Times New Roman" w:cs="Times New Roman" w:eastAsia="Times New Roman" w:hAnsi="Times New Roman"/>
          <w:sz w:val="14"/>
          <w:szCs w:val="14"/>
          <w:color w:val="auto"/>
        </w:rPr>
        <w:t>” include purchases or sales of Company stock, bonds, options, puts and calls, derivative securities based on securities of the Company, gifts of Company securities, loans of Company securities, hedging transactions involving or referencing Company securities, contributions of Company securities to a trust, sales of Company stock acquired upon the exercise of stock options, broker-assisted cashless exercises of stock options, market sales to raise cash to fund the exercise of stock options and trades in Company stock made under an employee benefit plan, such as a 401(k) plan.</w:t>
      </w:r>
    </w:p>
    <w:p>
      <w:pPr>
        <w:spacing w:after="0" w:line="116" w:lineRule="exact"/>
        <w:rPr>
          <w:sz w:val="20"/>
          <w:szCs w:val="20"/>
          <w:color w:val="auto"/>
        </w:rPr>
      </w:pPr>
    </w:p>
    <w:p>
      <w:pPr>
        <w:ind w:left="440" w:hanging="437"/>
        <w:spacing w:after="0"/>
        <w:tabs>
          <w:tab w:leader="none" w:pos="440"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Policy Statement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If a director, officer or employee has material nonpublic information (as further discussed below) relating to the Company, it is our policy that neither that person nor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Related Party:</w:t>
      </w:r>
    </w:p>
    <w:p>
      <w:pPr>
        <w:spacing w:after="0" w:line="136" w:lineRule="exact"/>
        <w:rPr>
          <w:sz w:val="20"/>
          <w:szCs w:val="20"/>
          <w:color w:val="auto"/>
        </w:rPr>
      </w:pPr>
    </w:p>
    <w:p>
      <w:pPr>
        <w:ind w:left="660" w:right="460" w:hanging="225"/>
        <w:spacing w:after="0" w:line="275" w:lineRule="auto"/>
        <w:tabs>
          <w:tab w:leader="none" w:pos="65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may effect transactions in securities of the Company (other than pursuant to a pre-arranged trading plan that complies with Rule 10b5-1 (“</w:t>
      </w:r>
      <w:r>
        <w:rPr>
          <w:rFonts w:ascii="Times New Roman" w:cs="Times New Roman" w:eastAsia="Times New Roman" w:hAnsi="Times New Roman"/>
          <w:sz w:val="14"/>
          <w:szCs w:val="14"/>
          <w:b w:val="1"/>
          <w:bCs w:val="1"/>
          <w:u w:val="single" w:color="auto"/>
          <w:color w:val="auto"/>
        </w:rPr>
        <w:t>Rule 10b5-1</w:t>
      </w:r>
      <w:r>
        <w:rPr>
          <w:rFonts w:ascii="Times New Roman" w:cs="Times New Roman" w:eastAsia="Times New Roman" w:hAnsi="Times New Roman"/>
          <w:sz w:val="14"/>
          <w:szCs w:val="14"/>
          <w:b w:val="1"/>
          <w:bCs w:val="1"/>
          <w:color w:val="auto"/>
        </w:rPr>
        <w:t>”) under the Securities Exchange Act of 1934, as amended (the “</w:t>
      </w:r>
      <w:r>
        <w:rPr>
          <w:rFonts w:ascii="Times New Roman" w:cs="Times New Roman" w:eastAsia="Times New Roman" w:hAnsi="Times New Roman"/>
          <w:sz w:val="14"/>
          <w:szCs w:val="14"/>
          <w:b w:val="1"/>
          <w:bCs w:val="1"/>
          <w:u w:val="single" w:color="auto"/>
          <w:color w:val="auto"/>
        </w:rPr>
        <w:t>Exchange Act</w:t>
      </w:r>
      <w:r>
        <w:rPr>
          <w:rFonts w:ascii="Times New Roman" w:cs="Times New Roman" w:eastAsia="Times New Roman" w:hAnsi="Times New Roman"/>
          <w:sz w:val="14"/>
          <w:szCs w:val="14"/>
          <w:b w:val="1"/>
          <w:bCs w:val="1"/>
          <w:color w:val="auto"/>
        </w:rPr>
        <w:t>”) as</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described in Part VII below) or engage in any other action to take advantage of that information, or</w:t>
      </w:r>
    </w:p>
    <w:p>
      <w:pPr>
        <w:sectPr>
          <w:pgSz w:w="11900" w:h="16838" w:orient="portrait"/>
          <w:cols w:equalWidth="0" w:num="1">
            <w:col w:w="11160"/>
          </w:cols>
          <w:pgMar w:left="360" w:top="857" w:right="379" w:bottom="1440" w:gutter="0" w:footer="0" w:header="0"/>
        </w:sectPr>
      </w:pPr>
    </w:p>
    <w:bookmarkStart w:id="146" w:name="page147"/>
    <w:bookmarkEnd w:id="146"/>
    <w:p>
      <w:pPr>
        <w:ind w:left="660" w:right="240" w:hanging="225"/>
        <w:spacing w:after="0" w:line="312" w:lineRule="auto"/>
        <w:tabs>
          <w:tab w:leader="none" w:pos="65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may pass that information on to any person outside the Company or suggest or otherwise recommend that any such person outside the Company effect a transaction in securities of the Company or engage in any other action to take advantage of that information.</w:t>
      </w:r>
    </w:p>
    <w:p>
      <w:pPr>
        <w:spacing w:after="0" w:line="69" w:lineRule="exact"/>
        <w:rPr>
          <w:sz w:val="20"/>
          <w:szCs w:val="20"/>
          <w:color w:val="auto"/>
        </w:rPr>
      </w:pPr>
    </w:p>
    <w:p>
      <w:pPr>
        <w:ind w:right="200" w:firstLine="432"/>
        <w:spacing w:after="0" w:line="309" w:lineRule="auto"/>
        <w:rPr>
          <w:sz w:val="20"/>
          <w:szCs w:val="20"/>
          <w:color w:val="auto"/>
        </w:rPr>
      </w:pPr>
      <w:r>
        <w:rPr>
          <w:rFonts w:ascii="Times New Roman" w:cs="Times New Roman" w:eastAsia="Times New Roman" w:hAnsi="Times New Roman"/>
          <w:sz w:val="14"/>
          <w:szCs w:val="14"/>
          <w:color w:val="auto"/>
        </w:rPr>
        <w:t>This Policy will continue to apply after termination of employment to the extent that a former director, officer or employee is in possession of material nonpublic information at the time of termination. In such case, no transaction in securities of the Company may take place until the information becomes public or ceases to be material.</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This Policy also applies to information, obtained in the course of employment with, or by serving as a director of, the Company, relating to any other company, including:</w:t>
      </w:r>
    </w:p>
    <w:p>
      <w:pPr>
        <w:spacing w:after="0" w:line="154" w:lineRule="exact"/>
        <w:rPr>
          <w:sz w:val="20"/>
          <w:szCs w:val="20"/>
          <w:color w:val="auto"/>
        </w:rPr>
      </w:pPr>
    </w:p>
    <w:p>
      <w:pPr>
        <w:ind w:left="640" w:hanging="205"/>
        <w:spacing w:after="0"/>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clients or suppliers,</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entity with which we may be negotiating a major transaction or business combination, or</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entity as to which we have an indirect or direct control relationship or a designee on the board of directors.</w:t>
      </w:r>
    </w:p>
    <w:p>
      <w:pPr>
        <w:spacing w:after="0" w:line="154" w:lineRule="exact"/>
        <w:rPr>
          <w:sz w:val="20"/>
          <w:szCs w:val="20"/>
          <w:color w:val="auto"/>
        </w:rPr>
      </w:pPr>
    </w:p>
    <w:p>
      <w:pPr>
        <w:ind w:right="260" w:firstLine="432"/>
        <w:spacing w:after="0" w:line="309" w:lineRule="auto"/>
        <w:rPr>
          <w:sz w:val="20"/>
          <w:szCs w:val="20"/>
          <w:color w:val="auto"/>
        </w:rPr>
      </w:pPr>
      <w:r>
        <w:rPr>
          <w:rFonts w:ascii="Times New Roman" w:cs="Times New Roman" w:eastAsia="Times New Roman" w:hAnsi="Times New Roman"/>
          <w:sz w:val="14"/>
          <w:szCs w:val="14"/>
          <w:color w:val="auto"/>
        </w:rPr>
        <w:t>No director, officer or employee may effect transactions in the securities of any such other company while in possession of material nonpublic information concerning such company that was obtained in the course of employment with the Company.</w:t>
      </w:r>
    </w:p>
    <w:p>
      <w:pPr>
        <w:spacing w:after="0" w:line="80" w:lineRule="exact"/>
        <w:rPr>
          <w:sz w:val="20"/>
          <w:szCs w:val="20"/>
          <w:color w:val="auto"/>
        </w:rPr>
      </w:pPr>
    </w:p>
    <w:p>
      <w:pPr>
        <w:ind w:right="200" w:firstLine="432"/>
        <w:spacing w:after="0" w:line="295" w:lineRule="auto"/>
        <w:rPr>
          <w:sz w:val="20"/>
          <w:szCs w:val="20"/>
          <w:color w:val="auto"/>
        </w:rPr>
      </w:pPr>
      <w:r>
        <w:rPr>
          <w:rFonts w:ascii="Times New Roman" w:cs="Times New Roman" w:eastAsia="Times New Roman" w:hAnsi="Times New Roman"/>
          <w:sz w:val="14"/>
          <w:szCs w:val="14"/>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88"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i w:val="1"/>
          <w:iCs w:val="1"/>
          <w:color w:val="auto"/>
        </w:rPr>
        <w:t>Material Information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Material information</w:t>
      </w:r>
      <w:r>
        <w:rPr>
          <w:rFonts w:ascii="Times New Roman" w:cs="Times New Roman" w:eastAsia="Times New Roman" w:hAnsi="Times New Roman"/>
          <w:sz w:val="14"/>
          <w:szCs w:val="14"/>
          <w:color w:val="auto"/>
        </w:rPr>
        <w:t>” is any information that a reasonable investor would consider important in a decision to effect a transaction in securities of the Company.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short, any information that could reasonably affect the price of such securities. Either positive or negative information may be material. Common examples of information that will frequently be regarded as material are:</w:t>
      </w:r>
    </w:p>
    <w:p>
      <w:pPr>
        <w:spacing w:after="0" w:line="113" w:lineRule="exact"/>
        <w:rPr>
          <w:sz w:val="20"/>
          <w:szCs w:val="20"/>
          <w:color w:val="auto"/>
        </w:rPr>
      </w:pPr>
    </w:p>
    <w:p>
      <w:pPr>
        <w:ind w:left="640" w:hanging="204"/>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projections of future earnings or losses, or other guidance concerning earnings;</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earnings are inconsistent with consensus expectations;</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pending or proposed merger, joint venture, acquisition or tender offer;</w:t>
      </w:r>
    </w:p>
    <w:p>
      <w:pPr>
        <w:spacing w:after="0" w:line="154" w:lineRule="exact"/>
        <w:rPr>
          <w:rFonts w:ascii="Times New Roman" w:cs="Times New Roman" w:eastAsia="Times New Roman" w:hAnsi="Times New Roman"/>
          <w:sz w:val="14"/>
          <w:szCs w:val="14"/>
          <w:color w:val="auto"/>
        </w:rPr>
      </w:pPr>
    </w:p>
    <w:p>
      <w:pPr>
        <w:ind w:left="640" w:hanging="204"/>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significant sale of assets or the disposition of a subsidiary or business unit;</w:t>
      </w:r>
    </w:p>
    <w:p>
      <w:pPr>
        <w:sectPr>
          <w:pgSz w:w="11900" w:h="16838" w:orient="portrait"/>
          <w:cols w:equalWidth="0" w:num="1">
            <w:col w:w="11140"/>
          </w:cols>
          <w:pgMar w:left="360" w:top="857" w:right="399" w:bottom="1440" w:gutter="0" w:footer="0" w:header="0"/>
        </w:sectPr>
      </w:pPr>
    </w:p>
    <w:bookmarkStart w:id="147" w:name="page148"/>
    <w:bookmarkEnd w:id="147"/>
    <w:p>
      <w:pPr>
        <w:ind w:left="640" w:hanging="205"/>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dividend policies or the declaration of a stock split or the offering of additional securities;</w:t>
      </w:r>
    </w:p>
    <w:p>
      <w:pPr>
        <w:spacing w:after="0" w:line="163"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senior management or other key employees;</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new products or services;</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legal or regulatory exposure due to a pending or threatened lawsuit or investigation;</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impending bankruptcy or other financial liquidity problems;</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legislation affecting our business; and</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or loss of a substantial customer, client or supplier.</w:t>
      </w:r>
    </w:p>
    <w:p>
      <w:pPr>
        <w:spacing w:after="0" w:line="152" w:lineRule="exact"/>
        <w:rPr>
          <w:sz w:val="20"/>
          <w:szCs w:val="20"/>
          <w:color w:val="auto"/>
        </w:rPr>
      </w:pPr>
    </w:p>
    <w:p>
      <w:pPr>
        <w:ind w:right="220" w:firstLine="432"/>
        <w:spacing w:after="0" w:line="298" w:lineRule="auto"/>
        <w:rPr>
          <w:sz w:val="20"/>
          <w:szCs w:val="20"/>
          <w:color w:val="auto"/>
        </w:rPr>
      </w:pPr>
      <w:r>
        <w:rPr>
          <w:rFonts w:ascii="Times New Roman" w:cs="Times New Roman" w:eastAsia="Times New Roman" w:hAnsi="Times New Roman"/>
          <w:sz w:val="14"/>
          <w:szCs w:val="14"/>
          <w:i w:val="1"/>
          <w:iCs w:val="1"/>
          <w:color w:val="auto"/>
        </w:rPr>
        <w:t>20-20 Hindsight</w:t>
      </w:r>
      <w:r>
        <w:rPr>
          <w:rFonts w:ascii="Times New Roman" w:cs="Times New Roman" w:eastAsia="Times New Roman" w:hAnsi="Times New Roman"/>
          <w:sz w:val="14"/>
          <w:szCs w:val="14"/>
          <w:color w:val="auto"/>
        </w:rPr>
        <w:t>. Remember, if your transaction in securities of the Company becomes the subject of scrutiny, it will be viewed after-the-fact with the benefit of hindsight. As a result,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before engaging in any transaction you should carefully consider how regulators and others might view your transaction in hindsight.</w:t>
      </w:r>
    </w:p>
    <w:p>
      <w:pPr>
        <w:spacing w:after="0" w:line="95" w:lineRule="exact"/>
        <w:rPr>
          <w:sz w:val="20"/>
          <w:szCs w:val="20"/>
          <w:color w:val="auto"/>
        </w:rPr>
      </w:pPr>
    </w:p>
    <w:p>
      <w:pPr>
        <w:ind w:right="300" w:firstLine="432"/>
        <w:spacing w:after="0" w:line="268" w:lineRule="auto"/>
        <w:rPr>
          <w:sz w:val="20"/>
          <w:szCs w:val="20"/>
          <w:color w:val="auto"/>
        </w:rPr>
      </w:pPr>
      <w:r>
        <w:rPr>
          <w:rFonts w:ascii="Times New Roman" w:cs="Times New Roman" w:eastAsia="Times New Roman" w:hAnsi="Times New Roman"/>
          <w:sz w:val="14"/>
          <w:szCs w:val="14"/>
          <w:i w:val="1"/>
          <w:iCs w:val="1"/>
          <w:color w:val="auto"/>
        </w:rPr>
        <w:t>Tipping Information to Others</w:t>
      </w:r>
      <w:r>
        <w:rPr>
          <w:rFonts w:ascii="Times New Roman" w:cs="Times New Roman" w:eastAsia="Times New Roman" w:hAnsi="Times New Roman"/>
          <w:sz w:val="14"/>
          <w:szCs w:val="14"/>
          <w:color w:val="auto"/>
        </w:rPr>
        <w:t>. Whether the information is proprietary information about the Company or other information that could have an impact on the price of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directors, officers and employees must not pass the information on to others.</w:t>
      </w:r>
    </w:p>
    <w:p>
      <w:pPr>
        <w:spacing w:after="0"/>
        <w:rPr>
          <w:sz w:val="20"/>
          <w:szCs w:val="20"/>
          <w:color w:val="auto"/>
        </w:rPr>
      </w:pPr>
      <w:r>
        <w:rPr>
          <w:rFonts w:ascii="Times New Roman" w:cs="Times New Roman" w:eastAsia="Times New Roman" w:hAnsi="Times New Roman"/>
          <w:sz w:val="14"/>
          <w:szCs w:val="14"/>
          <w:color w:val="auto"/>
        </w:rPr>
        <w:t>Penalties will apply whether or not you derive, or even intend to derive, any profit or other benefit from another’s actions.</w:t>
      </w:r>
    </w:p>
    <w:p>
      <w:pPr>
        <w:spacing w:after="0" w:line="136" w:lineRule="exact"/>
        <w:rPr>
          <w:sz w:val="20"/>
          <w:szCs w:val="20"/>
          <w:color w:val="auto"/>
        </w:rPr>
      </w:pPr>
    </w:p>
    <w:p>
      <w:pPr>
        <w:ind w:firstLine="432"/>
        <w:spacing w:after="0" w:line="269" w:lineRule="auto"/>
        <w:rPr>
          <w:sz w:val="20"/>
          <w:szCs w:val="20"/>
          <w:color w:val="auto"/>
        </w:rPr>
      </w:pPr>
      <w:r>
        <w:rPr>
          <w:rFonts w:ascii="Times New Roman" w:cs="Times New Roman" w:eastAsia="Times New Roman" w:hAnsi="Times New Roman"/>
          <w:sz w:val="14"/>
          <w:szCs w:val="14"/>
          <w:i w:val="1"/>
          <w:iCs w:val="1"/>
          <w:color w:val="auto"/>
        </w:rPr>
        <w:t>When Information is Public</w:t>
      </w:r>
      <w:r>
        <w:rPr>
          <w:rFonts w:ascii="Times New Roman" w:cs="Times New Roman" w:eastAsia="Times New Roman" w:hAnsi="Times New Roman"/>
          <w:sz w:val="14"/>
          <w:szCs w:val="14"/>
          <w:color w:val="auto"/>
        </w:rPr>
        <w:t>. You may not trade on the basis of material information that has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been broadly disclosed to the marketplace, such as through a press release or a filing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U.S.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and the marketplace has had time to absorb the information. As a general rule, information should not be considered fully absorbed by the marketplace until the end of the first business day after the information is released. Thus, if information is released on a Monday, trading should not take place until Wednesday. However, if the information in question is contained in a regular quarterly earnings release and the release is issued prior to the opening of the market on a given day, trading may take place on the first business day following the day of release.</w:t>
      </w:r>
    </w:p>
    <w:p>
      <w:pPr>
        <w:spacing w:after="0" w:line="106" w:lineRule="exact"/>
        <w:rPr>
          <w:sz w:val="20"/>
          <w:szCs w:val="20"/>
          <w:color w:val="auto"/>
        </w:rPr>
      </w:pPr>
    </w:p>
    <w:p>
      <w:pPr>
        <w:ind w:firstLine="432"/>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Transactions under Company Plans. </w:t>
      </w:r>
      <w:r>
        <w:rPr>
          <w:rFonts w:ascii="Times New Roman" w:cs="Times New Roman" w:eastAsia="Times New Roman" w:hAnsi="Times New Roman"/>
          <w:sz w:val="14"/>
          <w:szCs w:val="14"/>
          <w:color w:val="auto"/>
        </w:rPr>
        <w:t>Although this Policy does not generally apply to the exercise of employee stock options (other than cashless exercises as described below), it does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apply to the sale of Class A Common Stock received upon exercise. This Policy applies however to the sale as part of a broker-assisted cashless exercise of a stock option and the market sale for the purpose of raising cash to fund the exercise of an option. This Policy also applies to the following elections under a 401(k) plan (if and when the Company makes Company securities an investment alternative under our 401(k) plan):</w:t>
      </w:r>
    </w:p>
    <w:p>
      <w:pPr>
        <w:spacing w:after="0" w:line="107" w:lineRule="exact"/>
        <w:rPr>
          <w:sz w:val="20"/>
          <w:szCs w:val="20"/>
          <w:color w:val="auto"/>
        </w:rPr>
      </w:pPr>
    </w:p>
    <w:p>
      <w:pPr>
        <w:ind w:left="640" w:hanging="204"/>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or decreasing periodic contributions allocated to the purchase of Company securities;</w:t>
      </w:r>
    </w:p>
    <w:p>
      <w:pPr>
        <w:sectPr>
          <w:pgSz w:w="11900" w:h="16838" w:orient="portrait"/>
          <w:cols w:equalWidth="0" w:num="1">
            <w:col w:w="11160"/>
          </w:cols>
          <w:pgMar w:left="360" w:top="1138" w:right="379" w:bottom="1440" w:gutter="0" w:footer="0" w:header="0"/>
        </w:sectPr>
      </w:pPr>
    </w:p>
    <w:bookmarkStart w:id="148" w:name="page149"/>
    <w:bookmarkEnd w:id="148"/>
    <w:p>
      <w:pPr>
        <w:ind w:left="640" w:hanging="205"/>
        <w:spacing w:after="0"/>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intra-plan transfers of an existing balance in or out of Company securities;</w:t>
      </w:r>
    </w:p>
    <w:p>
      <w:pPr>
        <w:spacing w:after="0" w:line="163"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borrowing money against the account if the loan results in the liquidation of any portion of Company securities; and</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pre-paying a loan if the pre-payment results in allocation of the proceeds to Company securities.</w:t>
      </w:r>
    </w:p>
    <w:p>
      <w:pPr>
        <w:spacing w:after="0" w:line="152"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4"/>
          <w:szCs w:val="14"/>
          <w:i w:val="1"/>
          <w:iCs w:val="1"/>
          <w:color w:val="auto"/>
        </w:rPr>
        <w:t>Confidentiality Obligations</w:t>
      </w:r>
      <w:r>
        <w:rPr>
          <w:rFonts w:ascii="Times New Roman" w:cs="Times New Roman" w:eastAsia="Times New Roman" w:hAnsi="Times New Roman"/>
          <w:sz w:val="14"/>
          <w:szCs w:val="14"/>
          <w:color w:val="auto"/>
        </w:rPr>
        <w:t>. The restrictions set forth in this Policy are designed to avoid misuse of material nonpublic information in violation of the securities laws. These restrictions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in addition to, and in no way alter, the general obligations that each director, officer and employee of the Company has to maintain the confidentiality of all confidential or proprietary information concerning the Company and its business, as well as any other confidential information, that may be learned in the course of service or employment with the Company. No such information is to be disclosed to any other person in the Company, unless that person has a clear need to know that information, and no such information may be disclosed to any third parties, except as required or otherwise contemplated by your function or position.</w:t>
      </w:r>
    </w:p>
    <w:p>
      <w:pPr>
        <w:spacing w:after="0" w:line="11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4"/>
          <w:szCs w:val="14"/>
          <w:b w:val="1"/>
          <w:bCs w:val="1"/>
          <w:color w:val="auto"/>
        </w:rPr>
        <w:t>IV.</w:t>
      </w:r>
      <w:r>
        <w:rPr>
          <w:sz w:val="20"/>
          <w:szCs w:val="20"/>
          <w:color w:val="auto"/>
        </w:rPr>
        <w:tab/>
      </w:r>
      <w:r>
        <w:rPr>
          <w:rFonts w:ascii="Times New Roman" w:cs="Times New Roman" w:eastAsia="Times New Roman" w:hAnsi="Times New Roman"/>
          <w:sz w:val="14"/>
          <w:szCs w:val="14"/>
          <w:b w:val="1"/>
          <w:bCs w:val="1"/>
          <w:color w:val="auto"/>
        </w:rPr>
        <w:t>Additional Prohibited Transactions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Because we believe it is improper and inappropriate for any person to engage in short- term or speculative transactions involving the Company’s securities, it is the policy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that directors, officers and employees of the Company are prohibited from engaging in any of the following activities with respect to securities of the Company:</w:t>
      </w:r>
    </w:p>
    <w:p>
      <w:pPr>
        <w:spacing w:after="0" w:line="136" w:lineRule="exact"/>
        <w:rPr>
          <w:sz w:val="20"/>
          <w:szCs w:val="20"/>
          <w:color w:val="auto"/>
        </w:rPr>
      </w:pPr>
    </w:p>
    <w:p>
      <w:pPr>
        <w:ind w:left="860" w:right="120" w:hanging="425"/>
        <w:spacing w:after="0" w:line="298" w:lineRule="auto"/>
        <w:tabs>
          <w:tab w:leader="none" w:pos="86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selling stock you do not own and borrowing the shares to make delivery). The SEC effectively prohibits directors and officers from selling Company securities short. This Policy is simply expanding this prohibition to cover all employees.</w:t>
      </w:r>
    </w:p>
    <w:p>
      <w:pPr>
        <w:spacing w:after="0" w:line="97" w:lineRule="exact"/>
        <w:rPr>
          <w:rFonts w:ascii="Times New Roman" w:cs="Times New Roman" w:eastAsia="Times New Roman" w:hAnsi="Times New Roman"/>
          <w:sz w:val="14"/>
          <w:szCs w:val="14"/>
          <w:color w:val="auto"/>
        </w:rPr>
      </w:pPr>
    </w:p>
    <w:p>
      <w:pPr>
        <w:ind w:left="860" w:right="360" w:hanging="425"/>
        <w:spacing w:after="0" w:line="295" w:lineRule="auto"/>
        <w:tabs>
          <w:tab w:leader="none" w:pos="86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Publicly traded options. You may not engage in transactions in publicly traded options in the Company’s securities, such as puts, calls and other derivative securities, on an exchange or in any other organized market.</w:t>
      </w:r>
    </w:p>
    <w:p>
      <w:pPr>
        <w:spacing w:after="0" w:line="90" w:lineRule="exact"/>
        <w:rPr>
          <w:rFonts w:ascii="Times New Roman" w:cs="Times New Roman" w:eastAsia="Times New Roman" w:hAnsi="Times New Roman"/>
          <w:sz w:val="14"/>
          <w:szCs w:val="14"/>
          <w:color w:val="auto"/>
        </w:rPr>
      </w:pPr>
    </w:p>
    <w:p>
      <w:pPr>
        <w:ind w:left="860" w:hanging="425"/>
        <w:spacing w:after="0" w:line="275" w:lineRule="auto"/>
        <w:tabs>
          <w:tab w:leader="none" w:pos="86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Standing orders. Standing orders regarding the Company’s securities should be used only for a very brief period of time. A standing order placed with a broker to sell or purchase stock at a specified price leaves you with no control over the timing of the transaction. A standing order transaction executed by the broker when you are aware of material nonpublic information may result in unlawful securities trading. This restriction does not apply to purchase and sales under a Rule 10b5-1 trading plan discussed in Part VII.</w:t>
      </w:r>
    </w:p>
    <w:p>
      <w:pPr>
        <w:spacing w:after="0" w:line="110" w:lineRule="exact"/>
        <w:rPr>
          <w:rFonts w:ascii="Times New Roman" w:cs="Times New Roman" w:eastAsia="Times New Roman" w:hAnsi="Times New Roman"/>
          <w:sz w:val="14"/>
          <w:szCs w:val="14"/>
          <w:color w:val="auto"/>
        </w:rPr>
      </w:pPr>
    </w:p>
    <w:p>
      <w:pPr>
        <w:ind w:left="420" w:hanging="417"/>
        <w:spacing w:after="0"/>
        <w:tabs>
          <w:tab w:leader="none" w:pos="420"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Blackout Periods – For Directors, Executive Officers, and Employees and Certain Other Personnel</w:t>
      </w:r>
    </w:p>
    <w:p>
      <w:pPr>
        <w:spacing w:after="0" w:line="156" w:lineRule="exact"/>
        <w:rPr>
          <w:sz w:val="20"/>
          <w:szCs w:val="20"/>
          <w:color w:val="auto"/>
        </w:rPr>
      </w:pPr>
    </w:p>
    <w:p>
      <w:pPr>
        <w:ind w:right="320" w:firstLine="432"/>
        <w:spacing w:after="0" w:line="295" w:lineRule="auto"/>
        <w:rPr>
          <w:sz w:val="20"/>
          <w:szCs w:val="20"/>
          <w:color w:val="auto"/>
        </w:rPr>
      </w:pPr>
      <w:r>
        <w:rPr>
          <w:rFonts w:ascii="Times New Roman" w:cs="Times New Roman" w:eastAsia="Times New Roman" w:hAnsi="Times New Roman"/>
          <w:sz w:val="14"/>
          <w:szCs w:val="14"/>
          <w:color w:val="auto"/>
        </w:rPr>
        <w:t>The Company’s announcement of quarterly financial results has the potential to have a material impact on the market for the Company’s securities. Therefore, in order to avoid any appearance that its directors, officers, employees and other insiders are trading while aware of</w:t>
      </w:r>
    </w:p>
    <w:p>
      <w:pPr>
        <w:sectPr>
          <w:pgSz w:w="11900" w:h="16838" w:orient="portrait"/>
          <w:cols w:equalWidth="0" w:num="1">
            <w:col w:w="11100"/>
          </w:cols>
          <w:pgMar w:left="360" w:top="1138" w:right="439" w:bottom="1440" w:gutter="0" w:footer="0" w:header="0"/>
        </w:sectPr>
      </w:pPr>
    </w:p>
    <w:bookmarkStart w:id="149" w:name="page150"/>
    <w:bookmarkEnd w:id="149"/>
    <w:p>
      <w:pPr>
        <w:spacing w:after="0" w:line="309" w:lineRule="auto"/>
        <w:rPr>
          <w:sz w:val="20"/>
          <w:szCs w:val="20"/>
          <w:color w:val="auto"/>
        </w:rPr>
      </w:pPr>
      <w:r>
        <w:rPr>
          <w:rFonts w:ascii="Times New Roman" w:cs="Times New Roman" w:eastAsia="Times New Roman" w:hAnsi="Times New Roman"/>
          <w:sz w:val="14"/>
          <w:szCs w:val="14"/>
          <w:color w:val="auto"/>
        </w:rPr>
        <w:t>material nonpublic information, all directors, executive officers, employees, and certain other persons who are likely to have access to material nonpublic information about the Company will be subject to quarterly blackouts on trading.</w:t>
      </w:r>
    </w:p>
    <w:p>
      <w:pPr>
        <w:spacing w:after="0" w:line="78" w:lineRule="exact"/>
        <w:rPr>
          <w:sz w:val="20"/>
          <w:szCs w:val="20"/>
          <w:color w:val="auto"/>
        </w:rPr>
      </w:pPr>
    </w:p>
    <w:p>
      <w:pPr>
        <w:ind w:right="120" w:firstLine="432"/>
        <w:spacing w:after="0" w:line="271" w:lineRule="auto"/>
        <w:rPr>
          <w:sz w:val="20"/>
          <w:szCs w:val="20"/>
          <w:color w:val="auto"/>
        </w:rPr>
      </w:pPr>
      <w:r>
        <w:rPr>
          <w:rFonts w:ascii="Times New Roman" w:cs="Times New Roman" w:eastAsia="Times New Roman" w:hAnsi="Times New Roman"/>
          <w:sz w:val="14"/>
          <w:szCs w:val="14"/>
          <w:color w:val="auto"/>
        </w:rPr>
        <w:t>The Company has established the following “</w:t>
      </w:r>
      <w:r>
        <w:rPr>
          <w:rFonts w:ascii="Times New Roman" w:cs="Times New Roman" w:eastAsia="Times New Roman" w:hAnsi="Times New Roman"/>
          <w:sz w:val="14"/>
          <w:szCs w:val="14"/>
          <w:u w:val="single" w:color="auto"/>
          <w:color w:val="auto"/>
        </w:rPr>
        <w:t>blackout periods</w:t>
      </w:r>
      <w:r>
        <w:rPr>
          <w:rFonts w:ascii="Times New Roman" w:cs="Times New Roman" w:eastAsia="Times New Roman" w:hAnsi="Times New Roman"/>
          <w:sz w:val="14"/>
          <w:szCs w:val="14"/>
          <w:color w:val="auto"/>
        </w:rPr>
        <w:t xml:space="preserve">” in relation to the publication of its annual and quarterly results: </w:t>
      </w:r>
      <w:r>
        <w:rPr>
          <w:rFonts w:ascii="Times New Roman" w:cs="Times New Roman" w:eastAsia="Times New Roman" w:hAnsi="Times New Roman"/>
          <w:sz w:val="14"/>
          <w:szCs w:val="14"/>
          <w:b w:val="1"/>
          <w:bCs w:val="1"/>
          <w:color w:val="auto"/>
        </w:rPr>
        <w:t>(a) the period beginning at the end of its fiscal year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and ending on and including the first full trading day following the release of the Company’s earnings for that year; (b) the period beginning at the end of each of its fiscal quarters and ending on and including the first full trading day following the release of the Company’s earnings for that quarter; and (c) for directors and executive officers, to the extent and during the periods as the Responsible Officer or his or her designee may direct, including as required by Section 306 of the Sarbanes-Oxley Act of 2002 or its implementing regulations.</w:t>
      </w:r>
    </w:p>
    <w:p>
      <w:pPr>
        <w:spacing w:after="0" w:line="281" w:lineRule="exact"/>
        <w:rPr>
          <w:sz w:val="20"/>
          <w:szCs w:val="20"/>
          <w:color w:val="auto"/>
        </w:rPr>
      </w:pPr>
    </w:p>
    <w:p>
      <w:pPr>
        <w:ind w:right="480" w:firstLine="432"/>
        <w:spacing w:after="0" w:line="298" w:lineRule="auto"/>
        <w:rPr>
          <w:sz w:val="20"/>
          <w:szCs w:val="20"/>
          <w:color w:val="auto"/>
        </w:rPr>
      </w:pPr>
      <w:r>
        <w:rPr>
          <w:rFonts w:ascii="Times New Roman" w:cs="Times New Roman" w:eastAsia="Times New Roman" w:hAnsi="Times New Roman"/>
          <w:sz w:val="14"/>
          <w:szCs w:val="14"/>
          <w:color w:val="auto"/>
        </w:rPr>
        <w:t xml:space="preserve">During these blackout periods, the following persons and their Related Parties are </w:t>
      </w:r>
      <w:r>
        <w:rPr>
          <w:rFonts w:ascii="Times New Roman" w:cs="Times New Roman" w:eastAsia="Times New Roman" w:hAnsi="Times New Roman"/>
          <w:sz w:val="14"/>
          <w:szCs w:val="14"/>
          <w:b w:val="1"/>
          <w:bCs w:val="1"/>
          <w:u w:val="single" w:color="auto"/>
          <w:color w:val="auto"/>
        </w:rPr>
        <w:t>prohibited</w:t>
      </w:r>
      <w:r>
        <w:rPr>
          <w:rFonts w:ascii="Times New Roman" w:cs="Times New Roman" w:eastAsia="Times New Roman" w:hAnsi="Times New Roman"/>
          <w:sz w:val="14"/>
          <w:szCs w:val="14"/>
          <w:color w:val="auto"/>
        </w:rPr>
        <w:t xml:space="preserve"> from effecting transactions in securities of the Company (except as otherwise expressly provided below):</w:t>
      </w:r>
    </w:p>
    <w:p>
      <w:pPr>
        <w:spacing w:after="0" w:line="88" w:lineRule="exact"/>
        <w:rPr>
          <w:sz w:val="20"/>
          <w:szCs w:val="20"/>
          <w:color w:val="auto"/>
        </w:rPr>
      </w:pPr>
    </w:p>
    <w:p>
      <w:pPr>
        <w:ind w:left="1080" w:hanging="212"/>
        <w:spacing w:after="0"/>
        <w:tabs>
          <w:tab w:leader="none" w:pos="108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directors and their secretaries and other assistants;</w:t>
      </w:r>
    </w:p>
    <w:p>
      <w:pPr>
        <w:spacing w:after="0" w:line="154" w:lineRule="exact"/>
        <w:rPr>
          <w:rFonts w:ascii="Times New Roman" w:cs="Times New Roman" w:eastAsia="Times New Roman" w:hAnsi="Times New Roman"/>
          <w:sz w:val="12"/>
          <w:szCs w:val="12"/>
          <w:color w:val="auto"/>
        </w:rPr>
      </w:pPr>
    </w:p>
    <w:p>
      <w:pPr>
        <w:ind w:left="1080" w:hanging="213"/>
        <w:spacing w:after="0"/>
        <w:tabs>
          <w:tab w:leader="none" w:pos="108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executive officers, any other officer who has an obligation to file reports under Section 16 of the Exchange Act, and their secretaries and other assistants;</w:t>
      </w:r>
    </w:p>
    <w:p>
      <w:pPr>
        <w:spacing w:after="0" w:line="154" w:lineRule="exact"/>
        <w:rPr>
          <w:rFonts w:ascii="Times New Roman" w:cs="Times New Roman" w:eastAsia="Times New Roman" w:hAnsi="Times New Roman"/>
          <w:sz w:val="12"/>
          <w:szCs w:val="12"/>
          <w:color w:val="auto"/>
        </w:rPr>
      </w:pPr>
    </w:p>
    <w:p>
      <w:pPr>
        <w:ind w:left="1080" w:hanging="212"/>
        <w:spacing w:after="0"/>
        <w:tabs>
          <w:tab w:leader="none" w:pos="108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employees; and</w:t>
      </w:r>
    </w:p>
    <w:p>
      <w:pPr>
        <w:spacing w:after="0" w:line="109" w:lineRule="exact"/>
        <w:rPr>
          <w:rFonts w:ascii="Times New Roman" w:cs="Times New Roman" w:eastAsia="Times New Roman" w:hAnsi="Times New Roman"/>
          <w:sz w:val="12"/>
          <w:szCs w:val="12"/>
          <w:color w:val="auto"/>
        </w:rPr>
      </w:pPr>
    </w:p>
    <w:p>
      <w:pPr>
        <w:ind w:left="1220" w:hanging="352"/>
        <w:spacing w:after="0"/>
        <w:tabs>
          <w:tab w:leader="none" w:pos="122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any other person designated by the Responsible Officer or his or her designee. You should be aware that the blackout periods described above may be modified by the</w:t>
      </w:r>
    </w:p>
    <w:p>
      <w:pPr>
        <w:spacing w:after="0" w:line="10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4"/>
          <w:szCs w:val="14"/>
          <w:color w:val="auto"/>
        </w:rPr>
        <w:t>Company at any time. In addition, the Company may from time to time determine that effecting transactions in securities of the Company is inappropriate at a time that is outside the blackout periods and, accordingly, may notify you of additional blackout periods at any time. For example, a short blackout period may be imposed shortly before issuance of interim earnings guidance. Those subject to blackout period requirements will receive notice of any modification by the Company of the blackout period policy or of any additional prohibition on trading during a non-blackout period. Persons subject to the blackout period restrictions who terminate their employment with the Company during a blackout period will remain subject to the restrictions until the end of such period.</w:t>
      </w:r>
    </w:p>
    <w:p>
      <w:pPr>
        <w:spacing w:after="0" w:line="109" w:lineRule="exact"/>
        <w:rPr>
          <w:sz w:val="20"/>
          <w:szCs w:val="20"/>
          <w:color w:val="auto"/>
        </w:rPr>
      </w:pPr>
    </w:p>
    <w:p>
      <w:pPr>
        <w:ind w:right="100" w:firstLine="432"/>
        <w:spacing w:after="0" w:line="268" w:lineRule="auto"/>
        <w:rPr>
          <w:sz w:val="20"/>
          <w:szCs w:val="20"/>
          <w:color w:val="auto"/>
        </w:rPr>
      </w:pPr>
      <w:r>
        <w:rPr>
          <w:rFonts w:ascii="Times New Roman" w:cs="Times New Roman" w:eastAsia="Times New Roman" w:hAnsi="Times New Roman"/>
          <w:sz w:val="14"/>
          <w:szCs w:val="14"/>
          <w:color w:val="auto"/>
        </w:rPr>
        <w:t>The prohibition described in this Part V shall not apply to gifts of Company securities and contributions of Company securities to a trust (so long as the requirements of Part VI below are complied with, if applicable). The Responsible Officer or his or her designee may, on a case- by-case basis, authorize effecting a transaction in Company securities during a blackout period if the person who wishes to effect such a transaction (i) has, at least two business days prior to the anticipated transaction date, notified the Company in writing of the circumstances and the amount and nature of the proposed transaction and (ii) has certified to the Company that he or she is not in possession of material nonpublic information concerning the Company.</w:t>
      </w:r>
    </w:p>
    <w:p>
      <w:pPr>
        <w:sectPr>
          <w:pgSz w:w="11900" w:h="16838" w:orient="portrait"/>
          <w:cols w:equalWidth="0" w:num="1">
            <w:col w:w="11160"/>
          </w:cols>
          <w:pgMar w:left="360" w:top="1138" w:right="379" w:bottom="1440" w:gutter="0" w:footer="0" w:header="0"/>
        </w:sectPr>
      </w:pPr>
    </w:p>
    <w:bookmarkStart w:id="150" w:name="page151"/>
    <w:bookmarkEnd w:id="150"/>
    <w:p>
      <w:pPr>
        <w:ind w:left="440"/>
        <w:spacing w:after="0"/>
        <w:rPr>
          <w:sz w:val="20"/>
          <w:szCs w:val="20"/>
          <w:color w:val="auto"/>
        </w:rPr>
      </w:pPr>
      <w:r>
        <w:rPr>
          <w:rFonts w:ascii="Times New Roman" w:cs="Times New Roman" w:eastAsia="Times New Roman" w:hAnsi="Times New Roman"/>
          <w:sz w:val="14"/>
          <w:szCs w:val="14"/>
          <w:color w:val="auto"/>
        </w:rPr>
        <w:t>See Part VI below for the principles applicable to transactions under Rule 10b5-1 plans.</w:t>
      </w:r>
    </w:p>
    <w:p>
      <w:pPr>
        <w:spacing w:after="0" w:line="16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b w:val="1"/>
          <w:bCs w:val="1"/>
          <w:color w:val="auto"/>
        </w:rPr>
        <w:t>VI.</w:t>
      </w:r>
      <w:r>
        <w:rPr>
          <w:sz w:val="20"/>
          <w:szCs w:val="20"/>
          <w:color w:val="auto"/>
        </w:rPr>
        <w:tab/>
      </w:r>
      <w:r>
        <w:rPr>
          <w:rFonts w:ascii="Times New Roman" w:cs="Times New Roman" w:eastAsia="Times New Roman" w:hAnsi="Times New Roman"/>
          <w:sz w:val="14"/>
          <w:szCs w:val="14"/>
          <w:b w:val="1"/>
          <w:bCs w:val="1"/>
          <w:color w:val="auto"/>
        </w:rPr>
        <w:t>Pre-Clearance of Securities Transactions</w:t>
      </w:r>
    </w:p>
    <w:p>
      <w:pPr>
        <w:spacing w:after="0" w:line="156" w:lineRule="exact"/>
        <w:rPr>
          <w:sz w:val="20"/>
          <w:szCs w:val="20"/>
          <w:color w:val="auto"/>
        </w:rPr>
      </w:pPr>
    </w:p>
    <w:p>
      <w:pPr>
        <w:ind w:firstLine="432"/>
        <w:spacing w:after="0" w:line="275" w:lineRule="auto"/>
        <w:rPr>
          <w:sz w:val="20"/>
          <w:szCs w:val="20"/>
          <w:color w:val="auto"/>
        </w:rPr>
      </w:pPr>
      <w:r>
        <w:rPr>
          <w:rFonts w:ascii="Times New Roman" w:cs="Times New Roman" w:eastAsia="Times New Roman" w:hAnsi="Times New Roman"/>
          <w:sz w:val="14"/>
          <w:szCs w:val="14"/>
          <w:color w:val="auto"/>
        </w:rPr>
        <w:t>To provide assistance in preventing inadvertent violations of the law (which could result for example, from failure by directors and officers subject to reporting obligations under Section 16 of the Exchange Act) and avoiding even the appearance of an improper transaction (which could result, for example, where an officer engages in a trade while unaware of a pending major development), we are implementing the following procedure:</w:t>
      </w:r>
    </w:p>
    <w:p>
      <w:pPr>
        <w:spacing w:after="0" w:line="102" w:lineRule="exact"/>
        <w:rPr>
          <w:sz w:val="20"/>
          <w:szCs w:val="20"/>
          <w:color w:val="auto"/>
        </w:rPr>
      </w:pPr>
    </w:p>
    <w:p>
      <w:pPr>
        <w:ind w:right="260" w:firstLine="432"/>
        <w:spacing w:after="0" w:line="312" w:lineRule="auto"/>
        <w:rPr>
          <w:sz w:val="20"/>
          <w:szCs w:val="20"/>
          <w:color w:val="auto"/>
        </w:rPr>
      </w:pPr>
      <w:r>
        <w:rPr>
          <w:rFonts w:ascii="Times New Roman" w:cs="Times New Roman" w:eastAsia="Times New Roman" w:hAnsi="Times New Roman"/>
          <w:sz w:val="14"/>
          <w:szCs w:val="14"/>
          <w:b w:val="1"/>
          <w:bCs w:val="1"/>
          <w:color w:val="auto"/>
        </w:rPr>
        <w:t>All transactions in securities of the Company by the following persons and their immediate family members and other members of their household must be pre-cleared with the Company’s Responsible Officer or his or her designee:</w:t>
      </w:r>
    </w:p>
    <w:p>
      <w:pPr>
        <w:spacing w:after="0" w:line="76" w:lineRule="exact"/>
        <w:rPr>
          <w:sz w:val="20"/>
          <w:szCs w:val="20"/>
          <w:color w:val="auto"/>
        </w:rPr>
      </w:pPr>
    </w:p>
    <w:p>
      <w:pPr>
        <w:ind w:left="1080" w:hanging="213"/>
        <w:spacing w:after="0"/>
        <w:tabs>
          <w:tab w:leader="none" w:pos="10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directors and their secretaries and other assistants;</w:t>
      </w:r>
    </w:p>
    <w:p>
      <w:pPr>
        <w:spacing w:after="0" w:line="154" w:lineRule="exact"/>
        <w:rPr>
          <w:rFonts w:ascii="Times New Roman" w:cs="Times New Roman" w:eastAsia="Times New Roman" w:hAnsi="Times New Roman"/>
          <w:sz w:val="14"/>
          <w:szCs w:val="14"/>
          <w:color w:val="auto"/>
        </w:rPr>
      </w:pPr>
    </w:p>
    <w:p>
      <w:pPr>
        <w:ind w:left="1080" w:hanging="213"/>
        <w:spacing w:after="0"/>
        <w:tabs>
          <w:tab w:leader="none" w:pos="10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executive officers, any other officer who has an obligation to file reports under Section 16 of the Exchange Act, and their secretaries and other assistants; and</w:t>
      </w:r>
    </w:p>
    <w:p>
      <w:pPr>
        <w:spacing w:after="0" w:line="154" w:lineRule="exact"/>
        <w:rPr>
          <w:rFonts w:ascii="Times New Roman" w:cs="Times New Roman" w:eastAsia="Times New Roman" w:hAnsi="Times New Roman"/>
          <w:sz w:val="14"/>
          <w:szCs w:val="14"/>
          <w:color w:val="auto"/>
        </w:rPr>
      </w:pPr>
    </w:p>
    <w:p>
      <w:pPr>
        <w:ind w:left="1080" w:hanging="213"/>
        <w:spacing w:after="0"/>
        <w:tabs>
          <w:tab w:leader="none" w:pos="10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any other person designated by the Responsible Officer or his or her designee.</w:t>
      </w:r>
    </w:p>
    <w:p>
      <w:pPr>
        <w:spacing w:after="0" w:line="154" w:lineRule="exact"/>
        <w:rPr>
          <w:sz w:val="20"/>
          <w:szCs w:val="20"/>
          <w:color w:val="auto"/>
        </w:rPr>
      </w:pPr>
    </w:p>
    <w:p>
      <w:pPr>
        <w:jc w:val="both"/>
        <w:ind w:right="20" w:firstLine="432"/>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Persons subject to these restrictions should contact the Responsible Officer or his or her designee </w:t>
      </w:r>
      <w:r>
        <w:rPr>
          <w:rFonts w:ascii="Times New Roman" w:cs="Times New Roman" w:eastAsia="Times New Roman" w:hAnsi="Times New Roman"/>
          <w:sz w:val="14"/>
          <w:szCs w:val="14"/>
          <w:b w:val="1"/>
          <w:bCs w:val="1"/>
          <w:u w:val="single" w:color="auto"/>
          <w:color w:val="auto"/>
        </w:rPr>
        <w:t>at least two business days (or such shorter period as the Responsible Officer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or his or her designee may determine) in advance</w:t>
      </w:r>
      <w:r>
        <w:rPr>
          <w:rFonts w:ascii="Times New Roman" w:cs="Times New Roman" w:eastAsia="Times New Roman" w:hAnsi="Times New Roman"/>
          <w:sz w:val="14"/>
          <w:szCs w:val="14"/>
          <w:b w:val="1"/>
          <w:bCs w:val="1"/>
          <w:color w:val="auto"/>
        </w:rPr>
        <w:t xml:space="preserve"> and may not effect any transaction subject to the pre-clearance request unless given clearance to do so, which clearance, if granted, will be valid only for five business days following the approval date. If a transaction for which clearance has been granted is not effected (i.e., the trade is not placed) within such five business day period, the transaction must again be pre-cleared.</w:t>
      </w:r>
    </w:p>
    <w:p>
      <w:pPr>
        <w:spacing w:after="0" w:line="107" w:lineRule="exact"/>
        <w:rPr>
          <w:sz w:val="20"/>
          <w:szCs w:val="20"/>
          <w:color w:val="auto"/>
        </w:rPr>
      </w:pPr>
    </w:p>
    <w:p>
      <w:pPr>
        <w:ind w:right="220" w:firstLine="432"/>
        <w:spacing w:after="0" w:line="268" w:lineRule="auto"/>
        <w:rPr>
          <w:sz w:val="20"/>
          <w:szCs w:val="20"/>
          <w:color w:val="auto"/>
        </w:rPr>
      </w:pPr>
      <w:r>
        <w:rPr>
          <w:rFonts w:ascii="Times New Roman" w:cs="Times New Roman" w:eastAsia="Times New Roman" w:hAnsi="Times New Roman"/>
          <w:sz w:val="14"/>
          <w:szCs w:val="14"/>
          <w:color w:val="auto"/>
        </w:rPr>
        <w:t>To the extent that a material event or development affecting the Company remains nonpublic, persons subject to pre-clearance will not be given permission to effect transactions in securities of the Company. Such persons may not be informed of the reason why they may not trade. Any person that is made aware of the reason for an event-specific prohibition on trading should in no event disclose the reason for the prohibition to third parties and should avoid disclosing the existence of the prohibition, if possible. Caution should be exercised when telling a broker or other person who suggested a trade that the trade cannot be effected at the time.</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Note that the pre-clearance procedures may delay the disposition of any security after it is purchased.</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See Part VII below for the principles applicable to transactions under Rule 10b5-1 plans.</w:t>
      </w:r>
    </w:p>
    <w:p>
      <w:pPr>
        <w:spacing w:after="0" w:line="15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b w:val="1"/>
          <w:bCs w:val="1"/>
          <w:color w:val="auto"/>
        </w:rPr>
        <w:t>VII.</w:t>
        <w:tab/>
        <w:t>10b5-1 Plans.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SEC has adopted a safe harbor rule, Rule 10b5-1, which provides a defense against insider trading liability for trades that are effected pursuant to a pre-arranged trading plan that</w:t>
      </w:r>
    </w:p>
    <w:p>
      <w:pPr>
        <w:sectPr>
          <w:pgSz w:w="11900" w:h="16838" w:orient="portrait"/>
          <w:cols w:equalWidth="0" w:num="1">
            <w:col w:w="11120"/>
          </w:cols>
          <w:pgMar w:left="360" w:top="1138" w:right="4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color w:val="auto"/>
        </w:rPr>
        <w:t>meets specified conditions. The trading plan must be properly documented and all of the procedural conditions of the Rule must be satisfied to avoid liability.</w:t>
      </w:r>
    </w:p>
    <w:p>
      <w:pPr>
        <w:spacing w:after="0" w:line="163"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4"/>
          <w:szCs w:val="14"/>
          <w:color w:val="auto"/>
        </w:rPr>
        <w:t>Rule 10b5-1 plans allow transactions for the account of an insider to occur during blackout periods or while the insider has material nonpublic information provided the insider has previously given instructions or other control to effect pre-planned transactions in securities of the Company to a third party. The insider must establish the plan at a time when he or she is not in possession of material nonpublic information and the insider may not exercise any subsequent influence over how, when or whether to effect transactions. In addition to other specified conditions, a Rule 10b5-1 plan would specify in writing in advance the amount and price of the securities to be sold and the date for the sale (or a formula for determining the amount, price and date) or would otherwise not permit the insider to exercise any subsequent influence over how, when or whether to effect the sales. After adopting a valid Rule 10b5-1 plan, the insider will have an affirmative defense that a sale under the plan was not made “on the basis of” material nonpublic information.</w:t>
      </w:r>
    </w:p>
    <w:p>
      <w:pPr>
        <w:spacing w:after="0" w:line="112" w:lineRule="exact"/>
        <w:rPr>
          <w:sz w:val="20"/>
          <w:szCs w:val="20"/>
          <w:color w:val="auto"/>
        </w:rPr>
      </w:pPr>
    </w:p>
    <w:p>
      <w:pPr>
        <w:ind w:right="120" w:firstLine="432"/>
        <w:spacing w:after="0" w:line="275" w:lineRule="auto"/>
        <w:rPr>
          <w:sz w:val="20"/>
          <w:szCs w:val="20"/>
          <w:color w:val="auto"/>
        </w:rPr>
      </w:pPr>
      <w:r>
        <w:rPr>
          <w:rFonts w:ascii="Times New Roman" w:cs="Times New Roman" w:eastAsia="Times New Roman" w:hAnsi="Times New Roman"/>
          <w:sz w:val="14"/>
          <w:szCs w:val="14"/>
          <w:color w:val="auto"/>
        </w:rPr>
        <w:t xml:space="preserve">The Company will treat the creation, modification or termination of a pre-planned trading program or arrangement established to meet the requirements of Rule 10b5-1 as a transaction subject to the blackout period rules set forth in Part V of this Policy. Transactions effected pursuant to a properly established Rule 10b5-1 plan however will </w:t>
      </w:r>
      <w:r>
        <w:rPr>
          <w:rFonts w:ascii="Times New Roman" w:cs="Times New Roman" w:eastAsia="Times New Roman" w:hAnsi="Times New Roman"/>
          <w:sz w:val="14"/>
          <w:szCs w:val="14"/>
          <w:u w:val="single" w:color="auto"/>
          <w:color w:val="auto"/>
        </w:rPr>
        <w:t>not</w:t>
      </w:r>
      <w:r>
        <w:rPr>
          <w:rFonts w:ascii="Times New Roman" w:cs="Times New Roman" w:eastAsia="Times New Roman" w:hAnsi="Times New Roman"/>
          <w:sz w:val="14"/>
          <w:szCs w:val="14"/>
          <w:color w:val="auto"/>
        </w:rPr>
        <w:t xml:space="preserve"> be subject to the blackout periods under Part V of this Policy.</w:t>
      </w:r>
    </w:p>
    <w:p>
      <w:pPr>
        <w:spacing w:after="0" w:line="104" w:lineRule="exact"/>
        <w:rPr>
          <w:sz w:val="20"/>
          <w:szCs w:val="20"/>
          <w:color w:val="auto"/>
        </w:rPr>
      </w:pPr>
    </w:p>
    <w:p>
      <w:pPr>
        <w:ind w:right="120" w:firstLine="432"/>
        <w:spacing w:after="0" w:line="272" w:lineRule="auto"/>
        <w:rPr>
          <w:sz w:val="20"/>
          <w:szCs w:val="20"/>
          <w:color w:val="auto"/>
        </w:rPr>
      </w:pPr>
      <w:r>
        <w:rPr>
          <w:rFonts w:ascii="Times New Roman" w:cs="Times New Roman" w:eastAsia="Times New Roman" w:hAnsi="Times New Roman"/>
          <w:sz w:val="14"/>
          <w:szCs w:val="14"/>
          <w:color w:val="auto"/>
        </w:rPr>
        <w:t>The Company will treat the creation, modification or termination of a pre-planned trading program or arrangement established to meet the requirements of Rule 10b5-1 as a transaction subject to pre-clearance under Part VI of this Policy at the time the plan is established, modified or terminated. Persons subject to the pre-clearance policy should coordinate any such plans or arrangements with the Company’s Responsible Officer or his or her designee. Even though each transaction effected under a Rule 10b5-1 plan does not need to be pre-cleared, it nonetheless must be made in accordance with Rule 144 and must be reported on a Form 4 under Section 16 of the Exchange Act.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VIII.  Assistance</w:t>
      </w:r>
    </w:p>
    <w:p>
      <w:pPr>
        <w:spacing w:after="0" w:line="156"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4"/>
          <w:szCs w:val="14"/>
          <w:color w:val="auto"/>
        </w:rPr>
        <w:t>Any person who has any questions about this Policy or about specific transactions may contact the Company’s Responsible Officer or his or her designee. Remember, however, that the ultimate responsibility for adhering to this Policy and avoiding improper transactions rests with you. In this regard, it is imperative that you use your best judgment and to ask before acting if you are unsure.</w:t>
      </w:r>
    </w:p>
    <w:p>
      <w:pPr>
        <w:sectPr>
          <w:pgSz w:w="11900" w:h="16838" w:orient="portrait"/>
          <w:cols w:equalWidth="0" w:num="1">
            <w:col w:w="11140"/>
          </w:cols>
          <w:pgMar w:left="360" w:top="1138" w:right="399" w:bottom="1440" w:gutter="0" w:footer="0" w:header="0"/>
        </w:sectPr>
      </w:pPr>
    </w:p>
    <w:bookmarkStart w:id="152" w:name="page153"/>
    <w:bookmarkEnd w:id="152"/>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STATEMENT OF ACKNOWLEDGMENT</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You are being furnished two copies of this Policy. Please sign one copy below and return it to vTv Therapeutics Inc. at 3980 Premiere Drive, Suite 110, High Point, NC 27265. Attention: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Responsible Officer.</w:t>
      </w:r>
    </w:p>
    <w:p>
      <w:pPr>
        <w:spacing w:after="0" w:line="146" w:lineRule="exact"/>
        <w:rPr>
          <w:sz w:val="20"/>
          <w:szCs w:val="20"/>
          <w:color w:val="auto"/>
        </w:rPr>
      </w:pPr>
    </w:p>
    <w:p>
      <w:pPr>
        <w:ind w:right="800" w:firstLine="432"/>
        <w:spacing w:after="0" w:line="295" w:lineRule="auto"/>
        <w:rPr>
          <w:sz w:val="20"/>
          <w:szCs w:val="20"/>
          <w:color w:val="auto"/>
        </w:rPr>
      </w:pPr>
      <w:r>
        <w:rPr>
          <w:rFonts w:ascii="Times New Roman" w:cs="Times New Roman" w:eastAsia="Times New Roman" w:hAnsi="Times New Roman"/>
          <w:sz w:val="14"/>
          <w:szCs w:val="14"/>
          <w:color w:val="auto"/>
        </w:rPr>
        <w:t>I have read and I understand the vTv Therapeutics Inc. Securities Trading Policy adopted by the Board of Directors on March 12, 2024, and I agree to comply with all of its requirements. I understand that failure to do so can result in termination of employment, among other penalties.</w:t>
      </w:r>
    </w:p>
    <w:p>
      <w:pPr>
        <w:spacing w:after="0" w:line="36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-4445</wp:posOffset>
            </wp:positionV>
            <wp:extent cx="9144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color w:val="auto"/>
        </w:rPr>
        <w:t>Print Above</w:t>
      </w:r>
    </w:p>
    <w:p>
      <w:pPr>
        <w:spacing w:after="0" w:line="32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-4445</wp:posOffset>
            </wp:positionV>
            <wp:extent cx="914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0">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ectPr>
          <w:pgSz w:w="11900" w:h="16838" w:orient="portrait"/>
          <w:cols w:equalWidth="0" w:num="1">
            <w:col w:w="11140"/>
          </w:cols>
          <w:pgMar w:left="360" w:top="1440" w:right="39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2"/>
          <w:szCs w:val="12"/>
          <w:b w:val="1"/>
          <w:bCs w:val="1"/>
          <w:color w:val="auto"/>
        </w:rPr>
        <w:t>Exhibit 21.1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40" w:type="dxa"/>
            <w:vAlign w:val="bottom"/>
          </w:tcPr>
          <w:p>
            <w:pPr>
              <w:spacing w:after="0"/>
              <w:rPr>
                <w:sz w:val="12"/>
                <w:szCs w:val="12"/>
                <w:color w:val="auto"/>
              </w:rPr>
            </w:pPr>
          </w:p>
        </w:tc>
        <w:tc>
          <w:tcPr>
            <w:tcW w:w="8460" w:type="dxa"/>
            <w:vAlign w:val="bottom"/>
            <w:gridSpan w:val="3"/>
          </w:tcPr>
          <w:p>
            <w:pPr>
              <w:ind w:left="2080"/>
              <w:spacing w:after="0"/>
              <w:rPr>
                <w:sz w:val="20"/>
                <w:szCs w:val="20"/>
                <w:color w:val="auto"/>
              </w:rPr>
            </w:pPr>
            <w:r>
              <w:rPr>
                <w:rFonts w:ascii="Times New Roman" w:cs="Times New Roman" w:eastAsia="Times New Roman" w:hAnsi="Times New Roman"/>
                <w:sz w:val="12"/>
                <w:szCs w:val="12"/>
                <w:color w:val="auto"/>
              </w:rPr>
              <w:t>vTv Therapeutics Inc.</w:t>
            </w:r>
          </w:p>
        </w:tc>
      </w:tr>
      <w:tr>
        <w:trPr>
          <w:trHeight w:val="155"/>
        </w:trPr>
        <w:tc>
          <w:tcPr>
            <w:tcW w:w="2840" w:type="dxa"/>
            <w:vAlign w:val="bottom"/>
          </w:tcPr>
          <w:p>
            <w:pPr>
              <w:spacing w:after="0"/>
              <w:rPr>
                <w:sz w:val="13"/>
                <w:szCs w:val="13"/>
                <w:color w:val="auto"/>
              </w:rPr>
            </w:pPr>
          </w:p>
        </w:tc>
        <w:tc>
          <w:tcPr>
            <w:tcW w:w="8460" w:type="dxa"/>
            <w:vAlign w:val="bottom"/>
            <w:gridSpan w:val="3"/>
          </w:tcPr>
          <w:p>
            <w:pPr>
              <w:ind w:left="1720"/>
              <w:spacing w:after="0"/>
              <w:rPr>
                <w:sz w:val="20"/>
                <w:szCs w:val="20"/>
                <w:color w:val="auto"/>
              </w:rPr>
            </w:pPr>
            <w:r>
              <w:rPr>
                <w:rFonts w:ascii="Times New Roman" w:cs="Times New Roman" w:eastAsia="Times New Roman" w:hAnsi="Times New Roman"/>
                <w:sz w:val="12"/>
                <w:szCs w:val="12"/>
                <w:color w:val="auto"/>
              </w:rPr>
              <w:t>Corporate Subsidiaries as of March 10, 2026</w:t>
            </w:r>
          </w:p>
        </w:tc>
      </w:tr>
      <w:tr>
        <w:trPr>
          <w:trHeight w:val="333"/>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Subsidiary</w:t>
            </w:r>
          </w:p>
        </w:tc>
        <w:tc>
          <w:tcPr>
            <w:tcW w:w="27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8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2"/>
                <w:szCs w:val="12"/>
                <w:b w:val="1"/>
                <w:bCs w:val="1"/>
                <w:color w:val="auto"/>
              </w:rPr>
              <w:t>Jurisdiction of Incorporation</w:t>
            </w:r>
          </w:p>
        </w:tc>
      </w:tr>
      <w:tr>
        <w:trPr>
          <w:trHeight w:val="268"/>
        </w:trPr>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vTv Therapeutics LLC</w:t>
            </w:r>
          </w:p>
        </w:tc>
        <w:tc>
          <w:tcPr>
            <w:tcW w:w="2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Delaware</w:t>
            </w:r>
          </w:p>
        </w:tc>
      </w:tr>
    </w:tbl>
    <w:p>
      <w:pPr>
        <w:sectPr>
          <w:pgSz w:w="11900" w:h="16838" w:orient="portrait"/>
          <w:cols w:equalWidth="0" w:num="1">
            <w:col w:w="11300"/>
          </w:cols>
          <w:pgMar w:left="300" w:top="989" w:right="29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24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333333"/>
        </w:rPr>
        <w:t>Consent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We consent to the incorporation by reference in the following Registration Statements:</w:t>
      </w:r>
    </w:p>
    <w:p>
      <w:pPr>
        <w:spacing w:after="0" w:line="78" w:lineRule="exact"/>
        <w:rPr>
          <w:sz w:val="20"/>
          <w:szCs w:val="20"/>
          <w:color w:val="auto"/>
        </w:rPr>
      </w:pPr>
    </w:p>
    <w:p>
      <w:pPr>
        <w:ind w:left="420" w:hanging="212"/>
        <w:spacing w:after="0"/>
        <w:tabs>
          <w:tab w:leader="none" w:pos="4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S-8 No. 333-206335) pertaining to the vTv Therapeutics Inc. 2015 Omnibus Equity Incentive Plan,</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S-3 No. 333-232571) of vTv Therapeutics Inc.;</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S-8 No. 333-240304) of vTv Therapeutics Inc.;</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S-1 No. 333-250934) of vTv Therapeutics Inc.;</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S-3 No. 333-278612) of vTv Therapeutics Inc;</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S-3 No. 333-282290) of vTv Therapeutics Inc.;</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S-8 No. 333-256755) of vTv Therapeutics Inc.;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S-3 No. 333-290709) of vTv Therapeutics Inc.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 xml:space="preserve">of our report dated </w:t>
      </w:r>
      <w:r>
        <w:rPr>
          <w:rFonts w:ascii="Times New Roman" w:cs="Times New Roman" w:eastAsia="Times New Roman" w:hAnsi="Times New Roman"/>
          <w:sz w:val="12"/>
          <w:szCs w:val="12"/>
          <w:color w:val="000000"/>
        </w:rPr>
        <w:t>March 10, 2026</w:t>
      </w:r>
      <w:r>
        <w:rPr>
          <w:rFonts w:ascii="Times New Roman" w:cs="Times New Roman" w:eastAsia="Times New Roman" w:hAnsi="Times New Roman"/>
          <w:sz w:val="12"/>
          <w:szCs w:val="12"/>
          <w:color w:val="333333"/>
        </w:rPr>
        <w:t xml:space="preserve">, with respect to the consolidated financial statements of vTv Therapeutics Inc. included in this Annual Report (Form 10-K) of vTv Therapeutics Inc. for the year ended </w:t>
      </w:r>
      <w:r>
        <w:rPr>
          <w:rFonts w:ascii="Times New Roman" w:cs="Times New Roman" w:eastAsia="Times New Roman" w:hAnsi="Times New Roman"/>
          <w:sz w:val="12"/>
          <w:szCs w:val="12"/>
          <w:color w:val="000000"/>
        </w:rPr>
        <w:t>December 31, 2025</w:t>
      </w:r>
      <w:r>
        <w:rPr>
          <w:rFonts w:ascii="Times New Roman" w:cs="Times New Roman" w:eastAsia="Times New Roman" w:hAnsi="Times New Roman"/>
          <w:sz w:val="12"/>
          <w:szCs w:val="12"/>
          <w:color w:val="333333"/>
        </w:rPr>
        <w:t>.</w:t>
      </w:r>
    </w:p>
    <w:p>
      <w:pPr>
        <w:spacing w:after="0" w:line="33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2"/>
          <w:szCs w:val="12"/>
          <w:color w:val="333333"/>
        </w:rPr>
        <w:t>/s/ Ernst &amp; Young LLP</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Detroit, Michigan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10, 2026</w:t>
      </w:r>
    </w:p>
    <w:p>
      <w:pPr>
        <w:sectPr>
          <w:pgSz w:w="11900" w:h="16838" w:orient="portrait"/>
          <w:cols w:equalWidth="0" w:num="1">
            <w:col w:w="11140"/>
          </w:cols>
          <w:pgMar w:left="300" w:top="863" w:right="45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2"/>
          <w:szCs w:val="12"/>
          <w:color w:val="auto"/>
        </w:rPr>
        <w:t>EXHIBIT 31.1</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302 CERTIFICATION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Paul J. Sekhri, certify that:</w:t>
      </w:r>
    </w:p>
    <w:p>
      <w:pPr>
        <w:spacing w:after="0" w:line="78" w:lineRule="exact"/>
        <w:rPr>
          <w:sz w:val="20"/>
          <w:szCs w:val="20"/>
          <w:color w:val="auto"/>
        </w:rPr>
      </w:pPr>
    </w:p>
    <w:p>
      <w:pPr>
        <w:ind w:left="1280" w:hanging="640"/>
        <w:spacing w:after="0"/>
        <w:tabs>
          <w:tab w:leader="none" w:pos="12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vTv Therapeutics Inc. (the “registrant”);</w:t>
      </w:r>
    </w:p>
    <w:p>
      <w:pPr>
        <w:spacing w:after="0" w:line="78" w:lineRule="exact"/>
        <w:rPr>
          <w:rFonts w:ascii="Times New Roman" w:cs="Times New Roman" w:eastAsia="Times New Roman" w:hAnsi="Times New Roman"/>
          <w:sz w:val="12"/>
          <w:szCs w:val="12"/>
          <w:color w:val="auto"/>
        </w:rPr>
      </w:pPr>
    </w:p>
    <w:p>
      <w:pPr>
        <w:ind w:left="1280" w:hanging="640"/>
        <w:spacing w:after="0" w:line="279" w:lineRule="auto"/>
        <w:tabs>
          <w:tab w:leader="none" w:pos="12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2"/>
          <w:szCs w:val="12"/>
          <w:color w:val="auto"/>
        </w:rPr>
      </w:pPr>
    </w:p>
    <w:p>
      <w:pPr>
        <w:ind w:left="1280" w:right="20" w:hanging="640"/>
        <w:spacing w:after="0" w:line="279" w:lineRule="auto"/>
        <w:tabs>
          <w:tab w:leader="none" w:pos="12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2"/>
          <w:szCs w:val="12"/>
          <w:color w:val="auto"/>
        </w:rPr>
      </w:pPr>
    </w:p>
    <w:p>
      <w:pPr>
        <w:ind w:left="1280" w:hanging="640"/>
        <w:spacing w:after="0" w:line="279" w:lineRule="auto"/>
        <w:tabs>
          <w:tab w:leader="none" w:pos="12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1940" w:right="20" w:hanging="652"/>
        <w:spacing w:after="0" w:line="279" w:lineRule="auto"/>
        <w:tabs>
          <w:tab w:leader="none" w:pos="1936"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6"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2"/>
          <w:szCs w:val="12"/>
          <w:color w:val="auto"/>
        </w:rPr>
      </w:pPr>
    </w:p>
    <w:p>
      <w:pPr>
        <w:ind w:left="1280" w:right="20" w:hanging="640"/>
        <w:spacing w:after="0" w:line="279" w:lineRule="auto"/>
        <w:tabs>
          <w:tab w:leader="none" w:pos="12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1940" w:hanging="652"/>
        <w:spacing w:after="0"/>
        <w:tabs>
          <w:tab w:leader="none" w:pos="1940"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300"/>
          </w:cols>
          <w:pgMar w:left="300" w:top="813" w:right="2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2"/>
          <w:szCs w:val="12"/>
          <w:color w:val="auto"/>
        </w:rPr>
        <w:t>Date: March 10, 2026</w:t>
      </w:r>
    </w:p>
    <w:p>
      <w:pPr>
        <w:spacing w:after="0" w:line="105" w:lineRule="exact"/>
        <w:rPr>
          <w:sz w:val="20"/>
          <w:szCs w:val="20"/>
          <w:color w:val="auto"/>
        </w:rPr>
      </w:pPr>
    </w:p>
    <w:p>
      <w:pPr>
        <w:ind w:left="5480"/>
        <w:spacing w:after="0"/>
        <w:tabs>
          <w:tab w:leader="none" w:pos="60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334327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1">
                      <a:extLst>
                        <a:ext uri="{28A0092B-C50C-407E-A947-70E740481C1C}"/>
                      </a:extLst>
                    </a:blip>
                    <a:srcRect/>
                    <a:stretch>
                      <a:fillRect/>
                    </a:stretch>
                  </pic:blipFill>
                  <pic:spPr bwMode="auto">
                    <a:xfrm>
                      <a:off x="0" y="0"/>
                      <a:ext cx="3343275" cy="5715"/>
                    </a:xfrm>
                    <a:prstGeom prst="rect">
                      <a:avLst/>
                    </a:prstGeom>
                    <a:noFill/>
                  </pic:spPr>
                </pic:pic>
              </a:graphicData>
            </a:graphic>
          </wp:anchor>
        </w:drawing>
      </w:r>
    </w:p>
    <w:p>
      <w:pPr>
        <w:spacing w:after="0" w:line="8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Paul J. Sekhri</w:t>
      </w:r>
    </w:p>
    <w:p>
      <w:pPr>
        <w:spacing w:after="0" w:line="3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1"/>
          <w:szCs w:val="11"/>
          <w:color w:val="auto"/>
        </w:rPr>
        <w:t>President, Chief Executive Officer and Executive Chairperson</w:t>
      </w:r>
    </w:p>
    <w:p>
      <w:pPr>
        <w:sectPr>
          <w:pgSz w:w="11900" w:h="16838" w:orient="portrait"/>
          <w:cols w:equalWidth="0" w:num="1">
            <w:col w:w="10159"/>
          </w:cols>
          <w:pgMar w:left="300" w:top="813" w:right="1440"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2"/>
          <w:szCs w:val="12"/>
          <w:color w:val="auto"/>
        </w:rPr>
        <w:t>EXHIBIT 31.2</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302 CERTIFICATION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Michael Tung, certify that:</w:t>
      </w:r>
    </w:p>
    <w:p>
      <w:pPr>
        <w:spacing w:after="0" w:line="78" w:lineRule="exact"/>
        <w:rPr>
          <w:sz w:val="20"/>
          <w:szCs w:val="20"/>
          <w:color w:val="auto"/>
        </w:rPr>
      </w:pPr>
    </w:p>
    <w:p>
      <w:pPr>
        <w:ind w:left="1280" w:hanging="640"/>
        <w:spacing w:after="0"/>
        <w:tabs>
          <w:tab w:leader="none" w:pos="128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vTv Therapeutics Inc. (the “registrant”);</w:t>
      </w:r>
    </w:p>
    <w:p>
      <w:pPr>
        <w:spacing w:after="0" w:line="78" w:lineRule="exact"/>
        <w:rPr>
          <w:rFonts w:ascii="Times New Roman" w:cs="Times New Roman" w:eastAsia="Times New Roman" w:hAnsi="Times New Roman"/>
          <w:sz w:val="12"/>
          <w:szCs w:val="12"/>
          <w:color w:val="auto"/>
        </w:rPr>
      </w:pPr>
    </w:p>
    <w:p>
      <w:pPr>
        <w:ind w:left="1280" w:hanging="640"/>
        <w:spacing w:after="0" w:line="279" w:lineRule="auto"/>
        <w:tabs>
          <w:tab w:leader="none" w:pos="128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2"/>
          <w:szCs w:val="12"/>
          <w:color w:val="auto"/>
        </w:rPr>
      </w:pPr>
    </w:p>
    <w:p>
      <w:pPr>
        <w:ind w:left="1280" w:right="20" w:hanging="640"/>
        <w:spacing w:after="0" w:line="279" w:lineRule="auto"/>
        <w:tabs>
          <w:tab w:leader="none" w:pos="128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2"/>
          <w:szCs w:val="12"/>
          <w:color w:val="auto"/>
        </w:rPr>
      </w:pPr>
    </w:p>
    <w:p>
      <w:pPr>
        <w:ind w:left="1280" w:hanging="640"/>
        <w:spacing w:after="0" w:line="279" w:lineRule="auto"/>
        <w:tabs>
          <w:tab w:leader="none" w:pos="128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1940" w:right="20" w:hanging="652"/>
        <w:spacing w:after="0" w:line="279" w:lineRule="auto"/>
        <w:tabs>
          <w:tab w:leader="none" w:pos="1936"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1940" w:right="20" w:hanging="652"/>
        <w:spacing w:after="0" w:line="279" w:lineRule="auto"/>
        <w:tabs>
          <w:tab w:leader="none" w:pos="1936"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2"/>
          <w:szCs w:val="12"/>
          <w:color w:val="auto"/>
        </w:rPr>
      </w:pPr>
    </w:p>
    <w:p>
      <w:pPr>
        <w:ind w:left="1280" w:right="20" w:hanging="640"/>
        <w:spacing w:after="0" w:line="279" w:lineRule="auto"/>
        <w:tabs>
          <w:tab w:leader="none" w:pos="128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1940" w:hanging="652"/>
        <w:spacing w:after="0"/>
        <w:tabs>
          <w:tab w:leader="none" w:pos="1940"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10, 2026</w:t>
      </w:r>
    </w:p>
    <w:p>
      <w:pPr>
        <w:spacing w:after="0" w:line="105" w:lineRule="exact"/>
        <w:rPr>
          <w:sz w:val="20"/>
          <w:szCs w:val="20"/>
          <w:color w:val="auto"/>
        </w:rPr>
      </w:pPr>
    </w:p>
    <w:tbl>
      <w:tblPr>
        <w:tblLayout w:type="fixed"/>
        <w:tblInd w:w="548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Michael Tung</w:t>
            </w:r>
          </w:p>
        </w:tc>
      </w:tr>
      <w:tr>
        <w:trPr>
          <w:trHeight w:val="140"/>
        </w:trPr>
        <w:tc>
          <w:tcPr>
            <w:tcW w:w="560" w:type="dxa"/>
            <w:vAlign w:val="bottom"/>
          </w:tcPr>
          <w:p>
            <w:pPr>
              <w:spacing w:after="0"/>
              <w:rPr>
                <w:sz w:val="12"/>
                <w:szCs w:val="12"/>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Michael Tung</w:t>
            </w:r>
          </w:p>
        </w:tc>
      </w:tr>
      <w:tr>
        <w:trPr>
          <w:trHeight w:val="155"/>
        </w:trPr>
        <w:tc>
          <w:tcPr>
            <w:tcW w:w="560" w:type="dxa"/>
            <w:vAlign w:val="bottom"/>
          </w:tcPr>
          <w:p>
            <w:pPr>
              <w:spacing w:after="0"/>
              <w:rPr>
                <w:sz w:val="13"/>
                <w:szCs w:val="13"/>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r>
    </w:tbl>
    <w:p>
      <w:pPr>
        <w:sectPr>
          <w:pgSz w:w="11900" w:h="16838" w:orient="portrait"/>
          <w:cols w:equalWidth="0" w:num="1">
            <w:col w:w="11300"/>
          </w:cols>
          <w:pgMar w:left="300" w:top="813" w:right="29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2"/>
          <w:szCs w:val="12"/>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906 OF THE SARBANES-OXLEY ACT OF 2002</w:t>
      </w:r>
    </w:p>
    <w:p>
      <w:pPr>
        <w:spacing w:after="0" w:line="139" w:lineRule="exact"/>
        <w:rPr>
          <w:sz w:val="20"/>
          <w:szCs w:val="20"/>
          <w:color w:val="auto"/>
        </w:rPr>
      </w:pPr>
    </w:p>
    <w:p>
      <w:pPr>
        <w:ind w:right="20" w:firstLine="648"/>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of vTv Therapeutics Inc. (the “Company”) on Form 10-K for the period ended December 31, 2025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spacing w:after="0" w:line="39" w:lineRule="exact"/>
        <w:rPr>
          <w:sz w:val="20"/>
          <w:szCs w:val="20"/>
          <w:color w:val="auto"/>
        </w:rPr>
      </w:pPr>
    </w:p>
    <w:p>
      <w:pPr>
        <w:ind w:left="1280" w:hanging="640"/>
        <w:spacing w:after="0"/>
        <w:tabs>
          <w:tab w:leader="none" w:pos="128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as applicable, of the Securities Exchange Act of 1934; and</w:t>
      </w:r>
    </w:p>
    <w:p>
      <w:pPr>
        <w:spacing w:after="0" w:line="78" w:lineRule="exact"/>
        <w:rPr>
          <w:rFonts w:ascii="Times New Roman" w:cs="Times New Roman" w:eastAsia="Times New Roman" w:hAnsi="Times New Roman"/>
          <w:sz w:val="12"/>
          <w:szCs w:val="12"/>
          <w:color w:val="auto"/>
        </w:rPr>
      </w:pPr>
    </w:p>
    <w:p>
      <w:pPr>
        <w:ind w:left="1280" w:hanging="640"/>
        <w:spacing w:after="0"/>
        <w:tabs>
          <w:tab w:leader="none" w:pos="128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10, 2026</w:t>
      </w:r>
    </w:p>
    <w:p>
      <w:pPr>
        <w:spacing w:after="0" w:line="186" w:lineRule="exact"/>
        <w:rPr>
          <w:sz w:val="20"/>
          <w:szCs w:val="20"/>
          <w:color w:val="auto"/>
        </w:rPr>
      </w:pPr>
    </w:p>
    <w:p>
      <w:pPr>
        <w:ind w:left="5480"/>
        <w:spacing w:after="0"/>
        <w:tabs>
          <w:tab w:leader="none" w:pos="60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22225</wp:posOffset>
            </wp:positionV>
            <wp:extent cx="334327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2">
                      <a:extLst>
                        <a:ext uri="{28A0092B-C50C-407E-A947-70E740481C1C}"/>
                      </a:extLst>
                    </a:blip>
                    <a:srcRect/>
                    <a:stretch>
                      <a:fillRect/>
                    </a:stretch>
                  </pic:blipFill>
                  <pic:spPr bwMode="auto">
                    <a:xfrm>
                      <a:off x="0" y="0"/>
                      <a:ext cx="3343275" cy="5715"/>
                    </a:xfrm>
                    <a:prstGeom prst="rect">
                      <a:avLst/>
                    </a:prstGeom>
                    <a:noFill/>
                  </pic:spPr>
                </pic:pic>
              </a:graphicData>
            </a:graphic>
          </wp:anchor>
        </w:drawing>
      </w:r>
    </w:p>
    <w:p>
      <w:pPr>
        <w:spacing w:after="0" w:line="10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Paul J. Sekhri</w:t>
      </w:r>
    </w:p>
    <w:p>
      <w:pPr>
        <w:spacing w:after="0" w:line="4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President, Chief Executive Officer and Executive Chairperson</w:t>
      </w:r>
    </w:p>
    <w:p>
      <w:pPr>
        <w:sectPr>
          <w:pgSz w:w="11900" w:h="16838" w:orient="portrait"/>
          <w:cols w:equalWidth="0" w:num="1">
            <w:col w:w="11300"/>
          </w:cols>
          <w:pgMar w:left="300" w:top="813" w:right="29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2"/>
          <w:szCs w:val="12"/>
          <w:color w:val="auto"/>
        </w:rPr>
        <w:t>EXHIBIT 32.2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906 OF THE SARBANES-OXLEY ACT OF 2002</w:t>
      </w:r>
    </w:p>
    <w:p>
      <w:pPr>
        <w:spacing w:after="0" w:line="139" w:lineRule="exact"/>
        <w:rPr>
          <w:sz w:val="20"/>
          <w:szCs w:val="20"/>
          <w:color w:val="auto"/>
        </w:rPr>
      </w:pPr>
    </w:p>
    <w:p>
      <w:pPr>
        <w:ind w:right="20" w:firstLine="648"/>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of vTv Therapeutics Inc. (the “Company”) on Form 10-K for the period ended December 31, 2025 as filed with the Securities and Exchange Commission on the date hereof (the “Report”), I, Michael Tung, certify, pursuant to 18 U.S.C. Section 1350, as adopted pursuant to Section 906 of the Sarbanes-Oxley Act of 2002, in my capacity as an officer of the Company that, to my knowledge:</w:t>
      </w:r>
    </w:p>
    <w:p>
      <w:pPr>
        <w:spacing w:after="0" w:line="39" w:lineRule="exact"/>
        <w:rPr>
          <w:sz w:val="20"/>
          <w:szCs w:val="20"/>
          <w:color w:val="auto"/>
        </w:rPr>
      </w:pPr>
    </w:p>
    <w:p>
      <w:pPr>
        <w:ind w:left="1280" w:hanging="640"/>
        <w:spacing w:after="0"/>
        <w:tabs>
          <w:tab w:leader="none" w:pos="128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78" w:lineRule="exact"/>
        <w:rPr>
          <w:rFonts w:ascii="Times New Roman" w:cs="Times New Roman" w:eastAsia="Times New Roman" w:hAnsi="Times New Roman"/>
          <w:sz w:val="12"/>
          <w:szCs w:val="12"/>
          <w:color w:val="auto"/>
        </w:rPr>
      </w:pPr>
    </w:p>
    <w:p>
      <w:pPr>
        <w:ind w:left="1280" w:hanging="640"/>
        <w:spacing w:after="0"/>
        <w:tabs>
          <w:tab w:leader="none" w:pos="128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10, 2026</w:t>
      </w:r>
    </w:p>
    <w:p>
      <w:pPr>
        <w:spacing w:after="0" w:line="177" w:lineRule="exact"/>
        <w:rPr>
          <w:sz w:val="20"/>
          <w:szCs w:val="20"/>
          <w:color w:val="auto"/>
        </w:rPr>
      </w:pPr>
    </w:p>
    <w:tbl>
      <w:tblPr>
        <w:tblLayout w:type="fixed"/>
        <w:tblInd w:w="548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Michael Tung</w:t>
            </w:r>
          </w:p>
        </w:tc>
      </w:tr>
      <w:tr>
        <w:trPr>
          <w:trHeight w:val="140"/>
        </w:trPr>
        <w:tc>
          <w:tcPr>
            <w:tcW w:w="560" w:type="dxa"/>
            <w:vAlign w:val="bottom"/>
          </w:tcPr>
          <w:p>
            <w:pPr>
              <w:spacing w:after="0"/>
              <w:rPr>
                <w:sz w:val="12"/>
                <w:szCs w:val="12"/>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Michael Tung</w:t>
            </w:r>
          </w:p>
        </w:tc>
      </w:tr>
      <w:tr>
        <w:trPr>
          <w:trHeight w:val="155"/>
        </w:trPr>
        <w:tc>
          <w:tcPr>
            <w:tcW w:w="560" w:type="dxa"/>
            <w:vAlign w:val="bottom"/>
          </w:tcPr>
          <w:p>
            <w:pPr>
              <w:spacing w:after="0"/>
              <w:rPr>
                <w:sz w:val="13"/>
                <w:szCs w:val="13"/>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300"/>
      </w:cols>
      <w:pgMar w:left="300" w:top="81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x"/>
      <w:numFmt w:val="bullet"/>
      <w:start w:val="1"/>
    </w:lvl>
  </w:abstractNum>
  <w:abstractNum w:abstractNumId="1">
    <w:nsid w:val="70A64E2A"/>
    <w:multiLevelType w:val="hybridMultilevel"/>
    <w:lvl w:ilvl="0">
      <w:lvlJc w:val="left"/>
      <w:lvlText w:val="o"/>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bullet"/>
      <w:start w:val="1"/>
    </w:lvl>
  </w:abstractNum>
  <w:abstractNum w:abstractNumId="5">
    <w:nsid w:val="725A06FB"/>
    <w:multiLevelType w:val="hybridMultilevel"/>
    <w:lvl w:ilvl="0">
      <w:lvlJc w:val="left"/>
      <w:lvlText w:val="2"/>
      <w:numFmt w:val="bullet"/>
      <w:start w:val="1"/>
    </w:lvl>
  </w:abstractNum>
  <w:abstractNum w:abstractNumId="6">
    <w:nsid w:val="2CD89A32"/>
    <w:multiLevelType w:val="hybridMultilevel"/>
    <w:lvl w:ilvl="0">
      <w:lvlJc w:val="left"/>
      <w:lvlText w:val="3"/>
      <w:numFmt w:val="bullet"/>
      <w:start w:val="1"/>
    </w:lvl>
  </w:abstractNum>
  <w:abstractNum w:abstractNumId="7">
    <w:nsid w:val="57E4CCAF"/>
    <w:multiLevelType w:val="hybridMultilevel"/>
    <w:lvl w:ilvl="0">
      <w:lvlJc w:val="left"/>
      <w:lvlText w:val="4"/>
      <w:numFmt w:val="bullet"/>
      <w:start w:val="1"/>
    </w:lvl>
  </w:abstractNum>
  <w:abstractNum w:abstractNumId="8">
    <w:nsid w:val="7A6D8D3C"/>
    <w:multiLevelType w:val="hybridMultilevel"/>
    <w:lvl w:ilvl="0">
      <w:lvlJc w:val="left"/>
      <w:lvlText w:val="5"/>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1)"/>
      <w:numFmt w:val="lowerRoman"/>
      <w:start w:val="2"/>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1."/>
      <w:numFmt w:val="upperLetter"/>
      <w:start w:val="9"/>
    </w:lvl>
  </w:abstractNum>
  <w:abstractNum w:abstractNumId="64">
    <w:nsid w:val="661E3F1E"/>
    <w:multiLevelType w:val="hybridMultilevel"/>
    <w:lvl w:ilvl="0">
      <w:lvlJc w:val="left"/>
      <w:lvlText w:val="%1."/>
      <w:numFmt w:val="upperLetter"/>
      <w:start w:val="35"/>
    </w:lvl>
  </w:abstractNum>
  <w:abstractNum w:abstractNumId="65">
    <w:nsid w:val="5DC79EA8"/>
    <w:multiLevelType w:val="hybridMultilevel"/>
    <w:lvl w:ilvl="0">
      <w:lvlJc w:val="left"/>
      <w:lvlText w:val="%1."/>
      <w:numFmt w:val="upperLetter"/>
      <w:start w:val="6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1"/>
      <w:numFmt w:val="upperLetter"/>
      <w:start w:val="1"/>
    </w:lvl>
    <w:lvl w:ilvl="1">
      <w:lvlJc w:val="left"/>
      <w:lvlText w:val="%2."/>
      <w:numFmt w:val="decimal"/>
      <w:start w:val="1"/>
    </w:lvl>
  </w:abstractNum>
  <w:abstractNum w:abstractNumId="74">
    <w:nsid w:val="8F2B15E"/>
    <w:multiLevelType w:val="hybridMultilevel"/>
    <w:lvl w:ilvl="0">
      <w:lvlJc w:val="left"/>
      <w:lvlText w:val="%1."/>
      <w:numFmt w:val="upperLetter"/>
      <w:start w:val="22"/>
    </w:lvl>
    <w:lvl w:ilvl="1">
      <w:lvlJc w:val="left"/>
      <w:lvlText w:val="%2"/>
      <w:numFmt w:val="decimal"/>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png"/><Relationship Id="rId199" Type="http://schemas.openxmlformats.org/officeDocument/2006/relationships/image" Target="media/image162.png"/><Relationship Id="rId208" Type="http://schemas.openxmlformats.org/officeDocument/2006/relationships/image" Target="media/image163.png"/><Relationship Id="rId209" Type="http://schemas.openxmlformats.org/officeDocument/2006/relationships/image" Target="media/image164.png"/><Relationship Id="rId210" Type="http://schemas.openxmlformats.org/officeDocument/2006/relationships/image" Target="media/image165.png"/><Relationship Id="rId211" Type="http://schemas.openxmlformats.org/officeDocument/2006/relationships/image" Target="media/image166.png"/><Relationship Id="rId212" Type="http://schemas.openxmlformats.org/officeDocument/2006/relationships/image" Target="media/image167.png"/><Relationship Id="rId213" Type="http://schemas.openxmlformats.org/officeDocument/2006/relationships/image" Target="media/image168.png"/><Relationship Id="rId214" Type="http://schemas.openxmlformats.org/officeDocument/2006/relationships/image" Target="media/image169.png"/><Relationship Id="rId215" Type="http://schemas.openxmlformats.org/officeDocument/2006/relationships/image" Target="media/image170.png"/><Relationship Id="rId216" Type="http://schemas.openxmlformats.org/officeDocument/2006/relationships/image" Target="media/image171.png"/><Relationship Id="rId217" Type="http://schemas.openxmlformats.org/officeDocument/2006/relationships/image" Target="media/image172.png"/><Relationship Id="rId218" Type="http://schemas.openxmlformats.org/officeDocument/2006/relationships/image" Target="media/image173.png"/><Relationship Id="rId219" Type="http://schemas.openxmlformats.org/officeDocument/2006/relationships/image" Target="media/image174.png"/><Relationship Id="rId220" Type="http://schemas.openxmlformats.org/officeDocument/2006/relationships/image" Target="media/image175.png"/><Relationship Id="rId221" Type="http://schemas.openxmlformats.org/officeDocument/2006/relationships/image" Target="media/image176.png"/><Relationship Id="rId222" Type="http://schemas.openxmlformats.org/officeDocument/2006/relationships/image" Target="media/image177.png"/><Relationship Id="rId223" Type="http://schemas.openxmlformats.org/officeDocument/2006/relationships/image" Target="media/image178.png"/><Relationship Id="rId224" Type="http://schemas.openxmlformats.org/officeDocument/2006/relationships/image" Target="media/image179.png"/><Relationship Id="rId225" Type="http://schemas.openxmlformats.org/officeDocument/2006/relationships/image" Target="media/image180.png"/><Relationship Id="rId226" Type="http://schemas.openxmlformats.org/officeDocument/2006/relationships/image" Target="media/image181.png"/><Relationship Id="rId227" Type="http://schemas.openxmlformats.org/officeDocument/2006/relationships/image" Target="media/image182.png"/><Relationship Id="rId228" Type="http://schemas.openxmlformats.org/officeDocument/2006/relationships/image" Target="media/image183.png"/><Relationship Id="rId229" Type="http://schemas.openxmlformats.org/officeDocument/2006/relationships/image" Target="media/image184.png"/><Relationship Id="rId230" Type="http://schemas.openxmlformats.org/officeDocument/2006/relationships/image" Target="media/image185.png"/><Relationship Id="rId231" Type="http://schemas.openxmlformats.org/officeDocument/2006/relationships/image" Target="media/image186.png"/><Relationship Id="rId232" Type="http://schemas.openxmlformats.org/officeDocument/2006/relationships/image" Target="media/image187.png"/><Relationship Id="rId233" Type="http://schemas.openxmlformats.org/officeDocument/2006/relationships/image" Target="media/image188.png"/><Relationship Id="rId234" Type="http://schemas.openxmlformats.org/officeDocument/2006/relationships/image" Target="media/image189.png"/><Relationship Id="rId235" Type="http://schemas.openxmlformats.org/officeDocument/2006/relationships/image" Target="media/image190.png"/><Relationship Id="rId236" Type="http://schemas.openxmlformats.org/officeDocument/2006/relationships/image" Target="media/image191.png"/><Relationship Id="rId237" Type="http://schemas.openxmlformats.org/officeDocument/2006/relationships/image" Target="media/image192.png"/><Relationship Id="rId238" Type="http://schemas.openxmlformats.org/officeDocument/2006/relationships/image" Target="media/image193.png"/><Relationship Id="rId239" Type="http://schemas.openxmlformats.org/officeDocument/2006/relationships/image" Target="media/image194.png"/><Relationship Id="rId240" Type="http://schemas.openxmlformats.org/officeDocument/2006/relationships/image" Target="media/image195.png"/><Relationship Id="rId241"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jpeg"/><Relationship Id="rId244" Type="http://schemas.openxmlformats.org/officeDocument/2006/relationships/image" Target="media/image199.png"/><Relationship Id="rId245" Type="http://schemas.openxmlformats.org/officeDocument/2006/relationships/image" Target="media/image200.png"/><Relationship Id="rId246" Type="http://schemas.openxmlformats.org/officeDocument/2006/relationships/image" Target="media/image201.png"/><Relationship Id="rId247" Type="http://schemas.openxmlformats.org/officeDocument/2006/relationships/image" Target="media/image202.png"/><Relationship Id="rId248" Type="http://schemas.openxmlformats.org/officeDocument/2006/relationships/image" Target="media/image203.png"/><Relationship Id="rId249" Type="http://schemas.openxmlformats.org/officeDocument/2006/relationships/image" Target="media/image204.png"/><Relationship Id="rId250" Type="http://schemas.openxmlformats.org/officeDocument/2006/relationships/image" Target="media/image205.png"/><Relationship Id="rId251" Type="http://schemas.openxmlformats.org/officeDocument/2006/relationships/image" Target="media/image206.png"/><Relationship Id="rId252" Type="http://schemas.openxmlformats.org/officeDocument/2006/relationships/image" Target="media/image207.png"/><Relationship Id="rId253" Type="http://schemas.openxmlformats.org/officeDocument/2006/relationships/image" Target="media/image208.png"/><Relationship Id="rId254" Type="http://schemas.openxmlformats.org/officeDocument/2006/relationships/image" Target="media/image209.png"/><Relationship Id="rId255" Type="http://schemas.openxmlformats.org/officeDocument/2006/relationships/image" Target="media/image210.png"/><Relationship Id="rId256" Type="http://schemas.openxmlformats.org/officeDocument/2006/relationships/image" Target="media/image211.png"/><Relationship Id="rId257" Type="http://schemas.openxmlformats.org/officeDocument/2006/relationships/image" Target="media/image212.png"/><Relationship Id="rId258" Type="http://schemas.openxmlformats.org/officeDocument/2006/relationships/image" Target="media/image213.png"/><Relationship Id="rId259" Type="http://schemas.openxmlformats.org/officeDocument/2006/relationships/image" Target="media/image214.png"/><Relationship Id="rId260" Type="http://schemas.openxmlformats.org/officeDocument/2006/relationships/image" Target="media/image215.png"/><Relationship Id="rId261" Type="http://schemas.openxmlformats.org/officeDocument/2006/relationships/image" Target="media/image216.png"/><Relationship Id="rId262" Type="http://schemas.openxmlformats.org/officeDocument/2006/relationships/image" Target="media/image217.png"/><Relationship Id="rId263" Type="http://schemas.openxmlformats.org/officeDocument/2006/relationships/image" Target="media/image218.png"/><Relationship Id="rId264" Type="http://schemas.openxmlformats.org/officeDocument/2006/relationships/image" Target="media/image219.png"/><Relationship Id="rId265" Type="http://schemas.openxmlformats.org/officeDocument/2006/relationships/image" Target="media/image220.png"/><Relationship Id="rId266" Type="http://schemas.openxmlformats.org/officeDocument/2006/relationships/image" Target="media/image221.png"/><Relationship Id="rId267" Type="http://schemas.openxmlformats.org/officeDocument/2006/relationships/image" Target="media/image222.png"/><Relationship Id="rId268" Type="http://schemas.openxmlformats.org/officeDocument/2006/relationships/image" Target="media/image223.png"/><Relationship Id="rId269" Type="http://schemas.openxmlformats.org/officeDocument/2006/relationships/image" Target="media/image224.png"/><Relationship Id="rId270" Type="http://schemas.openxmlformats.org/officeDocument/2006/relationships/image" Target="media/image225.png"/><Relationship Id="rId271" Type="http://schemas.openxmlformats.org/officeDocument/2006/relationships/image" Target="media/image226.png"/><Relationship Id="rId272" Type="http://schemas.openxmlformats.org/officeDocument/2006/relationships/image" Target="media/image227.png"/><Relationship Id="rId273" Type="http://schemas.openxmlformats.org/officeDocument/2006/relationships/image" Target="media/image228.png"/><Relationship Id="rId274" Type="http://schemas.openxmlformats.org/officeDocument/2006/relationships/image" Target="media/image229.png"/><Relationship Id="rId275" Type="http://schemas.openxmlformats.org/officeDocument/2006/relationships/image" Target="media/image230.png"/><Relationship Id="rId276" Type="http://schemas.openxmlformats.org/officeDocument/2006/relationships/image" Target="media/image231.png"/><Relationship Id="rId277" Type="http://schemas.openxmlformats.org/officeDocument/2006/relationships/image" Target="media/image232.png"/><Relationship Id="rId278" Type="http://schemas.openxmlformats.org/officeDocument/2006/relationships/image" Target="media/image233.png"/><Relationship Id="rId279" Type="http://schemas.openxmlformats.org/officeDocument/2006/relationships/image" Target="media/image234.png"/><Relationship Id="rId280" Type="http://schemas.openxmlformats.org/officeDocument/2006/relationships/image" Target="media/image235.png"/><Relationship Id="rId281" Type="http://schemas.openxmlformats.org/officeDocument/2006/relationships/image" Target="media/image236.png"/><Relationship Id="rId282" Type="http://schemas.openxmlformats.org/officeDocument/2006/relationships/image" Target="media/image237.png"/><Relationship Id="rId164" Type="http://schemas.openxmlformats.org/officeDocument/2006/relationships/hyperlink" Target="https://www.sec.gov/Archives/edgar/data/1641489/000119312524049499/d766950dex11.htm" TargetMode="External"/><Relationship Id="rId165" Type="http://schemas.openxmlformats.org/officeDocument/2006/relationships/hyperlink" Target="https://www.sec.gov/Archives/edgar/data/1641489/000156761915001036/s000995x1_ex3-1.htm" TargetMode="External"/><Relationship Id="rId166" Type="http://schemas.openxmlformats.org/officeDocument/2006/relationships/hyperlink" Target="https://www.sec.gov/Archives/edgar/data/0001641489/000156459021024143/vtvt-ex31_8.htm" TargetMode="External"/><Relationship Id="rId167" Type="http://schemas.openxmlformats.org/officeDocument/2006/relationships/hyperlink" Target="https://www.sec.gov/Archives/edgar/data/1641489/000164148924000012/vtvtherapeuticsinc-dexce.htm" TargetMode="External"/><Relationship Id="rId168" Type="http://schemas.openxmlformats.org/officeDocument/2006/relationships/hyperlink" Target="https://www.sec.gov/Archives/edgar/data/1641489/000095014222000881/eh220231317_ex0301.htm" TargetMode="External"/><Relationship Id="rId169" Type="http://schemas.openxmlformats.org/officeDocument/2006/relationships/hyperlink" Target="https://www.sec.gov/Archives/edgar/data/1641489/000164148925000066/firstamendmenttothesecon.htm" TargetMode="External"/><Relationship Id="rId170" Type="http://schemas.openxmlformats.org/officeDocument/2006/relationships/hyperlink" Target="https://www.sec.gov/Archives/edgar/data/1641489/000119312522200426/d387388dex41.htm" TargetMode="External"/><Relationship Id="rId171" Type="http://schemas.openxmlformats.org/officeDocument/2006/relationships/hyperlink" Target="https://www.sec.gov/Archives/edgar/data/1641489/000119312524049260/d754681dex41.htm" TargetMode="External"/><Relationship Id="rId172" Type="http://schemas.openxmlformats.org/officeDocument/2006/relationships/hyperlink" Target="https://www.sec.gov/Archives/edgar/data/1641489/000119312525193486/d52598dex41.htm" TargetMode="External"/><Relationship Id="rId173" Type="http://schemas.openxmlformats.org/officeDocument/2006/relationships/hyperlink" Target="https://www.sec.gov/Archives/edgar/data/1641489/000119312525193486/d52598dex42.htm" TargetMode="External"/><Relationship Id="rId174" Type="http://schemas.openxmlformats.org/officeDocument/2006/relationships/hyperlink" Target="https://www.sec.gov/Archives/edgar/data/1641489/000156761915001036/s000995x1_ex10-1.htm" TargetMode="External"/><Relationship Id="rId175" Type="http://schemas.openxmlformats.org/officeDocument/2006/relationships/hyperlink" Target="https://www.sec.gov/Archives/edgar/data/1641489/000156761915001036/s000995x1_ex10-2.htm" TargetMode="External"/><Relationship Id="rId179" Type="http://schemas.openxmlformats.org/officeDocument/2006/relationships/hyperlink" Target="https://www.sec.gov/Archives/edgar/data/1641489/000156761915001036/s000995x1_ex10-3.htm" TargetMode="External"/><Relationship Id="rId180" Type="http://schemas.openxmlformats.org/officeDocument/2006/relationships/hyperlink" Target="https://www.sec.gov/Archives/edgar/data/1641489/000156761915001036/s000995x1_ex10-4.htm" TargetMode="External"/><Relationship Id="rId181" Type="http://schemas.openxmlformats.org/officeDocument/2006/relationships/hyperlink" Target="https://www.sec.gov/Archives/edgar/data/1641489/000156761915001036/s000995x1_ex10-5.htm" TargetMode="External"/><Relationship Id="rId182" Type="http://schemas.openxmlformats.org/officeDocument/2006/relationships/hyperlink" Target="https://www.sec.gov/Archives/edgar/data/1641489/000156761915000982/s000971x7_ex10-7.htm" TargetMode="External"/><Relationship Id="rId183" Type="http://schemas.openxmlformats.org/officeDocument/2006/relationships/hyperlink" Target="https://www.sec.gov/Archives/edgar/data/1641489/000156761915001036/s000995x1_ex10-6.htm" TargetMode="External"/><Relationship Id="rId184" Type="http://schemas.openxmlformats.org/officeDocument/2006/relationships/hyperlink" Target="https://www.sec.gov/Archives/edgar/data/1641489/000156761915001036/s000995x1_ex10-7.htm" TargetMode="External"/><Relationship Id="rId185" Type="http://schemas.openxmlformats.org/officeDocument/2006/relationships/hyperlink" Target="https://www.sec.gov/Archives/edgar/data/1641489/000164148924000066/exhibit452024equityincenti.htm" TargetMode="External"/><Relationship Id="rId186" Type="http://schemas.openxmlformats.org/officeDocument/2006/relationships/hyperlink" Target="https://www.sec.gov/Archives/edgar/data/1641489/000156761915000855/s000893x4_ex10-8.htm" TargetMode="External"/><Relationship Id="rId187" Type="http://schemas.openxmlformats.org/officeDocument/2006/relationships/hyperlink" Target="https://www.sec.gov/Archives/edgar/data/1641489/000156459018019035/vtvt-ex101_258.htm" TargetMode="External"/><Relationship Id="rId188" Type="http://schemas.openxmlformats.org/officeDocument/2006/relationships/hyperlink" Target="https://www.sec.gov/Archives/edgar/data/1641489/000156459020035552/vtvt-ex35_21.htm" TargetMode="External"/><Relationship Id="rId189" Type="http://schemas.openxmlformats.org/officeDocument/2006/relationships/hyperlink" Target="https://www.sec.gov/Archives/edgar/data/1641489/000095014222001796/eh220257384_ex0101.htm" TargetMode="External"/><Relationship Id="rId190" Type="http://schemas.openxmlformats.org/officeDocument/2006/relationships/hyperlink" Target="https://www.sec.gov/Archives/edgar/data/1641489/000119312522200426/d387388dex101.htm" TargetMode="External"/><Relationship Id="rId191" Type="http://schemas.openxmlformats.org/officeDocument/2006/relationships/hyperlink" Target="https://www.sec.gov/Archives/edgar/data/1641489/000095014222002314/eh220274048_ex1001.htm" TargetMode="External"/><Relationship Id="rId192" Type="http://schemas.openxmlformats.org/officeDocument/2006/relationships/hyperlink" Target="https://www.sec.gov/Archives/edgar/data/1641489/000095014222002314/eh220274048_ex1002.htm" TargetMode="External"/><Relationship Id="rId193" Type="http://schemas.openxmlformats.org/officeDocument/2006/relationships/hyperlink" Target="https://www.sec.gov/Archives/edgar/data/1641489/000164148925000032/tungemploymentagreement.htm" TargetMode="External"/><Relationship Id="rId194" Type="http://schemas.openxmlformats.org/officeDocument/2006/relationships/hyperlink" Target="https://www.sec.gov/Archives/edgar/data/1641489/000164148922000008/projectg-collaborationandl.htm" TargetMode="External"/><Relationship Id="rId195" Type="http://schemas.openxmlformats.org/officeDocument/2006/relationships/hyperlink" Target="https://www.sec.gov/Archives/edgar/data/1641489/000164148923000008/vtvt-20221231xexx1036g42_d.htm" TargetMode="External"/><Relationship Id="rId196" Type="http://schemas.openxmlformats.org/officeDocument/2006/relationships/hyperlink" Target="https://www.sec.gov/Archives/edgar/data/1641489/000164148923000008/vtvt-20221231xexx1037varia.htm" TargetMode="External"/><Relationship Id="rId200" Type="http://schemas.openxmlformats.org/officeDocument/2006/relationships/hyperlink" Target="https://www.sec.gov/Archives/edgar/data/1641489/000119312524049260/d754681dex101.htm" TargetMode="External"/><Relationship Id="rId201" Type="http://schemas.openxmlformats.org/officeDocument/2006/relationships/hyperlink" Target="https://www.sec.gov/Archives/edgar/data/1641489/000119312524049260/d754681dex102.htm" TargetMode="External"/><Relationship Id="rId202" Type="http://schemas.openxmlformats.org/officeDocument/2006/relationships/hyperlink" Target="https://www.sec.gov/Archives/edgar/data/1641489/000119312524049260/d754681dex103.htm" TargetMode="External"/><Relationship Id="rId203" Type="http://schemas.openxmlformats.org/officeDocument/2006/relationships/hyperlink" Target="https://www.sec.gov/Archives/edgar/data/1641489/000119312524049260/d754681dex104.htm" TargetMode="External"/><Relationship Id="rId204" Type="http://schemas.openxmlformats.org/officeDocument/2006/relationships/hyperlink" Target="https://www.sec.gov/Archives/edgar/data/1641489/000119312524049260/d754681dex105.htm" TargetMode="External"/><Relationship Id="rId205" Type="http://schemas.openxmlformats.org/officeDocument/2006/relationships/hyperlink" Target="https://www.sec.gov/Archives/edgar/data/1641489/000119312525193486/d52598dex101.htm" TargetMode="External"/><Relationship Id="rId206" Type="http://schemas.openxmlformats.org/officeDocument/2006/relationships/hyperlink" Target="https://www.sec.gov/Archives/edgar/data/1641489/000119312525193486/d52598dex102.htm" TargetMode="External"/><Relationship Id="rId207" Type="http://schemas.openxmlformats.org/officeDocument/2006/relationships/hyperlink" Target="https://www.sec.gov/Archives/edgar/data/1641489/000164148924000012/vtvt-20231231exx971clawba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2026-03-10T15:44:46Z</dcterms:created>
  <dcterms:modified xsi:type="dcterms:W3CDTF">2026-03-10T15:44:46Z</dcterms:modified>
</cp:coreProperties>
</file>