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48260</wp:posOffset>
            </wp:positionV>
            <wp:extent cx="1551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56515</wp:posOffset>
            </wp:positionV>
            <wp:extent cx="1551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9"/>
          <w:szCs w:val="19"/>
          <w:b w:val="1"/>
          <w:bCs w:val="1"/>
          <w:color w:val="auto"/>
        </w:rPr>
        <w:t>ANNUAL REPORT PURSUANT TO SECTION 13 OR 15(d) OF THE SECURITIES EXCHANGE ACT OF 1934</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fiscal year ended December 31, 2018</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4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45" w:lineRule="exact"/>
        <w:rPr>
          <w:sz w:val="24"/>
          <w:szCs w:val="24"/>
          <w:color w:val="auto"/>
        </w:rPr>
      </w:pPr>
    </w:p>
    <w:tbl>
      <w:tblPr>
        <w:tblLayout w:type="fixed"/>
        <w:tblInd w:w="4140" w:type="dxa"/>
        <w:tblCellMar>
          <w:top w:w="0" w:type="dxa"/>
          <w:left w:w="0" w:type="dxa"/>
          <w:bottom w:w="0" w:type="dxa"/>
          <w:right w:w="0" w:type="dxa"/>
        </w:tblCellMar>
      </w:tblPr>
      <w:tr>
        <w:trPr>
          <w:trHeight w:val="184"/>
        </w:trPr>
        <w:tc>
          <w:tcPr>
            <w:tcW w:w="2120" w:type="dxa"/>
            <w:vAlign w:val="bottom"/>
          </w:tcPr>
          <w:p>
            <w:pPr>
              <w:spacing w:after="0"/>
              <w:rPr>
                <w:sz w:val="20"/>
                <w:szCs w:val="20"/>
                <w:color w:val="auto"/>
              </w:rPr>
            </w:pPr>
            <w:r>
              <w:rPr>
                <w:rFonts w:ascii="Arial" w:cs="Arial" w:eastAsia="Arial" w:hAnsi="Arial"/>
                <w:sz w:val="16"/>
                <w:szCs w:val="16"/>
                <w:b w:val="1"/>
                <w:bCs w:val="1"/>
                <w:color w:val="auto"/>
                <w:w w:val="93"/>
              </w:rPr>
              <w:t>For the transition period from</w:t>
            </w:r>
          </w:p>
        </w:tc>
        <w:tc>
          <w:tcPr>
            <w:tcW w:w="42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2"/>
              </w:rPr>
              <w:t>to</w:t>
            </w:r>
          </w:p>
        </w:tc>
        <w:tc>
          <w:tcPr>
            <w:tcW w:w="420" w:type="dxa"/>
            <w:vAlign w:val="bottom"/>
            <w:tcBorders>
              <w:bottom w:val="single" w:sz="8" w:color="auto"/>
            </w:tcBorders>
          </w:tcPr>
          <w:p>
            <w:pPr>
              <w:spacing w:after="0"/>
              <w:rPr>
                <w:sz w:val="16"/>
                <w:szCs w:val="16"/>
                <w:color w:val="auto"/>
              </w:rPr>
            </w:pPr>
          </w:p>
        </w:tc>
      </w:tr>
      <w:tr>
        <w:trPr>
          <w:trHeight w:val="258"/>
        </w:trPr>
        <w:tc>
          <w:tcPr>
            <w:tcW w:w="3160" w:type="dxa"/>
            <w:vAlign w:val="bottom"/>
            <w:gridSpan w:val="4"/>
          </w:tcPr>
          <w:p>
            <w:pPr>
              <w:ind w:left="320"/>
              <w:spacing w:after="0"/>
              <w:rPr>
                <w:sz w:val="20"/>
                <w:szCs w:val="20"/>
                <w:color w:val="auto"/>
              </w:rPr>
            </w:pPr>
            <w:r>
              <w:rPr>
                <w:rFonts w:ascii="Arial" w:cs="Arial" w:eastAsia="Arial" w:hAnsi="Arial"/>
                <w:sz w:val="16"/>
                <w:szCs w:val="16"/>
                <w:b w:val="1"/>
                <w:bCs w:val="1"/>
                <w:color w:val="auto"/>
              </w:rPr>
              <w:t>Commission file number: 001-37524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38100</wp:posOffset>
            </wp:positionV>
            <wp:extent cx="1551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52" w:lineRule="exact"/>
        <w:rPr>
          <w:sz w:val="24"/>
          <w:szCs w:val="24"/>
          <w:color w:val="auto"/>
        </w:rPr>
      </w:pPr>
    </w:p>
    <w:tbl>
      <w:tblPr>
        <w:tblLayout w:type="fixed"/>
        <w:tblInd w:w="1700" w:type="dxa"/>
        <w:tblCellMar>
          <w:top w:w="0" w:type="dxa"/>
          <w:left w:w="0" w:type="dxa"/>
          <w:bottom w:w="0" w:type="dxa"/>
          <w:right w:w="0" w:type="dxa"/>
        </w:tblCellMar>
      </w:tblPr>
      <w:tr>
        <w:trPr>
          <w:trHeight w:val="488"/>
        </w:trPr>
        <w:tc>
          <w:tcPr>
            <w:tcW w:w="6160" w:type="dxa"/>
            <w:vAlign w:val="bottom"/>
            <w:gridSpan w:val="3"/>
          </w:tcPr>
          <w:p>
            <w:pPr>
              <w:jc w:val="center"/>
              <w:ind w:left="1770"/>
              <w:spacing w:after="0"/>
              <w:rPr>
                <w:sz w:val="20"/>
                <w:szCs w:val="20"/>
                <w:color w:val="auto"/>
              </w:rPr>
            </w:pPr>
            <w:r>
              <w:rPr>
                <w:rFonts w:ascii="Arial" w:cs="Arial" w:eastAsia="Arial" w:hAnsi="Arial"/>
                <w:sz w:val="41"/>
                <w:szCs w:val="41"/>
                <w:b w:val="1"/>
                <w:bCs w:val="1"/>
                <w:color w:val="auto"/>
                <w:w w:val="91"/>
              </w:rPr>
              <w:t>vTv Therapeutics Inc.</w:t>
            </w:r>
          </w:p>
        </w:tc>
        <w:tc>
          <w:tcPr>
            <w:tcW w:w="1300" w:type="dxa"/>
            <w:vAlign w:val="bottom"/>
          </w:tcPr>
          <w:p>
            <w:pPr>
              <w:spacing w:after="0"/>
              <w:rPr>
                <w:sz w:val="24"/>
                <w:szCs w:val="24"/>
                <w:color w:val="auto"/>
              </w:rPr>
            </w:pPr>
          </w:p>
        </w:tc>
      </w:tr>
      <w:tr>
        <w:trPr>
          <w:trHeight w:val="210"/>
        </w:trPr>
        <w:tc>
          <w:tcPr>
            <w:tcW w:w="6160" w:type="dxa"/>
            <w:vAlign w:val="bottom"/>
            <w:gridSpan w:val="3"/>
          </w:tcPr>
          <w:p>
            <w:pPr>
              <w:jc w:val="center"/>
              <w:ind w:left="177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300" w:type="dxa"/>
            <w:vAlign w:val="bottom"/>
          </w:tcPr>
          <w:p>
            <w:pPr>
              <w:spacing w:after="0"/>
              <w:rPr>
                <w:sz w:val="18"/>
                <w:szCs w:val="18"/>
                <w:color w:val="auto"/>
              </w:rPr>
            </w:pPr>
          </w:p>
        </w:tc>
      </w:tr>
      <w:tr>
        <w:trPr>
          <w:trHeight w:val="60"/>
        </w:trPr>
        <w:tc>
          <w:tcPr>
            <w:tcW w:w="2800" w:type="dxa"/>
            <w:vAlign w:val="bottom"/>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24"/>
        </w:trPr>
        <w:tc>
          <w:tcPr>
            <w:tcW w:w="6160" w:type="dxa"/>
            <w:vAlign w:val="bottom"/>
            <w:gridSpan w:val="3"/>
          </w:tcPr>
          <w:p>
            <w:pPr>
              <w:jc w:val="center"/>
              <w:ind w:right="3940"/>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right"/>
              <w:ind w:right="67"/>
              <w:spacing w:after="0"/>
              <w:rPr>
                <w:sz w:val="20"/>
                <w:szCs w:val="20"/>
                <w:color w:val="auto"/>
              </w:rPr>
            </w:pPr>
            <w:r>
              <w:rPr>
                <w:rFonts w:ascii="Arial" w:cs="Arial" w:eastAsia="Arial" w:hAnsi="Arial"/>
                <w:sz w:val="16"/>
                <w:szCs w:val="16"/>
                <w:b w:val="1"/>
                <w:bCs w:val="1"/>
                <w:color w:val="auto"/>
              </w:rPr>
              <w:t>47-3916571</w:t>
            </w:r>
          </w:p>
        </w:tc>
      </w:tr>
      <w:tr>
        <w:trPr>
          <w:trHeight w:val="149"/>
        </w:trPr>
        <w:tc>
          <w:tcPr>
            <w:tcW w:w="6160" w:type="dxa"/>
            <w:vAlign w:val="bottom"/>
            <w:gridSpan w:val="3"/>
          </w:tcPr>
          <w:p>
            <w:pPr>
              <w:jc w:val="center"/>
              <w:ind w:right="39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300" w:type="dxa"/>
            <w:vAlign w:val="bottom"/>
          </w:tcPr>
          <w:p>
            <w:pPr>
              <w:jc w:val="center"/>
              <w:ind w:left="167"/>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16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89"/>
              </w:rPr>
              <w:t>incorporation or organization)</w:t>
            </w:r>
          </w:p>
        </w:tc>
        <w:tc>
          <w:tcPr>
            <w:tcW w:w="1300" w:type="dxa"/>
            <w:vAlign w:val="bottom"/>
          </w:tcPr>
          <w:p>
            <w:pPr>
              <w:jc w:val="center"/>
              <w:ind w:left="167"/>
              <w:spacing w:after="0"/>
              <w:rPr>
                <w:sz w:val="20"/>
                <w:szCs w:val="20"/>
                <w:color w:val="auto"/>
              </w:rPr>
            </w:pPr>
            <w:r>
              <w:rPr>
                <w:rFonts w:ascii="Arial" w:cs="Arial" w:eastAsia="Arial" w:hAnsi="Arial"/>
                <w:sz w:val="14"/>
                <w:szCs w:val="14"/>
                <w:b w:val="1"/>
                <w:bCs w:val="1"/>
                <w:color w:val="auto"/>
                <w:w w:val="89"/>
              </w:rPr>
              <w:t>Identification No.)</w:t>
            </w:r>
          </w:p>
        </w:tc>
      </w:tr>
      <w:tr>
        <w:trPr>
          <w:trHeight w:val="216"/>
        </w:trPr>
        <w:tc>
          <w:tcPr>
            <w:tcW w:w="6160" w:type="dxa"/>
            <w:vAlign w:val="bottom"/>
            <w:gridSpan w:val="3"/>
          </w:tcPr>
          <w:p>
            <w:pPr>
              <w:jc w:val="center"/>
              <w:ind w:right="3940"/>
              <w:spacing w:after="0"/>
              <w:rPr>
                <w:sz w:val="20"/>
                <w:szCs w:val="20"/>
                <w:color w:val="auto"/>
              </w:rPr>
            </w:pPr>
            <w:r>
              <w:rPr>
                <w:rFonts w:ascii="Arial" w:cs="Arial" w:eastAsia="Arial" w:hAnsi="Arial"/>
                <w:sz w:val="16"/>
                <w:szCs w:val="16"/>
                <w:b w:val="1"/>
                <w:bCs w:val="1"/>
                <w:color w:val="auto"/>
                <w:w w:val="93"/>
              </w:rPr>
              <w:t>4170 Mendenhall Oaks Pkwy</w:t>
            </w:r>
          </w:p>
        </w:tc>
        <w:tc>
          <w:tcPr>
            <w:tcW w:w="1300" w:type="dxa"/>
            <w:vAlign w:val="bottom"/>
          </w:tcPr>
          <w:p>
            <w:pPr>
              <w:spacing w:after="0"/>
              <w:rPr>
                <w:sz w:val="18"/>
                <w:szCs w:val="18"/>
                <w:color w:val="auto"/>
              </w:rPr>
            </w:pPr>
          </w:p>
        </w:tc>
      </w:tr>
      <w:tr>
        <w:trPr>
          <w:trHeight w:val="204"/>
        </w:trPr>
        <w:tc>
          <w:tcPr>
            <w:tcW w:w="6160" w:type="dxa"/>
            <w:vAlign w:val="bottom"/>
            <w:gridSpan w:val="3"/>
          </w:tcPr>
          <w:p>
            <w:pPr>
              <w:jc w:val="center"/>
              <w:ind w:right="3940"/>
              <w:spacing w:after="0"/>
              <w:rPr>
                <w:sz w:val="20"/>
                <w:szCs w:val="20"/>
                <w:color w:val="auto"/>
              </w:rPr>
            </w:pPr>
            <w:r>
              <w:rPr>
                <w:rFonts w:ascii="Arial" w:cs="Arial" w:eastAsia="Arial" w:hAnsi="Arial"/>
                <w:sz w:val="16"/>
                <w:szCs w:val="16"/>
                <w:b w:val="1"/>
                <w:bCs w:val="1"/>
                <w:color w:val="auto"/>
                <w:w w:val="94"/>
              </w:rPr>
              <w:t>High Point, NC</w:t>
            </w:r>
          </w:p>
        </w:tc>
        <w:tc>
          <w:tcPr>
            <w:tcW w:w="1300" w:type="dxa"/>
            <w:vAlign w:val="bottom"/>
          </w:tcPr>
          <w:p>
            <w:pPr>
              <w:jc w:val="right"/>
              <w:ind w:right="267"/>
              <w:spacing w:after="0"/>
              <w:rPr>
                <w:sz w:val="20"/>
                <w:szCs w:val="20"/>
                <w:color w:val="auto"/>
              </w:rPr>
            </w:pPr>
            <w:r>
              <w:rPr>
                <w:rFonts w:ascii="Arial" w:cs="Arial" w:eastAsia="Arial" w:hAnsi="Arial"/>
                <w:sz w:val="16"/>
                <w:szCs w:val="16"/>
                <w:b w:val="1"/>
                <w:bCs w:val="1"/>
                <w:color w:val="auto"/>
              </w:rPr>
              <w:t>27265</w:t>
            </w:r>
          </w:p>
        </w:tc>
      </w:tr>
      <w:tr>
        <w:trPr>
          <w:trHeight w:val="174"/>
        </w:trPr>
        <w:tc>
          <w:tcPr>
            <w:tcW w:w="616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300" w:type="dxa"/>
            <w:vAlign w:val="bottom"/>
          </w:tcPr>
          <w:p>
            <w:pPr>
              <w:jc w:val="center"/>
              <w:ind w:left="167"/>
              <w:spacing w:after="0"/>
              <w:rPr>
                <w:sz w:val="20"/>
                <w:szCs w:val="20"/>
                <w:color w:val="auto"/>
              </w:rPr>
            </w:pPr>
            <w:r>
              <w:rPr>
                <w:rFonts w:ascii="Arial" w:cs="Arial" w:eastAsia="Arial" w:hAnsi="Arial"/>
                <w:sz w:val="14"/>
                <w:szCs w:val="14"/>
                <w:b w:val="1"/>
                <w:bCs w:val="1"/>
                <w:color w:val="auto"/>
                <w:w w:val="89"/>
              </w:rPr>
              <w:t>(Zip Code)</w:t>
            </w:r>
          </w:p>
        </w:tc>
      </w:tr>
      <w:tr>
        <w:trPr>
          <w:trHeight w:val="223"/>
        </w:trPr>
        <w:tc>
          <w:tcPr>
            <w:tcW w:w="5240" w:type="dxa"/>
            <w:vAlign w:val="bottom"/>
            <w:gridSpan w:val="2"/>
          </w:tcPr>
          <w:p>
            <w:pPr>
              <w:jc w:val="center"/>
              <w:ind w:left="2690"/>
              <w:spacing w:after="0"/>
              <w:rPr>
                <w:sz w:val="20"/>
                <w:szCs w:val="20"/>
                <w:color w:val="auto"/>
              </w:rPr>
            </w:pPr>
            <w:r>
              <w:rPr>
                <w:rFonts w:ascii="Arial" w:cs="Arial" w:eastAsia="Arial" w:hAnsi="Arial"/>
                <w:sz w:val="16"/>
                <w:szCs w:val="16"/>
                <w:b w:val="1"/>
                <w:bCs w:val="1"/>
                <w:color w:val="auto"/>
                <w:w w:val="93"/>
              </w:rPr>
              <w:t>(336) 841-0300</w:t>
            </w:r>
          </w:p>
        </w:tc>
        <w:tc>
          <w:tcPr>
            <w:tcW w:w="92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5620" w:type="dxa"/>
            <w:vAlign w:val="bottom"/>
            <w:gridSpan w:val="3"/>
          </w:tcPr>
          <w:p>
            <w:pPr>
              <w:jc w:val="center"/>
              <w:ind w:right="3820"/>
              <w:spacing w:after="0"/>
              <w:rPr>
                <w:sz w:val="20"/>
                <w:szCs w:val="20"/>
                <w:color w:val="auto"/>
              </w:rPr>
            </w:pPr>
            <w:r>
              <w:rPr>
                <w:rFonts w:ascii="Arial" w:cs="Arial" w:eastAsia="Arial" w:hAnsi="Arial"/>
                <w:sz w:val="14"/>
                <w:szCs w:val="14"/>
                <w:b w:val="1"/>
                <w:bCs w:val="1"/>
                <w:color w:val="auto"/>
                <w:w w:val="92"/>
              </w:rPr>
              <w:t>Title of each</w:t>
            </w:r>
          </w:p>
        </w:tc>
        <w:tc>
          <w:tcPr>
            <w:tcW w:w="384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71"/>
        </w:trPr>
        <w:tc>
          <w:tcPr>
            <w:tcW w:w="1960" w:type="dxa"/>
            <w:vAlign w:val="bottom"/>
          </w:tcPr>
          <w:p>
            <w:pPr>
              <w:spacing w:after="0"/>
              <w:rPr>
                <w:sz w:val="14"/>
                <w:szCs w:val="14"/>
                <w:color w:val="auto"/>
              </w:rPr>
            </w:pPr>
          </w:p>
        </w:tc>
        <w:tc>
          <w:tcPr>
            <w:tcW w:w="5620" w:type="dxa"/>
            <w:vAlign w:val="bottom"/>
            <w:gridSpan w:val="3"/>
          </w:tcPr>
          <w:p>
            <w:pPr>
              <w:jc w:val="center"/>
              <w:ind w:right="3820"/>
              <w:spacing w:after="0"/>
              <w:rPr>
                <w:sz w:val="20"/>
                <w:szCs w:val="20"/>
                <w:color w:val="auto"/>
              </w:rPr>
            </w:pPr>
            <w:r>
              <w:rPr>
                <w:rFonts w:ascii="Arial" w:cs="Arial" w:eastAsia="Arial" w:hAnsi="Arial"/>
                <w:sz w:val="14"/>
                <w:szCs w:val="14"/>
                <w:b w:val="1"/>
                <w:bCs w:val="1"/>
                <w:color w:val="auto"/>
                <w:w w:val="85"/>
              </w:rPr>
              <w:t>Class</w:t>
            </w:r>
          </w:p>
        </w:tc>
        <w:tc>
          <w:tcPr>
            <w:tcW w:w="384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88"/>
              </w:rPr>
              <w:t>registered</w:t>
            </w:r>
          </w:p>
        </w:tc>
      </w:tr>
      <w:tr>
        <w:trPr>
          <w:trHeight w:val="182"/>
        </w:trPr>
        <w:tc>
          <w:tcPr>
            <w:tcW w:w="5700" w:type="dxa"/>
            <w:vAlign w:val="bottom"/>
            <w:tcBorders>
              <w:top w:val="single" w:sz="8" w:color="auto"/>
            </w:tcBorders>
            <w:gridSpan w:val="2"/>
          </w:tcPr>
          <w:p>
            <w:pPr>
              <w:jc w:val="center"/>
              <w:spacing w:after="0" w:line="182" w:lineRule="exact"/>
              <w:rPr>
                <w:sz w:val="20"/>
                <w:szCs w:val="20"/>
                <w:color w:val="auto"/>
              </w:rPr>
            </w:pPr>
            <w:r>
              <w:rPr>
                <w:rFonts w:ascii="Arial" w:cs="Arial" w:eastAsia="Arial" w:hAnsi="Arial"/>
                <w:sz w:val="16"/>
                <w:szCs w:val="16"/>
                <w:color w:val="auto"/>
                <w:w w:val="91"/>
              </w:rPr>
              <w:t>Class A Common Stock (Par Value $0.01)</w:t>
            </w:r>
          </w:p>
        </w:tc>
        <w:tc>
          <w:tcPr>
            <w:tcW w:w="8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3840" w:type="dxa"/>
            <w:vAlign w:val="bottom"/>
            <w:tcBorders>
              <w:top w:val="single" w:sz="8" w:color="auto"/>
            </w:tcBorders>
            <w:gridSpan w:val="2"/>
          </w:tcPr>
          <w:p>
            <w:pPr>
              <w:jc w:val="center"/>
              <w:ind w:right="1800"/>
              <w:spacing w:after="0" w:line="182" w:lineRule="exact"/>
              <w:rPr>
                <w:sz w:val="20"/>
                <w:szCs w:val="20"/>
                <w:color w:val="auto"/>
              </w:rPr>
            </w:pPr>
            <w:r>
              <w:rPr>
                <w:rFonts w:ascii="Arial" w:cs="Arial" w:eastAsia="Arial" w:hAnsi="Arial"/>
                <w:sz w:val="16"/>
                <w:szCs w:val="16"/>
                <w:color w:val="auto"/>
                <w:w w:val="95"/>
              </w:rPr>
              <w:t>NASDAQ Capital Market</w:t>
            </w:r>
          </w:p>
        </w:tc>
      </w:tr>
      <w:tr>
        <w:trPr>
          <w:trHeight w:val="223"/>
        </w:trPr>
        <w:tc>
          <w:tcPr>
            <w:tcW w:w="1960" w:type="dxa"/>
            <w:vAlign w:val="bottom"/>
          </w:tcPr>
          <w:p>
            <w:pPr>
              <w:spacing w:after="0"/>
              <w:rPr>
                <w:sz w:val="19"/>
                <w:szCs w:val="19"/>
                <w:color w:val="auto"/>
              </w:rPr>
            </w:pPr>
          </w:p>
        </w:tc>
        <w:tc>
          <w:tcPr>
            <w:tcW w:w="5620" w:type="dxa"/>
            <w:vAlign w:val="bottom"/>
            <w:tcBorders>
              <w:bottom w:val="single" w:sz="8" w:color="auto"/>
            </w:tcBorders>
            <w:gridSpan w:val="3"/>
          </w:tcPr>
          <w:p>
            <w:pPr>
              <w:ind w:left="1240"/>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1220" w:type="dxa"/>
            <w:vAlign w:val="bottom"/>
            <w:tcBorders>
              <w:bottom w:val="single" w:sz="8" w:color="auto"/>
            </w:tcBorders>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11420" w:type="dxa"/>
            <w:vAlign w:val="bottom"/>
            <w:gridSpan w:val="6"/>
          </w:tcPr>
          <w:p>
            <w:pPr>
              <w:ind w:left="520"/>
              <w:spacing w:after="0" w:line="215"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tc>
      </w:tr>
      <w:tr>
        <w:trPr>
          <w:trHeight w:val="254"/>
        </w:trPr>
        <w:tc>
          <w:tcPr>
            <w:tcW w:w="11420" w:type="dxa"/>
            <w:vAlign w:val="bottom"/>
            <w:gridSpan w:val="6"/>
          </w:tcPr>
          <w:p>
            <w:pPr>
              <w:ind w:left="520"/>
              <w:spacing w:after="0" w:line="215"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Exchange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tc>
      </w:tr>
    </w:tbl>
    <w:p>
      <w:pPr>
        <w:spacing w:after="0" w:line="19" w:lineRule="exact"/>
        <w:rPr>
          <w:sz w:val="24"/>
          <w:szCs w:val="24"/>
          <w:color w:val="auto"/>
        </w:rPr>
      </w:pPr>
    </w:p>
    <w:p>
      <w:pPr>
        <w:ind w:right="260" w:firstLine="509"/>
        <w:spacing w:after="0" w:line="21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9" w:lineRule="exact"/>
        <w:rPr>
          <w:sz w:val="24"/>
          <w:szCs w:val="24"/>
          <w:color w:val="auto"/>
        </w:rPr>
      </w:pPr>
    </w:p>
    <w:p>
      <w:pPr>
        <w:ind w:right="640" w:firstLine="509"/>
        <w:spacing w:after="0" w:line="21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7" w:lineRule="exact"/>
        <w:rPr>
          <w:sz w:val="24"/>
          <w:szCs w:val="24"/>
          <w:color w:val="auto"/>
        </w:rPr>
      </w:pPr>
    </w:p>
    <w:p>
      <w:pPr>
        <w:ind w:right="120" w:firstLine="509"/>
        <w:spacing w:after="0" w:line="213"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Arial Unicode MS" w:cs="Arial Unicode MS" w:eastAsia="Arial Unicode MS" w:hAnsi="Arial Unicode MS"/>
          <w:sz w:val="14"/>
          <w:szCs w:val="14"/>
          <w:color w:val="auto"/>
        </w:rPr>
        <w:t>⌧</w:t>
      </w:r>
    </w:p>
    <w:p>
      <w:pPr>
        <w:spacing w:after="0" w:line="20" w:lineRule="exact"/>
        <w:rPr>
          <w:sz w:val="24"/>
          <w:szCs w:val="24"/>
          <w:color w:val="auto"/>
        </w:rPr>
      </w:pPr>
    </w:p>
    <w:p>
      <w:pPr>
        <w:jc w:val="both"/>
        <w:ind w:right="580" w:firstLine="509"/>
        <w:spacing w:after="0" w:line="33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group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2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5200" w:type="dxa"/>
            <w:vAlign w:val="bottom"/>
          </w:tcPr>
          <w:p>
            <w:pPr>
              <w:ind w:left="2760"/>
              <w:spacing w:after="0"/>
              <w:rPr>
                <w:sz w:val="20"/>
                <w:szCs w:val="20"/>
                <w:color w:val="auto"/>
              </w:rPr>
            </w:pPr>
            <w:r>
              <w:rPr>
                <w:rFonts w:ascii="Arial" w:cs="Arial" w:eastAsia="Arial" w:hAnsi="Arial"/>
                <w:sz w:val="16"/>
                <w:szCs w:val="16"/>
                <w:color w:val="auto"/>
              </w:rPr>
              <w:t>Accelerated filer</w:t>
            </w:r>
          </w:p>
        </w:tc>
        <w:tc>
          <w:tcPr>
            <w:tcW w:w="800" w:type="dxa"/>
            <w:vAlign w:val="bottom"/>
          </w:tcPr>
          <w:p>
            <w:pPr>
              <w:ind w:left="66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70"/>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2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5200" w:type="dxa"/>
            <w:vAlign w:val="bottom"/>
          </w:tcPr>
          <w:p>
            <w:pPr>
              <w:ind w:left="2760"/>
              <w:spacing w:after="0"/>
              <w:rPr>
                <w:sz w:val="20"/>
                <w:szCs w:val="20"/>
                <w:color w:val="auto"/>
              </w:rPr>
            </w:pPr>
            <w:r>
              <w:rPr>
                <w:rFonts w:ascii="Arial" w:cs="Arial" w:eastAsia="Arial" w:hAnsi="Arial"/>
                <w:sz w:val="16"/>
                <w:szCs w:val="16"/>
                <w:color w:val="auto"/>
              </w:rPr>
              <w:t>Smaller reporting company</w:t>
            </w:r>
          </w:p>
        </w:tc>
        <w:tc>
          <w:tcPr>
            <w:tcW w:w="800" w:type="dxa"/>
            <w:vAlign w:val="bottom"/>
          </w:tcPr>
          <w:p>
            <w:pPr>
              <w:ind w:left="66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70"/>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2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5200" w:type="dxa"/>
            <w:vAlign w:val="bottom"/>
          </w:tcPr>
          <w:p>
            <w:pPr>
              <w:spacing w:after="0"/>
              <w:rPr>
                <w:sz w:val="23"/>
                <w:szCs w:val="23"/>
                <w:color w:val="auto"/>
              </w:rPr>
            </w:pPr>
          </w:p>
        </w:tc>
        <w:tc>
          <w:tcPr>
            <w:tcW w:w="800" w:type="dxa"/>
            <w:vAlign w:val="bottom"/>
          </w:tcPr>
          <w:p>
            <w:pPr>
              <w:spacing w:after="0"/>
              <w:rPr>
                <w:sz w:val="23"/>
                <w:szCs w:val="23"/>
                <w:color w:val="auto"/>
              </w:rPr>
            </w:pPr>
          </w:p>
        </w:tc>
      </w:tr>
    </w:tbl>
    <w:p>
      <w:pPr>
        <w:spacing w:after="0" w:line="5" w:lineRule="exact"/>
        <w:rPr>
          <w:sz w:val="24"/>
          <w:szCs w:val="24"/>
          <w:color w:val="auto"/>
        </w:rPr>
      </w:pPr>
    </w:p>
    <w:p>
      <w:pPr>
        <w:ind w:right="320" w:firstLine="463"/>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ind w:left="520"/>
        <w:spacing w:after="0" w:line="215" w:lineRule="exact"/>
        <w:tabs>
          <w:tab w:leader="none" w:pos="7240" w:val="left"/>
          <w:tab w:leader="none" w:pos="7840" w:val="left"/>
        </w:tabs>
        <w:rPr>
          <w:sz w:val="20"/>
          <w:szCs w:val="20"/>
          <w:color w:val="auto"/>
        </w:rPr>
      </w:pPr>
      <w:r>
        <w:rPr>
          <w:rFonts w:ascii="Arial" w:cs="Arial" w:eastAsia="Arial" w:hAnsi="Arial"/>
          <w:sz w:val="15"/>
          <w:szCs w:val="15"/>
          <w:color w:val="auto"/>
        </w:rPr>
        <w:t>Indicate by check mark if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ab/>
        <w:t xml:space="preserve">No </w:t>
      </w:r>
      <w:r>
        <w:rPr>
          <w:rFonts w:ascii="Arial Unicode MS" w:cs="Arial Unicode MS" w:eastAsia="Arial Unicode MS" w:hAnsi="Arial Unicode MS"/>
          <w:sz w:val="16"/>
          <w:szCs w:val="16"/>
          <w:color w:val="auto"/>
        </w:rPr>
        <w:t>☒</w:t>
      </w:r>
    </w:p>
    <w:p>
      <w:pPr>
        <w:spacing w:after="0" w:line="47" w:lineRule="exact"/>
        <w:rPr>
          <w:sz w:val="24"/>
          <w:szCs w:val="24"/>
          <w:color w:val="auto"/>
        </w:rPr>
      </w:pPr>
    </w:p>
    <w:p>
      <w:pPr>
        <w:ind w:right="500"/>
        <w:spacing w:after="0" w:line="290" w:lineRule="auto"/>
        <w:rPr>
          <w:sz w:val="20"/>
          <w:szCs w:val="20"/>
          <w:color w:val="auto"/>
        </w:rPr>
      </w:pPr>
      <w:r>
        <w:rPr>
          <w:rFonts w:ascii="Arial" w:cs="Arial" w:eastAsia="Arial" w:hAnsi="Arial"/>
          <w:sz w:val="16"/>
          <w:szCs w:val="16"/>
          <w:color w:val="auto"/>
        </w:rPr>
        <w:t>The aggregate market value of the registrant’s Common Stock held by non-affiliates on June 30, 2018 (based on the closing sale price as reported on the NASDAQ) was $10,955,991.</w:t>
      </w:r>
    </w:p>
    <w:p>
      <w:pPr>
        <w:spacing w:after="0" w:line="1"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February 26, 2019.</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21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Class of Stock</w:t>
            </w:r>
          </w:p>
        </w:tc>
        <w:tc>
          <w:tcPr>
            <w:tcW w:w="4100" w:type="dxa"/>
            <w:vAlign w:val="bottom"/>
            <w:gridSpan w:val="2"/>
          </w:tcPr>
          <w:p>
            <w:pPr>
              <w:spacing w:after="0"/>
              <w:rPr>
                <w:sz w:val="20"/>
                <w:szCs w:val="20"/>
                <w:color w:val="auto"/>
              </w:rPr>
            </w:pPr>
            <w:r>
              <w:rPr>
                <w:rFonts w:ascii="Arial" w:cs="Arial" w:eastAsia="Arial" w:hAnsi="Arial"/>
                <w:sz w:val="16"/>
                <w:szCs w:val="16"/>
                <w:color w:val="auto"/>
              </w:rPr>
              <w:t>Shares Outstanding</w:t>
            </w:r>
          </w:p>
        </w:tc>
        <w:tc>
          <w:tcPr>
            <w:tcW w:w="20" w:type="dxa"/>
            <w:vAlign w:val="bottom"/>
          </w:tcPr>
          <w:p>
            <w:pPr>
              <w:spacing w:after="0"/>
              <w:rPr>
                <w:sz w:val="18"/>
                <w:szCs w:val="18"/>
                <w:color w:val="auto"/>
              </w:rPr>
            </w:pPr>
          </w:p>
        </w:tc>
      </w:tr>
      <w:tr>
        <w:trPr>
          <w:trHeight w:val="220"/>
        </w:trPr>
        <w:tc>
          <w:tcPr>
            <w:tcW w:w="2160" w:type="dxa"/>
            <w:vAlign w:val="bottom"/>
          </w:tcPr>
          <w:p>
            <w:pPr>
              <w:spacing w:after="0"/>
              <w:rPr>
                <w:sz w:val="19"/>
                <w:szCs w:val="19"/>
                <w:color w:val="auto"/>
              </w:rPr>
            </w:pPr>
          </w:p>
        </w:tc>
        <w:tc>
          <w:tcPr>
            <w:tcW w:w="51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Class A common stock, par value $0.01 per share</w:t>
            </w: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22,792,716</w:t>
            </w: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216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Class B common stock, par value $0.01 per share</w:t>
            </w:r>
          </w:p>
        </w:tc>
        <w:tc>
          <w:tcPr>
            <w:tcW w:w="1200" w:type="dxa"/>
            <w:vAlign w:val="bottom"/>
          </w:tcPr>
          <w:p>
            <w:pPr>
              <w:spacing w:after="0"/>
              <w:rPr>
                <w:sz w:val="20"/>
                <w:szCs w:val="20"/>
                <w:color w:val="auto"/>
              </w:rPr>
            </w:pPr>
            <w:r>
              <w:rPr>
                <w:rFonts w:ascii="Arial" w:cs="Arial" w:eastAsia="Arial" w:hAnsi="Arial"/>
                <w:sz w:val="16"/>
                <w:szCs w:val="16"/>
                <w:color w:val="auto"/>
              </w:rPr>
              <w:t>23,094,221</w:t>
            </w:r>
          </w:p>
        </w:tc>
        <w:tc>
          <w:tcPr>
            <w:tcW w:w="2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2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2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0" w:type="dxa"/>
            <w:vAlign w:val="bottom"/>
            <w:gridSpan w:val="10"/>
          </w:tcPr>
          <w:p>
            <w:pPr>
              <w:jc w:val="center"/>
              <w:ind w:right="2780"/>
              <w:spacing w:after="0"/>
              <w:rPr>
                <w:sz w:val="20"/>
                <w:szCs w:val="20"/>
                <w:color w:val="auto"/>
              </w:rPr>
            </w:pPr>
            <w:r>
              <w:rPr>
                <w:rFonts w:ascii="Arial" w:cs="Arial" w:eastAsia="Arial" w:hAnsi="Arial"/>
                <w:sz w:val="18"/>
                <w:szCs w:val="18"/>
                <w:b w:val="1"/>
                <w:bCs w:val="1"/>
                <w:color w:val="auto"/>
                <w:w w:val="99"/>
              </w:rPr>
              <w:t>vTv THERAPEUTICS INC. AND SUBSIDIARIES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20" w:type="dxa"/>
            <w:vAlign w:val="bottom"/>
            <w:gridSpan w:val="8"/>
          </w:tcPr>
          <w:p>
            <w:pPr>
              <w:jc w:val="center"/>
              <w:ind w:right="3260"/>
              <w:spacing w:after="0"/>
              <w:rPr>
                <w:sz w:val="20"/>
                <w:szCs w:val="20"/>
                <w:color w:val="auto"/>
              </w:rPr>
            </w:pPr>
            <w:r>
              <w:rPr>
                <w:rFonts w:ascii="Arial" w:cs="Arial" w:eastAsia="Arial" w:hAnsi="Arial"/>
                <w:sz w:val="18"/>
                <w:szCs w:val="18"/>
                <w:b w:val="1"/>
                <w:bCs w:val="1"/>
                <w:color w:val="auto"/>
              </w:rPr>
              <w:t>INDEX TO FORM 10-K</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0" w:type="dxa"/>
            <w:vAlign w:val="bottom"/>
            <w:gridSpan w:val="11"/>
          </w:tcPr>
          <w:p>
            <w:pPr>
              <w:jc w:val="center"/>
              <w:ind w:right="1980"/>
              <w:spacing w:after="0"/>
              <w:rPr>
                <w:sz w:val="20"/>
                <w:szCs w:val="20"/>
                <w:color w:val="auto"/>
              </w:rPr>
            </w:pPr>
            <w:r>
              <w:rPr>
                <w:rFonts w:ascii="Arial" w:cs="Arial" w:eastAsia="Arial" w:hAnsi="Arial"/>
                <w:sz w:val="18"/>
                <w:szCs w:val="18"/>
                <w:b w:val="1"/>
                <w:bCs w:val="1"/>
                <w:color w:val="auto"/>
                <w:w w:val="98"/>
              </w:rPr>
              <w:t>FOR THE FISCAL YEAR ENDED DECEMBER 31, 2018</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7"/>
        </w:trPr>
        <w:tc>
          <w:tcPr>
            <w:tcW w:w="760" w:type="dxa"/>
            <w:vAlign w:val="bottom"/>
            <w:gridSpan w:val="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69"/>
        </w:trPr>
        <w:tc>
          <w:tcPr>
            <w:tcW w:w="76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4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4"/>
              </w:rPr>
              <w:t>Item 1.</w:t>
            </w:r>
          </w:p>
        </w:tc>
        <w:tc>
          <w:tcPr>
            <w:tcW w:w="220" w:type="dxa"/>
            <w:vAlign w:val="bottom"/>
            <w:gridSpan w:val="4"/>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200" w:type="dxa"/>
            <w:vAlign w:val="bottom"/>
            <w:gridSpan w:val="18"/>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8940" w:type="dxa"/>
            <w:vAlign w:val="bottom"/>
            <w:gridSpan w:val="16"/>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Unresolved Staff Comments</w:t>
              </w:r>
            </w:hyperlink>
          </w:p>
        </w:tc>
        <w:tc>
          <w:tcPr>
            <w:tcW w:w="7800" w:type="dxa"/>
            <w:vAlign w:val="bottom"/>
            <w:gridSpan w:val="11"/>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2.</w:t>
            </w:r>
          </w:p>
        </w:tc>
        <w:tc>
          <w:tcPr>
            <w:tcW w:w="9840" w:type="dxa"/>
            <w:vAlign w:val="bottom"/>
            <w:gridSpan w:val="1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Properties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840" w:type="dxa"/>
            <w:vAlign w:val="bottom"/>
            <w:gridSpan w:val="1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Legal Proceedings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840" w:type="dxa"/>
            <w:vAlign w:val="bottom"/>
            <w:gridSpan w:val="1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Mine Safety Disclosures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160" w:type="dxa"/>
            <w:vAlign w:val="bottom"/>
            <w:gridSpan w:val="3"/>
          </w:tcPr>
          <w:p>
            <w:pPr>
              <w:spacing w:after="0"/>
              <w:rPr>
                <w:sz w:val="24"/>
                <w:szCs w:val="24"/>
                <w:color w:val="auto"/>
              </w:rPr>
            </w:pPr>
          </w:p>
        </w:tc>
        <w:tc>
          <w:tcPr>
            <w:tcW w:w="9840" w:type="dxa"/>
            <w:vAlign w:val="bottom"/>
            <w:gridSpan w:val="1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Market for Registrant’s Common Equity, Related Stockholder Matters and Issuer Purchases of Equity Securities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Selected Financial Data</w:t>
              </w:r>
            </w:hyperlink>
          </w:p>
        </w:tc>
        <w:tc>
          <w:tcPr>
            <w:tcW w:w="17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840" w:type="dxa"/>
            <w:vAlign w:val="bottom"/>
            <w:gridSpan w:val="1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Management’s Discussion and Analysis of Financial Condition and Results of Operations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1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Quantitative and Qualitative Disclosures About Market Risk</w:t>
              </w:r>
            </w:hyperlink>
          </w:p>
        </w:tc>
        <w:tc>
          <w:tcPr>
            <w:tcW w:w="3400" w:type="dxa"/>
            <w:vAlign w:val="bottom"/>
            <w:gridSpan w:val="4"/>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Financial Statements and Supplementary Data</w:t>
              </w:r>
            </w:hyperlink>
          </w:p>
        </w:tc>
        <w:tc>
          <w:tcPr>
            <w:tcW w:w="1020" w:type="dxa"/>
            <w:vAlign w:val="bottom"/>
            <w:tcBorders>
              <w:top w:val="single" w:sz="8" w:color="0000EE"/>
            </w:tcBorders>
            <w:gridSpan w:val="2"/>
          </w:tcPr>
          <w:p>
            <w:pPr>
              <w:spacing w:after="0"/>
              <w:rPr>
                <w:sz w:val="24"/>
                <w:szCs w:val="24"/>
                <w:color w:val="auto"/>
              </w:rPr>
            </w:pPr>
          </w:p>
        </w:tc>
        <w:tc>
          <w:tcPr>
            <w:tcW w:w="5500" w:type="dxa"/>
            <w:vAlign w:val="bottom"/>
            <w:gridSpan w:val="6"/>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9.</w:t>
            </w:r>
          </w:p>
        </w:tc>
        <w:tc>
          <w:tcPr>
            <w:tcW w:w="9840" w:type="dxa"/>
            <w:vAlign w:val="bottom"/>
            <w:gridSpan w:val="1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Changes in and Disagreements with Accountants on Accounting and Financial Disclosure</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Controls and Procedures</w:t>
              </w:r>
            </w:hyperlink>
          </w:p>
        </w:tc>
        <w:tc>
          <w:tcPr>
            <w:tcW w:w="3380" w:type="dxa"/>
            <w:vAlign w:val="bottom"/>
            <w:gridSpan w:val="3"/>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Other Information</w:t>
              </w:r>
            </w:hyperlink>
          </w:p>
        </w:tc>
        <w:tc>
          <w:tcPr>
            <w:tcW w:w="8080" w:type="dxa"/>
            <w:vAlign w:val="bottom"/>
            <w:gridSpan w:val="13"/>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31"/>
        </w:trPr>
        <w:tc>
          <w:tcPr>
            <w:tcW w:w="760" w:type="dxa"/>
            <w:vAlign w:val="bottom"/>
            <w:gridSpan w:val="5"/>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PART III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8"/>
              </w:rPr>
              <w:t>Item 10.</w:t>
            </w:r>
          </w:p>
        </w:tc>
        <w:tc>
          <w:tcPr>
            <w:tcW w:w="100" w:type="dxa"/>
            <w:vAlign w:val="bottom"/>
            <w:gridSpan w:val="2"/>
          </w:tcPr>
          <w:p>
            <w:pPr>
              <w:spacing w:after="0"/>
              <w:rPr>
                <w:sz w:val="24"/>
                <w:szCs w:val="24"/>
                <w:color w:val="auto"/>
              </w:rPr>
            </w:pPr>
          </w:p>
        </w:tc>
        <w:tc>
          <w:tcPr>
            <w:tcW w:w="9840" w:type="dxa"/>
            <w:vAlign w:val="bottom"/>
            <w:gridSpan w:val="1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Directors, Executive Officers and Corporate Governance</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5760" w:type="dxa"/>
            <w:vAlign w:val="bottom"/>
            <w:gridSpan w:val="7"/>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840" w:type="dxa"/>
            <w:vAlign w:val="bottom"/>
            <w:gridSpan w:val="1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Security Ownership of Certain Beneficial Owners and Management and Related Stockholder Matters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7"/>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Certain Relationships and Related Transactions, and Director Independence</w:t>
              </w:r>
            </w:hyperlink>
          </w:p>
        </w:tc>
        <w:tc>
          <w:tcPr>
            <w:tcW w:w="2560" w:type="dxa"/>
            <w:vAlign w:val="bottom"/>
            <w:gridSpan w:val="2"/>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Principal Accountant Fees and Services</w:t>
              </w:r>
            </w:hyperlink>
          </w:p>
        </w:tc>
        <w:tc>
          <w:tcPr>
            <w:tcW w:w="4400" w:type="dxa"/>
            <w:vAlign w:val="bottom"/>
            <w:gridSpan w:val="5"/>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18"/>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78">
              <w:r>
                <w:rPr>
                  <w:rFonts w:ascii="Arial" w:cs="Arial" w:eastAsia="Arial" w:hAnsi="Arial"/>
                  <w:sz w:val="18"/>
                  <w:szCs w:val="18"/>
                  <w:color w:val="0000EE"/>
                  <w:w w:val="94"/>
                </w:rPr>
                <w:t>PART IV</w:t>
              </w:r>
            </w:hyperlink>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Exhibits and Financial Statement Schedules</w:t>
              </w:r>
            </w:hyperlink>
          </w:p>
        </w:tc>
        <w:tc>
          <w:tcPr>
            <w:tcW w:w="6680" w:type="dxa"/>
            <w:vAlign w:val="bottom"/>
            <w:gridSpan w:val="9"/>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66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14"/>
          </w:tcPr>
          <w:p>
            <w:pPr>
              <w:jc w:val="center"/>
              <w:ind w:left="4370"/>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i w:val="1"/>
          <w:iCs w:val="1"/>
          <w:color w:val="auto"/>
        </w:rPr>
        <w:t>As used in this Annual Report on Form 10-K, the “Company”, the “Registrant”, “we” or “us” refer to vTv Therapeutics Inc.,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 xml:space="preserve">We are a clinical-stage biopharmaceutical company engaged in the discovery and development of orally administered small molecule drug candidates to fill significant unmet medical needs. We have a powerful pipeline of clinical drug candidates, led by our programs for the treatment of Alzheimer’s disease (“AD”) and diabetes. Our drug candidate for the treatment of AD,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w:t>
      </w:r>
      <w:r>
        <w:rPr>
          <w:rFonts w:ascii="Arial" w:cs="Arial" w:eastAsia="Arial" w:hAnsi="Arial"/>
          <w:sz w:val="16"/>
          <w:szCs w:val="16"/>
          <w:i w:val="1"/>
          <w:iCs w:val="1"/>
          <w:color w:val="auto"/>
        </w:rPr>
        <w:t>TTP488</w:t>
      </w:r>
      <w:r>
        <w:rPr>
          <w:rFonts w:ascii="Arial" w:cs="Arial" w:eastAsia="Arial" w:hAnsi="Arial"/>
          <w:sz w:val="16"/>
          <w:szCs w:val="16"/>
          <w:color w:val="auto"/>
        </w:rPr>
        <w:t xml:space="preserve">), is an orally administered, small molecule antagonist targeting the receptor for advanced glycation endproducts (“RAGE”). We have initiated start-up activities for an adaptive Phase 2/3 trial to evaluate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as a potential treatment of mild-AD in patients with type 2 diabetes. Our type 2 diabetes drug candidates are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 orally administered, liver-selective glucokinase activator (“GKA”), which successfully completed a Phase 2b clinical trial in type 2 diabetes (the “AGATA Study”), and </w:t>
      </w:r>
      <w:r>
        <w:rPr>
          <w:rFonts w:ascii="Arial" w:cs="Arial" w:eastAsia="Arial" w:hAnsi="Arial"/>
          <w:sz w:val="16"/>
          <w:szCs w:val="16"/>
          <w:i w:val="1"/>
          <w:iCs w:val="1"/>
          <w:color w:val="auto"/>
        </w:rPr>
        <w:t>TTP273</w:t>
      </w:r>
      <w:r>
        <w:rPr>
          <w:rFonts w:ascii="Arial" w:cs="Arial" w:eastAsia="Arial" w:hAnsi="Arial"/>
          <w:sz w:val="16"/>
          <w:szCs w:val="16"/>
          <w:color w:val="auto"/>
        </w:rPr>
        <w:t xml:space="preserve">, an orally administered, non-peptide agonist that targets the glucagon-like peptide-1 receptor (“GLP-1r”), which successfully completed a Phase 2 clinical trial in type 2 diabetes (the “LOGRA Study”). We are currently investigating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 treatment for type 1 diabetes in an adaptive Phase 2 study in partnership with JDRF International (“JDRF”). In addition, we are furthering the development of our peroxisome proliferation activated receptor delta (“PPAR-δ”) agonist and phosphodiesterase type 4 (“PDE4”) programs through partnerships with pharmaceutical partners via licensing arrangements. Finally, we continue to advance our NRF2 pathway program via research agreements with academic and industry collaborators.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current leading drug candidates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126365</wp:posOffset>
            </wp:positionV>
            <wp:extent cx="5720080" cy="25387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20080"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Our goal is to leverage our powerful pipeline of orally administered, small molecule drug candidates to deliver novel, differentiated therapies to fill significant unmet medical needs. As key components of our strategy, we:</w:t>
      </w:r>
    </w:p>
    <w:p>
      <w:pPr>
        <w:spacing w:after="0" w:line="62" w:lineRule="exact"/>
        <w:rPr>
          <w:sz w:val="20"/>
          <w:szCs w:val="20"/>
          <w:color w:val="auto"/>
        </w:rPr>
      </w:pPr>
    </w:p>
    <w:p>
      <w:pPr>
        <w:ind w:left="1000" w:hanging="492"/>
        <w:spacing w:after="0" w:line="272"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Initiated start-up activities for an adaptive Phase 2/3 clinical trial for azeliragon as a potential treatment of mild Alzheimer’s disease in patients with type 2 diabetes</w:t>
      </w:r>
      <w:r>
        <w:rPr>
          <w:rFonts w:ascii="Arial" w:cs="Arial" w:eastAsia="Arial" w:hAnsi="Arial"/>
          <w:sz w:val="17"/>
          <w:szCs w:val="17"/>
          <w:color w:val="auto"/>
        </w:rPr>
        <w:t>. Subsequent post-hoc subgroup analyses of our phase 3 STEADFAST Study identified a population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experienced positive benefit. Based on these results, we have initiated start-up activities for an adaptive Phase 2/3 trial to evaluate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as a potential treatment of mild-AD in patients with type 2 diabetes. We are currently finalizing a protocol for the study, negotiating with clinical research organizations to support study conduct activities for the trial and beginning the site selection process. We expect to initiate patient enrollment in this study in mid-2019. We plan to continue to develop </w:t>
      </w:r>
      <w:r>
        <w:rPr>
          <w:rFonts w:ascii="Arial" w:cs="Arial" w:eastAsia="Arial" w:hAnsi="Arial"/>
          <w:sz w:val="17"/>
          <w:szCs w:val="17"/>
          <w:i w:val="1"/>
          <w:iCs w:val="1"/>
          <w:color w:val="auto"/>
        </w:rPr>
        <w:t>azeliragon</w:t>
      </w:r>
      <w:r>
        <w:rPr>
          <w:rFonts w:ascii="Arial" w:cs="Arial" w:eastAsia="Arial" w:hAnsi="Arial"/>
          <w:sz w:val="17"/>
          <w:szCs w:val="17"/>
          <w:color w:val="auto"/>
        </w:rPr>
        <w:t>, through internal efforts, with additional funding, or through partnerships with other life science entities.</w:t>
      </w:r>
    </w:p>
    <w:p>
      <w:pPr>
        <w:spacing w:after="0" w:line="69" w:lineRule="exact"/>
        <w:rPr>
          <w:rFonts w:ascii="Arial" w:cs="Arial" w:eastAsia="Arial" w:hAnsi="Arial"/>
          <w:sz w:val="17"/>
          <w:szCs w:val="17"/>
          <w:color w:val="auto"/>
        </w:rPr>
      </w:pPr>
    </w:p>
    <w:p>
      <w:pPr>
        <w:ind w:left="1000" w:right="100" w:hanging="492"/>
        <w:spacing w:after="0" w:line="25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execute the ongoing phase 2 study of TTP399 for type 1 diabetes</w:t>
      </w:r>
      <w:r>
        <w:rPr>
          <w:rFonts w:ascii="Arial" w:cs="Arial" w:eastAsia="Arial" w:hAnsi="Arial"/>
          <w:sz w:val="18"/>
          <w:szCs w:val="18"/>
          <w:color w:val="auto"/>
        </w:rPr>
        <w:t>. We are currently enrolling patients in the simplici-T1 Study,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adaptive Phase 2 clinical trial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assessing the pharmacokinetics, pharmacodynamics, safety and tolerability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adult patients with type 1 diabetes. We have completed enrollment of the part 1 learning phase and expect to report results for this portion of the study in June 2019. We have begun the start-up activities for the part 2 confirming phase and expect to report results for this portion of the study in the latter part of the first quarter of 2020.</w:t>
      </w:r>
    </w:p>
    <w:p>
      <w:pPr>
        <w:spacing w:after="0" w:line="80" w:lineRule="exact"/>
        <w:rPr>
          <w:rFonts w:ascii="Arial" w:cs="Arial" w:eastAsia="Arial" w:hAnsi="Arial"/>
          <w:sz w:val="18"/>
          <w:szCs w:val="18"/>
          <w:color w:val="auto"/>
        </w:rPr>
      </w:pPr>
    </w:p>
    <w:p>
      <w:pPr>
        <w:ind w:left="1000" w:right="20" w:hanging="492"/>
        <w:spacing w:after="0" w:line="255"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Seek additional strategic collaborations and additional funding to support the continued development and commercialization of our diabetes programs</w:t>
      </w:r>
      <w:r>
        <w:rPr>
          <w:rFonts w:ascii="Arial" w:cs="Arial" w:eastAsia="Arial" w:hAnsi="Arial"/>
          <w:sz w:val="18"/>
          <w:szCs w:val="18"/>
          <w:color w:val="auto"/>
        </w:rPr>
        <w:t>. We will continue to seek additional strategic collaborations with other pharmaceutical companies and additional funding to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continued development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and </w:t>
      </w:r>
      <w:r>
        <w:rPr>
          <w:rFonts w:ascii="Arial" w:cs="Arial" w:eastAsia="Arial" w:hAnsi="Arial"/>
          <w:sz w:val="18"/>
          <w:szCs w:val="18"/>
          <w:i w:val="1"/>
          <w:iCs w:val="1"/>
          <w:color w:val="auto"/>
        </w:rPr>
        <w:t>TTP273</w:t>
      </w:r>
      <w:r>
        <w:rPr>
          <w:rFonts w:ascii="Arial" w:cs="Arial" w:eastAsia="Arial" w:hAnsi="Arial"/>
          <w:sz w:val="18"/>
          <w:szCs w:val="18"/>
          <w:color w:val="auto"/>
        </w:rPr>
        <w:t xml:space="preserve"> for type 2 diabetes and related diabetic complications. We have entered into certain collaboration agreements to further the development of these diabetes compounds. In connection with these collaboration agreements, we are required to sponsor certain clinical trials to further the development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and </w:t>
      </w:r>
      <w:r>
        <w:rPr>
          <w:rFonts w:ascii="Arial" w:cs="Arial" w:eastAsia="Arial" w:hAnsi="Arial"/>
          <w:sz w:val="18"/>
          <w:szCs w:val="18"/>
          <w:i w:val="1"/>
          <w:iCs w:val="1"/>
          <w:color w:val="auto"/>
        </w:rPr>
        <w:t>TTP273</w:t>
      </w:r>
      <w:r>
        <w:rPr>
          <w:rFonts w:ascii="Arial" w:cs="Arial" w:eastAsia="Arial" w:hAnsi="Arial"/>
          <w:sz w:val="18"/>
          <w:szCs w:val="18"/>
          <w:color w:val="auto"/>
        </w:rPr>
        <w:t>. Refer to “Business – License and Research Agreements” for additional details.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 w:name="page5"/>
    <w:bookmarkEnd w:id="4"/>
    <w:p>
      <w:pPr>
        <w:ind w:left="1000" w:right="360" w:hanging="492"/>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Continue to monitor and support existing partnerships for pipeline programs</w:t>
      </w:r>
      <w:r>
        <w:rPr>
          <w:rFonts w:ascii="Arial" w:cs="Arial" w:eastAsia="Arial" w:hAnsi="Arial"/>
          <w:sz w:val="17"/>
          <w:szCs w:val="17"/>
          <w:color w:val="auto"/>
        </w:rPr>
        <w:t>. Our partners for our GLP-1r, PPAR-δ, and PDE4 programs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to advance these programs in the licensed territories. We continue to support and monitor these partnerships.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Our Alzheimer’s Program – </w:t>
      </w:r>
      <w:r>
        <w:rPr>
          <w:rFonts w:ascii="Arial" w:cs="Arial" w:eastAsia="Arial" w:hAnsi="Arial"/>
          <w:sz w:val="18"/>
          <w:szCs w:val="18"/>
          <w:b w:val="1"/>
          <w:bCs w:val="1"/>
          <w:i w:val="1"/>
          <w:iCs w:val="1"/>
          <w:color w:val="auto"/>
        </w:rPr>
        <w:t>Azeliragon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Alzheimer’s Disease and the Role of RAGE in its Onset</w:t>
      </w:r>
    </w:p>
    <w:p>
      <w:pPr>
        <w:spacing w:after="0" w:line="117"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AD is a progressive neurodegenerative disorder that slowly destroys memory and thinking skills, and eventually the ability to carry out simple tasks. Its symptoms include cognitive dysfunction, memory abnormalities, progressive impairment in activities of daily living and a host of behavioral and neuropsychiatric symptoms. The exact cause of AD is unknown; however, genetic and environmental factors are established contributors. Amyloid Beta (“Aβ”) plaques, neurofibrillary tangles of tau protein, and neuroinflammation in the brain are believed to be the main causes of the disease, leading to loss of neuronal connectivity in the brain.</w:t>
      </w:r>
    </w:p>
    <w:p>
      <w:pPr>
        <w:spacing w:after="0" w:line="80"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RAGE is an immunoglobulin-like cell surface receptor that is overexpressed in brain tissues of patients with AD. We believe that RAGE is an important cellular cofactor that binds ligands that are implicated in multiple factors of AD, including Aβ transport into the brain, the phosphorylation of tau, chronic inflammation, vascular dysfunction, metabolic dysregulation and neurotoxicity. These effects are attenuated following antagonism of the RAGE receptor.</w:t>
      </w:r>
    </w:p>
    <w:p>
      <w:pPr>
        <w:spacing w:after="0" w:line="79" w:lineRule="exact"/>
        <w:rPr>
          <w:sz w:val="20"/>
          <w:szCs w:val="20"/>
          <w:color w:val="auto"/>
        </w:rPr>
      </w:pPr>
    </w:p>
    <w:p>
      <w:pPr>
        <w:ind w:firstLine="509"/>
        <w:spacing w:after="0" w:line="276" w:lineRule="auto"/>
        <w:rPr>
          <w:sz w:val="20"/>
          <w:szCs w:val="20"/>
          <w:color w:val="auto"/>
        </w:rPr>
      </w:pPr>
      <w:r>
        <w:rPr>
          <w:rFonts w:ascii="Arial" w:cs="Arial" w:eastAsia="Arial" w:hAnsi="Arial"/>
          <w:sz w:val="17"/>
          <w:szCs w:val="17"/>
          <w:color w:val="auto"/>
        </w:rPr>
        <w:t xml:space="preserve">Post-mortem studies in AD patients reveal increased RAGE expression in neuronal, microglial and endothelial cells when compared to similar subjects without AD. Cells around senile plaques express higher levels of RAGE during disease progression. Furthermore, expressed levels of RAGE are correlated with the severity of the disease. The data observed in human AD patients is consistent with the multiple non-clinical </w:t>
      </w:r>
      <w:r>
        <w:rPr>
          <w:rFonts w:ascii="Arial" w:cs="Arial" w:eastAsia="Arial" w:hAnsi="Arial"/>
          <w:sz w:val="17"/>
          <w:szCs w:val="17"/>
          <w:i w:val="1"/>
          <w:iCs w:val="1"/>
          <w:color w:val="auto"/>
        </w:rPr>
        <w:t>in-vitro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in-vivo</w:t>
      </w:r>
      <w:r>
        <w:rPr>
          <w:rFonts w:ascii="Arial" w:cs="Arial" w:eastAsia="Arial" w:hAnsi="Arial"/>
          <w:sz w:val="17"/>
          <w:szCs w:val="17"/>
          <w:color w:val="auto"/>
        </w:rPr>
        <w:t xml:space="preserve"> models studied by third parties that show RAGE is overexpressed in brain tissue. Taken together, we believe that the scientific literature provides substantial support for RAGE inhibition as a validated and promising therapeutic approach in the treatment of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50165</wp:posOffset>
            </wp:positionV>
            <wp:extent cx="5042535" cy="4013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42535" cy="401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ind w:right="120" w:firstLine="509"/>
        <w:spacing w:after="0" w:line="259" w:lineRule="auto"/>
        <w:rPr>
          <w:sz w:val="20"/>
          <w:szCs w:val="20"/>
          <w:color w:val="auto"/>
        </w:rPr>
      </w:pPr>
      <w:r>
        <w:rPr>
          <w:rFonts w:ascii="Arial" w:cs="Arial" w:eastAsia="Arial" w:hAnsi="Arial"/>
          <w:sz w:val="18"/>
          <w:szCs w:val="18"/>
          <w:color w:val="auto"/>
        </w:rPr>
        <w:t>Advanced glycation endproducts (“AGEs”) also accumulate in tissues of people with type 2 diabetes. When the concentration of RAGE ligands (e.g., AGEs) increases, more RAGE expression is induced. AGEs play a major role in the worsening of complications of type 2 diabetes, such as retinopathy, neuropathy and nephropathy. Furthermore, AGE accumulation parallels the development of cognitive impairment and dementia in individuals with type 2 diabetes.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Treatments of Alzheimer’s Disease and Their Limitations</w:t>
      </w:r>
    </w:p>
    <w:p>
      <w:pPr>
        <w:spacing w:after="0" w:line="117"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Currently, there are only two classes of approved therapies for the treatment of AD: acetylcholinesterase inhibitors (“AChEIs”) and glutamatergic modulators. AChEIs are designed to slow the degradation of acetylcholine, helping to preserve neuronal communication and function temporarily, but do not slow or halt neuronal death. Glutamatergic modulators are designed to block sustained, low-level activation of the N-methyl-D-aspartate (“NMDA”) receptor without inhibiting the normal function of the receptor in memory and cognition, providing temporary symptomatic relief.</w:t>
      </w:r>
    </w:p>
    <w:p>
      <w:pPr>
        <w:spacing w:after="0" w:line="63" w:lineRule="exact"/>
        <w:rPr>
          <w:sz w:val="20"/>
          <w:szCs w:val="20"/>
          <w:color w:val="auto"/>
        </w:rPr>
      </w:pPr>
    </w:p>
    <w:p>
      <w:pPr>
        <w:ind w:right="320" w:firstLine="509"/>
        <w:spacing w:after="0" w:line="257" w:lineRule="auto"/>
        <w:rPr>
          <w:sz w:val="20"/>
          <w:szCs w:val="20"/>
          <w:color w:val="auto"/>
        </w:rPr>
      </w:pPr>
      <w:r>
        <w:rPr>
          <w:rFonts w:ascii="Arial" w:cs="Arial" w:eastAsia="Arial" w:hAnsi="Arial"/>
          <w:sz w:val="18"/>
          <w:szCs w:val="18"/>
          <w:color w:val="auto"/>
        </w:rPr>
        <w:t>The currently available treatments combat the symptoms of AD rather than the underlying cause and as a result, AD continues to progress in these patients despite treatment. Similarly, the use of antidepressants and antipsychotics are often prescribed off-label to treat the symptoms of severe AD when patients suffer from agitation, aggressive behaviors, psychosis and depression. Recent drug candidates under development include those focused on Aβ synthesis or clearance from the brain, the phosphorylation of tau protein, chronic inflammation, vascular dysfunction, metabolic dysregulation and neurotoxicity.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Azeliragon</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i w:val="1"/>
          <w:iCs w:val="1"/>
          <w:color w:val="auto"/>
        </w:rPr>
        <w:t xml:space="preserve">Azeliragon </w:t>
      </w:r>
      <w:r>
        <w:rPr>
          <w:rFonts w:ascii="Arial" w:cs="Arial" w:eastAsia="Arial" w:hAnsi="Arial"/>
          <w:sz w:val="18"/>
          <w:szCs w:val="18"/>
          <w:color w:val="auto"/>
        </w:rPr>
        <w:t>is an orally administered, small molecule investigational drug candidate with a novel mechanism of action of inhibiting RAGE.</w:t>
      </w:r>
      <w:r>
        <w:rPr>
          <w:rFonts w:ascii="Arial" w:cs="Arial" w:eastAsia="Arial" w:hAnsi="Arial"/>
          <w:sz w:val="18"/>
          <w:szCs w:val="18"/>
          <w:i w:val="1"/>
          <w:iCs w:val="1"/>
          <w:color w:val="auto"/>
        </w:rPr>
        <w:t xml:space="preserve"> Azeliragon </w:t>
      </w:r>
      <w:r>
        <w:rPr>
          <w:rFonts w:ascii="Arial" w:cs="Arial" w:eastAsia="Arial" w:hAnsi="Arial"/>
          <w:sz w:val="18"/>
          <w:szCs w:val="18"/>
          <w:color w:val="auto"/>
        </w:rPr>
        <w:t xml:space="preserve">has the potential to offer a novel modality in AD therapeutics, and we are not aware of any other clinical-stage drugs targeting RAGE. Because currently approved treatments are focused on symptom relief, we believe that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represents a potential new approach for the treatment of AD. In addition, we believe that in order to successfully treat and combat the physiological progression of AD, an effective treatment must act on multiple causes of the disease. </w:t>
      </w:r>
      <w:r>
        <w:rPr>
          <w:rFonts w:ascii="Arial" w:cs="Arial" w:eastAsia="Arial" w:hAnsi="Arial"/>
          <w:sz w:val="18"/>
          <w:szCs w:val="18"/>
          <w:i w:val="1"/>
          <w:iCs w:val="1"/>
          <w:color w:val="auto"/>
        </w:rPr>
        <w:t xml:space="preserve">Azeliragon </w:t>
      </w:r>
      <w:r>
        <w:rPr>
          <w:rFonts w:ascii="Arial" w:cs="Arial" w:eastAsia="Arial" w:hAnsi="Arial"/>
          <w:sz w:val="18"/>
          <w:szCs w:val="18"/>
          <w:color w:val="auto"/>
        </w:rPr>
        <w:t>is designed to inhibit RAGE, which affects the multiple factors of AD, including Aβ transport into the brain, the phosphorylation of tau, chronic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inflammation, vascular dysfunction, metabolic dysregulation and neurotoxicity. To date, we have conducted eight Phase 1, three Phase 2 and two Phase 3 clinical trials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Both Parts A and B of our Phase 3 STEADFAST Study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in people with mild Alzheimer’s disease failed to meet either of the co-primary efficacy endpoints.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3 STEADFAST Study</w:t>
      </w:r>
    </w:p>
    <w:p>
      <w:pPr>
        <w:spacing w:after="0" w:line="11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 xml:space="preserve">We initiated the STEADFAST Study in April 2015 pursuant to a Special Protocol Assessment (“SPA”) with the FDA. The study was conducted in the United States and certain English-speaking foreign countries under a single protocol and was designed to enroll 800 mild AD patients in total, divided equally across two independent 400-patient sub-studies, in which each subject received either a 5 mg/day dose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or placebo, randomized on a one-to-one basis, added to the standard of care. Though we announced in 2018 that neither the A-Study nor the B-Study met its clinical endpoints, a post-hoc subgroup analysis of 24 patients from the A-Study of the STEADFAST Study with type 2 diabetes (defined by glycosylated hemoglobin (HbA</w:t>
      </w:r>
      <w:r>
        <w:rPr>
          <w:rFonts w:ascii="Arial" w:cs="Arial" w:eastAsia="Arial" w:hAnsi="Arial"/>
          <w:sz w:val="13"/>
          <w:szCs w:val="13"/>
          <w:color w:val="auto"/>
        </w:rPr>
        <w:t>1c</w:t>
      </w:r>
      <w:r>
        <w:rPr>
          <w:rFonts w:ascii="Arial" w:cs="Arial" w:eastAsia="Arial" w:hAnsi="Arial"/>
          <w:sz w:val="16"/>
          <w:szCs w:val="16"/>
          <w:color w:val="auto"/>
        </w:rPr>
        <w:t>) of greater than or equal to 6.5% at baseline; HbA</w:t>
      </w:r>
      <w:r>
        <w:rPr>
          <w:rFonts w:ascii="Arial" w:cs="Arial" w:eastAsia="Arial" w:hAnsi="Arial"/>
          <w:sz w:val="13"/>
          <w:szCs w:val="13"/>
          <w:color w:val="auto"/>
        </w:rPr>
        <w:t>1c</w:t>
      </w:r>
      <w:r>
        <w:rPr>
          <w:rFonts w:ascii="Arial" w:cs="Arial" w:eastAsia="Arial" w:hAnsi="Arial"/>
          <w:sz w:val="16"/>
          <w:szCs w:val="16"/>
          <w:color w:val="auto"/>
        </w:rPr>
        <w:t xml:space="preserve"> greater than 7.7% was an exclusion criterion at screening) and a clinical diagnosis of Alzheimer’s disease showed benefit to </w:t>
      </w:r>
      <w:r>
        <w:rPr>
          <w:rFonts w:ascii="Arial" w:cs="Arial" w:eastAsia="Arial" w:hAnsi="Arial"/>
          <w:sz w:val="16"/>
          <w:szCs w:val="16"/>
          <w:i w:val="1"/>
          <w:iCs w:val="1"/>
          <w:color w:val="auto"/>
        </w:rPr>
        <w:t>azeliragon</w:t>
      </w:r>
      <w:r>
        <w:rPr>
          <w:rFonts w:ascii="Arial" w:cs="Arial" w:eastAsia="Arial" w:hAnsi="Arial"/>
          <w:sz w:val="16"/>
          <w:szCs w:val="16"/>
          <w:color w:val="auto"/>
        </w:rPr>
        <w:t>. The</w:t>
      </w:r>
      <w:r>
        <w:rPr>
          <w:rFonts w:ascii="Arial" w:cs="Arial" w:eastAsia="Arial" w:hAnsi="Arial"/>
          <w:sz w:val="16"/>
          <w:szCs w:val="16"/>
          <w:i w:val="1"/>
          <w:iCs w:val="1"/>
          <w:color w:val="auto"/>
        </w:rPr>
        <w:t xml:space="preserve"> azeliragon</w:t>
      </w:r>
      <w:r>
        <w:rPr>
          <w:rFonts w:ascii="Arial" w:cs="Arial" w:eastAsia="Arial" w:hAnsi="Arial"/>
          <w:sz w:val="16"/>
          <w:szCs w:val="16"/>
          <w:color w:val="auto"/>
        </w:rPr>
        <w:t>-treated group in the A-Study (n=17) demonstrated a 6.1 point benefit on ADAS-cog relative to the placebo group (n=7),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was nominally statistically significant (p = 0.018) after 18 months of treatment. The </w:t>
      </w:r>
      <w:r>
        <w:rPr>
          <w:rFonts w:ascii="Arial" w:cs="Arial" w:eastAsia="Arial" w:hAnsi="Arial"/>
          <w:sz w:val="16"/>
          <w:szCs w:val="16"/>
          <w:i w:val="1"/>
          <w:iCs w:val="1"/>
          <w:color w:val="auto"/>
        </w:rPr>
        <w:t>azeliragon</w:t>
      </w:r>
      <w:r>
        <w:rPr>
          <w:rFonts w:ascii="Arial" w:cs="Arial" w:eastAsia="Arial" w:hAnsi="Arial"/>
          <w:sz w:val="16"/>
          <w:szCs w:val="16"/>
          <w:color w:val="auto"/>
        </w:rPr>
        <w:t>-treated group in the A-Study (n=17) demonstrated a 1.7 point benefit on CDR-sb relative to the placebo group (n=7) (p=.05) after 18 months of treatment.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 xml:space="preserve">Based on these results, we have initiated start up activities for an adaptive Phase 2/3 trial to evaluate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as a potential treatment of mild-AD in patients with type 2 diabetes. We are currently finalizing a protocol for the study, negotiating with clinical research organizations to support study conduct activities for the trial and beginning the site selection process. We expect to initiate patient enrollment in this study in mid-2019.</w:t>
      </w:r>
    </w:p>
    <w:p>
      <w:pPr>
        <w:spacing w:after="0" w:line="166"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i w:val="1"/>
          <w:iCs w:val="1"/>
          <w:color w:val="auto"/>
        </w:rPr>
        <w:t xml:space="preserve">Azeliragon </w:t>
      </w:r>
      <w:r>
        <w:rPr>
          <w:rFonts w:ascii="Arial" w:cs="Arial" w:eastAsia="Arial" w:hAnsi="Arial"/>
          <w:sz w:val="17"/>
          <w:szCs w:val="17"/>
          <w:color w:val="auto"/>
        </w:rPr>
        <w:t>was previously awarded Fast Track designation by the FDA and, relying upon the program’s Fast Track Designation status,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pursued discussions with the FDA and EMA to propose a pathway for further clinical development in support of regulatory approval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In July 2018, we submitted a full briefing book to the FDA in support of our request for a Type C meeting seeking development guidance for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In September 2018, we received a written response from the FDA to our Type C meeting request. In the response, the FDA advised that the efficacy of </w:t>
      </w:r>
      <w:r>
        <w:rPr>
          <w:rFonts w:ascii="Arial" w:cs="Arial" w:eastAsia="Arial" w:hAnsi="Arial"/>
          <w:sz w:val="17"/>
          <w:szCs w:val="17"/>
          <w:i w:val="1"/>
          <w:iCs w:val="1"/>
          <w:color w:val="auto"/>
        </w:rPr>
        <w:t xml:space="preserve">azeliragon </w:t>
      </w:r>
      <w:r>
        <w:rPr>
          <w:rFonts w:ascii="Arial" w:cs="Arial" w:eastAsia="Arial" w:hAnsi="Arial"/>
          <w:sz w:val="17"/>
          <w:szCs w:val="17"/>
          <w:color w:val="auto"/>
        </w:rPr>
        <w:t>should be demonstrated in at least two adequate and well-controlled trials, unless under the exceptional circumstances in which a single trial might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suffice as set forth in the FDA’s guidance document entitled “Providing Clinical Effectiveness for Human Drug and Biological Products”. We met with the Scientific Advice Working Party (“SAWP”) of the EMA in October 2018, to discuss future development requirements in support of approval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in the European Union. In response, the SAWP advised on the circumstances in which a single trial might suffice. For a single pivotal trial to be acceptable, the results would need to be particularly compelling with respect to internal and external validity, clinical relevance, statistical significance, data quality and internal consistency. The SAWP acknowledged preliminary data concerning overexpression of RAGE in the A- and B-studies and subgroups analyses, based on patients with evidence of high circulating levels of RAGE ligands such as HbA</w:t>
      </w:r>
      <w:r>
        <w:rPr>
          <w:rFonts w:ascii="Arial" w:cs="Arial" w:eastAsia="Arial" w:hAnsi="Arial"/>
          <w:sz w:val="14"/>
          <w:szCs w:val="14"/>
          <w:color w:val="auto"/>
        </w:rPr>
        <w:t>1c</w:t>
      </w:r>
      <w:r>
        <w:rPr>
          <w:rFonts w:ascii="Arial" w:cs="Arial" w:eastAsia="Arial" w:hAnsi="Arial"/>
          <w:sz w:val="17"/>
          <w:szCs w:val="17"/>
          <w:color w:val="auto"/>
        </w:rPr>
        <w:t xml:space="preserve"> and Amyloid beta, provide support for the hypothesis that patients with increased concentrations of RAGE ligands have beneficial effects of </w:t>
      </w:r>
      <w:r>
        <w:rPr>
          <w:rFonts w:ascii="Arial" w:cs="Arial" w:eastAsia="Arial" w:hAnsi="Arial"/>
          <w:sz w:val="17"/>
          <w:szCs w:val="17"/>
          <w:i w:val="1"/>
          <w:iCs w:val="1"/>
          <w:color w:val="auto"/>
        </w:rPr>
        <w:t>azeliragon</w:t>
      </w:r>
      <w:r>
        <w:rPr>
          <w:rFonts w:ascii="Arial" w:cs="Arial" w:eastAsia="Arial" w:hAnsi="Arial"/>
          <w:sz w:val="17"/>
          <w:szCs w:val="17"/>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Events (Phase 3 Mild AD Patients)</w:t>
      </w:r>
    </w:p>
    <w:p>
      <w:pPr>
        <w:spacing w:after="0" w:line="117"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 xml:space="preserve">Among the most frequent adverse events (“AEs”) occurring in &gt;2% of subjects who received the 5 mg/day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in Phase 3 were urinary tract infection (“UTI”) (10.2%), depression (4.8%), upper respiratory tract infection (4.5%), dizziness (4.1%), weight decreased (3.9%), nausea (3.2%), cough</w:t>
      </w:r>
    </w:p>
    <w:p>
      <w:pPr>
        <w:ind w:right="260"/>
        <w:spacing w:after="0" w:line="261" w:lineRule="auto"/>
        <w:rPr>
          <w:sz w:val="20"/>
          <w:szCs w:val="20"/>
          <w:color w:val="auto"/>
        </w:rPr>
      </w:pPr>
      <w:r>
        <w:rPr>
          <w:rFonts w:ascii="Arial" w:cs="Arial" w:eastAsia="Arial" w:hAnsi="Arial"/>
          <w:sz w:val="18"/>
          <w:szCs w:val="18"/>
          <w:color w:val="auto"/>
        </w:rPr>
        <w:t>(2.9%), insomnia (2.5%), syncope (2.5%) constipation (2.3%) and musculoskeletal pain (2.3%). A comparison to placebo subjects is provided in the table below:</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Treatment emergent adverse events occurring in &gt;2% of </w:t>
      </w:r>
      <w:r>
        <w:rPr>
          <w:rFonts w:ascii="Arial" w:cs="Arial" w:eastAsia="Arial" w:hAnsi="Arial"/>
          <w:sz w:val="18"/>
          <w:szCs w:val="18"/>
          <w:b w:val="1"/>
          <w:bCs w:val="1"/>
          <w:i w:val="1"/>
          <w:iCs w:val="1"/>
          <w:color w:val="auto"/>
        </w:rPr>
        <w:t>azeliragon</w:t>
      </w:r>
      <w:r>
        <w:rPr>
          <w:rFonts w:ascii="Arial" w:cs="Arial" w:eastAsia="Arial" w:hAnsi="Arial"/>
          <w:sz w:val="18"/>
          <w:szCs w:val="18"/>
          <w:b w:val="1"/>
          <w:bCs w:val="1"/>
          <w:color w:val="auto"/>
        </w:rPr>
        <w:t xml:space="preserve"> treated subjects and numerically more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frequent than placebo</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20" w:type="dxa"/>
            <w:vAlign w:val="bottom"/>
            <w:tcBorders>
              <w:right w:val="single" w:sz="8" w:color="auto"/>
            </w:tcBorders>
          </w:tcPr>
          <w:p>
            <w:pPr>
              <w:spacing w:after="0"/>
              <w:rPr>
                <w:sz w:val="16"/>
                <w:szCs w:val="16"/>
                <w:color w:val="auto"/>
              </w:rPr>
            </w:pPr>
          </w:p>
        </w:tc>
        <w:tc>
          <w:tcPr>
            <w:tcW w:w="3460" w:type="dxa"/>
            <w:vAlign w:val="bottom"/>
            <w:tcBorders>
              <w:top w:val="single" w:sz="8" w:color="auto"/>
              <w:right w:val="single" w:sz="8" w:color="auto"/>
            </w:tcBorders>
          </w:tcPr>
          <w:p>
            <w:pPr>
              <w:spacing w:after="0"/>
              <w:rPr>
                <w:sz w:val="16"/>
                <w:szCs w:val="16"/>
                <w:color w:val="auto"/>
              </w:rPr>
            </w:pPr>
          </w:p>
        </w:tc>
        <w:tc>
          <w:tcPr>
            <w:tcW w:w="262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Azeliragon</w:t>
            </w:r>
          </w:p>
        </w:tc>
        <w:tc>
          <w:tcPr>
            <w:tcW w:w="224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Placebo</w:t>
            </w:r>
          </w:p>
        </w:tc>
        <w:tc>
          <w:tcPr>
            <w:tcW w:w="1600" w:type="dxa"/>
            <w:vAlign w:val="bottom"/>
          </w:tcPr>
          <w:p>
            <w:pPr>
              <w:spacing w:after="0"/>
              <w:rPr>
                <w:sz w:val="16"/>
                <w:szCs w:val="16"/>
                <w:color w:val="auto"/>
              </w:rPr>
            </w:pPr>
          </w:p>
        </w:tc>
      </w:tr>
      <w:tr>
        <w:trPr>
          <w:trHeight w:val="216"/>
        </w:trPr>
        <w:tc>
          <w:tcPr>
            <w:tcW w:w="152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Preferred Term</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N = 441</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 = 434</w:t>
            </w:r>
          </w:p>
        </w:tc>
        <w:tc>
          <w:tcPr>
            <w:tcW w:w="1600" w:type="dxa"/>
            <w:vAlign w:val="bottom"/>
          </w:tcPr>
          <w:p>
            <w:pPr>
              <w:spacing w:after="0"/>
              <w:rPr>
                <w:sz w:val="18"/>
                <w:szCs w:val="18"/>
                <w:color w:val="auto"/>
              </w:rPr>
            </w:pPr>
          </w:p>
        </w:tc>
      </w:tr>
      <w:tr>
        <w:trPr>
          <w:trHeight w:val="230"/>
        </w:trPr>
        <w:tc>
          <w:tcPr>
            <w:tcW w:w="1520" w:type="dxa"/>
            <w:vAlign w:val="bottom"/>
            <w:tcBorders>
              <w:right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 (%)</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 (%)</w:t>
            </w:r>
          </w:p>
        </w:tc>
        <w:tc>
          <w:tcPr>
            <w:tcW w:w="1600" w:type="dxa"/>
            <w:vAlign w:val="bottom"/>
          </w:tcPr>
          <w:p>
            <w:pPr>
              <w:spacing w:after="0"/>
              <w:rPr>
                <w:sz w:val="20"/>
                <w:szCs w:val="20"/>
                <w:color w:val="auto"/>
              </w:rPr>
            </w:pPr>
          </w:p>
        </w:tc>
      </w:tr>
      <w:tr>
        <w:trPr>
          <w:trHeight w:val="318"/>
        </w:trPr>
        <w:tc>
          <w:tcPr>
            <w:tcW w:w="1520" w:type="dxa"/>
            <w:vAlign w:val="bottom"/>
            <w:tcBorders>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Urinary tract infection</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 (10.2%)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35 (8.1%)</w:t>
            </w:r>
          </w:p>
        </w:tc>
        <w:tc>
          <w:tcPr>
            <w:tcW w:w="1600" w:type="dxa"/>
            <w:vAlign w:val="bottom"/>
          </w:tcPr>
          <w:p>
            <w:pPr>
              <w:spacing w:after="0"/>
              <w:rPr>
                <w:sz w:val="24"/>
                <w:szCs w:val="24"/>
                <w:color w:val="auto"/>
              </w:rPr>
            </w:pPr>
          </w:p>
        </w:tc>
      </w:tr>
      <w:tr>
        <w:trPr>
          <w:trHeight w:val="318"/>
        </w:trPr>
        <w:tc>
          <w:tcPr>
            <w:tcW w:w="1520" w:type="dxa"/>
            <w:vAlign w:val="bottom"/>
            <w:tcBorders>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Depression</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21 (4.8%)</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20 (4.6%)</w:t>
            </w:r>
          </w:p>
        </w:tc>
        <w:tc>
          <w:tcPr>
            <w:tcW w:w="1600" w:type="dxa"/>
            <w:vAlign w:val="bottom"/>
          </w:tcPr>
          <w:p>
            <w:pPr>
              <w:spacing w:after="0"/>
              <w:rPr>
                <w:sz w:val="24"/>
                <w:szCs w:val="24"/>
                <w:color w:val="auto"/>
              </w:rPr>
            </w:pPr>
          </w:p>
        </w:tc>
      </w:tr>
      <w:tr>
        <w:trPr>
          <w:trHeight w:val="318"/>
        </w:trPr>
        <w:tc>
          <w:tcPr>
            <w:tcW w:w="1520" w:type="dxa"/>
            <w:vAlign w:val="bottom"/>
            <w:tcBorders>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Upper respiratory tract infection</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20 (4.5%)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16 (3.7%)</w:t>
            </w:r>
          </w:p>
        </w:tc>
        <w:tc>
          <w:tcPr>
            <w:tcW w:w="1600" w:type="dxa"/>
            <w:vAlign w:val="bottom"/>
          </w:tcPr>
          <w:p>
            <w:pPr>
              <w:spacing w:after="0"/>
              <w:rPr>
                <w:sz w:val="24"/>
                <w:szCs w:val="24"/>
                <w:color w:val="auto"/>
              </w:rPr>
            </w:pPr>
          </w:p>
        </w:tc>
      </w:tr>
      <w:tr>
        <w:trPr>
          <w:trHeight w:val="318"/>
        </w:trPr>
        <w:tc>
          <w:tcPr>
            <w:tcW w:w="1520" w:type="dxa"/>
            <w:vAlign w:val="bottom"/>
            <w:tcBorders>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Dizziness</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18 (4.1%)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15 (3.5%)</w:t>
            </w:r>
          </w:p>
        </w:tc>
        <w:tc>
          <w:tcPr>
            <w:tcW w:w="1600" w:type="dxa"/>
            <w:vAlign w:val="bottom"/>
          </w:tcPr>
          <w:p>
            <w:pPr>
              <w:spacing w:after="0"/>
              <w:rPr>
                <w:sz w:val="24"/>
                <w:szCs w:val="24"/>
                <w:color w:val="auto"/>
              </w:rPr>
            </w:pPr>
          </w:p>
        </w:tc>
      </w:tr>
      <w:tr>
        <w:trPr>
          <w:trHeight w:val="318"/>
        </w:trPr>
        <w:tc>
          <w:tcPr>
            <w:tcW w:w="1520" w:type="dxa"/>
            <w:vAlign w:val="bottom"/>
            <w:tcBorders>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Weight decreased</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17 (3.9%)</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13 (3.0%)</w:t>
            </w:r>
          </w:p>
        </w:tc>
        <w:tc>
          <w:tcPr>
            <w:tcW w:w="1600" w:type="dxa"/>
            <w:vAlign w:val="bottom"/>
          </w:tcPr>
          <w:p>
            <w:pPr>
              <w:spacing w:after="0"/>
              <w:rPr>
                <w:sz w:val="24"/>
                <w:szCs w:val="24"/>
                <w:color w:val="auto"/>
              </w:rPr>
            </w:pPr>
          </w:p>
        </w:tc>
      </w:tr>
      <w:tr>
        <w:trPr>
          <w:trHeight w:val="426"/>
        </w:trPr>
        <w:tc>
          <w:tcPr>
            <w:tcW w:w="15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620" w:type="dxa"/>
            <w:vAlign w:val="bottom"/>
          </w:tcPr>
          <w:p>
            <w:pPr>
              <w:jc w:val="right"/>
              <w:ind w:right="1750"/>
              <w:spacing w:after="0"/>
              <w:rPr>
                <w:sz w:val="20"/>
                <w:szCs w:val="20"/>
                <w:color w:val="auto"/>
              </w:rPr>
            </w:pPr>
            <w:r>
              <w:rPr>
                <w:rFonts w:ascii="Arial" w:cs="Arial" w:eastAsia="Arial" w:hAnsi="Arial"/>
                <w:sz w:val="18"/>
                <w:szCs w:val="18"/>
                <w:color w:val="auto"/>
              </w:rPr>
              <w:t>7</w:t>
            </w: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7" w:name="page8"/>
    <w:bookmarkEnd w:id="7"/>
    <w:tbl>
      <w:tblPr>
        <w:tblLayout w:type="fixed"/>
        <w:tblInd w:w="1510" w:type="dxa"/>
        <w:tblCellMar>
          <w:top w:w="0" w:type="dxa"/>
          <w:left w:w="0" w:type="dxa"/>
          <w:bottom w:w="0" w:type="dxa"/>
          <w:right w:w="0" w:type="dxa"/>
        </w:tblCellMar>
      </w:tblPr>
      <w:tr>
        <w:trPr>
          <w:trHeight w:val="338"/>
        </w:trPr>
        <w:tc>
          <w:tcPr>
            <w:tcW w:w="34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Nausea</w:t>
            </w:r>
          </w:p>
        </w:tc>
        <w:tc>
          <w:tcPr>
            <w:tcW w:w="2620" w:type="dxa"/>
            <w:vAlign w:val="bottom"/>
            <w:tcBorders>
              <w:top w:val="single" w:sz="8" w:color="auto"/>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color w:val="auto"/>
              </w:rPr>
              <w:t>14 (3.2%)</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 (2.3%)</w:t>
            </w:r>
          </w:p>
        </w:tc>
      </w:tr>
      <w:tr>
        <w:trPr>
          <w:trHeight w:val="318"/>
        </w:trPr>
        <w:tc>
          <w:tcPr>
            <w:tcW w:w="3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Cough</w:t>
            </w:r>
          </w:p>
        </w:tc>
        <w:tc>
          <w:tcPr>
            <w:tcW w:w="262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color w:val="auto"/>
              </w:rPr>
              <w:t>13 (2.9%)</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9 (2.1%)</w:t>
            </w:r>
          </w:p>
        </w:tc>
      </w:tr>
      <w:tr>
        <w:trPr>
          <w:trHeight w:val="318"/>
        </w:trPr>
        <w:tc>
          <w:tcPr>
            <w:tcW w:w="3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Insomnia</w:t>
            </w:r>
          </w:p>
        </w:tc>
        <w:tc>
          <w:tcPr>
            <w:tcW w:w="262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color w:val="auto"/>
              </w:rPr>
              <w:t>11 (2.5%)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 (1.6%)</w:t>
            </w:r>
          </w:p>
        </w:tc>
      </w:tr>
      <w:tr>
        <w:trPr>
          <w:trHeight w:val="318"/>
        </w:trPr>
        <w:tc>
          <w:tcPr>
            <w:tcW w:w="3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Syncope</w:t>
            </w:r>
          </w:p>
        </w:tc>
        <w:tc>
          <w:tcPr>
            <w:tcW w:w="262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color w:val="auto"/>
              </w:rPr>
              <w:t>11 (2.5%)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9 (2.1%)</w:t>
            </w:r>
          </w:p>
        </w:tc>
      </w:tr>
      <w:tr>
        <w:trPr>
          <w:trHeight w:val="318"/>
        </w:trPr>
        <w:tc>
          <w:tcPr>
            <w:tcW w:w="3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Constipation</w:t>
            </w:r>
          </w:p>
        </w:tc>
        <w:tc>
          <w:tcPr>
            <w:tcW w:w="262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color w:val="auto"/>
              </w:rPr>
              <w:t>10 (2.3%)</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8 (1.8%)</w:t>
            </w:r>
          </w:p>
        </w:tc>
      </w:tr>
      <w:tr>
        <w:trPr>
          <w:trHeight w:val="318"/>
        </w:trPr>
        <w:tc>
          <w:tcPr>
            <w:tcW w:w="3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Musculoskeletal pain</w:t>
            </w:r>
          </w:p>
        </w:tc>
        <w:tc>
          <w:tcPr>
            <w:tcW w:w="262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color w:val="auto"/>
              </w:rPr>
              <w:t>10 (2.3%)</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 (1.2%)</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Diabetes Programs – Glucokinase Activator and GLP-1r Agonist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Diabetes Overview</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person suffering from diabetes does not produce or properly use insulin (a hormone that enables people to get energy from food).</w:t>
      </w:r>
    </w:p>
    <w:p>
      <w:pPr>
        <w:spacing w:after="0" w:line="117" w:lineRule="exact"/>
        <w:rPr>
          <w:sz w:val="20"/>
          <w:szCs w:val="20"/>
          <w:color w:val="auto"/>
        </w:rPr>
      </w:pPr>
    </w:p>
    <w:p>
      <w:pPr>
        <w:ind w:right="20" w:firstLine="509"/>
        <w:spacing w:after="0" w:line="276" w:lineRule="auto"/>
        <w:rPr>
          <w:sz w:val="20"/>
          <w:szCs w:val="20"/>
          <w:color w:val="auto"/>
        </w:rPr>
      </w:pPr>
      <w:r>
        <w:rPr>
          <w:rFonts w:ascii="Arial" w:cs="Arial" w:eastAsia="Arial" w:hAnsi="Arial"/>
          <w:sz w:val="17"/>
          <w:szCs w:val="17"/>
          <w:color w:val="auto"/>
        </w:rPr>
        <w:t>In type 2 diabetes, the secretion of insulin from the pancreas and the action of insulin on tissues such as fat and muscle are both abnormal. Type 2 diabetics produce insulin, but insulin production and use both decrease over time as the disease progresses, ultimately requiring insulin administration to manage the disease. Obesity is generally considered the major contributor to the development of type 2 diabetes. As the global obesity epidemic expands, the increase in the number of type 2 diabetes patients has and is expected to continue. With the increasing incidence and prevalence of type 2 diabetes, we believe there is a significant unmet medical need for treatment alternatives with improved efficacy and safety.</w:t>
      </w:r>
    </w:p>
    <w:p>
      <w:pPr>
        <w:spacing w:after="0" w:line="64" w:lineRule="exact"/>
        <w:rPr>
          <w:sz w:val="20"/>
          <w:szCs w:val="20"/>
          <w:color w:val="auto"/>
        </w:rPr>
      </w:pPr>
    </w:p>
    <w:p>
      <w:pPr>
        <w:ind w:firstLine="509"/>
        <w:spacing w:after="0" w:line="312" w:lineRule="auto"/>
        <w:rPr>
          <w:sz w:val="20"/>
          <w:szCs w:val="20"/>
          <w:color w:val="auto"/>
        </w:rPr>
      </w:pPr>
      <w:r>
        <w:rPr>
          <w:rFonts w:ascii="Arial" w:cs="Arial" w:eastAsia="Arial" w:hAnsi="Arial"/>
          <w:sz w:val="16"/>
          <w:szCs w:val="16"/>
          <w:color w:val="auto"/>
        </w:rPr>
        <w:t>Type 1 diabetes is an autoimmune disease in which a person’s pancreas stops producing insulin. Type 1 diabetes results when the body’s immune system attacks and destroys the insulin-producing cells in the pancreas called beta cells. While its causes are not yet entirely understood, scientists believe that both genetic factors and environmental triggers are involved. The onset of type 1 diabetes is not believed to be affected by diet or lifestyle.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Treatments for Diabetes and Their Limitations</w:t>
      </w:r>
    </w:p>
    <w:p>
      <w:pPr>
        <w:spacing w:after="0" w:line="117" w:lineRule="exact"/>
        <w:rPr>
          <w:sz w:val="20"/>
          <w:szCs w:val="20"/>
          <w:color w:val="auto"/>
        </w:rPr>
      </w:pPr>
    </w:p>
    <w:p>
      <w:pPr>
        <w:ind w:right="200" w:firstLine="509"/>
        <w:spacing w:after="0" w:line="312" w:lineRule="auto"/>
        <w:rPr>
          <w:sz w:val="20"/>
          <w:szCs w:val="20"/>
          <w:color w:val="auto"/>
        </w:rPr>
      </w:pPr>
      <w:r>
        <w:rPr>
          <w:rFonts w:ascii="Arial" w:cs="Arial" w:eastAsia="Arial" w:hAnsi="Arial"/>
          <w:sz w:val="16"/>
          <w:szCs w:val="16"/>
          <w:color w:val="auto"/>
        </w:rPr>
        <w:t>Diabetic patients have difficulty achieving and maintaining consistent glycemic control, defined as HbA</w:t>
      </w:r>
      <w:r>
        <w:rPr>
          <w:rFonts w:ascii="Arial" w:cs="Arial" w:eastAsia="Arial" w:hAnsi="Arial"/>
          <w:sz w:val="13"/>
          <w:szCs w:val="13"/>
          <w:color w:val="auto"/>
        </w:rPr>
        <w:t>1c</w:t>
      </w:r>
      <w:r>
        <w:rPr>
          <w:rFonts w:ascii="Arial" w:cs="Arial" w:eastAsia="Arial" w:hAnsi="Arial"/>
          <w:sz w:val="16"/>
          <w:szCs w:val="16"/>
          <w:color w:val="auto"/>
        </w:rPr>
        <w:t xml:space="preserve"> &lt; 7% as recommended by the American Diabetes Association. Failure to attain or maintain glycemic control over time raises a patient’s risk of disease progression with the attendant loss of control and progression to potentially serious complications, such as cardiovascular disease, blindness, kidney failure, and nerve damage.</w:t>
      </w:r>
    </w:p>
    <w:p>
      <w:pPr>
        <w:spacing w:after="0" w:line="39"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The current treatment paradigm for type 2 diabetes focuses on lifestyle changes, including weight loss, if applicable, as well as medications to manage blood glucose levels. Obesity is generally considered the major contributor to the development of type 2 diabetes, and weight loss alone is associated with improvements in glycemic parameters. Optimal glycemic control is the treatment goal in diabetic patients to prevent the risk of long-term microvascular complications. There are currently several classes of drugs approved to improve glycemic control in patients with type 2 diabetes, including injectable drugs and oral anti-diabetic drugs (“OADs”). Existing injectable therapies for type 2 diabetes include most forms of insulin therapy and GLP-1r agonists. Existing OADs include metformin, sulfonylureas and thiazolidinediones, with the addition of two new classes in the past few years, DPP-4 and SGLT-2 inhibitors, driving the OAD market’s growth. We believe the continued and significant unmet medical need for diabetes treatments is demonstrated by the continued to development of new potential therapies such as Novo Nordisk A/S’s oral semaglutide and Lexicon’s SGLT-1/SGLT-2 inhibitor.</w:t>
      </w:r>
    </w:p>
    <w:p>
      <w:pPr>
        <w:spacing w:after="0" w:line="166"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While multiple oral drugs are approved for the management of high blood glucose (hyperglycemia) in type 2 diabetes, insulin injection is the only treatment option approved in the United States for type 1 diabetes. There is an unmet medical need to provide people with type 1 diabetes additional treatment options that can help them to achieve tighter blood glucose levels and reduce insulin doses without increasing the risk of hypoglycemia (blood glucose levels below normal) or ketoacidosis.</w:t>
      </w:r>
    </w:p>
    <w:p>
      <w:pPr>
        <w:spacing w:after="0" w:line="187"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We expect our diabetes investigational drug candidates, if approved, to compete in the non-insulin therapy market, currently comprised of OADs and injectable GLP-1r agonists. OADs are the preferred first line treatment by physicians (primary care and endocrinologists), payors and patients given their ease of use, cost, convenience and no training requirements. For patients with type 2 diabetes, the goal of these therapies is to delay the progression to insulin dependence. Despite the availability of multiple oral therapies and the introduction of new oral therapies (DPP-4 and SGLT-2 inhibitors) with novel mechanisms for the treatment of type 2 diabetes, which are used both as monotherapy and in combination with other agents, there remains a lack of differentiation and inadequate efficacy. While injectable GLP-1r agonists are generally considered to have superior efficacy compared with approved OADs, primary care physicians and patients continue to prefer oral agents for their ease of use and improved patient compliance versus injectables.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There remains an unmet medical need for an oral drug that mimics the superiority of GLP-1r agonists and reduces the incidence of hypoglycemia.</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Solutions: Glucokinase Activator and GLP-1r Agonist</w:t>
      </w:r>
    </w:p>
    <w:p>
      <w:pPr>
        <w:spacing w:after="0" w:line="225" w:lineRule="exact"/>
        <w:rPr>
          <w:sz w:val="20"/>
          <w:szCs w:val="20"/>
          <w:color w:val="auto"/>
        </w:rPr>
      </w:pPr>
    </w:p>
    <w:p>
      <w:pPr>
        <w:ind w:right="160" w:firstLine="509"/>
        <w:spacing w:after="0" w:line="297" w:lineRule="auto"/>
        <w:rPr>
          <w:sz w:val="20"/>
          <w:szCs w:val="20"/>
          <w:color w:val="auto"/>
        </w:rPr>
      </w:pPr>
      <w:r>
        <w:rPr>
          <w:rFonts w:ascii="Arial" w:cs="Arial" w:eastAsia="Arial" w:hAnsi="Arial"/>
          <w:sz w:val="16"/>
          <w:szCs w:val="16"/>
          <w:color w:val="auto"/>
        </w:rPr>
        <w:t xml:space="preserve">With the increasing incidence and prevalence of type 2 diabetes, we believe there is a significant unmet medical need for treatment alternatives with improved efficacy, safety, and convenience. We have chosen two different approaches for the treatment of diabetes: activation of glucokinase (GK), through our drug candidate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and stimulation of GLP-1r, through our drug candidate </w:t>
      </w:r>
      <w:r>
        <w:rPr>
          <w:rFonts w:ascii="Arial" w:cs="Arial" w:eastAsia="Arial" w:hAnsi="Arial"/>
          <w:sz w:val="16"/>
          <w:szCs w:val="16"/>
          <w:i w:val="1"/>
          <w:iCs w:val="1"/>
          <w:color w:val="auto"/>
        </w:rPr>
        <w:t>TTP273</w:t>
      </w:r>
      <w:r>
        <w:rPr>
          <w:rFonts w:ascii="Arial" w:cs="Arial" w:eastAsia="Arial" w:hAnsi="Arial"/>
          <w:sz w:val="16"/>
          <w:szCs w:val="16"/>
          <w:color w:val="auto"/>
        </w:rPr>
        <w:t xml:space="preserve">. If approved, we believe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and </w:t>
      </w:r>
      <w:r>
        <w:rPr>
          <w:rFonts w:ascii="Arial" w:cs="Arial" w:eastAsia="Arial" w:hAnsi="Arial"/>
          <w:sz w:val="16"/>
          <w:szCs w:val="16"/>
          <w:i w:val="1"/>
          <w:iCs w:val="1"/>
          <w:color w:val="auto"/>
        </w:rPr>
        <w:t>TTP273</w:t>
      </w:r>
      <w:r>
        <w:rPr>
          <w:rFonts w:ascii="Arial" w:cs="Arial" w:eastAsia="Arial" w:hAnsi="Arial"/>
          <w:sz w:val="16"/>
          <w:szCs w:val="16"/>
          <w:color w:val="auto"/>
        </w:rPr>
        <w:t xml:space="preserve"> could offer attractive alternatives as OADs for the treatment of type 2 diabetes. In addition, there is a significant unmet medical need for treatments of type 1 diabetes with agents other than insulin injection. </w:t>
      </w:r>
      <w:r>
        <w:rPr>
          <w:rFonts w:ascii="Arial" w:cs="Arial" w:eastAsia="Arial" w:hAnsi="Arial"/>
          <w:sz w:val="16"/>
          <w:szCs w:val="16"/>
          <w:i w:val="1"/>
          <w:iCs w:val="1"/>
          <w:color w:val="auto"/>
        </w:rPr>
        <w:t>TTP399</w:t>
      </w:r>
      <w:r>
        <w:rPr>
          <w:rFonts w:ascii="Arial" w:cs="Arial" w:eastAsia="Arial" w:hAnsi="Arial"/>
          <w:sz w:val="16"/>
          <w:szCs w:val="16"/>
          <w:color w:val="auto"/>
        </w:rPr>
        <w:t xml:space="preserve"> could also fill this unmet need by reducing the extent of reliance on insulin.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Glucokinase Activator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Role of GK Activation in Diabetes</w:t>
      </w:r>
    </w:p>
    <w:p>
      <w:pPr>
        <w:spacing w:after="0" w:line="117"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GK acts as the physiological glucose sensor, changing its conformation, activity and/or intracellular location in parallel with changes in glucose concentrations. GK has two main distinctive characteristics that make it a good choice for blood glucose control. First, its expression is mostly limited to tissues that require glucose-sensing (mainly liver and pancreatic β-cells). Second, GK is able to sense changes in serum glucose levels and modulate changes in liver glucose metabolism that in turn regulate the balance between hepatic glucose production and glucose consumption, and modulate changes in insulin secretion by the β-cells.</w:t>
      </w:r>
    </w:p>
    <w:p>
      <w:pPr>
        <w:spacing w:after="0" w:line="188" w:lineRule="exact"/>
        <w:rPr>
          <w:sz w:val="20"/>
          <w:szCs w:val="20"/>
          <w:color w:val="auto"/>
        </w:rPr>
      </w:pPr>
    </w:p>
    <w:p>
      <w:pPr>
        <w:ind w:right="280" w:firstLine="509"/>
        <w:spacing w:after="0" w:line="293" w:lineRule="auto"/>
        <w:rPr>
          <w:sz w:val="20"/>
          <w:szCs w:val="20"/>
          <w:color w:val="auto"/>
        </w:rPr>
      </w:pPr>
      <w:r>
        <w:rPr>
          <w:rFonts w:ascii="Arial" w:cs="Arial" w:eastAsia="Arial" w:hAnsi="Arial"/>
          <w:sz w:val="16"/>
          <w:szCs w:val="16"/>
          <w:color w:val="auto"/>
        </w:rPr>
        <w:t>Studies in humans, along with numerous animal studies, showing that mutations in the gene encoding GK can cause both hyperglycemia (diabetes mellitus) and hypoglycemia (glucose levels below normal) depending on the mutation, confirm the critical role of GK in the regulation of glucose control. The concept of GK activation for the treatment of diabetes is attractive because it has proven to be effective and safe in normalizing glycemia in animal models of type 2 diabetes by a mechanism entirely distinct from the action of antidiabetic therapies currently on the market. Moreover, several lines of evidence have suggested that development of type 2 diabetes is related to functional impairment of the GK enzyme. Thus, GK activation may be a way to overcome an important underlying cause of type 2 diabetes progression and hence halt or delay the course of the disease.</w:t>
      </w:r>
    </w:p>
    <w:p>
      <w:pPr>
        <w:spacing w:after="0" w:line="16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Many competitors have tried to develop drugs that act as GKAs. Previously identified GKAs evaluated in the clinic for the treatment of type 2 diabetes demonstrate improved glucose control; however, these GKAs showed increased incidence of hypoglycemia and hyperlipidemia and an apparent lack of durability of efficacy. These liabilities have been correlated to hyperstimulation of the β-cells in a glucose independent manner and/or the accumulation of lipids in the liver, consistent with the disruption of GK and the glucokinase regulatory protein (“GKRP”) interaction by these GKAs. Thus, liver-selective compounds that do not activate GK in pancreatic β-cells or affect the GK-GKRP interaction in the liver are expected to demonstrate a superior profile in comparison to previously identified GKAs.</w:t>
      </w:r>
    </w:p>
    <w:p>
      <w:pPr>
        <w:spacing w:after="0" w:line="193" w:lineRule="exact"/>
        <w:rPr>
          <w:sz w:val="20"/>
          <w:szCs w:val="20"/>
          <w:color w:val="auto"/>
        </w:rPr>
      </w:pPr>
    </w:p>
    <w:p>
      <w:pPr>
        <w:ind w:right="180" w:firstLine="509"/>
        <w:spacing w:after="0" w:line="331" w:lineRule="auto"/>
        <w:rPr>
          <w:sz w:val="20"/>
          <w:szCs w:val="20"/>
          <w:color w:val="auto"/>
        </w:rPr>
      </w:pPr>
      <w:r>
        <w:rPr>
          <w:rFonts w:ascii="Arial" w:cs="Arial" w:eastAsia="Arial" w:hAnsi="Arial"/>
          <w:sz w:val="17"/>
          <w:szCs w:val="17"/>
          <w:color w:val="auto"/>
        </w:rPr>
        <w:t>GK activation is also attractive as a potential therapy for the treatment of type 1 diabetes, with a mechanism of action entirely distinct from currently marketed OADs. GK activation has been demonstrated in animal models of type 1 diabetes to reduce HbA</w:t>
      </w:r>
      <w:r>
        <w:rPr>
          <w:rFonts w:ascii="Arial" w:cs="Arial" w:eastAsia="Arial" w:hAnsi="Arial"/>
          <w:sz w:val="14"/>
          <w:szCs w:val="14"/>
          <w:color w:val="auto"/>
        </w:rPr>
        <w:t>1c</w:t>
      </w:r>
      <w:r>
        <w:rPr>
          <w:rFonts w:ascii="Arial" w:cs="Arial" w:eastAsia="Arial" w:hAnsi="Arial"/>
          <w:sz w:val="17"/>
          <w:szCs w:val="17"/>
          <w:color w:val="auto"/>
        </w:rPr>
        <w:t xml:space="preserve"> and to be well tolerated.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TTP399</w:t>
      </w:r>
    </w:p>
    <w:p>
      <w:pPr>
        <w:spacing w:after="0" w:line="11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i w:val="1"/>
          <w:iCs w:val="1"/>
          <w:color w:val="auto"/>
        </w:rPr>
        <w:t xml:space="preserve">TTP399 </w:t>
      </w:r>
      <w:r>
        <w:rPr>
          <w:rFonts w:ascii="Arial" w:cs="Arial" w:eastAsia="Arial" w:hAnsi="Arial"/>
          <w:sz w:val="17"/>
          <w:szCs w:val="17"/>
          <w:color w:val="auto"/>
        </w:rPr>
        <w:t>is an orally administered, small molecule, liver-selective GKA in development as a new potential OAD for the treatment of type 1 and type 2</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diabetes with a novel mechanism of action: liver-selective activation of GK that seeks to provide intensive glycemic control without inducing significant hypoglycemia. If approved for type 2 diabetes, we believe </w:t>
      </w:r>
      <w:r>
        <w:rPr>
          <w:rFonts w:ascii="Arial" w:cs="Arial" w:eastAsia="Arial" w:hAnsi="Arial"/>
          <w:sz w:val="17"/>
          <w:szCs w:val="17"/>
          <w:i w:val="1"/>
          <w:iCs w:val="1"/>
          <w:color w:val="auto"/>
        </w:rPr>
        <w:t>TTP399</w:t>
      </w:r>
      <w:r>
        <w:rPr>
          <w:rFonts w:ascii="Arial" w:cs="Arial" w:eastAsia="Arial" w:hAnsi="Arial"/>
          <w:sz w:val="17"/>
          <w:szCs w:val="17"/>
          <w:color w:val="auto"/>
        </w:rPr>
        <w:t xml:space="preserve"> would compete primarily with other OADs, including DPP-4 and SGLT-2 inhibitors. Our trials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suggest that our approach to GK activation has the potential to avoid the tolerability issues associated with other GKAs, such as activation of GK in the pancreas, stimulation of insulin secretion independent of glucose, hypoglycemia, increased lipids and liver toxicity. Further, we believe that </w:t>
      </w:r>
      <w:r>
        <w:rPr>
          <w:rFonts w:ascii="Arial" w:cs="Arial" w:eastAsia="Arial" w:hAnsi="Arial"/>
          <w:sz w:val="17"/>
          <w:szCs w:val="17"/>
          <w:i w:val="1"/>
          <w:iCs w:val="1"/>
          <w:color w:val="auto"/>
        </w:rPr>
        <w:t>TTP399</w:t>
      </w:r>
      <w:r>
        <w:rPr>
          <w:rFonts w:ascii="Arial" w:cs="Arial" w:eastAsia="Arial" w:hAnsi="Arial"/>
          <w:sz w:val="17"/>
          <w:szCs w:val="17"/>
          <w:color w:val="auto"/>
        </w:rPr>
        <w:t>, if approved, has the potential to normalize HbA</w:t>
      </w:r>
      <w:r>
        <w:rPr>
          <w:rFonts w:ascii="Arial" w:cs="Arial" w:eastAsia="Arial" w:hAnsi="Arial"/>
          <w:sz w:val="14"/>
          <w:szCs w:val="14"/>
          <w:color w:val="auto"/>
        </w:rPr>
        <w:t>1c</w:t>
      </w:r>
      <w:r>
        <w:rPr>
          <w:rFonts w:ascii="Arial" w:cs="Arial" w:eastAsia="Arial" w:hAnsi="Arial"/>
          <w:sz w:val="17"/>
          <w:szCs w:val="17"/>
          <w:i w:val="1"/>
          <w:iCs w:val="1"/>
          <w:color w:val="auto"/>
        </w:rPr>
        <w:t xml:space="preserve"> </w:t>
      </w:r>
      <w:r>
        <w:rPr>
          <w:rFonts w:ascii="Arial" w:cs="Arial" w:eastAsia="Arial" w:hAnsi="Arial"/>
          <w:sz w:val="17"/>
          <w:szCs w:val="17"/>
          <w:color w:val="auto"/>
        </w:rPr>
        <w:t>levels without having contraindication for renal impairment and with little risk of pancreatitis.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data from Phase 1 and 2 trials to date, we believe that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if approved, has the potential to be a first-in-class OAD due to its liver-selectivity and novel mechanism of action. We have completed nine Phase 1 and two Phase 2 clinical trials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our Phase 1 and 2 clinical trials, </w:t>
      </w:r>
      <w:r>
        <w:rPr>
          <w:rFonts w:ascii="Arial" w:cs="Arial" w:eastAsia="Arial" w:hAnsi="Arial"/>
          <w:sz w:val="17"/>
          <w:szCs w:val="17"/>
          <w:i w:val="1"/>
          <w:iCs w:val="1"/>
          <w:color w:val="auto"/>
        </w:rPr>
        <w:t>TTP399</w:t>
      </w:r>
      <w:r>
        <w:rPr>
          <w:rFonts w:ascii="Arial" w:cs="Arial" w:eastAsia="Arial" w:hAnsi="Arial"/>
          <w:sz w:val="17"/>
          <w:szCs w:val="17"/>
          <w:color w:val="auto"/>
        </w:rPr>
        <w:t xml:space="preserve"> was well tolerated with negligible incidence of hypoglycemia.</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Phase 2 simplici-T1 Study</w:t>
      </w:r>
    </w:p>
    <w:p>
      <w:pPr>
        <w:spacing w:after="0" w:line="117" w:lineRule="exact"/>
        <w:rPr>
          <w:sz w:val="20"/>
          <w:szCs w:val="20"/>
          <w:color w:val="auto"/>
        </w:rPr>
      </w:pPr>
    </w:p>
    <w:p>
      <w:pPr>
        <w:ind w:right="240" w:firstLine="509"/>
        <w:spacing w:after="0" w:line="264" w:lineRule="auto"/>
        <w:rPr>
          <w:sz w:val="20"/>
          <w:szCs w:val="20"/>
          <w:color w:val="auto"/>
        </w:rPr>
      </w:pPr>
      <w:r>
        <w:rPr>
          <w:rFonts w:ascii="Arial" w:cs="Arial" w:eastAsia="Arial" w:hAnsi="Arial"/>
          <w:sz w:val="18"/>
          <w:szCs w:val="18"/>
          <w:color w:val="auto"/>
        </w:rPr>
        <w:t xml:space="preserve">In November 2017, we initiated the simplici-T1 Study, an adaptive Phase 1b/2 clinical trial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assessing the pharmacokinetics, pharmacodynamics, safety and tolerability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adult patients with type 1 diabetes (“T1D”). The study is designed to evaluate whether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is well tolerated when administered as an add-on to insulin therapy and can improve daily glucose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jc w:val="both"/>
        <w:ind w:right="40"/>
        <w:spacing w:after="0" w:line="264" w:lineRule="auto"/>
        <w:rPr>
          <w:sz w:val="20"/>
          <w:szCs w:val="20"/>
          <w:color w:val="auto"/>
        </w:rPr>
      </w:pPr>
      <w:r>
        <w:rPr>
          <w:rFonts w:ascii="Arial" w:cs="Arial" w:eastAsia="Arial" w:hAnsi="Arial"/>
          <w:sz w:val="18"/>
          <w:szCs w:val="18"/>
          <w:color w:val="auto"/>
        </w:rPr>
        <w:t>profiles and HbA</w:t>
      </w:r>
      <w:r>
        <w:rPr>
          <w:rFonts w:ascii="Arial" w:cs="Arial" w:eastAsia="Arial" w:hAnsi="Arial"/>
          <w:sz w:val="15"/>
          <w:szCs w:val="15"/>
          <w:color w:val="auto"/>
        </w:rPr>
        <w:t>1c</w:t>
      </w:r>
      <w:r>
        <w:rPr>
          <w:rFonts w:ascii="Arial" w:cs="Arial" w:eastAsia="Arial" w:hAnsi="Arial"/>
          <w:sz w:val="18"/>
          <w:szCs w:val="18"/>
          <w:color w:val="auto"/>
        </w:rPr>
        <w:t xml:space="preserve"> in people living with T1D. We have completed enrollment of the part 1 learning phase and expect to report results for this portion of the study in June 2019. We have begun the start-up activities for the part 2 confirming phase and expect to report results for this portion of the study in the latter part of the first quarter of 2020. The study is being conducted in partnership with JDRF.</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Completed Phase 2b AGATA Study</w:t>
      </w:r>
    </w:p>
    <w:p>
      <w:pPr>
        <w:spacing w:after="0" w:line="117" w:lineRule="exact"/>
        <w:rPr>
          <w:sz w:val="20"/>
          <w:szCs w:val="20"/>
          <w:color w:val="auto"/>
        </w:rPr>
      </w:pPr>
    </w:p>
    <w:p>
      <w:pPr>
        <w:ind w:right="180" w:firstLine="509"/>
        <w:spacing w:after="0" w:line="276" w:lineRule="auto"/>
        <w:rPr>
          <w:sz w:val="20"/>
          <w:szCs w:val="20"/>
          <w:color w:val="auto"/>
        </w:rPr>
      </w:pPr>
      <w:r>
        <w:rPr>
          <w:rFonts w:ascii="Arial" w:cs="Arial" w:eastAsia="Arial" w:hAnsi="Arial"/>
          <w:sz w:val="17"/>
          <w:szCs w:val="17"/>
          <w:color w:val="auto"/>
        </w:rPr>
        <w:t xml:space="preserve">In August 2016, we completed a Phase 2b clinical trial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the AGATA Study, which was a six-month trial to demonstrate proof-of-concept that the benefits from </w:t>
      </w:r>
      <w:r>
        <w:rPr>
          <w:rFonts w:ascii="Arial" w:cs="Arial" w:eastAsia="Arial" w:hAnsi="Arial"/>
          <w:sz w:val="17"/>
          <w:szCs w:val="17"/>
          <w:i w:val="1"/>
          <w:iCs w:val="1"/>
          <w:color w:val="auto"/>
        </w:rPr>
        <w:t>TTP399</w:t>
      </w:r>
      <w:r>
        <w:rPr>
          <w:rFonts w:ascii="Arial" w:cs="Arial" w:eastAsia="Arial" w:hAnsi="Arial"/>
          <w:sz w:val="17"/>
          <w:szCs w:val="17"/>
          <w:color w:val="auto"/>
        </w:rPr>
        <w:t xml:space="preserve"> could be sustained over time. The AGATA Study was a multi-center adaptive Phase 2b, randomized, double-blind, placebo-and active- (sitagliptin) controlled, parallel group trial to evaluate the safety and efficacy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following six months of administration in 190 subjects with type 2 diabetes on a stable dose of metformin. Patients had a baseline HbA</w:t>
      </w:r>
      <w:r>
        <w:rPr>
          <w:rFonts w:ascii="Arial" w:cs="Arial" w:eastAsia="Arial" w:hAnsi="Arial"/>
          <w:sz w:val="14"/>
          <w:szCs w:val="14"/>
          <w:color w:val="auto"/>
        </w:rPr>
        <w:t>1c</w:t>
      </w:r>
      <w:r>
        <w:rPr>
          <w:rFonts w:ascii="Arial" w:cs="Arial" w:eastAsia="Arial" w:hAnsi="Arial"/>
          <w:sz w:val="17"/>
          <w:szCs w:val="17"/>
          <w:color w:val="auto"/>
        </w:rPr>
        <w:t xml:space="preserve"> of 7.0 - 9.5%. The AGATA Study included subjects across four arms, including two doses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(400 mg and 800 mg), sitagliptin, which is a DPP-4 inhibitor, and placebo.</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primary endpoint of the AGATA Study was the change from baseline in HbA</w:t>
      </w:r>
      <w:r>
        <w:rPr>
          <w:rFonts w:ascii="Arial" w:cs="Arial" w:eastAsia="Arial" w:hAnsi="Arial"/>
          <w:sz w:val="13"/>
          <w:szCs w:val="13"/>
          <w:color w:val="auto"/>
        </w:rPr>
        <w:t>1c</w:t>
      </w:r>
      <w:r>
        <w:rPr>
          <w:rFonts w:ascii="Arial" w:cs="Arial" w:eastAsia="Arial" w:hAnsi="Arial"/>
          <w:sz w:val="16"/>
          <w:szCs w:val="16"/>
          <w:color w:val="auto"/>
        </w:rPr>
        <w:t xml:space="preserve"> at six months. A key secondary endpoint was change in weight.</w:t>
      </w:r>
    </w:p>
    <w:p>
      <w:pPr>
        <w:spacing w:after="0" w:line="248" w:lineRule="exact"/>
        <w:rPr>
          <w:sz w:val="20"/>
          <w:szCs w:val="20"/>
          <w:color w:val="auto"/>
        </w:rPr>
      </w:pPr>
    </w:p>
    <w:p>
      <w:pPr>
        <w:ind w:right="300" w:firstLine="509"/>
        <w:spacing w:after="0" w:line="312" w:lineRule="auto"/>
        <w:rPr>
          <w:sz w:val="20"/>
          <w:szCs w:val="20"/>
          <w:color w:val="auto"/>
        </w:rPr>
      </w:pPr>
      <w:r>
        <w:rPr>
          <w:rFonts w:ascii="Arial" w:cs="Arial" w:eastAsia="Arial" w:hAnsi="Arial"/>
          <w:sz w:val="16"/>
          <w:szCs w:val="16"/>
          <w:color w:val="auto"/>
        </w:rPr>
        <w:t xml:space="preserve">In the AGATA Study, </w:t>
      </w:r>
      <w:r>
        <w:rPr>
          <w:rFonts w:ascii="Arial" w:cs="Arial" w:eastAsia="Arial" w:hAnsi="Arial"/>
          <w:sz w:val="16"/>
          <w:szCs w:val="16"/>
          <w:i w:val="1"/>
          <w:iCs w:val="1"/>
          <w:color w:val="auto"/>
        </w:rPr>
        <w:t>TTP399</w:t>
      </w:r>
      <w:r>
        <w:rPr>
          <w:rFonts w:ascii="Arial" w:cs="Arial" w:eastAsia="Arial" w:hAnsi="Arial"/>
          <w:sz w:val="16"/>
          <w:szCs w:val="16"/>
          <w:color w:val="auto"/>
        </w:rPr>
        <w:t xml:space="preserve"> demonstrated achievement of the primary endpoint of statistically significant change from baseline in HbA</w:t>
      </w:r>
      <w:r>
        <w:rPr>
          <w:rFonts w:ascii="Arial" w:cs="Arial" w:eastAsia="Arial" w:hAnsi="Arial"/>
          <w:sz w:val="13"/>
          <w:szCs w:val="13"/>
          <w:color w:val="auto"/>
        </w:rPr>
        <w:t>1c</w:t>
      </w:r>
      <w:r>
        <w:rPr>
          <w:rFonts w:ascii="Arial" w:cs="Arial" w:eastAsia="Arial" w:hAnsi="Arial"/>
          <w:sz w:val="16"/>
          <w:szCs w:val="16"/>
          <w:color w:val="auto"/>
        </w:rPr>
        <w:t xml:space="preserve"> at six months of daily administration of 800 mg of </w:t>
      </w:r>
      <w:r>
        <w:rPr>
          <w:rFonts w:ascii="Arial" w:cs="Arial" w:eastAsia="Arial" w:hAnsi="Arial"/>
          <w:sz w:val="16"/>
          <w:szCs w:val="16"/>
          <w:i w:val="1"/>
          <w:iCs w:val="1"/>
          <w:color w:val="auto"/>
        </w:rPr>
        <w:t>TTP399</w:t>
      </w:r>
      <w:r>
        <w:rPr>
          <w:rFonts w:ascii="Arial" w:cs="Arial" w:eastAsia="Arial" w:hAnsi="Arial"/>
          <w:sz w:val="16"/>
          <w:szCs w:val="16"/>
          <w:color w:val="auto"/>
        </w:rPr>
        <w:t>. The reduction in HbA</w:t>
      </w:r>
      <w:r>
        <w:rPr>
          <w:rFonts w:ascii="Arial" w:cs="Arial" w:eastAsia="Arial" w:hAnsi="Arial"/>
          <w:sz w:val="13"/>
          <w:szCs w:val="13"/>
          <w:color w:val="auto"/>
        </w:rPr>
        <w:t>1c</w:t>
      </w:r>
      <w:r>
        <w:rPr>
          <w:rFonts w:ascii="Arial" w:cs="Arial" w:eastAsia="Arial" w:hAnsi="Arial"/>
          <w:sz w:val="16"/>
          <w:szCs w:val="16"/>
          <w:color w:val="auto"/>
        </w:rPr>
        <w:t xml:space="preserve"> was dose-dependent and sustained throughout the duration of the study. </w:t>
      </w:r>
      <w:r>
        <w:rPr>
          <w:rFonts w:ascii="Arial" w:cs="Arial" w:eastAsia="Arial" w:hAnsi="Arial"/>
          <w:sz w:val="16"/>
          <w:szCs w:val="16"/>
          <w:i w:val="1"/>
          <w:iCs w:val="1"/>
          <w:color w:val="auto"/>
        </w:rPr>
        <w:t xml:space="preserve">TTP399 </w:t>
      </w:r>
      <w:r>
        <w:rPr>
          <w:rFonts w:ascii="Arial" w:cs="Arial" w:eastAsia="Arial" w:hAnsi="Arial"/>
          <w:sz w:val="16"/>
          <w:szCs w:val="16"/>
          <w:color w:val="auto"/>
        </w:rPr>
        <w:t>was also found to be well-tolerated and no adverse events of severe hypoglycemia or hyperlipidemia were reported in the TTP399-treated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102235</wp:posOffset>
            </wp:positionV>
            <wp:extent cx="5969000" cy="26155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00"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firstLine="749"/>
        <w:spacing w:after="0" w:line="264" w:lineRule="auto"/>
        <w:rPr>
          <w:sz w:val="20"/>
          <w:szCs w:val="20"/>
          <w:color w:val="auto"/>
        </w:rPr>
      </w:pPr>
      <w:r>
        <w:rPr>
          <w:rFonts w:ascii="Arial" w:cs="Arial" w:eastAsia="Arial" w:hAnsi="Arial"/>
          <w:sz w:val="18"/>
          <w:szCs w:val="18"/>
          <w:color w:val="auto"/>
        </w:rPr>
        <w:t xml:space="preserve">In January 2019, a paper was published in </w:t>
      </w:r>
      <w:r>
        <w:rPr>
          <w:rFonts w:ascii="Arial" w:cs="Arial" w:eastAsia="Arial" w:hAnsi="Arial"/>
          <w:sz w:val="18"/>
          <w:szCs w:val="18"/>
          <w:i w:val="1"/>
          <w:iCs w:val="1"/>
          <w:color w:val="auto"/>
        </w:rPr>
        <w:t>Science Translational Medicine</w:t>
      </w:r>
      <w:r>
        <w:rPr>
          <w:rFonts w:ascii="Arial" w:cs="Arial" w:eastAsia="Arial" w:hAnsi="Arial"/>
          <w:sz w:val="18"/>
          <w:szCs w:val="18"/>
          <w:color w:val="auto"/>
        </w:rPr>
        <w:t xml:space="preserve"> showcasing the discovery and development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It reviews the scientific rationale underpinning the development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and its progression from preclinical to clinical development concluding with the positive results of the AGATA Study.</w:t>
      </w:r>
    </w:p>
    <w:p>
      <w:pPr>
        <w:spacing w:after="0" w:line="181"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We are continuing to explore options, including various fundraising strategies, for further development of TTP399 for type 2 diabetes and diabetic complications either alone or in collaboration with a partner.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GLP-1r Agonist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Role of GLP-1r Activation in Diabetes</w:t>
      </w:r>
    </w:p>
    <w:p>
      <w:pPr>
        <w:spacing w:after="0" w:line="117" w:lineRule="exact"/>
        <w:rPr>
          <w:sz w:val="20"/>
          <w:szCs w:val="20"/>
          <w:color w:val="auto"/>
        </w:rPr>
      </w:pPr>
    </w:p>
    <w:p>
      <w:pPr>
        <w:ind w:right="180" w:firstLine="509"/>
        <w:spacing w:after="0" w:line="297" w:lineRule="auto"/>
        <w:rPr>
          <w:sz w:val="20"/>
          <w:szCs w:val="20"/>
          <w:color w:val="auto"/>
        </w:rPr>
      </w:pPr>
      <w:r>
        <w:rPr>
          <w:rFonts w:ascii="Arial" w:cs="Arial" w:eastAsia="Arial" w:hAnsi="Arial"/>
          <w:sz w:val="16"/>
          <w:szCs w:val="16"/>
          <w:color w:val="auto"/>
        </w:rPr>
        <w:t>GLP-1r is a class B, G protein-coupled receptor that regulates important physiological and pathological processes related to type 2 diabetes. GLP-1r stimulation as a therapeutic modality has been validated by the approval of peptide GLP-1r agonists, such as exendin-4 (Byetta) and liraglutide (Victoza). Subcutaneous administration of these peptides lowers blood glucose, decreases HbA</w:t>
      </w:r>
      <w:r>
        <w:rPr>
          <w:rFonts w:ascii="Arial" w:cs="Arial" w:eastAsia="Arial" w:hAnsi="Arial"/>
          <w:sz w:val="13"/>
          <w:szCs w:val="13"/>
          <w:color w:val="auto"/>
        </w:rPr>
        <w:t>1c</w:t>
      </w:r>
      <w:r>
        <w:rPr>
          <w:rFonts w:ascii="Arial" w:cs="Arial" w:eastAsia="Arial" w:hAnsi="Arial"/>
          <w:sz w:val="16"/>
          <w:szCs w:val="16"/>
          <w:color w:val="auto"/>
        </w:rPr>
        <w:t xml:space="preserve"> levels and reduces weight. However, the injectable method of administration has limited their use. This injectable class of peptides is also associated with gastrointestinal side effects (nausea and vomiting). Despite the clinical success observed with the injectable peptides, no orally available GLP-1r agonists have demonstrated similar efficacy in clinical trials to date.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TTP273</w:t>
      </w:r>
    </w:p>
    <w:p>
      <w:pPr>
        <w:spacing w:after="0" w:line="117" w:lineRule="exact"/>
        <w:rPr>
          <w:sz w:val="20"/>
          <w:szCs w:val="20"/>
          <w:color w:val="auto"/>
        </w:rPr>
      </w:pPr>
    </w:p>
    <w:p>
      <w:pPr>
        <w:ind w:right="100" w:firstLine="509"/>
        <w:spacing w:after="0" w:line="302" w:lineRule="auto"/>
        <w:rPr>
          <w:sz w:val="20"/>
          <w:szCs w:val="20"/>
          <w:color w:val="auto"/>
        </w:rPr>
      </w:pPr>
      <w:r>
        <w:rPr>
          <w:rFonts w:ascii="Arial" w:cs="Arial" w:eastAsia="Arial" w:hAnsi="Arial"/>
          <w:sz w:val="16"/>
          <w:szCs w:val="16"/>
          <w:i w:val="1"/>
          <w:iCs w:val="1"/>
          <w:color w:val="auto"/>
        </w:rPr>
        <w:t xml:space="preserve">TTP273 </w:t>
      </w:r>
      <w:r>
        <w:rPr>
          <w:rFonts w:ascii="Arial" w:cs="Arial" w:eastAsia="Arial" w:hAnsi="Arial"/>
          <w:sz w:val="16"/>
          <w:szCs w:val="16"/>
          <w:color w:val="auto"/>
        </w:rPr>
        <w:t>is a potential first-in-class, orally administered, small molecule, non-peptide GLP-1r agonist. We believe an orally administered GLP-1r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agonist that mimics the metabolic effects of GLP-1r peptides showing enhanced glycemic control, an improved lipid profile and weight loss, without causing the gastrointestinal side effects typical of this class of compounds, would offer a competitive advantage compared to GLP-1r targeted treatment options currently available. For these reasons, we believe </w:t>
      </w:r>
      <w:r>
        <w:rPr>
          <w:rFonts w:ascii="Arial" w:cs="Arial" w:eastAsia="Arial" w:hAnsi="Arial"/>
          <w:sz w:val="16"/>
          <w:szCs w:val="16"/>
          <w:i w:val="1"/>
          <w:iCs w:val="1"/>
          <w:color w:val="auto"/>
        </w:rPr>
        <w:t>TTP273</w:t>
      </w:r>
      <w:r>
        <w:rPr>
          <w:rFonts w:ascii="Arial" w:cs="Arial" w:eastAsia="Arial" w:hAnsi="Arial"/>
          <w:sz w:val="16"/>
          <w:szCs w:val="16"/>
          <w:color w:val="auto"/>
        </w:rPr>
        <w:t xml:space="preserve"> has the potential to expand the use of GLP-1r agonists for the treatment of type 2 diabetes.</w:t>
      </w:r>
    </w:p>
    <w:p>
      <w:pPr>
        <w:spacing w:after="0" w:line="46"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 xml:space="preserve">We have completed two Phase 1 clinical trials and one Phase 2 clinical trial of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Additionally, we have completed nine Phase 1 clinical trials and one Phase 2 clinical trial of </w:t>
      </w:r>
      <w:r>
        <w:rPr>
          <w:rFonts w:ascii="Arial" w:cs="Arial" w:eastAsia="Arial" w:hAnsi="Arial"/>
          <w:sz w:val="17"/>
          <w:szCs w:val="17"/>
          <w:i w:val="1"/>
          <w:iCs w:val="1"/>
          <w:color w:val="auto"/>
        </w:rPr>
        <w:t>TTP054</w:t>
      </w:r>
      <w:r>
        <w:rPr>
          <w:rFonts w:ascii="Arial" w:cs="Arial" w:eastAsia="Arial" w:hAnsi="Arial"/>
          <w:sz w:val="17"/>
          <w:szCs w:val="17"/>
          <w:color w:val="auto"/>
        </w:rPr>
        <w:t xml:space="preserve">, which was a predecessor orally administered GLP-1r agonist. In our Phase 1 and Phase 2 clinical trials, </w:t>
      </w:r>
      <w:r>
        <w:rPr>
          <w:rFonts w:ascii="Arial" w:cs="Arial" w:eastAsia="Arial" w:hAnsi="Arial"/>
          <w:sz w:val="17"/>
          <w:szCs w:val="17"/>
          <w:i w:val="1"/>
          <w:iCs w:val="1"/>
          <w:color w:val="auto"/>
        </w:rPr>
        <w:t>TTP273</w:t>
      </w:r>
      <w:r>
        <w:rPr>
          <w:rFonts w:ascii="Arial" w:cs="Arial" w:eastAsia="Arial" w:hAnsi="Arial"/>
          <w:sz w:val="17"/>
          <w:szCs w:val="17"/>
          <w:color w:val="auto"/>
        </w:rPr>
        <w:t xml:space="preserve"> has been well tolerated with negligible incidences of nausea and vomiting. Based on the results of our completed Phase 1 and 2 clinical trials of </w:t>
      </w:r>
      <w:r>
        <w:rPr>
          <w:rFonts w:ascii="Arial" w:cs="Arial" w:eastAsia="Arial" w:hAnsi="Arial"/>
          <w:sz w:val="17"/>
          <w:szCs w:val="17"/>
          <w:i w:val="1"/>
          <w:iCs w:val="1"/>
          <w:color w:val="auto"/>
        </w:rPr>
        <w:t>TTP273</w:t>
      </w:r>
      <w:r>
        <w:rPr>
          <w:rFonts w:ascii="Arial" w:cs="Arial" w:eastAsia="Arial" w:hAnsi="Arial"/>
          <w:sz w:val="17"/>
          <w:szCs w:val="17"/>
          <w:color w:val="auto"/>
        </w:rPr>
        <w:t xml:space="preserve">, we believe </w:t>
      </w:r>
      <w:r>
        <w:rPr>
          <w:rFonts w:ascii="Arial" w:cs="Arial" w:eastAsia="Arial" w:hAnsi="Arial"/>
          <w:sz w:val="17"/>
          <w:szCs w:val="17"/>
          <w:i w:val="1"/>
          <w:iCs w:val="1"/>
          <w:color w:val="auto"/>
        </w:rPr>
        <w:t>TTP273</w:t>
      </w:r>
      <w:r>
        <w:rPr>
          <w:rFonts w:ascii="Arial" w:cs="Arial" w:eastAsia="Arial" w:hAnsi="Arial"/>
          <w:sz w:val="17"/>
          <w:szCs w:val="17"/>
          <w:color w:val="auto"/>
        </w:rPr>
        <w:t xml:space="preserve"> to have the potential to provide both competitive efficacy and superior tolerability versus peptide GLP-1r analogues.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Completed Phase 2 LOGRA Study</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 xml:space="preserve">Our completed Phase 2 LOGRA study of </w:t>
      </w:r>
      <w:r>
        <w:rPr>
          <w:rFonts w:ascii="Arial" w:cs="Arial" w:eastAsia="Arial" w:hAnsi="Arial"/>
          <w:sz w:val="17"/>
          <w:szCs w:val="17"/>
          <w:i w:val="1"/>
          <w:iCs w:val="1"/>
          <w:color w:val="auto"/>
        </w:rPr>
        <w:t>TTP273</w:t>
      </w:r>
      <w:r>
        <w:rPr>
          <w:rFonts w:ascii="Arial" w:cs="Arial" w:eastAsia="Arial" w:hAnsi="Arial"/>
          <w:sz w:val="17"/>
          <w:szCs w:val="17"/>
          <w:color w:val="auto"/>
        </w:rPr>
        <w:t xml:space="preserve"> was a 12-week study conducted in 30 centers in the United States in 174 patients with type 2 diabetes on stable doses of metformin. In the LOGRA study, the patients were randomized to receive either placebo or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at doses of 150 mg once or twice daily. Patients in the once and twice daily treatment arms had mean placebo-subtracted HbA</w:t>
      </w:r>
      <w:r>
        <w:rPr>
          <w:rFonts w:ascii="Arial" w:cs="Arial" w:eastAsia="Arial" w:hAnsi="Arial"/>
          <w:sz w:val="14"/>
          <w:szCs w:val="14"/>
          <w:color w:val="auto"/>
        </w:rPr>
        <w:t>1c</w:t>
      </w:r>
      <w:r>
        <w:rPr>
          <w:rFonts w:ascii="Arial" w:cs="Arial" w:eastAsia="Arial" w:hAnsi="Arial"/>
          <w:sz w:val="17"/>
          <w:szCs w:val="17"/>
          <w:color w:val="auto"/>
        </w:rPr>
        <w:t xml:space="preserve"> differences of -0.86 percent and -0.71 percent, respectively. HbA</w:t>
      </w:r>
      <w:r>
        <w:rPr>
          <w:rFonts w:ascii="Arial" w:cs="Arial" w:eastAsia="Arial" w:hAnsi="Arial"/>
          <w:sz w:val="14"/>
          <w:szCs w:val="14"/>
          <w:color w:val="auto"/>
        </w:rPr>
        <w:t>1c</w:t>
      </w:r>
      <w:r>
        <w:rPr>
          <w:rFonts w:ascii="Arial" w:cs="Arial" w:eastAsia="Arial" w:hAnsi="Arial"/>
          <w:sz w:val="17"/>
          <w:szCs w:val="17"/>
          <w:color w:val="auto"/>
        </w:rPr>
        <w:t xml:space="preserve"> increased by 0.15 percent in patients randomized to placebo. Although the study was not powered to demonstrate weight loss, trends were observed with patients losing on average 0.9 kg and 0.6 kg in the once and twice daily arms, respectively. An increase in weight of 0.05 kg was observed in the placebo group. </w:t>
      </w:r>
      <w:r>
        <w:rPr>
          <w:rFonts w:ascii="Arial" w:cs="Arial" w:eastAsia="Arial" w:hAnsi="Arial"/>
          <w:sz w:val="17"/>
          <w:szCs w:val="17"/>
          <w:i w:val="1"/>
          <w:iCs w:val="1"/>
          <w:color w:val="auto"/>
        </w:rPr>
        <w:t>TTP273</w:t>
      </w:r>
      <w:r>
        <w:rPr>
          <w:rFonts w:ascii="Arial" w:cs="Arial" w:eastAsia="Arial" w:hAnsi="Arial"/>
          <w:sz w:val="17"/>
          <w:szCs w:val="17"/>
          <w:color w:val="auto"/>
        </w:rPr>
        <w:t xml:space="preserve"> was well tolerated with no incidence of vomiting in the </w:t>
      </w:r>
      <w:r>
        <w:rPr>
          <w:rFonts w:ascii="Arial" w:cs="Arial" w:eastAsia="Arial" w:hAnsi="Arial"/>
          <w:sz w:val="17"/>
          <w:szCs w:val="17"/>
          <w:i w:val="1"/>
          <w:iCs w:val="1"/>
          <w:color w:val="auto"/>
        </w:rPr>
        <w:t>TTP273</w:t>
      </w:r>
      <w:r>
        <w:rPr>
          <w:rFonts w:ascii="Arial" w:cs="Arial" w:eastAsia="Arial" w:hAnsi="Arial"/>
          <w:sz w:val="17"/>
          <w:szCs w:val="17"/>
          <w:color w:val="auto"/>
        </w:rPr>
        <w:t>-treated groups and an incidence of nausea lower than that in the placebo group: 7.3% in the Placebo arm, 3.4% in QPM arm and 5.0% in the BID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53340</wp:posOffset>
            </wp:positionV>
            <wp:extent cx="5248275" cy="257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4827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Huadong License Agreement</w:t>
      </w:r>
    </w:p>
    <w:p>
      <w:pPr>
        <w:spacing w:after="0" w:line="158" w:lineRule="exact"/>
        <w:rPr>
          <w:sz w:val="20"/>
          <w:szCs w:val="20"/>
          <w:color w:val="auto"/>
        </w:rPr>
      </w:pPr>
    </w:p>
    <w:p>
      <w:pPr>
        <w:ind w:right="220" w:firstLine="749"/>
        <w:spacing w:after="0" w:line="259" w:lineRule="auto"/>
        <w:rPr>
          <w:sz w:val="20"/>
          <w:szCs w:val="20"/>
          <w:color w:val="auto"/>
        </w:rPr>
      </w:pPr>
      <w:r>
        <w:rPr>
          <w:rFonts w:ascii="Arial" w:cs="Arial" w:eastAsia="Arial" w:hAnsi="Arial"/>
          <w:sz w:val="18"/>
          <w:szCs w:val="18"/>
          <w:color w:val="auto"/>
        </w:rPr>
        <w:t xml:space="preserve">Following the successful LOGRA Study of </w:t>
      </w:r>
      <w:r>
        <w:rPr>
          <w:rFonts w:ascii="Arial" w:cs="Arial" w:eastAsia="Arial" w:hAnsi="Arial"/>
          <w:sz w:val="18"/>
          <w:szCs w:val="18"/>
          <w:i w:val="1"/>
          <w:iCs w:val="1"/>
          <w:color w:val="auto"/>
        </w:rPr>
        <w:t>TTP273</w:t>
      </w:r>
      <w:r>
        <w:rPr>
          <w:rFonts w:ascii="Arial" w:cs="Arial" w:eastAsia="Arial" w:hAnsi="Arial"/>
          <w:sz w:val="18"/>
          <w:szCs w:val="18"/>
          <w:color w:val="auto"/>
        </w:rPr>
        <w:t>, on December 21, 2017, we entered into a License Agreement with Hangzhou Zhongmei Huadong Pharmaceutical Co., Ltd. (“Huadong”) (the “Huadong License Agreement”), under which Huadong obtained a license to develop and commercialize the GLP-1r program in China and other Pacific Rim territories. Refer to “Business – License and Research Agreements – Huadong License Agreement” for additional details.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Pipeline Opportunities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also developing a portfolio of additional investigational drug candidates for the treatment of inflammatory disorders. Such candidates include:</w:t>
      </w:r>
    </w:p>
    <w:p>
      <w:pPr>
        <w:spacing w:after="0" w:line="46" w:lineRule="exact"/>
        <w:rPr>
          <w:sz w:val="20"/>
          <w:szCs w:val="20"/>
          <w:color w:val="auto"/>
        </w:rPr>
      </w:pPr>
    </w:p>
    <w:p>
      <w:pPr>
        <w:ind w:right="60" w:firstLine="8"/>
        <w:spacing w:after="0" w:line="281"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a novel PDE4 inhibitor (</w:t>
      </w:r>
      <w:r>
        <w:rPr>
          <w:rFonts w:ascii="Arial" w:cs="Arial" w:eastAsia="Arial" w:hAnsi="Arial"/>
          <w:sz w:val="16"/>
          <w:szCs w:val="16"/>
          <w:i w:val="1"/>
          <w:iCs w:val="1"/>
          <w:color w:val="auto"/>
        </w:rPr>
        <w:t>HPP737</w:t>
      </w:r>
      <w:r>
        <w:rPr>
          <w:rFonts w:ascii="Arial" w:cs="Arial" w:eastAsia="Arial" w:hAnsi="Arial"/>
          <w:sz w:val="16"/>
          <w:szCs w:val="16"/>
          <w:color w:val="auto"/>
        </w:rPr>
        <w:t xml:space="preserve">) with a low potential for emesis which may allow an expanded therapeutics scope than currently marketed products in Psoriasis and Atopic Dermatitis. </w:t>
      </w:r>
      <w:r>
        <w:rPr>
          <w:rFonts w:ascii="Arial" w:cs="Arial" w:eastAsia="Arial" w:hAnsi="Arial"/>
          <w:sz w:val="16"/>
          <w:szCs w:val="16"/>
          <w:i w:val="1"/>
          <w:iCs w:val="1"/>
          <w:color w:val="auto"/>
        </w:rPr>
        <w:t>HPP737</w:t>
      </w:r>
      <w:r>
        <w:rPr>
          <w:rFonts w:ascii="Arial" w:cs="Arial" w:eastAsia="Arial" w:hAnsi="Arial"/>
          <w:sz w:val="16"/>
          <w:szCs w:val="16"/>
          <w:color w:val="auto"/>
        </w:rPr>
        <w:t xml:space="preserve"> has been licensed to Newsoara Biopharma Co., Ltd., (“Newsoara”) for development in China, Hong Kong, Macau, Taiwan and other pacific rim countries. Refer to “Business – License and Research Agreements – Newsoara License Agreement” for additional details; and</w:t>
      </w:r>
    </w:p>
    <w:p>
      <w:pPr>
        <w:spacing w:after="0" w:line="2" w:lineRule="exact"/>
        <w:rPr>
          <w:rFonts w:ascii="Arial" w:cs="Arial" w:eastAsia="Arial" w:hAnsi="Arial"/>
          <w:sz w:val="16"/>
          <w:szCs w:val="16"/>
          <w:color w:val="auto"/>
        </w:rPr>
      </w:pPr>
    </w:p>
    <w:p>
      <w:pPr>
        <w:ind w:right="60" w:firstLine="8"/>
        <w:spacing w:after="0" w:line="290"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a BACH1/NRF2 modulator (</w:t>
      </w:r>
      <w:r>
        <w:rPr>
          <w:rFonts w:ascii="Arial" w:cs="Arial" w:eastAsia="Arial" w:hAnsi="Arial"/>
          <w:sz w:val="17"/>
          <w:szCs w:val="17"/>
          <w:i w:val="1"/>
          <w:iCs w:val="1"/>
          <w:color w:val="auto"/>
        </w:rPr>
        <w:t>HPP971</w:t>
      </w:r>
      <w:r>
        <w:rPr>
          <w:rFonts w:ascii="Arial" w:cs="Arial" w:eastAsia="Arial" w:hAnsi="Arial"/>
          <w:sz w:val="17"/>
          <w:szCs w:val="17"/>
          <w:color w:val="auto"/>
        </w:rPr>
        <w:t>), which we continue to develop via research collaborations. These additional candidates have been through varying stages of preclinical and Phase 1 testing and we have submitted investigational new drug applications (“INDs”) for certain of them to the FDA.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 w:name="page12"/>
    <w:bookmarkEnd w:id="11"/>
    <w:p>
      <w:pPr>
        <w:ind w:right="780"/>
        <w:spacing w:after="0" w:line="342" w:lineRule="auto"/>
        <w:rPr>
          <w:sz w:val="20"/>
          <w:szCs w:val="20"/>
          <w:color w:val="auto"/>
        </w:rPr>
      </w:pPr>
      <w:r>
        <w:rPr>
          <w:rFonts w:ascii="Arial" w:cs="Arial" w:eastAsia="Arial" w:hAnsi="Arial"/>
          <w:sz w:val="16"/>
          <w:szCs w:val="16"/>
          <w:color w:val="auto"/>
        </w:rPr>
        <w:t xml:space="preserve">While our primary focus is on the development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and </w:t>
      </w:r>
      <w:r>
        <w:rPr>
          <w:rFonts w:ascii="Arial" w:cs="Arial" w:eastAsia="Arial" w:hAnsi="Arial"/>
          <w:sz w:val="16"/>
          <w:szCs w:val="16"/>
          <w:i w:val="1"/>
          <w:iCs w:val="1"/>
          <w:color w:val="auto"/>
        </w:rPr>
        <w:t>TTP273</w:t>
      </w:r>
      <w:r>
        <w:rPr>
          <w:rFonts w:ascii="Arial" w:cs="Arial" w:eastAsia="Arial" w:hAnsi="Arial"/>
          <w:sz w:val="16"/>
          <w:szCs w:val="16"/>
          <w:color w:val="auto"/>
        </w:rPr>
        <w:t>, we plan to continue to evaluate opportunities for furthering the development of these other compounds in our pipeline. Such development may be done internally or through partnering relationships.</w:t>
      </w:r>
    </w:p>
    <w:p>
      <w:pPr>
        <w:spacing w:after="0" w:line="16"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 xml:space="preserve">We entered into a License Agreement with Reneo Pharmaceuticals, Inc. (“Reneo”), under which we granted Reneo an exclusive, worldwide, sublicensable license to develop and commercialize our peroxisome proliferation activated receptor delta (PPAR-δ) agonist program, including the compound </w:t>
      </w:r>
      <w:r>
        <w:rPr>
          <w:rFonts w:ascii="Arial" w:cs="Arial" w:eastAsia="Arial" w:hAnsi="Arial"/>
          <w:sz w:val="17"/>
          <w:szCs w:val="17"/>
          <w:i w:val="1"/>
          <w:iCs w:val="1"/>
          <w:color w:val="auto"/>
        </w:rPr>
        <w:t>HPP593</w:t>
      </w:r>
      <w:r>
        <w:rPr>
          <w:rFonts w:ascii="Arial" w:cs="Arial" w:eastAsia="Arial" w:hAnsi="Arial"/>
          <w:sz w:val="17"/>
          <w:szCs w:val="17"/>
          <w:color w:val="auto"/>
        </w:rPr>
        <w:t>. Refer to “Business – License and Research Agreements – Reneo License Agreement” for additional details.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Suppliers and Manufacturers</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We do not own or operate, and currently have no plans to establish, any manufacturing facilities. We currently rely, and expect to continue to rely, on third parties to manufacture clinical supplies of our drug candidates and for our other research and discovery programs.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 xml:space="preserve">The IP portfolio for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includes issued patents in 20 countries and territories, including the U.S, Europe, Japan, Canada, Australia, and China, directed to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as a composition of matter. The issued U.S. patent covering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as a composition of matter will expire no earlier than 2024 but may expire as late as 2029, if we obtain and apply the maximum possible extension under the Drug Price Competition and Patent Term Restoration Act of 1984 (the “Hatch-Waxman Act”). Patents covering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as a composition of matter outside the United States will expire no earlier than 2023 and may expire much later as a result of patent term extensions based on patent office delays, regulatory delays, or a combination thereof. The IP portfolio for </w:t>
      </w:r>
      <w:r>
        <w:rPr>
          <w:rFonts w:ascii="Arial" w:cs="Arial" w:eastAsia="Arial" w:hAnsi="Arial"/>
          <w:sz w:val="17"/>
          <w:szCs w:val="17"/>
          <w:i w:val="1"/>
          <w:iCs w:val="1"/>
          <w:color w:val="auto"/>
        </w:rPr>
        <w:t xml:space="preserve">azeliragon </w:t>
      </w:r>
      <w:r>
        <w:rPr>
          <w:rFonts w:ascii="Arial" w:cs="Arial" w:eastAsia="Arial" w:hAnsi="Arial"/>
          <w:sz w:val="17"/>
          <w:szCs w:val="17"/>
          <w:color w:val="auto"/>
        </w:rPr>
        <w:t>also includes patent families in multiple jurisdictions covering polymorphs, salt forms, metabolites, degradation products and a synthetic precursor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methods of treatment using select dosage regimens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and methods of treating select patient populations. These additional patent families have expiration dates ranging from 2028 through potentially 2039. The issued U.S. patent covering the polymorph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used in clinical development will expire no earlier than 2028 but may expire as late as 2033, if we obtain and apply the maximum possible extension under the Hatch-Waxman Act can only be applied to a single patent following approval. The issued U.S. patent covering a method of treating patients with mild Alzheimer’s disease by administering about 5 mg per day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expires in 2034.</w:t>
      </w:r>
    </w:p>
    <w:p>
      <w:pPr>
        <w:spacing w:after="0" w:line="7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 xml:space="preserve">The IP portfolio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includes issued patents in over 35 countries and territories, including the U.S., Europe, Japan, Canada, Australia, and China, directed to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composition of matter. The issued U.S. patent covering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composition of matter will expire no earlier than 2025 but may expire as late as 2030, assuming we obtain and apply the maximum possible extension under the Hatch-Waxman Act following approval. Patents covering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composition of matter outside the United States will expire no earlier than 2025 and may expire much later as a result of patent term extensions based on patent office delays, regulatory delays, or a combination thereof. Some patents and patent applications covering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composition of matter are licensed from Novo Nordisk A/S, while others are owned by us. The IP portfolio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also includes patent families in multiple jurisdictions covering combinations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with metformin, DPP-4 inhibitors, GLP-1r agonists, or insulin, patent families covering two different solid formulations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 a patent family covering methods of treating type 1 diabetics using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combination with insulin. These additional patent families have expiration dates ranging from 2031 through potentially 2039.</w:t>
      </w:r>
    </w:p>
    <w:p>
      <w:pPr>
        <w:spacing w:after="0" w:line="74"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 xml:space="preserve">The IP portfolio for the GLP-1r program includes issued patents in over 35 countries and regions, including the U.S., Europe, Japan, Canada, Australia, and China, directed to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as a composition of matter. The issued U.S. patent covering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as a composition of matter will expire no earlier than 2030, and may expire as late as 2035, if we obtain and apply the maximum possible extension under the Hatch-Waxman Act following approval. Patents covering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as a composition of matter outside the United States will expire no earlier than 2030 and may expire much later as a result of patent term extensions based on patent office delays, regulatory delays, or a combination thereof. The IP portfolio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also includes patent families in multiple jurisdictions covering combinations of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and metformin, synthetic precursors to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and dosage regimens of </w:t>
      </w:r>
      <w:r>
        <w:rPr>
          <w:rFonts w:ascii="Arial" w:cs="Arial" w:eastAsia="Arial" w:hAnsi="Arial"/>
          <w:sz w:val="17"/>
          <w:szCs w:val="17"/>
          <w:i w:val="1"/>
          <w:iCs w:val="1"/>
          <w:color w:val="auto"/>
        </w:rPr>
        <w:t>TTP273</w:t>
      </w:r>
      <w:r>
        <w:rPr>
          <w:rFonts w:ascii="Arial" w:cs="Arial" w:eastAsia="Arial" w:hAnsi="Arial"/>
          <w:sz w:val="17"/>
          <w:szCs w:val="17"/>
          <w:color w:val="auto"/>
        </w:rPr>
        <w:t>. These additional patent families have expiration dates ranging from 2032 through potentially 2039.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In addition to patents, we rely on trade secrets and know-how to develop and maintain our competitive position. We seek to protect our proprietary technology and processes, in part, by entering into confidentiality agreements and invention assignment agreements with our employees, consultants, scientific advisors, contractors and commercial partners. These agreements are designed to protect our proprietary information and, in the case of the invention assignment agreements, to grant us ownership of technologies that are developed by employees or through a relationship with a third party.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jc w:val="both"/>
        <w:ind w:right="40"/>
        <w:spacing w:after="0" w:line="264" w:lineRule="auto"/>
        <w:rPr>
          <w:sz w:val="20"/>
          <w:szCs w:val="20"/>
          <w:color w:val="auto"/>
        </w:rPr>
      </w:pPr>
      <w:r>
        <w:rPr>
          <w:rFonts w:ascii="Arial" w:cs="Arial" w:eastAsia="Arial" w:hAnsi="Arial"/>
          <w:sz w:val="18"/>
          <w:szCs w:val="18"/>
          <w:color w:val="auto"/>
        </w:rPr>
        <w:t>breached, and we may not have adequate remedies for any breach. In addition, our trade secrets may otherwise become publicly known or be independently discovered by competitors. To the extent that our contractors use or incorporate intellectual property owned by others in their work for us, disputes may arise as to the rights in related or resulting know-how and inventions.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Research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Reneo License Agreement</w:t>
      </w:r>
    </w:p>
    <w:p>
      <w:pPr>
        <w:spacing w:after="0" w:line="117" w:lineRule="exact"/>
        <w:rPr>
          <w:sz w:val="20"/>
          <w:szCs w:val="20"/>
          <w:color w:val="auto"/>
        </w:rPr>
      </w:pPr>
    </w:p>
    <w:p>
      <w:pPr>
        <w:ind w:right="180" w:firstLine="468"/>
        <w:spacing w:after="0" w:line="286" w:lineRule="auto"/>
        <w:rPr>
          <w:sz w:val="20"/>
          <w:szCs w:val="20"/>
          <w:color w:val="auto"/>
        </w:rPr>
      </w:pPr>
      <w:r>
        <w:rPr>
          <w:rFonts w:ascii="Arial" w:cs="Arial" w:eastAsia="Arial" w:hAnsi="Arial"/>
          <w:sz w:val="17"/>
          <w:szCs w:val="17"/>
          <w:color w:val="auto"/>
        </w:rPr>
        <w:t xml:space="preserve">On December 21, 2017, we entered into a License Agreement with Reneo Pharmaceuticals, Inc. (“Reneo”) (the “Reneo License Agreement”), under which Reneo obtained an exclusive, worldwide, sublicensable license to develop and commercialize our peroxisome proliferation activated receptor delta (PPAR-δ) agonist program, including the compound </w:t>
      </w:r>
      <w:r>
        <w:rPr>
          <w:rFonts w:ascii="Arial" w:cs="Arial" w:eastAsia="Arial" w:hAnsi="Arial"/>
          <w:sz w:val="17"/>
          <w:szCs w:val="17"/>
          <w:i w:val="1"/>
          <w:iCs w:val="1"/>
          <w:color w:val="auto"/>
        </w:rPr>
        <w:t>HPP593</w:t>
      </w:r>
      <w:r>
        <w:rPr>
          <w:rFonts w:ascii="Arial" w:cs="Arial" w:eastAsia="Arial" w:hAnsi="Arial"/>
          <w:sz w:val="17"/>
          <w:szCs w:val="17"/>
          <w:color w:val="auto"/>
        </w:rPr>
        <w:t>, for therapeutic, prophylactic or diagnostic application in humans.</w:t>
      </w:r>
    </w:p>
    <w:p>
      <w:pPr>
        <w:spacing w:after="0" w:line="57" w:lineRule="exact"/>
        <w:rPr>
          <w:sz w:val="20"/>
          <w:szCs w:val="20"/>
          <w:color w:val="auto"/>
        </w:rPr>
      </w:pPr>
    </w:p>
    <w:p>
      <w:pPr>
        <w:ind w:right="20" w:firstLine="468"/>
        <w:spacing w:after="0" w:line="293" w:lineRule="auto"/>
        <w:rPr>
          <w:sz w:val="20"/>
          <w:szCs w:val="20"/>
          <w:color w:val="auto"/>
        </w:rPr>
      </w:pPr>
      <w:r>
        <w:rPr>
          <w:rFonts w:ascii="Arial" w:cs="Arial" w:eastAsia="Arial" w:hAnsi="Arial"/>
          <w:sz w:val="16"/>
          <w:szCs w:val="16"/>
          <w:color w:val="auto"/>
        </w:rPr>
        <w:t>Under the terms of the Reneo License Agreement, Reneo paid us an initial license fee of $3.0 million. We are eligible to receive additional potential development, regulatory and sales-based milestone payments totaling up to $94.5 million. In addition, Reneo is obligated to pay us royalty payments at mid-single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In addition, we have received common stock and certain participation rights representing a minority interest in Reneo’s outstanding equity.</w:t>
      </w:r>
    </w:p>
    <w:p>
      <w:pPr>
        <w:spacing w:after="0" w:line="57" w:lineRule="exact"/>
        <w:rPr>
          <w:sz w:val="20"/>
          <w:szCs w:val="20"/>
          <w:color w:val="auto"/>
        </w:rPr>
      </w:pPr>
    </w:p>
    <w:p>
      <w:pPr>
        <w:ind w:right="260" w:firstLine="468"/>
        <w:spacing w:after="0" w:line="342" w:lineRule="auto"/>
        <w:rPr>
          <w:sz w:val="20"/>
          <w:szCs w:val="20"/>
          <w:color w:val="auto"/>
        </w:rPr>
      </w:pPr>
      <w:r>
        <w:rPr>
          <w:rFonts w:ascii="Arial" w:cs="Arial" w:eastAsia="Arial" w:hAnsi="Arial"/>
          <w:sz w:val="16"/>
          <w:szCs w:val="16"/>
          <w:color w:val="auto"/>
        </w:rPr>
        <w:t>Under the terms of the Reneo License Agreement, Reneo will be responsible for the worldwide development and commercialization of the licensed products, at its cost, and is required to use commercially reasonable efforts with respect to such development and commercialization efforts.</w:t>
      </w:r>
    </w:p>
    <w:p>
      <w:pPr>
        <w:spacing w:after="0" w:line="16" w:lineRule="exact"/>
        <w:rPr>
          <w:sz w:val="20"/>
          <w:szCs w:val="20"/>
          <w:color w:val="auto"/>
        </w:rPr>
      </w:pPr>
    </w:p>
    <w:p>
      <w:pPr>
        <w:ind w:firstLine="468"/>
        <w:spacing w:after="0" w:line="259" w:lineRule="auto"/>
        <w:rPr>
          <w:sz w:val="20"/>
          <w:szCs w:val="20"/>
          <w:color w:val="auto"/>
        </w:rPr>
      </w:pPr>
      <w:r>
        <w:rPr>
          <w:rFonts w:ascii="Arial" w:cs="Arial" w:eastAsia="Arial" w:hAnsi="Arial"/>
          <w:sz w:val="18"/>
          <w:szCs w:val="18"/>
          <w:color w:val="auto"/>
        </w:rPr>
        <w:t>The Reneo License Agreement, unless terminated earlier, will continue until expiration of all royalty obligations of Reneo to us. Either party may terminate the Reneo License Agreement for the other party’s uncured material breach. Reneo may terminate the Reneo License Agreement at will upon prior written notice. Upon expiration (but not earlier termination) of the Reneo License Agreement, the licenses granted to Reneo will survive on a royalty-free basis in perpetuity.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Huadong License</w:t>
      </w:r>
    </w:p>
    <w:p>
      <w:pPr>
        <w:spacing w:after="0" w:line="117" w:lineRule="exact"/>
        <w:rPr>
          <w:sz w:val="20"/>
          <w:szCs w:val="20"/>
          <w:color w:val="auto"/>
        </w:rPr>
      </w:pPr>
    </w:p>
    <w:p>
      <w:pPr>
        <w:ind w:right="340" w:firstLine="468"/>
        <w:spacing w:after="0" w:line="293" w:lineRule="auto"/>
        <w:rPr>
          <w:sz w:val="20"/>
          <w:szCs w:val="20"/>
          <w:color w:val="auto"/>
        </w:rPr>
      </w:pPr>
      <w:r>
        <w:rPr>
          <w:rFonts w:ascii="Arial" w:cs="Arial" w:eastAsia="Arial" w:hAnsi="Arial"/>
          <w:sz w:val="16"/>
          <w:szCs w:val="16"/>
          <w:color w:val="auto"/>
        </w:rPr>
        <w:t xml:space="preserve">On December 21, 2017, we entered into a License Agreement with Hangzhou Zhongmei Huadong Pharmaceutical Co., Ltd. (“Huadong”) (the “Huadong License Agreement”), under which Huadong obtained an exclusive and sublicensable license to develop and commercialize our glucagon-like peptide-1 receptor agonist (“GLP-1r”) program, including the compound </w:t>
      </w:r>
      <w:r>
        <w:rPr>
          <w:rFonts w:ascii="Arial" w:cs="Arial" w:eastAsia="Arial" w:hAnsi="Arial"/>
          <w:sz w:val="16"/>
          <w:szCs w:val="16"/>
          <w:i w:val="1"/>
          <w:iCs w:val="1"/>
          <w:color w:val="auto"/>
        </w:rPr>
        <w:t>TTP273</w:t>
      </w:r>
      <w:r>
        <w:rPr>
          <w:rFonts w:ascii="Arial" w:cs="Arial" w:eastAsia="Arial" w:hAnsi="Arial"/>
          <w:sz w:val="16"/>
          <w:szCs w:val="16"/>
          <w:color w:val="auto"/>
        </w:rPr>
        <w:t>, for therapeutic uses in humans or animals, in China and certain other Pacific Rim countries, including Australia and South Korea (collectively, the “Huadong License Territory”). Additionally, under the Huadong License Agreement, we obtained a non-exclusive, sublicensable, royalty-free license to develop and commercialize certain Huadong patent rights and know-how related to our GLP-1r program for therapeutic uses in humans or animals outside of the Huadong License Territory.</w:t>
      </w:r>
    </w:p>
    <w:p>
      <w:pPr>
        <w:spacing w:after="0" w:line="57" w:lineRule="exact"/>
        <w:rPr>
          <w:sz w:val="20"/>
          <w:szCs w:val="20"/>
          <w:color w:val="auto"/>
        </w:rPr>
      </w:pPr>
    </w:p>
    <w:p>
      <w:pPr>
        <w:ind w:right="20" w:firstLine="468"/>
        <w:spacing w:after="0" w:line="279" w:lineRule="auto"/>
        <w:rPr>
          <w:sz w:val="20"/>
          <w:szCs w:val="20"/>
          <w:color w:val="auto"/>
        </w:rPr>
      </w:pPr>
      <w:r>
        <w:rPr>
          <w:rFonts w:ascii="Arial" w:cs="Arial" w:eastAsia="Arial" w:hAnsi="Arial"/>
          <w:sz w:val="17"/>
          <w:szCs w:val="17"/>
          <w:color w:val="auto"/>
        </w:rPr>
        <w:t>Under the terms of the Huadong License Agreement, Huadong has paid us an initial license fee of $8.0 million, and we are eligible to receive potential development and regulatory milestone payments totaling up to $25.0 million, with an additional potential regulatory milestone of $20.0 million if Huadong receives regulatory approval for a central nervous system indication. In addition, we are eligible for an additional $50.0 million in potential sales-based milestones, as well as royalty payments ranging from low-single to low-double digit rates, based on tiered sales of licensed products.</w:t>
      </w:r>
    </w:p>
    <w:p>
      <w:pPr>
        <w:spacing w:after="0" w:line="63" w:lineRule="exact"/>
        <w:rPr>
          <w:sz w:val="20"/>
          <w:szCs w:val="20"/>
          <w:color w:val="auto"/>
        </w:rPr>
      </w:pPr>
    </w:p>
    <w:p>
      <w:pPr>
        <w:ind w:right="140" w:firstLine="468"/>
        <w:spacing w:after="0" w:line="302" w:lineRule="auto"/>
        <w:rPr>
          <w:sz w:val="20"/>
          <w:szCs w:val="20"/>
          <w:color w:val="auto"/>
        </w:rPr>
      </w:pPr>
      <w:r>
        <w:rPr>
          <w:rFonts w:ascii="Arial" w:cs="Arial" w:eastAsia="Arial" w:hAnsi="Arial"/>
          <w:sz w:val="16"/>
          <w:szCs w:val="16"/>
          <w:color w:val="auto"/>
        </w:rPr>
        <w:t xml:space="preserve">Under the Huadong License Agreement, we are also responsible for conducting a Phase 2 multi-region clinical trial (the “Phase 2 MRCT”) including sites in both the United States and the Huadong License Territory for the purpose of assessing the safety and efficacy of </w:t>
      </w:r>
      <w:r>
        <w:rPr>
          <w:rFonts w:ascii="Arial" w:cs="Arial" w:eastAsia="Arial" w:hAnsi="Arial"/>
          <w:sz w:val="16"/>
          <w:szCs w:val="16"/>
          <w:i w:val="1"/>
          <w:iCs w:val="1"/>
          <w:color w:val="auto"/>
        </w:rPr>
        <w:t>TTP273</w:t>
      </w:r>
      <w:r>
        <w:rPr>
          <w:rFonts w:ascii="Arial" w:cs="Arial" w:eastAsia="Arial" w:hAnsi="Arial"/>
          <w:sz w:val="16"/>
          <w:szCs w:val="16"/>
          <w:color w:val="auto"/>
        </w:rPr>
        <w:t xml:space="preserve"> in patients with type 2 diabetes. The Phase 2 MRCT will be designed to satisfy the requirements of the China Food and Drug Administration necessary in order for Huadong to begin a Phase 3 clinical trial in China. We will also be responsible for contributing up to $3.0 million in connection with the Phase 2 MRCT.</w:t>
      </w:r>
    </w:p>
    <w:p>
      <w:pPr>
        <w:spacing w:after="0" w:line="46" w:lineRule="exact"/>
        <w:rPr>
          <w:sz w:val="20"/>
          <w:szCs w:val="20"/>
          <w:color w:val="auto"/>
        </w:rPr>
      </w:pPr>
    </w:p>
    <w:p>
      <w:pPr>
        <w:ind w:right="60" w:firstLine="468"/>
        <w:spacing w:after="0" w:line="264" w:lineRule="auto"/>
        <w:rPr>
          <w:sz w:val="20"/>
          <w:szCs w:val="20"/>
          <w:color w:val="auto"/>
        </w:rPr>
      </w:pPr>
      <w:r>
        <w:rPr>
          <w:rFonts w:ascii="Arial" w:cs="Arial" w:eastAsia="Arial" w:hAnsi="Arial"/>
          <w:sz w:val="18"/>
          <w:szCs w:val="18"/>
          <w:color w:val="auto"/>
        </w:rPr>
        <w:t>Huadong will be responsible for the development and commercialization of the licensed products in the Huadong License Territory, at its cost, and is required to use commercially reasonable efforts with respect to its development efforts. Further, Huadong is required to use commercially reasonable efforts to develop and commercialize at least one GLP-1r compound in China.</w:t>
      </w:r>
    </w:p>
    <w:p>
      <w:pPr>
        <w:spacing w:after="0" w:line="73" w:lineRule="exact"/>
        <w:rPr>
          <w:sz w:val="20"/>
          <w:szCs w:val="20"/>
          <w:color w:val="auto"/>
        </w:rPr>
      </w:pPr>
    </w:p>
    <w:p>
      <w:pPr>
        <w:ind w:firstLine="468"/>
        <w:spacing w:after="0" w:line="257" w:lineRule="auto"/>
        <w:rPr>
          <w:sz w:val="20"/>
          <w:szCs w:val="20"/>
          <w:color w:val="auto"/>
        </w:rPr>
      </w:pPr>
      <w:r>
        <w:rPr>
          <w:rFonts w:ascii="Arial" w:cs="Arial" w:eastAsia="Arial" w:hAnsi="Arial"/>
          <w:sz w:val="18"/>
          <w:szCs w:val="18"/>
          <w:color w:val="auto"/>
        </w:rPr>
        <w:t>The Huadong License Agreement, unless terminated earlier, will continue on a product-by-product and country-by-country basis until expiration of the royalty obligations Huadong owes to us on such licensed product, which extend until the later of the expiration of certain patent or data exclusivity rights covering such licensed product in such country or eight years after the first commercial sale of such product in such country. Either party may terminate the Huadong License Agreement for the other party’s uncured material breach. Huadong may terminate the Huadong License Agreement at will upon prior written notice, subject to certain timing restrictions related to the Phase 2 MRCT.</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Newsoara License Agreement</w:t>
      </w:r>
    </w:p>
    <w:p>
      <w:pPr>
        <w:spacing w:after="0" w:line="117" w:lineRule="exact"/>
        <w:rPr>
          <w:sz w:val="20"/>
          <w:szCs w:val="20"/>
          <w:color w:val="auto"/>
        </w:rPr>
      </w:pPr>
    </w:p>
    <w:p>
      <w:pPr>
        <w:ind w:right="160" w:firstLine="468"/>
        <w:spacing w:after="0" w:line="276" w:lineRule="auto"/>
        <w:rPr>
          <w:sz w:val="20"/>
          <w:szCs w:val="20"/>
          <w:color w:val="auto"/>
        </w:rPr>
      </w:pPr>
      <w:r>
        <w:rPr>
          <w:rFonts w:ascii="Arial" w:cs="Arial" w:eastAsia="Arial" w:hAnsi="Arial"/>
          <w:sz w:val="17"/>
          <w:szCs w:val="17"/>
          <w:color w:val="auto"/>
        </w:rPr>
        <w:t xml:space="preserve">On May 31, 2018, we entered into a license agreement with Newsoara (the “Newsoara License Agreement”), under which Newsoara obtained an exclusive and sublicensable license to develop and commercialize our phosphodiesterase type 4 inhibitors (“PDE4”) program, including the compound </w:t>
      </w:r>
      <w:r>
        <w:rPr>
          <w:rFonts w:ascii="Arial" w:cs="Arial" w:eastAsia="Arial" w:hAnsi="Arial"/>
          <w:sz w:val="17"/>
          <w:szCs w:val="17"/>
          <w:i w:val="1"/>
          <w:iCs w:val="1"/>
          <w:color w:val="auto"/>
        </w:rPr>
        <w:t>HPP737</w:t>
      </w:r>
      <w:r>
        <w:rPr>
          <w:rFonts w:ascii="Arial" w:cs="Arial" w:eastAsia="Arial" w:hAnsi="Arial"/>
          <w:sz w:val="17"/>
          <w:szCs w:val="17"/>
          <w:color w:val="auto"/>
        </w:rPr>
        <w:t>, in China and other Pacific Rim countries (collectively, the “Newsoara License Territory”). Additionally, under the Newsoara License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we obtained a non-exclusive, sublicensable, royalty-free license to develop and commercialize certain Newsoara patent rights and know-how related to our PDE4 program for therapeutic uses in humans outside of the Newsoara License Territory.</w:t>
      </w:r>
    </w:p>
    <w:p>
      <w:pPr>
        <w:spacing w:after="0" w:line="64" w:lineRule="exact"/>
        <w:rPr>
          <w:sz w:val="20"/>
          <w:szCs w:val="20"/>
          <w:color w:val="auto"/>
        </w:rPr>
      </w:pPr>
    </w:p>
    <w:p>
      <w:pPr>
        <w:ind w:right="20" w:firstLine="468"/>
        <w:spacing w:after="0" w:line="255" w:lineRule="auto"/>
        <w:rPr>
          <w:sz w:val="20"/>
          <w:szCs w:val="20"/>
          <w:color w:val="auto"/>
        </w:rPr>
      </w:pPr>
      <w:r>
        <w:rPr>
          <w:rFonts w:ascii="Arial" w:cs="Arial" w:eastAsia="Arial" w:hAnsi="Arial"/>
          <w:sz w:val="18"/>
          <w:szCs w:val="18"/>
          <w:color w:val="auto"/>
        </w:rPr>
        <w:t>Under the terms of the Newsoara License Agreement, Newsoara paid us an upfront cash payment of $2.0 million. We are eligible to receive additional potential development, regulatory and sales-based milestone payments totaling up to $63.0 million. In addition, Newsoara is obligated to pay us royalty payments at high-single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w:t>
      </w:r>
    </w:p>
    <w:p>
      <w:pPr>
        <w:spacing w:after="0" w:line="85" w:lineRule="exact"/>
        <w:rPr>
          <w:sz w:val="20"/>
          <w:szCs w:val="20"/>
          <w:color w:val="auto"/>
        </w:rPr>
      </w:pPr>
    </w:p>
    <w:p>
      <w:pPr>
        <w:ind w:right="580" w:firstLine="468"/>
        <w:spacing w:after="0" w:line="264" w:lineRule="auto"/>
        <w:rPr>
          <w:sz w:val="20"/>
          <w:szCs w:val="20"/>
          <w:color w:val="auto"/>
        </w:rPr>
      </w:pPr>
      <w:r>
        <w:rPr>
          <w:rFonts w:ascii="Arial" w:cs="Arial" w:eastAsia="Arial" w:hAnsi="Arial"/>
          <w:sz w:val="18"/>
          <w:szCs w:val="18"/>
          <w:color w:val="auto"/>
        </w:rPr>
        <w:t>Under the terms of the Newsoara License Agreement, Newsoara will be responsible for the development and commercialization of the licensed products in the Newsoara License Territory, at its cost, and is required to use commercially reasonable efforts with respect to such development and commercialization efforts.</w:t>
      </w:r>
    </w:p>
    <w:p>
      <w:pPr>
        <w:spacing w:after="0" w:line="73" w:lineRule="exact"/>
        <w:rPr>
          <w:sz w:val="20"/>
          <w:szCs w:val="20"/>
          <w:color w:val="auto"/>
        </w:rPr>
      </w:pPr>
    </w:p>
    <w:p>
      <w:pPr>
        <w:ind w:right="20" w:firstLine="468"/>
        <w:spacing w:after="0" w:line="259" w:lineRule="auto"/>
        <w:rPr>
          <w:sz w:val="20"/>
          <w:szCs w:val="20"/>
          <w:color w:val="auto"/>
        </w:rPr>
      </w:pPr>
      <w:r>
        <w:rPr>
          <w:rFonts w:ascii="Arial" w:cs="Arial" w:eastAsia="Arial" w:hAnsi="Arial"/>
          <w:sz w:val="18"/>
          <w:szCs w:val="18"/>
          <w:color w:val="auto"/>
        </w:rPr>
        <w:t>The Newsoara License Agreement, unless terminated earlier, will continue until expiration of all royalty obligations of Newsoara to us. Either party may terminate the Newsoara License Agreement for the other party’s uncured material breach. Newsoara may terminate the Newsoara License Agreement at will upon prior written notice. Upon expiration (but not earlier termination) of the Newsoara License Agreement the licenses granted to Newsoara will survive on a royalty-free basis in perpetuity.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JDRF Agreement</w:t>
      </w:r>
    </w:p>
    <w:p>
      <w:pPr>
        <w:spacing w:after="0" w:line="117"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 xml:space="preserve">In August 2017, we entered into a research, development and commercialization agreement with JDRF International (“JDRF”) (the “JDRF Agreement”) to support the funding of the simplici-T1 Study, an adaptive Phase 1b/2 study to explore the effects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type 1 diabetes. We have completed enrollment of the part 1 learning phase and expect to report results for this portion of the study in June 2019. We have begun the start-up activities for the part 2 confirming phase and expect to report results for this portion of the study in the latter part of the first quarter of 2020. According to the terms of the JDRF Agreement, JDRF will provide research funding of up to $3.0 million based on the achievement of research and development milestones, with the total funding provided by JDRF not to exceed approximately one-half of the total cost of the project. Additionally, we have the obligation to make certain milestone payments to JDRF upon the commercialization, licensing, sale or transfer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 treatment for type 1 diabetes.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Novo Nordisk</w:t>
      </w:r>
    </w:p>
    <w:p>
      <w:pPr>
        <w:spacing w:after="0" w:line="11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 xml:space="preserve">In February 2007, we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we obtained certain worldwide rights to Novo Nordisk’s GKA program, including rights to preclinical and clinical compounds such as </w:t>
      </w:r>
      <w:r>
        <w:rPr>
          <w:rFonts w:ascii="Arial" w:cs="Arial" w:eastAsia="Arial" w:hAnsi="Arial"/>
          <w:sz w:val="17"/>
          <w:szCs w:val="17"/>
          <w:i w:val="1"/>
          <w:iCs w:val="1"/>
          <w:color w:val="auto"/>
        </w:rPr>
        <w:t>TTP399</w:t>
      </w:r>
      <w:r>
        <w:rPr>
          <w:rFonts w:ascii="Arial" w:cs="Arial" w:eastAsia="Arial" w:hAnsi="Arial"/>
          <w:sz w:val="17"/>
          <w:szCs w:val="17"/>
          <w:color w:val="auto"/>
        </w:rPr>
        <w:t>. Under the terms of the Novo License Agreement, we have additional potential developmental and regulatory milestone payments totaling up to $115.0 million for approval of a product. We are also obligated for an additional $75.0 million in potential sales-based milestones, as well as royalty payments, at mid-single digit royalty rates, based on tiered sales of commercialized licensed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Columbia University</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 xml:space="preserve">In May 2015, we entered into a New Exclusive License Agreement (the “Columbia License Agreement”) with The Trustees of Columbia University in the City of New York (“Columbia”) whereby we obtained a worldwide, exclusive license, with the right to grant sublicenses under certain Columbia RAGE-related patent rights to discover, develop, manufacture, use, sell, have sold, import, have made, offer to sell, rent, or lease RAGE-inhibiting small molecules, including </w:t>
      </w:r>
      <w:r>
        <w:rPr>
          <w:rFonts w:ascii="Arial" w:cs="Arial" w:eastAsia="Arial" w:hAnsi="Arial"/>
          <w:sz w:val="16"/>
          <w:szCs w:val="16"/>
          <w:i w:val="1"/>
          <w:iCs w:val="1"/>
          <w:color w:val="auto"/>
        </w:rPr>
        <w:t>azeliragon</w:t>
      </w:r>
      <w:r>
        <w:rPr>
          <w:rFonts w:ascii="Arial" w:cs="Arial" w:eastAsia="Arial" w:hAnsi="Arial"/>
          <w:sz w:val="16"/>
          <w:szCs w:val="16"/>
          <w:color w:val="auto"/>
        </w:rPr>
        <w:t>. We also obtained a worldwide right to use certain RAGE-related research information and material. Under the terms of the Columbia License Agreement, we are required to pay an annual fee of $0.1 million, a potential milestone payment of $0.8 million and royalty payments at low-single digit royalty rates based on the net sales of licensed products. We notified Columbia of our intent to terminate this agreement in December 2018.</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20" w:firstLine="509"/>
        <w:spacing w:after="0" w:line="264" w:lineRule="auto"/>
        <w:rPr>
          <w:sz w:val="20"/>
          <w:szCs w:val="20"/>
          <w:color w:val="auto"/>
        </w:rPr>
      </w:pPr>
      <w:r>
        <w:rPr>
          <w:rFonts w:ascii="Arial" w:cs="Arial" w:eastAsia="Arial" w:hAnsi="Arial"/>
          <w:sz w:val="18"/>
          <w:szCs w:val="18"/>
          <w:color w:val="auto"/>
        </w:rPr>
        <w:t>The biopharmaceutical industry is characterized by intense competition and rapid innovation. Our potential competitors include large pharmaceutical and biotechnology companies, specialty pharmaceutical companies and generic drug companies. We believe the key competitive factors that will affect the development and commercial success of our drug candidates are efficacy, safety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4" w:name="page15"/>
    <w:bookmarkEnd w:id="14"/>
    <w:p>
      <w:pPr>
        <w:ind w:right="720"/>
        <w:spacing w:after="0" w:line="277" w:lineRule="auto"/>
        <w:rPr>
          <w:sz w:val="20"/>
          <w:szCs w:val="20"/>
          <w:color w:val="auto"/>
        </w:rPr>
      </w:pPr>
      <w:r>
        <w:rPr>
          <w:rFonts w:ascii="Arial" w:cs="Arial" w:eastAsia="Arial" w:hAnsi="Arial"/>
          <w:sz w:val="18"/>
          <w:szCs w:val="18"/>
          <w:color w:val="auto"/>
        </w:rPr>
        <w:t>tolerability profile, mechanism of action, control and predictability, convenience of dosing, price and reimbursement, and availability of comparable alternative therapies.</w:t>
      </w:r>
    </w:p>
    <w:p>
      <w:pPr>
        <w:spacing w:after="0" w:line="170" w:lineRule="exact"/>
        <w:rPr>
          <w:sz w:val="20"/>
          <w:szCs w:val="20"/>
          <w:color w:val="auto"/>
        </w:rPr>
      </w:pPr>
    </w:p>
    <w:p>
      <w:pPr>
        <w:ind w:right="180" w:firstLine="509"/>
        <w:spacing w:after="0" w:line="297"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Competing Products – Alzheimer’s Disease</w:t>
      </w:r>
    </w:p>
    <w:p>
      <w:pPr>
        <w:spacing w:after="0" w:line="117"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 xml:space="preserve">There are currently limited approved treatments for AD in the United States and existing therapies treat only the symptoms of the disease, rather than targeting the underlying mechanisms. The approved symptomatic AD therapies in the United States fall into two classes, AChEIs and glutamatergic modulators. If we are successful in our development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as a treatment of probable Alzheimer’s dementia in patients with type 2 diabetes, it would be used as a treatment of this narrower patient group rather than as a treatment of AD in all patients. Further, if it is approved, its mechanism of action may be complementary to existing standard of care, as well as that of drug candidates with differentiated mechanisms currently in development for AD, including anti-Aβ monoclonal antibodies, BACE inhibitors, tau aggregation inhibitors and monoamine oxidase-b inhibitors. This will allow the opportunity for co-administration with these other drug candidates if they are successfully developed. We are not aware of any other clinical-stage RAGE inhibitor investigational products being developed for the treatment of AD.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Competing Products – Type 2 Diabetes</w:t>
      </w:r>
    </w:p>
    <w:p>
      <w:pPr>
        <w:spacing w:after="0" w:line="11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If approved, we expect that our type 2 diabetes investigational drug candidates will compete with currently available non-insulin medication products for type 2 diabetes. These products include the following:</w:t>
      </w:r>
    </w:p>
    <w:p>
      <w:pPr>
        <w:spacing w:after="0" w:line="62" w:lineRule="exact"/>
        <w:rPr>
          <w:sz w:val="20"/>
          <w:szCs w:val="20"/>
          <w:color w:val="auto"/>
        </w:rPr>
      </w:pPr>
    </w:p>
    <w:p>
      <w:pPr>
        <w:ind w:left="500" w:right="6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Injectable GLP-1r agonists, such as exenatide or liraglutide, which mimic a naturally occurring hormone that stimulates the pancreas to secrete insulin when blood glucose levels are high.</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DPP-4 inhibitors, such as sitagliptin or saxagliptin, are a class of drugs that work by blocking the enzyme that normally degrades GLP-1.</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Sulfonylureas and meglitinides, which are classes of drugs that act on the pancreatic cells to stimulate the secretion of insulin.</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Thiazolidinediones, such as pioglitizone, and biguanides, such as metformin, which lower blood glucose by improving the sensitivity of cells to insulin or diminishing insulin resistance.</w:t>
      </w:r>
    </w:p>
    <w:p>
      <w:pPr>
        <w:spacing w:after="0" w:line="62" w:lineRule="exact"/>
        <w:rPr>
          <w:rFonts w:ascii="Arial" w:cs="Arial" w:eastAsia="Arial" w:hAnsi="Arial"/>
          <w:sz w:val="18"/>
          <w:szCs w:val="18"/>
          <w:color w:val="auto"/>
        </w:rPr>
      </w:pPr>
    </w:p>
    <w:p>
      <w:pPr>
        <w:ind w:left="500" w:right="18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Alpha-glucosidase inhibitors, which lower the amount of glucose absorbed from the intestines, thereby reducing the rise in blood glucose that occurs after a meal.</w:t>
      </w:r>
    </w:p>
    <w:p>
      <w:pPr>
        <w:spacing w:after="0" w:line="62" w:lineRule="exact"/>
        <w:rPr>
          <w:rFonts w:ascii="Arial" w:cs="Arial" w:eastAsia="Arial" w:hAnsi="Arial"/>
          <w:sz w:val="18"/>
          <w:szCs w:val="18"/>
          <w:color w:val="auto"/>
        </w:rPr>
      </w:pPr>
    </w:p>
    <w:p>
      <w:pPr>
        <w:ind w:left="500" w:right="42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SGLT-2 inhibitors, such as dapagliflozin and canagliflozin, are a class of medications that lower blood glucose by increasing glucose excretion in urine.</w:t>
      </w:r>
    </w:p>
    <w:p>
      <w:pPr>
        <w:spacing w:after="0" w:line="170"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In addition to existing marketed products, there are a number of product candidates currently in development focusing on the same mechanisms as our programs for the treatment of type 2 diabetes, including:</w:t>
      </w:r>
    </w:p>
    <w:p>
      <w:pPr>
        <w:spacing w:after="0" w:line="58" w:lineRule="exact"/>
        <w:rPr>
          <w:sz w:val="20"/>
          <w:szCs w:val="20"/>
          <w:color w:val="auto"/>
        </w:rPr>
      </w:pPr>
    </w:p>
    <w:p>
      <w:pPr>
        <w:ind w:left="500" w:right="260" w:hanging="492"/>
        <w:spacing w:after="0" w:line="282"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Glucokinase activators: </w:t>
      </w:r>
      <w:r>
        <w:rPr>
          <w:rFonts w:ascii="Arial" w:cs="Arial" w:eastAsia="Arial" w:hAnsi="Arial"/>
          <w:sz w:val="18"/>
          <w:szCs w:val="18"/>
          <w:color w:val="auto"/>
        </w:rPr>
        <w:t>Yabao Pharmaceutical Co, Inc., Pegbio Co. Ltd., Hua Medicine Ltd. and Teijin Pharma Limited are among the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evaluating glucokinase activators in clinical or preclinical studies.</w:t>
      </w:r>
    </w:p>
    <w:p>
      <w:pPr>
        <w:spacing w:after="0" w:line="53" w:lineRule="exact"/>
        <w:rPr>
          <w:rFonts w:ascii="Arial" w:cs="Arial" w:eastAsia="Arial" w:hAnsi="Arial"/>
          <w:sz w:val="18"/>
          <w:szCs w:val="18"/>
          <w:color w:val="auto"/>
        </w:rPr>
      </w:pPr>
    </w:p>
    <w:p>
      <w:pPr>
        <w:ind w:left="500" w:right="160" w:hanging="492"/>
        <w:spacing w:after="0" w:line="282"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Oral GLP-1r agonists: </w:t>
      </w:r>
      <w:r>
        <w:rPr>
          <w:rFonts w:ascii="Arial" w:cs="Arial" w:eastAsia="Arial" w:hAnsi="Arial"/>
          <w:sz w:val="18"/>
          <w:szCs w:val="18"/>
          <w:color w:val="auto"/>
        </w:rPr>
        <w:t>Diabetology Ltd., Heptares Therapeutics Ltd., Novo Nordisk, Eli Lilly, Pfizer, and Oramed Pharmaceuticals Inc., are among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companies evaluating oral GLP-1r agonists in clinical or preclinical studies.</w:t>
      </w:r>
    </w:p>
    <w:p>
      <w:pPr>
        <w:spacing w:after="0" w:line="166" w:lineRule="exact"/>
        <w:rPr>
          <w:sz w:val="20"/>
          <w:szCs w:val="20"/>
          <w:color w:val="auto"/>
        </w:rPr>
      </w:pPr>
    </w:p>
    <w:p>
      <w:pPr>
        <w:ind w:right="380" w:firstLine="509"/>
        <w:spacing w:after="0" w:line="264" w:lineRule="auto"/>
        <w:rPr>
          <w:sz w:val="20"/>
          <w:szCs w:val="20"/>
          <w:color w:val="auto"/>
        </w:rPr>
      </w:pPr>
      <w:r>
        <w:rPr>
          <w:rFonts w:ascii="Arial" w:cs="Arial" w:eastAsia="Arial" w:hAnsi="Arial"/>
          <w:sz w:val="18"/>
          <w:szCs w:val="18"/>
          <w:color w:val="auto"/>
        </w:rPr>
        <w:t xml:space="preserve">In type 1 diabetes, oral non-insulin agents that are currently being developed that may compete with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include SGLT-1/2 inhibitors, such as sotagliflozin, being developed by Sanofi/Lexicon and SGLT-2 inhibitors such as AstraZeneca’s dapagliflozin and Eli Lilly/ Boehringer Ingelheim’s empagliflozin.</w:t>
      </w:r>
    </w:p>
    <w:p>
      <w:pPr>
        <w:spacing w:after="0" w:line="181"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believe that our investigational drug candidates may offer key potential advantages over these competitive products that could enable our drug candidates, if approved, to capture meaningful market share from our competitors. Nevertheless, many of our potential competitors have substantially greater financial, technical and human resources than we do, as well as greater experience in the discovery and development of drug candidates, obtaining FDA and other regulatory approvals of products and the commercialization of those products. Accordingly, our competitors may be more successful than us in obtaining regulatory approval for drugs and achieving widespread market acceptance. Our competitors’ drugs may be more effective, or more effectively marketed and sold, than any drug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t>candidate we may commercialize and may render our drug candidates obsolete or non-competitive before we can recover the expenses of their development and commercialization. We anticipate that we will face intense and increasing competition as new drugs enter the market, existing treatments come off patent, and more advanced technologies become available. Finally, the development of new treatment methods for the diseases we are targeting could render our drug candidates non-competitive or obsolete.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 and Customers</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 xml:space="preserve">The majority of our collaboration revenue for the years ended December 31, 2018, 2017 and 2016 is related to our licenses of certain compounds in the pre-clinical stage or clinical stage, including the Huadong License Agreement, the Reneo License Agreement, the Newsoara License Agreement and the Calithera License Agreement. Revenue recognized in these periods relates to initial consideration received in the form of upfront payments and equity interests coupled with research activities performed by our personnel. While we are continuing to seek partnership opportunities for our assets, we continue to focus on the development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w:t>
      </w:r>
      <w:r>
        <w:rPr>
          <w:rFonts w:ascii="Arial" w:cs="Arial" w:eastAsia="Arial" w:hAnsi="Arial"/>
          <w:sz w:val="18"/>
          <w:szCs w:val="18"/>
          <w:i w:val="1"/>
          <w:iCs w:val="1"/>
          <w:color w:val="auto"/>
        </w:rPr>
        <w:t>TTP273</w:t>
      </w:r>
      <w:r>
        <w:rPr>
          <w:rFonts w:ascii="Arial" w:cs="Arial" w:eastAsia="Arial" w:hAnsi="Arial"/>
          <w:sz w:val="18"/>
          <w:szCs w:val="18"/>
          <w:color w:val="auto"/>
        </w:rPr>
        <w:t xml:space="preserve"> and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the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189" w:lineRule="exact"/>
        <w:rPr>
          <w:sz w:val="20"/>
          <w:szCs w:val="20"/>
          <w:color w:val="auto"/>
        </w:rPr>
      </w:pPr>
    </w:p>
    <w:p>
      <w:pPr>
        <w:ind w:right="60" w:firstLine="749"/>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 extensively regulate, among other things, the research, development, testing, manufacture, pricing,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185" w:lineRule="exact"/>
        <w:rPr>
          <w:sz w:val="20"/>
          <w:szCs w:val="20"/>
          <w:color w:val="auto"/>
        </w:rPr>
      </w:pPr>
    </w:p>
    <w:p>
      <w:pPr>
        <w:ind w:right="60" w:firstLine="749"/>
        <w:spacing w:after="0" w:line="272" w:lineRule="auto"/>
        <w:rPr>
          <w:sz w:val="20"/>
          <w:szCs w:val="20"/>
          <w:color w:val="auto"/>
        </w:rPr>
      </w:pPr>
      <w:r>
        <w:rPr>
          <w:rFonts w:ascii="Arial" w:cs="Arial" w:eastAsia="Arial" w:hAnsi="Arial"/>
          <w:sz w:val="17"/>
          <w:szCs w:val="17"/>
          <w:color w:val="auto"/>
        </w:rPr>
        <w:t>In the United States, drug products are regulated under the Federal Food, Drug and Cosmetic Act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 These sanctions may include, but are not limited to, the FDA’s refusal to allow an applicant to proceed with clinical trials, refusal to approve pending applications, license suspension or revocation, withdrawal of an approval, warning letters, adverse publicity, product recalls, product seizures, total or partial suspension of production or distribution, injunctions, fines and civil or criminal investigations and penalties brought by the FDA or Department of Justice (“DOJ”), or other government entities, including state agencies.</w:t>
      </w:r>
    </w:p>
    <w:p>
      <w:pPr>
        <w:spacing w:after="0" w:line="13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An applicant seeking approval to market and distribute a new drug in the United States generally must satisfactorily complete each of the following steps before the product candidate will be licensed by the FDA:</w:t>
      </w:r>
    </w:p>
    <w:p>
      <w:pPr>
        <w:spacing w:after="0" w:line="143" w:lineRule="exact"/>
        <w:rPr>
          <w:sz w:val="20"/>
          <w:szCs w:val="20"/>
          <w:color w:val="auto"/>
        </w:rPr>
      </w:pPr>
    </w:p>
    <w:p>
      <w:pPr>
        <w:ind w:left="1120" w:right="160" w:hanging="369"/>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preclinical testing including laboratory tests, animal studies and formulation studies, which must be performed in accordance with the FDA’s good laboratory practice (“GLP”), regulations and standards;</w:t>
      </w:r>
    </w:p>
    <w:p>
      <w:pPr>
        <w:spacing w:after="0" w:line="129" w:lineRule="exact"/>
        <w:rPr>
          <w:rFonts w:ascii="Arial" w:cs="Arial" w:eastAsia="Arial" w:hAnsi="Arial"/>
          <w:sz w:val="18"/>
          <w:szCs w:val="18"/>
          <w:color w:val="auto"/>
        </w:rPr>
      </w:pPr>
    </w:p>
    <w:p>
      <w:pPr>
        <w:ind w:left="1120" w:hanging="369"/>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an IND for human clinical testing, which must become effective before human clinical trials may begin;</w:t>
      </w:r>
    </w:p>
    <w:p>
      <w:pPr>
        <w:spacing w:after="0" w:line="184" w:lineRule="exact"/>
        <w:rPr>
          <w:rFonts w:ascii="Arial" w:cs="Arial" w:eastAsia="Arial" w:hAnsi="Arial"/>
          <w:sz w:val="18"/>
          <w:szCs w:val="18"/>
          <w:color w:val="auto"/>
        </w:rPr>
      </w:pPr>
    </w:p>
    <w:p>
      <w:pPr>
        <w:ind w:left="1120" w:hanging="369"/>
        <w:spacing w:after="0"/>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(“IRB”), representing each clinical site before each clinical trial may be initiated;</w:t>
      </w:r>
    </w:p>
    <w:p>
      <w:pPr>
        <w:spacing w:after="0" w:line="196" w:lineRule="exact"/>
        <w:rPr>
          <w:rFonts w:ascii="Arial" w:cs="Arial" w:eastAsia="Arial" w:hAnsi="Arial"/>
          <w:sz w:val="17"/>
          <w:szCs w:val="17"/>
          <w:color w:val="auto"/>
        </w:rPr>
      </w:pPr>
    </w:p>
    <w:p>
      <w:pPr>
        <w:ind w:left="1120" w:right="100" w:hanging="369"/>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current good clinical practices (“GCP”);</w:t>
      </w:r>
    </w:p>
    <w:p>
      <w:pPr>
        <w:spacing w:after="0" w:line="129" w:lineRule="exact"/>
        <w:rPr>
          <w:rFonts w:ascii="Arial" w:cs="Arial" w:eastAsia="Arial" w:hAnsi="Arial"/>
          <w:sz w:val="18"/>
          <w:szCs w:val="18"/>
          <w:color w:val="auto"/>
        </w:rPr>
      </w:pPr>
    </w:p>
    <w:p>
      <w:pPr>
        <w:ind w:left="1120" w:right="460" w:hanging="369"/>
        <w:spacing w:after="0" w:line="264"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(“NDA”), for a drug product which includes not only the results of the clinical trials, but also, detailed information on the chemistry, manufacture and quality controls for the product candidate and proposed labelling for one or more proposed indication(s);</w:t>
      </w:r>
    </w:p>
    <w:p>
      <w:pPr>
        <w:spacing w:after="0" w:line="140" w:lineRule="exact"/>
        <w:rPr>
          <w:rFonts w:ascii="Arial" w:cs="Arial" w:eastAsia="Arial" w:hAnsi="Arial"/>
          <w:sz w:val="18"/>
          <w:szCs w:val="18"/>
          <w:color w:val="auto"/>
        </w:rPr>
      </w:pPr>
    </w:p>
    <w:p>
      <w:pPr>
        <w:ind w:left="1120" w:hanging="369"/>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184" w:lineRule="exact"/>
        <w:rPr>
          <w:rFonts w:ascii="Arial" w:cs="Arial" w:eastAsia="Arial" w:hAnsi="Arial"/>
          <w:sz w:val="18"/>
          <w:szCs w:val="18"/>
          <w:color w:val="auto"/>
        </w:rPr>
      </w:pPr>
    </w:p>
    <w:p>
      <w:pPr>
        <w:jc w:val="both"/>
        <w:ind w:left="1120" w:right="180" w:hanging="369"/>
        <w:spacing w:after="0" w:line="312" w:lineRule="auto"/>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including those of third parties, at which the product candidate or components thereof are manufactured to assess compliance with current good manufacturing practices (“cGMP”), requirements and to assure that the facilities, methods and controls are adequate to preserve the product’s identity, strength, quality and purity;</w:t>
      </w:r>
    </w:p>
    <w:p>
      <w:pPr>
        <w:spacing w:after="0" w:line="106" w:lineRule="exact"/>
        <w:rPr>
          <w:rFonts w:ascii="Arial" w:cs="Arial" w:eastAsia="Arial" w:hAnsi="Arial"/>
          <w:sz w:val="16"/>
          <w:szCs w:val="16"/>
          <w:color w:val="auto"/>
        </w:rPr>
      </w:pPr>
    </w:p>
    <w:p>
      <w:pPr>
        <w:ind w:left="1120" w:hanging="369"/>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 and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left="1120"/>
        <w:spacing w:after="0"/>
        <w:rPr>
          <w:sz w:val="20"/>
          <w:szCs w:val="20"/>
          <w:color w:val="auto"/>
        </w:rPr>
      </w:pPr>
      <w:r>
        <w:rPr>
          <w:rFonts w:ascii="Arial" w:cs="Arial" w:eastAsia="Arial" w:hAnsi="Arial"/>
          <w:sz w:val="18"/>
          <w:szCs w:val="18"/>
          <w:color w:val="auto"/>
        </w:rPr>
        <w:t>integrity of clinical data in support of the NDA;</w:t>
      </w:r>
    </w:p>
    <w:p>
      <w:pPr>
        <w:spacing w:after="0" w:line="185" w:lineRule="exact"/>
        <w:rPr>
          <w:sz w:val="20"/>
          <w:szCs w:val="20"/>
          <w:color w:val="auto"/>
        </w:rPr>
      </w:pPr>
    </w:p>
    <w:p>
      <w:pPr>
        <w:ind w:left="1120" w:hanging="369"/>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to allow marketing of the new drug product; and</w:t>
      </w:r>
    </w:p>
    <w:p>
      <w:pPr>
        <w:spacing w:after="0" w:line="184" w:lineRule="exact"/>
        <w:rPr>
          <w:rFonts w:ascii="Arial" w:cs="Arial" w:eastAsia="Arial" w:hAnsi="Arial"/>
          <w:sz w:val="18"/>
          <w:szCs w:val="18"/>
          <w:color w:val="auto"/>
        </w:rPr>
      </w:pPr>
    </w:p>
    <w:p>
      <w:pPr>
        <w:ind w:left="1120" w:right="220" w:hanging="369"/>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(“REMS”) and the potential requirement to conduct any post-approval studies required by the FDA.</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Preclinical Studies</w:t>
      </w:r>
    </w:p>
    <w:p>
      <w:pPr>
        <w:spacing w:after="0" w:line="185" w:lineRule="exact"/>
        <w:rPr>
          <w:sz w:val="20"/>
          <w:szCs w:val="20"/>
          <w:color w:val="auto"/>
        </w:rPr>
      </w:pPr>
    </w:p>
    <w:p>
      <w:pPr>
        <w:ind w:right="100" w:firstLine="749"/>
        <w:spacing w:after="0" w:line="273" w:lineRule="auto"/>
        <w:rPr>
          <w:sz w:val="20"/>
          <w:szCs w:val="20"/>
          <w:color w:val="auto"/>
        </w:rPr>
      </w:pPr>
      <w:r>
        <w:rPr>
          <w:rFonts w:ascii="Arial" w:cs="Arial" w:eastAsia="Arial" w:hAnsi="Arial"/>
          <w:sz w:val="17"/>
          <w:szCs w:val="17"/>
          <w:color w:val="auto"/>
        </w:rPr>
        <w:t>Before an applicant begins testing a product candidate with potential therapeutic value in humans, the product candidate enters the preclinical testing stage.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and analytical data, are submitted to the FDA as part of an IND. Some long-term preclinical testing, such as animal tests of reproductive adverse events and carcinogenicity, and long-term toxicity studies, may continue after the IND is submitted.</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The IND and IRB Processes</w:t>
      </w:r>
    </w:p>
    <w:p>
      <w:pPr>
        <w:spacing w:after="0" w:line="185" w:lineRule="exact"/>
        <w:rPr>
          <w:sz w:val="20"/>
          <w:szCs w:val="20"/>
          <w:color w:val="auto"/>
        </w:rPr>
      </w:pPr>
    </w:p>
    <w:p>
      <w:pPr>
        <w:ind w:right="160" w:firstLine="749"/>
        <w:spacing w:after="0" w:line="270" w:lineRule="auto"/>
        <w:rPr>
          <w:sz w:val="20"/>
          <w:szCs w:val="20"/>
          <w:color w:val="auto"/>
        </w:rPr>
      </w:pPr>
      <w:r>
        <w:rPr>
          <w:rFonts w:ascii="Arial" w:cs="Arial" w:eastAsia="Arial" w:hAnsi="Arial"/>
          <w:sz w:val="17"/>
          <w:szCs w:val="17"/>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137"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51"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on April 28, 2008, the FDA amended its regulations governing the acceptance of foreign clinical studies not conducted under an investigational new drug application as support for an IND or a new drug application. The final rule provides that such studies must be conducted in accordance with good clinical practice (“GCP”), including review and approval by an independent ethics committee (“IEC”), and informed consent from subjects. The GCP requirements in the final rule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41"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53" w:lineRule="exact"/>
        <w:rPr>
          <w:sz w:val="20"/>
          <w:szCs w:val="20"/>
          <w:color w:val="auto"/>
        </w:rPr>
      </w:pPr>
    </w:p>
    <w:p>
      <w:pPr>
        <w:ind w:right="40" w:firstLine="749"/>
        <w:spacing w:after="0" w:line="264" w:lineRule="auto"/>
        <w:rPr>
          <w:sz w:val="20"/>
          <w:szCs w:val="20"/>
          <w:color w:val="auto"/>
        </w:rPr>
      </w:pPr>
      <w:r>
        <w:rPr>
          <w:rFonts w:ascii="Arial" w:cs="Arial" w:eastAsia="Arial" w:hAnsi="Arial"/>
          <w:sz w:val="18"/>
          <w:szCs w:val="18"/>
          <w:color w:val="auto"/>
        </w:rPr>
        <w:t>Additionally, 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study. Suspension or termination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development during any phase of clinical trials can occur if it is determined that the participants or patients are being exposed to an unacceptable health risk.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reasons for suspension or termination may be made by us based on evolving business objectives and/or competitive climate.</w:t>
      </w:r>
    </w:p>
    <w:p>
      <w:pPr>
        <w:spacing w:after="0" w:line="17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Information about clinical trials must be submitted within specific timeframes to the National Institutes of Health (“NIH”), for public dissemination on its ClinicalTrials.gov website.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Human Clinical Trials in Support of an NDA</w:t>
      </w:r>
    </w:p>
    <w:p>
      <w:pPr>
        <w:spacing w:after="0" w:line="185" w:lineRule="exact"/>
        <w:rPr>
          <w:sz w:val="20"/>
          <w:szCs w:val="20"/>
          <w:color w:val="auto"/>
        </w:rPr>
      </w:pPr>
    </w:p>
    <w:p>
      <w:pPr>
        <w:jc w:val="both"/>
        <w:ind w:firstLine="749"/>
        <w:spacing w:after="0" w:line="302" w:lineRule="auto"/>
        <w:rPr>
          <w:sz w:val="20"/>
          <w:szCs w:val="20"/>
          <w:color w:val="auto"/>
        </w:rPr>
      </w:pPr>
      <w:r>
        <w:rPr>
          <w:rFonts w:ascii="Arial" w:cs="Arial" w:eastAsia="Arial" w:hAnsi="Arial"/>
          <w:sz w:val="16"/>
          <w:szCs w:val="16"/>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114"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Human clinical trials are typically conducted in three sequential phases, but the phases may overlap or be combined. Additional studies may also be required after approval.</w:t>
      </w:r>
    </w:p>
    <w:p>
      <w:pPr>
        <w:spacing w:after="0" w:line="143"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excretion and pharmacodynamics in healthy humans or in patients. During Phase 1 clinical trials, information about the investigational drug product’s pharmacokinetics and pharmacological effects may be obtained to permit the design of well-controlled and scientifically valid Phase 2 clinical trials.</w:t>
      </w:r>
    </w:p>
    <w:p>
      <w:pPr>
        <w:spacing w:after="0" w:line="146" w:lineRule="exact"/>
        <w:rPr>
          <w:sz w:val="20"/>
          <w:szCs w:val="20"/>
          <w:color w:val="auto"/>
        </w:rPr>
      </w:pPr>
    </w:p>
    <w:p>
      <w:pPr>
        <w:ind w:right="260" w:firstLine="749"/>
        <w:spacing w:after="0" w:line="259" w:lineRule="auto"/>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clinical trials are generally conducted in a limited patient population to identify possible adverse effects and safety risks,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146" w:lineRule="exact"/>
        <w:rPr>
          <w:sz w:val="20"/>
          <w:szCs w:val="20"/>
          <w:color w:val="auto"/>
        </w:rPr>
      </w:pPr>
    </w:p>
    <w:p>
      <w:pPr>
        <w:ind w:firstLine="749"/>
        <w:spacing w:after="0" w:line="276" w:lineRule="auto"/>
        <w:rPr>
          <w:sz w:val="20"/>
          <w:szCs w:val="20"/>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clinical trials proceed if the Phase 2 clinical trials demonstrate that a dose range of the product candidate is potentially effective and has an</w:t>
      </w:r>
      <w:r>
        <w:rPr>
          <w:rFonts w:ascii="Arial" w:cs="Arial" w:eastAsia="Arial" w:hAnsi="Arial"/>
          <w:sz w:val="17"/>
          <w:szCs w:val="17"/>
          <w:i w:val="1"/>
          <w:iCs w:val="1"/>
          <w:color w:val="auto"/>
        </w:rPr>
        <w:t xml:space="preserve"> </w:t>
      </w:r>
      <w:r>
        <w:rPr>
          <w:rFonts w:ascii="Arial" w:cs="Arial" w:eastAsia="Arial" w:hAnsi="Arial"/>
          <w:sz w:val="17"/>
          <w:szCs w:val="17"/>
          <w:color w:val="auto"/>
        </w:rPr>
        <w:t>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studies are referred to as “pivotal.”</w:t>
      </w:r>
    </w:p>
    <w:p>
      <w:pPr>
        <w:spacing w:after="0" w:line="146"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approval for products.</w:t>
      </w:r>
    </w:p>
    <w:p>
      <w:pPr>
        <w:spacing w:after="0" w:line="148"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product has been associated with unexpected serious harm to patients. The FDA will typically inspect one or more clinical sites to assure compliance with GCP and the integrity of the clinical data submitted.</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Special Protocol Assessment</w:t>
      </w:r>
    </w:p>
    <w:p>
      <w:pPr>
        <w:spacing w:after="0" w:line="198"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The special protocol assessment (“SPA”) process is designed to facilitate the FDA’s review and approval of drugs by allowing the FDA to evaluate the proposed design and size of Phase 3 clinical trials that are intended to form the primary basis for determining a drug product’s efficacy. Upon specific request by a clinical trial sponsor, the FDA will evaluate the protocol and respond to a sponsor’s questions regarding, among other things, primary efficacy endpoints, trial design and data analysis plans, within 45 days of receipt of the request.</w:t>
      </w:r>
    </w:p>
    <w:p>
      <w:pPr>
        <w:spacing w:after="0" w:line="146"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The FDA ultimately assesses whether the protocol design and planned analysis of the trial are acceptable to support regulatory approval of the drug candidate with respect to effectiveness of the indication studied. All agreements and disagreements between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FDA and the sponsor regarding an SPA must be clearly documented in an SPA letter or the minutes of a meeting between the sponsor and the FDA.</w:t>
      </w:r>
    </w:p>
    <w:p>
      <w:pPr>
        <w:spacing w:after="0" w:line="196"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Even if the FDA agrees to the design, execution and analyses proposed in protocols reviewed under the SPA process, the FDA may revoke or alter its agreement under the following circumstances:</w:t>
      </w:r>
    </w:p>
    <w:p>
      <w:pPr>
        <w:spacing w:after="0" w:line="143" w:lineRule="exact"/>
        <w:rPr>
          <w:sz w:val="20"/>
          <w:szCs w:val="20"/>
          <w:color w:val="auto"/>
        </w:rPr>
      </w:pPr>
    </w:p>
    <w:p>
      <w:pPr>
        <w:ind w:left="740" w:hanging="36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health concerns emerge that were unrecognized at the time of the protocol assessment, or the director of the review division determines that a substantial scientific issue essential to determining safety or efficacy has been identified after testing has begun;</w:t>
      </w:r>
    </w:p>
    <w:p>
      <w:pPr>
        <w:spacing w:after="0" w:line="129" w:lineRule="exact"/>
        <w:rPr>
          <w:rFonts w:ascii="Arial" w:cs="Arial" w:eastAsia="Arial" w:hAnsi="Arial"/>
          <w:sz w:val="18"/>
          <w:szCs w:val="18"/>
          <w:color w:val="auto"/>
        </w:rPr>
      </w:pPr>
    </w:p>
    <w:p>
      <w:pPr>
        <w:ind w:left="740" w:hanging="36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sponsor fails to follow a protocol that was agreed upon with the FDA; or</w:t>
      </w:r>
    </w:p>
    <w:p>
      <w:pPr>
        <w:spacing w:after="0" w:line="184" w:lineRule="exact"/>
        <w:rPr>
          <w:rFonts w:ascii="Arial" w:cs="Arial" w:eastAsia="Arial" w:hAnsi="Arial"/>
          <w:sz w:val="18"/>
          <w:szCs w:val="18"/>
          <w:color w:val="auto"/>
        </w:rPr>
      </w:pPr>
    </w:p>
    <w:p>
      <w:pPr>
        <w:ind w:left="740" w:right="1040" w:hanging="36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relevant data, assumptions or information provided by the sponsor in a request for SPA change, are found to be false statements or misstatements, or are found to omit relevant facts.</w:t>
      </w:r>
    </w:p>
    <w:p>
      <w:pPr>
        <w:spacing w:after="0" w:line="130"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A documented SPA may be modified, and such modification will be deemed binding on the FDA review division, except under the circumstances described above, if FDA and the sponsor agree in writing to modify the protocol and such modification is intended to improve the study. Agreement by the FDA to the SPA does not guarantee that the results of a study conducted in accordance with the agreement will be successful or that other issues that arise may not impede approval of the investigational product.</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Review and Approval of an NDA</w:t>
      </w:r>
    </w:p>
    <w:p>
      <w:pPr>
        <w:spacing w:after="0" w:line="185"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In order to obtain approval to market a drug product in the United States, a marketing application must be submitted to the FDA that provides sufficient data establishing the safety, purity and potency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purity and potency of the drug product to the satisfaction of the FDA.</w:t>
      </w:r>
    </w:p>
    <w:p>
      <w:pPr>
        <w:spacing w:after="0" w:line="162"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The NDA is a vehicle through which applicants formally propose that the FDA approve a new product for marketing and sale in the United States for one or more indications. Every new drug product candidate must be the subject of an approved NDA before it may be commercialized in the United States. Under federal law, the submission of most NDAs is subject to an application user fee, which for federal fiscal year 2019 is $2,588,478 for an application requiring clinical data. The sponsor of an approved NDA is also subject to an annual program fee, which for fiscal year 2019 is $309,915. Certain exceptions and waivers are available for some of these fees, such as an exception from the application fee for products with orphan designation and a waiver for certain small businesses.</w:t>
      </w:r>
    </w:p>
    <w:p>
      <w:pPr>
        <w:spacing w:after="0" w:line="153"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Following submission of an NDA, the FDA conducts a preliminary review of the application generally within 60 calendar days of its receipt and strives to inform the sponsor by the 74</w:t>
      </w:r>
      <w:r>
        <w:rPr>
          <w:rFonts w:ascii="Arial" w:cs="Arial" w:eastAsia="Arial" w:hAnsi="Arial"/>
          <w:sz w:val="14"/>
          <w:szCs w:val="14"/>
          <w:color w:val="auto"/>
        </w:rPr>
        <w:t>th</w:t>
      </w:r>
      <w:r>
        <w:rPr>
          <w:rFonts w:ascii="Arial" w:cs="Arial" w:eastAsia="Arial" w:hAnsi="Arial"/>
          <w:sz w:val="17"/>
          <w:szCs w:val="17"/>
          <w:color w:val="auto"/>
        </w:rPr>
        <w:t xml:space="preserve"> day after the FDA’s receipt of the submission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Under that agreement, 90% of applications seeking approval of New Molecular Entities (“NMEs”), are meant to be reviewed within ten months from the date on which the FDA accepts the application for filing, and 90% of applications for NMEs that have been designated for “priority review” are meant to be reviewed within six months of the filing date. For applications seeking approval of products that are not NMEs, the ten-month and six-month review periods run from the date that the FDA receives the application. The review process and the Prescription Drug User Fee Act goal date may be extended by the FDA for three additional months to consider new information or clarification provided by the applicant to address an outstanding deficiency identified by the FDA following the original submission.</w:t>
      </w:r>
    </w:p>
    <w:p>
      <w:pPr>
        <w:spacing w:after="0" w:line="142" w:lineRule="exact"/>
        <w:rPr>
          <w:sz w:val="20"/>
          <w:szCs w:val="20"/>
          <w:color w:val="auto"/>
        </w:rPr>
      </w:pPr>
    </w:p>
    <w:p>
      <w:pPr>
        <w:ind w:right="80" w:firstLine="749"/>
        <w:spacing w:after="0" w:line="272" w:lineRule="auto"/>
        <w:rPr>
          <w:sz w:val="20"/>
          <w:szCs w:val="20"/>
          <w:color w:val="auto"/>
        </w:rPr>
      </w:pPr>
      <w:r>
        <w:rPr>
          <w:rFonts w:ascii="Arial" w:cs="Arial" w:eastAsia="Arial" w:hAnsi="Arial"/>
          <w:sz w:val="17"/>
          <w:szCs w:val="17"/>
          <w:color w:val="auto"/>
        </w:rPr>
        <w:t>Before approving an application, the FDA typically will inspect the facility or facilities where the product is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Under the FDA Reauthorization Act of 2017, the FDA must implement a protocol to expedite review of responses to inspection reports pertaining to certain applications, including applications for products in shortage or those for which approval is dependent on remediation of conditions identified in the inspection report.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right="140" w:firstLine="509"/>
        <w:spacing w:after="0" w:line="259" w:lineRule="auto"/>
        <w:rPr>
          <w:sz w:val="20"/>
          <w:szCs w:val="20"/>
          <w:color w:val="auto"/>
        </w:rPr>
      </w:pPr>
      <w:r>
        <w:rPr>
          <w:rFonts w:ascii="Arial" w:cs="Arial" w:eastAsia="Arial" w:hAnsi="Arial"/>
          <w:sz w:val="18"/>
          <w:szCs w:val="18"/>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w:t>
      </w:r>
    </w:p>
    <w:p>
      <w:pPr>
        <w:spacing w:after="0" w:line="146"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The FDA may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Special Expedited Review and Approval Programs</w:t>
      </w:r>
    </w:p>
    <w:p>
      <w:pPr>
        <w:spacing w:after="0" w:line="185" w:lineRule="exact"/>
        <w:rPr>
          <w:sz w:val="20"/>
          <w:szCs w:val="20"/>
          <w:color w:val="auto"/>
        </w:rPr>
      </w:pPr>
    </w:p>
    <w:p>
      <w:pPr>
        <w:jc w:val="both"/>
        <w:ind w:firstLine="749"/>
        <w:spacing w:after="0" w:line="221" w:lineRule="exact"/>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 or condition. These programs are referred to as fast track designation, breakthrough therapy designation, priority review designation, regenerative advanced therapy designation and accelerated approval.</w:t>
      </w:r>
    </w:p>
    <w:p>
      <w:pPr>
        <w:spacing w:after="0" w:line="161" w:lineRule="exact"/>
        <w:rPr>
          <w:sz w:val="20"/>
          <w:szCs w:val="20"/>
          <w:color w:val="auto"/>
        </w:rPr>
      </w:pPr>
    </w:p>
    <w:p>
      <w:pPr>
        <w:jc w:val="both"/>
        <w:ind w:firstLine="749"/>
        <w:spacing w:after="0" w:line="218" w:lineRule="exact"/>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products, for the treatment of a serious or life</w:t>
      </w:r>
      <w:r>
        <w:rPr>
          <w:rFonts w:ascii="MS PGothic" w:cs="MS PGothic" w:eastAsia="MS PGothic" w:hAnsi="MS PGothic"/>
          <w:sz w:val="17"/>
          <w:szCs w:val="17"/>
          <w:color w:val="auto"/>
        </w:rPr>
        <w:t>‑</w:t>
      </w:r>
      <w:r>
        <w:rPr>
          <w:rFonts w:ascii="Arial" w:cs="Arial" w:eastAsia="Arial" w:hAnsi="Arial"/>
          <w:sz w:val="17"/>
          <w:szCs w:val="17"/>
          <w:color w:val="auto"/>
        </w:rPr>
        <w:t xml:space="preserve">threatening disease or condition, and it demonstrates the potential to address unmet medical needs for such a disease or condition. We have obtained Fast Track designation for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for the treatment of dementia of the Alzheimer’s type.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7" w:lineRule="exact"/>
        <w:rPr>
          <w:sz w:val="20"/>
          <w:szCs w:val="20"/>
          <w:color w:val="auto"/>
        </w:rPr>
      </w:pPr>
    </w:p>
    <w:p>
      <w:pPr>
        <w:jc w:val="both"/>
        <w:ind w:firstLine="749"/>
        <w:spacing w:after="0" w:line="218" w:lineRule="exact"/>
        <w:rPr>
          <w:sz w:val="20"/>
          <w:szCs w:val="20"/>
          <w:color w:val="auto"/>
        </w:rPr>
      </w:pPr>
      <w:r>
        <w:rPr>
          <w:rFonts w:ascii="Arial" w:cs="Arial" w:eastAsia="Arial" w:hAnsi="Arial"/>
          <w:sz w:val="16"/>
          <w:szCs w:val="16"/>
          <w:color w:val="auto"/>
        </w:rPr>
        <w:t>Second, a product may be designated as a Breakthrough Therapy if it is intended, either alone or in combination with one or more other products,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w:t>
      </w:r>
      <w:r>
        <w:rPr>
          <w:rFonts w:ascii="MS PGothic" w:cs="MS PGothic" w:eastAsia="MS PGothic" w:hAnsi="MS PGothic"/>
          <w:sz w:val="16"/>
          <w:szCs w:val="16"/>
          <w:color w:val="auto"/>
        </w:rPr>
        <w:t>‑</w:t>
      </w:r>
      <w:r>
        <w:rPr>
          <w:rFonts w:ascii="Arial" w:cs="Arial" w:eastAsia="Arial" w:hAnsi="Arial"/>
          <w:sz w:val="16"/>
          <w:szCs w:val="16"/>
          <w:color w:val="auto"/>
        </w:rPr>
        <w:t>disciplinary project lead for the review team; and taking other steps to design the clinical trials in an efficient manner.</w:t>
      </w:r>
    </w:p>
    <w:p>
      <w:pPr>
        <w:spacing w:after="0" w:line="166" w:lineRule="exact"/>
        <w:rPr>
          <w:sz w:val="20"/>
          <w:szCs w:val="20"/>
          <w:color w:val="auto"/>
        </w:rPr>
      </w:pPr>
    </w:p>
    <w:p>
      <w:pPr>
        <w:jc w:val="both"/>
        <w:ind w:firstLine="749"/>
        <w:spacing w:after="0" w:line="218" w:lineRule="exact"/>
        <w:rPr>
          <w:sz w:val="20"/>
          <w:szCs w:val="20"/>
          <w:color w:val="auto"/>
        </w:rPr>
      </w:pPr>
      <w:r>
        <w:rPr>
          <w:rFonts w:ascii="Arial" w:cs="Arial" w:eastAsia="Arial" w:hAnsi="Arial"/>
          <w:sz w:val="18"/>
          <w:szCs w:val="18"/>
          <w:color w:val="auto"/>
        </w:rPr>
        <w:t>Third, the FDA may designate a product for priority review if it is a product that treats a serious condition and, if approved, would provide a significant improvement in safety or effectiveness. The FDA determines, on a case</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w:t>
      </w:r>
      <w:r>
        <w:rPr>
          <w:rFonts w:ascii="MS PGothic" w:cs="MS PGothic" w:eastAsia="MS PGothic" w:hAnsi="MS PGothic"/>
          <w:sz w:val="18"/>
          <w:szCs w:val="18"/>
          <w:color w:val="auto"/>
        </w:rPr>
        <w:t>‑</w:t>
      </w:r>
      <w:r>
        <w:rPr>
          <w:rFonts w:ascii="Arial" w:cs="Arial" w:eastAsia="Arial" w:hAnsi="Arial"/>
          <w:sz w:val="18"/>
          <w:szCs w:val="18"/>
          <w:color w:val="auto"/>
        </w:rPr>
        <w: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6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With passage of the 21st Century Cures Act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a regenerative advanced therapy designation include early interactions with FDA to expedite development and review, benefits available to breakthrough therapies, potential eligibility for priority review and accelerated approval based on surrogate or intermediate endpoints.</w:t>
      </w:r>
    </w:p>
    <w:p>
      <w:pPr>
        <w:spacing w:after="0" w:line="166" w:lineRule="exact"/>
        <w:rPr>
          <w:sz w:val="20"/>
          <w:szCs w:val="20"/>
          <w:color w:val="auto"/>
        </w:rPr>
      </w:pPr>
    </w:p>
    <w:p>
      <w:pPr>
        <w:jc w:val="both"/>
        <w:ind w:firstLine="749"/>
        <w:spacing w:after="0" w:line="218" w:lineRule="exact"/>
        <w:rPr>
          <w:sz w:val="20"/>
          <w:szCs w:val="20"/>
          <w:color w:val="auto"/>
        </w:rPr>
      </w:pPr>
      <w:r>
        <w:rPr>
          <w:rFonts w:ascii="Arial" w:cs="Arial" w:eastAsia="Arial" w:hAnsi="Arial"/>
          <w:sz w:val="16"/>
          <w:szCs w:val="16"/>
          <w:color w:val="auto"/>
        </w:rPr>
        <w:t>Finally, the FDA may grant accelerated approval to a product for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 The accelerated approval pathway is usually contingent on a sponsor’s agreement to conduct, in a diligent manner, additional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line="207" w:lineRule="exact"/>
        <w:rPr>
          <w:sz w:val="20"/>
          <w:szCs w:val="20"/>
          <w:color w:val="auto"/>
        </w:rPr>
      </w:pPr>
      <w:r>
        <w:rPr>
          <w:rFonts w:ascii="Arial" w:cs="Arial" w:eastAsia="Arial" w:hAnsi="Arial"/>
          <w:sz w:val="18"/>
          <w:szCs w:val="18"/>
          <w:color w:val="auto"/>
        </w:rPr>
        <w:t>post</w:t>
      </w:r>
      <w:r>
        <w:rPr>
          <w:rFonts w:ascii="MS PGothic" w:cs="MS PGothic" w:eastAsia="MS PGothic" w:hAnsi="MS PGothic"/>
          <w:sz w:val="18"/>
          <w:szCs w:val="18"/>
          <w:color w:val="auto"/>
        </w:rPr>
        <w:t>‑</w:t>
      </w:r>
      <w:r>
        <w:rPr>
          <w:rFonts w:ascii="Arial" w:cs="Arial" w:eastAsia="Arial" w:hAnsi="Arial"/>
          <w:sz w:val="18"/>
          <w:szCs w:val="18"/>
          <w:color w:val="auto"/>
        </w:rPr>
        <w:t>approval confirmatory studies to verify and describe the product’s clinical benefit.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The FDA’s Decision on an NDA</w:t>
      </w:r>
    </w:p>
    <w:p>
      <w:pPr>
        <w:spacing w:after="0" w:line="198"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37"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If the FDA approves a new product, it may limit the approved indications for use of the product.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 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Post-Approval Regulation</w:t>
      </w:r>
    </w:p>
    <w:p>
      <w:pPr>
        <w:spacing w:after="0" w:line="198" w:lineRule="exact"/>
        <w:rPr>
          <w:sz w:val="20"/>
          <w:szCs w:val="20"/>
          <w:color w:val="auto"/>
        </w:rPr>
      </w:pPr>
    </w:p>
    <w:p>
      <w:pPr>
        <w:ind w:right="80" w:firstLine="749"/>
        <w:spacing w:after="0" w:line="290" w:lineRule="auto"/>
        <w:rPr>
          <w:sz w:val="20"/>
          <w:szCs w:val="20"/>
          <w:color w:val="auto"/>
        </w:rPr>
      </w:pPr>
      <w:r>
        <w:rPr>
          <w:rFonts w:ascii="Arial" w:cs="Arial" w:eastAsia="Arial" w:hAnsi="Arial"/>
          <w:sz w:val="16"/>
          <w:szCs w:val="16"/>
          <w:color w:val="auto"/>
        </w:rPr>
        <w:t>If regulatory approval for marketing of a product or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126" w:lineRule="exact"/>
        <w:rPr>
          <w:sz w:val="20"/>
          <w:szCs w:val="20"/>
          <w:color w:val="auto"/>
        </w:rPr>
      </w:pPr>
    </w:p>
    <w:p>
      <w:pPr>
        <w:ind w:right="220" w:firstLine="749"/>
        <w:spacing w:after="0" w:line="276" w:lineRule="auto"/>
        <w:rPr>
          <w:sz w:val="20"/>
          <w:szCs w:val="20"/>
          <w:color w:val="auto"/>
        </w:rPr>
      </w:pPr>
      <w:r>
        <w:rPr>
          <w:rFonts w:ascii="Arial" w:cs="Arial" w:eastAsia="Arial" w:hAnsi="Arial"/>
          <w:sz w:val="17"/>
          <w:szCs w:val="17"/>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32"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161" w:lineRule="exact"/>
        <w:rPr>
          <w:sz w:val="20"/>
          <w:szCs w:val="20"/>
          <w:color w:val="auto"/>
        </w:rPr>
      </w:pPr>
    </w:p>
    <w:p>
      <w:pPr>
        <w:ind w:left="1120" w:hanging="369"/>
        <w:spacing w:after="0"/>
        <w:tabs>
          <w:tab w:leader="none" w:pos="1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96" w:lineRule="exact"/>
        <w:rPr>
          <w:rFonts w:ascii="Arial" w:cs="Arial" w:eastAsia="Arial" w:hAnsi="Arial"/>
          <w:sz w:val="17"/>
          <w:szCs w:val="17"/>
          <w:color w:val="auto"/>
        </w:rPr>
      </w:pPr>
    </w:p>
    <w:p>
      <w:pPr>
        <w:ind w:left="1120" w:hanging="369"/>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84" w:lineRule="exact"/>
        <w:rPr>
          <w:rFonts w:ascii="Arial" w:cs="Arial" w:eastAsia="Arial" w:hAnsi="Arial"/>
          <w:sz w:val="18"/>
          <w:szCs w:val="18"/>
          <w:color w:val="auto"/>
        </w:rPr>
      </w:pPr>
    </w:p>
    <w:p>
      <w:pPr>
        <w:ind w:left="1120" w:right="240" w:hanging="369"/>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29" w:lineRule="exact"/>
        <w:rPr>
          <w:rFonts w:ascii="Arial" w:cs="Arial" w:eastAsia="Arial" w:hAnsi="Arial"/>
          <w:sz w:val="18"/>
          <w:szCs w:val="18"/>
          <w:color w:val="auto"/>
        </w:rPr>
      </w:pPr>
    </w:p>
    <w:p>
      <w:pPr>
        <w:ind w:left="1120" w:hanging="369"/>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84" w:lineRule="exact"/>
        <w:rPr>
          <w:rFonts w:ascii="Arial" w:cs="Arial" w:eastAsia="Arial" w:hAnsi="Arial"/>
          <w:sz w:val="18"/>
          <w:szCs w:val="18"/>
          <w:color w:val="auto"/>
        </w:rPr>
      </w:pPr>
    </w:p>
    <w:p>
      <w:pPr>
        <w:ind w:left="1120" w:hanging="369"/>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right="160" w:firstLine="749"/>
        <w:spacing w:after="0" w:line="270" w:lineRule="auto"/>
        <w:rPr>
          <w:sz w:val="20"/>
          <w:szCs w:val="20"/>
          <w:color w:val="auto"/>
        </w:rPr>
      </w:pPr>
      <w:r>
        <w:rPr>
          <w:rFonts w:ascii="Arial" w:cs="Arial" w:eastAsia="Arial" w:hAnsi="Arial"/>
          <w:sz w:val="17"/>
          <w:szCs w:val="17"/>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141" w:lineRule="exact"/>
        <w:rPr>
          <w:sz w:val="20"/>
          <w:szCs w:val="20"/>
          <w:color w:val="auto"/>
        </w:rPr>
      </w:pPr>
    </w:p>
    <w:p>
      <w:pPr>
        <w:ind w:right="120" w:firstLine="749"/>
        <w:spacing w:after="0" w:line="255" w:lineRule="auto"/>
        <w:rPr>
          <w:sz w:val="20"/>
          <w:szCs w:val="20"/>
          <w:color w:val="auto"/>
        </w:rPr>
      </w:pPr>
      <w:r>
        <w:rPr>
          <w:rFonts w:ascii="Arial" w:cs="Arial" w:eastAsia="Arial" w:hAnsi="Arial"/>
          <w:sz w:val="18"/>
          <w:szCs w:val="18"/>
          <w:color w:val="auto"/>
        </w:rPr>
        <w:t>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66"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and its implementing regulations, as well as the Drug Supply Chain Security Act (“DSCA”), which regulate the distribution and tracing of prescription drug samples at the federal level, and set minimum standards for the regulation of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Section 505(b)(2) NDAs</w:t>
      </w:r>
    </w:p>
    <w:p>
      <w:pPr>
        <w:spacing w:after="0" w:line="185"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applicant for approval of the application “were not conducted by or for the applicant and for which the applicant has not obtained a right of reference or use from the person by or for whom the investigations were conducted.”</w:t>
      </w:r>
    </w:p>
    <w:p>
      <w:pPr>
        <w:spacing w:after="0" w:line="162"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Thus, Section 505(b)(2) authorizes the FDA to approve an NDA based on safety and effectiveness data that were not developed by the applicant. NDAs filed under Section 505(b)(2) may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applicant.</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85"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In 1984, with passage of the Hatch-Waxman Amendments to the FDCA (“Hatch-Waxman Act”), Congress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(“RLD”).</w:t>
      </w:r>
    </w:p>
    <w:p>
      <w:pPr>
        <w:spacing w:after="0" w:line="152"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Specifically, 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ind w:right="120"/>
        <w:spacing w:after="0" w:line="259" w:lineRule="auto"/>
        <w:rPr>
          <w:sz w:val="20"/>
          <w:szCs w:val="20"/>
          <w:color w:val="auto"/>
        </w:rPr>
      </w:pPr>
      <w:r>
        <w:rPr>
          <w:rFonts w:ascii="Arial" w:cs="Arial" w:eastAsia="Arial" w:hAnsi="Arial"/>
          <w:sz w:val="18"/>
          <w:szCs w:val="18"/>
          <w:color w:val="auto"/>
        </w:rPr>
        <w:t>“therapeutically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46"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Under the Hatch-Waxman Act,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51"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37" w:lineRule="exact"/>
        <w:rPr>
          <w:sz w:val="20"/>
          <w:szCs w:val="20"/>
          <w:color w:val="auto"/>
        </w:rPr>
      </w:pPr>
    </w:p>
    <w:p>
      <w:pPr>
        <w:ind w:right="80" w:firstLine="749"/>
        <w:spacing w:after="0" w:line="302" w:lineRule="auto"/>
        <w:rPr>
          <w:sz w:val="20"/>
          <w:szCs w:val="20"/>
          <w:color w:val="auto"/>
        </w:rPr>
      </w:pPr>
      <w:r>
        <w:rPr>
          <w:rFonts w:ascii="Arial" w:cs="Arial" w:eastAsia="Arial" w:hAnsi="Arial"/>
          <w:sz w:val="16"/>
          <w:szCs w:val="16"/>
          <w:color w:val="auto"/>
        </w:rPr>
        <w:t>The FDA must establish a priority review track for certain generic drugs, requiring the FDA to review a drug application within eight (8) months for a drug that has three (3) or fewer approved drugs listed in the Orange Book and is no longer protected by any patent or regulatory exclusivities, or is on the FDA’s drug shortage list. The new legislation also authorizes FDA to expedite review of ‘‘competitor generic therapies’’ or drugs with inadequate generic competition, including holding meetings with or providing advice to the drug sponsor prior to submission of the application.</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198" w:lineRule="exact"/>
        <w:rPr>
          <w:sz w:val="20"/>
          <w:szCs w:val="20"/>
          <w:color w:val="auto"/>
        </w:rPr>
      </w:pPr>
    </w:p>
    <w:p>
      <w:pPr>
        <w:ind w:right="80" w:firstLine="749"/>
        <w:spacing w:after="0" w:line="273"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185" w:lineRule="exact"/>
        <w:rPr>
          <w:sz w:val="20"/>
          <w:szCs w:val="20"/>
          <w:color w:val="auto"/>
        </w:rPr>
      </w:pPr>
    </w:p>
    <w:p>
      <w:pPr>
        <w:ind w:left="1520" w:hanging="763"/>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98" w:lineRule="exact"/>
        <w:rPr>
          <w:rFonts w:ascii="Arial" w:cs="Arial" w:eastAsia="Arial" w:hAnsi="Arial"/>
          <w:sz w:val="18"/>
          <w:szCs w:val="18"/>
          <w:color w:val="auto"/>
        </w:rPr>
      </w:pPr>
    </w:p>
    <w:p>
      <w:pPr>
        <w:ind w:left="1520" w:hanging="763"/>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184" w:lineRule="exact"/>
        <w:rPr>
          <w:rFonts w:ascii="Arial" w:cs="Arial" w:eastAsia="Arial" w:hAnsi="Arial"/>
          <w:sz w:val="18"/>
          <w:szCs w:val="18"/>
          <w:color w:val="auto"/>
        </w:rPr>
      </w:pPr>
    </w:p>
    <w:p>
      <w:pPr>
        <w:ind w:left="1520" w:hanging="763"/>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84" w:lineRule="exact"/>
        <w:rPr>
          <w:rFonts w:ascii="Arial" w:cs="Arial" w:eastAsia="Arial" w:hAnsi="Arial"/>
          <w:sz w:val="18"/>
          <w:szCs w:val="18"/>
          <w:color w:val="auto"/>
        </w:rPr>
      </w:pPr>
    </w:p>
    <w:p>
      <w:pPr>
        <w:ind w:left="1520" w:hanging="763"/>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198" w:lineRule="exact"/>
        <w:rPr>
          <w:sz w:val="20"/>
          <w:szCs w:val="20"/>
          <w:color w:val="auto"/>
        </w:rPr>
      </w:pPr>
    </w:p>
    <w:p>
      <w:pPr>
        <w:jc w:val="both"/>
        <w:ind w:right="120" w:firstLine="749"/>
        <w:spacing w:after="0" w:line="259"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application will not be approved until all the listed patents claiming the referenced product have expired (other than method of use patents involving indications for which the applicant is not seeking approval).</w:t>
      </w:r>
    </w:p>
    <w:p>
      <w:pPr>
        <w:spacing w:after="0" w:line="146" w:lineRule="exact"/>
        <w:rPr>
          <w:sz w:val="20"/>
          <w:szCs w:val="20"/>
          <w:color w:val="auto"/>
        </w:rPr>
      </w:pPr>
    </w:p>
    <w:p>
      <w:pPr>
        <w:ind w:right="60" w:firstLine="749"/>
        <w:spacing w:after="0" w:line="276" w:lineRule="auto"/>
        <w:rPr>
          <w:sz w:val="20"/>
          <w:szCs w:val="20"/>
          <w:color w:val="auto"/>
        </w:rPr>
      </w:pPr>
      <w:r>
        <w:rPr>
          <w:rFonts w:ascii="Arial" w:cs="Arial" w:eastAsia="Arial" w:hAnsi="Arial"/>
          <w:sz w:val="17"/>
          <w:szCs w:val="17"/>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ind w:right="100" w:firstLine="749"/>
        <w:spacing w:after="0" w:line="255" w:lineRule="auto"/>
        <w:rPr>
          <w:sz w:val="20"/>
          <w:szCs w:val="20"/>
          <w:color w:val="auto"/>
        </w:rPr>
      </w:pPr>
      <w:r>
        <w:rPr>
          <w:rFonts w:ascii="Arial" w:cs="Arial" w:eastAsia="Arial" w:hAnsi="Arial"/>
          <w:sz w:val="18"/>
          <w:szCs w:val="18"/>
          <w:color w:val="auto"/>
        </w:rPr>
        <w:t>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98" w:lineRule="exact"/>
        <w:rPr>
          <w:sz w:val="20"/>
          <w:szCs w:val="20"/>
          <w:color w:val="auto"/>
        </w:rPr>
      </w:pPr>
    </w:p>
    <w:p>
      <w:pPr>
        <w:ind w:right="100" w:firstLine="749"/>
        <w:spacing w:after="0" w:line="271" w:lineRule="auto"/>
        <w:rPr>
          <w:sz w:val="20"/>
          <w:szCs w:val="20"/>
          <w:color w:val="auto"/>
        </w:rPr>
      </w:pPr>
      <w:r>
        <w:rPr>
          <w:rFonts w:ascii="Arial" w:cs="Arial" w:eastAsia="Arial" w:hAnsi="Arial"/>
          <w:sz w:val="17"/>
          <w:szCs w:val="17"/>
          <w:color w:val="auto"/>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185"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160" w:lineRule="exact"/>
        <w:rPr>
          <w:sz w:val="20"/>
          <w:szCs w:val="20"/>
          <w:color w:val="auto"/>
        </w:rPr>
      </w:pPr>
    </w:p>
    <w:p>
      <w:pPr>
        <w:ind w:left="1120" w:right="60" w:hanging="369"/>
        <w:spacing w:after="0" w:line="259"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146" w:lineRule="exact"/>
        <w:rPr>
          <w:rFonts w:ascii="Arial" w:cs="Arial" w:eastAsia="Arial" w:hAnsi="Arial"/>
          <w:sz w:val="18"/>
          <w:szCs w:val="18"/>
          <w:color w:val="auto"/>
        </w:rPr>
      </w:pPr>
    </w:p>
    <w:p>
      <w:pPr>
        <w:ind w:left="1120" w:right="340" w:hanging="369"/>
        <w:spacing w:after="0" w:line="259"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46" w:lineRule="exact"/>
        <w:rPr>
          <w:rFonts w:ascii="Arial" w:cs="Arial" w:eastAsia="Arial" w:hAnsi="Arial"/>
          <w:sz w:val="18"/>
          <w:szCs w:val="18"/>
          <w:color w:val="auto"/>
        </w:rPr>
      </w:pPr>
    </w:p>
    <w:p>
      <w:pPr>
        <w:ind w:left="1120" w:right="540" w:hanging="369"/>
        <w:spacing w:after="0" w:line="264"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140" w:lineRule="exact"/>
        <w:rPr>
          <w:rFonts w:ascii="Arial" w:cs="Arial" w:eastAsia="Arial" w:hAnsi="Arial"/>
          <w:sz w:val="18"/>
          <w:szCs w:val="18"/>
          <w:color w:val="auto"/>
        </w:rPr>
      </w:pPr>
    </w:p>
    <w:p>
      <w:pPr>
        <w:ind w:left="1120" w:right="160" w:hanging="369"/>
        <w:spacing w:after="0" w:line="286" w:lineRule="auto"/>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25" w:lineRule="exact"/>
        <w:rPr>
          <w:rFonts w:ascii="Arial" w:cs="Arial" w:eastAsia="Arial" w:hAnsi="Arial"/>
          <w:sz w:val="17"/>
          <w:szCs w:val="17"/>
          <w:color w:val="auto"/>
        </w:rPr>
      </w:pPr>
    </w:p>
    <w:p>
      <w:pPr>
        <w:ind w:left="1120" w:right="220" w:hanging="369"/>
        <w:spacing w:after="0" w:line="308" w:lineRule="auto"/>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06" w:lineRule="exact"/>
        <w:rPr>
          <w:rFonts w:ascii="Arial" w:cs="Arial" w:eastAsia="Arial" w:hAnsi="Arial"/>
          <w:sz w:val="17"/>
          <w:szCs w:val="17"/>
          <w:color w:val="auto"/>
        </w:rPr>
      </w:pPr>
    </w:p>
    <w:p>
      <w:pPr>
        <w:ind w:left="1120" w:hanging="369"/>
        <w:spacing w:after="0" w:line="297"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the Affordable Care Act, which requires certain manufacturers of drugs, devices, biologics and medical supplies to report annually to the Centers for Medicare &amp; Medicaid Services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17" w:lineRule="exact"/>
        <w:rPr>
          <w:rFonts w:ascii="Arial" w:cs="Arial" w:eastAsia="Arial" w:hAnsi="Arial"/>
          <w:sz w:val="16"/>
          <w:szCs w:val="16"/>
          <w:color w:val="auto"/>
        </w:rPr>
      </w:pPr>
    </w:p>
    <w:p>
      <w:pPr>
        <w:ind w:left="1120" w:right="240" w:hanging="369"/>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ind w:right="40" w:firstLine="794"/>
        <w:spacing w:after="0" w:line="302"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14" w:lineRule="exact"/>
        <w:rPr>
          <w:sz w:val="20"/>
          <w:szCs w:val="20"/>
          <w:color w:val="auto"/>
        </w:rPr>
      </w:pPr>
    </w:p>
    <w:p>
      <w:pPr>
        <w:ind w:right="60" w:firstLine="749"/>
        <w:spacing w:after="0" w:line="276" w:lineRule="auto"/>
        <w:rPr>
          <w:sz w:val="20"/>
          <w:szCs w:val="20"/>
          <w:color w:val="auto"/>
        </w:rPr>
      </w:pPr>
      <w:r>
        <w:rPr>
          <w:rFonts w:ascii="Arial" w:cs="Arial" w:eastAsia="Arial" w:hAnsi="Arial"/>
          <w:sz w:val="17"/>
          <w:szCs w:val="17"/>
          <w:color w:val="auto"/>
        </w:rPr>
        <w:t>Finally, based on the conduct of some of our clinical trials overseas, we are also subject to the Foreign Corrupt Practices Act that prohibits payments to foreign public officials relating to official acts. In addition to its prohibition on bribery of foreign government officials, the Act requires companies to maintain accurate records and have vigorous internal controls. The DOJ and SEC have made FCPA enforcement a high priority. In addition, other anti-corruption laws such as the UK Bribery Act are even broader than the FCPA in that they apply to bribes offered to any person, not just government officials. There are significant criminal and civil penalties and fines that attach to violations of the FCPA.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185" w:lineRule="exact"/>
        <w:rPr>
          <w:sz w:val="20"/>
          <w:szCs w:val="20"/>
          <w:color w:val="auto"/>
        </w:rPr>
      </w:pPr>
    </w:p>
    <w:p>
      <w:pPr>
        <w:ind w:right="40" w:firstLine="749"/>
        <w:spacing w:after="0" w:line="289" w:lineRule="auto"/>
        <w:rPr>
          <w:sz w:val="20"/>
          <w:szCs w:val="20"/>
          <w:color w:val="auto"/>
        </w:rPr>
      </w:pPr>
      <w:r>
        <w:rPr>
          <w:rFonts w:ascii="Arial" w:cs="Arial" w:eastAsia="Arial" w:hAnsi="Arial"/>
          <w:sz w:val="16"/>
          <w:szCs w:val="16"/>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26"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51"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49" w:lineRule="exact"/>
        <w:rPr>
          <w:sz w:val="20"/>
          <w:szCs w:val="20"/>
          <w:color w:val="auto"/>
        </w:rPr>
      </w:pPr>
    </w:p>
    <w:p>
      <w:pPr>
        <w:ind w:firstLine="749"/>
        <w:spacing w:after="0" w:line="297" w:lineRule="auto"/>
        <w:rPr>
          <w:sz w:val="20"/>
          <w:szCs w:val="20"/>
          <w:color w:val="auto"/>
        </w:rPr>
      </w:pPr>
      <w:r>
        <w:rPr>
          <w:rFonts w:ascii="Arial" w:cs="Arial" w:eastAsia="Arial" w:hAnsi="Arial"/>
          <w:sz w:val="16"/>
          <w:szCs w:val="16"/>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 In March 2010, the Patient Protection and Affordable Care Act, as amended by the Health Care and Education Reconciliation Act (collectively, the “ACA”) was enacted, which includes measures that have significantly changed health care financing by both governmental and private insurers. The provisions of the ACA of importance to the pharmaceutical and biotechnology industry are, among others, the following:</w:t>
      </w:r>
    </w:p>
    <w:p>
      <w:pPr>
        <w:spacing w:after="0" w:line="118" w:lineRule="exact"/>
        <w:rPr>
          <w:sz w:val="20"/>
          <w:szCs w:val="20"/>
          <w:color w:val="auto"/>
        </w:rPr>
      </w:pPr>
    </w:p>
    <w:p>
      <w:pPr>
        <w:ind w:left="1120" w:right="140" w:hanging="369"/>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 agents or biologic agents, which is apportioned among these entities according to their market share in certain government health care programs;</w:t>
      </w:r>
    </w:p>
    <w:p>
      <w:pPr>
        <w:spacing w:after="0" w:line="129" w:lineRule="exact"/>
        <w:rPr>
          <w:rFonts w:ascii="Arial" w:cs="Arial" w:eastAsia="Arial" w:hAnsi="Arial"/>
          <w:sz w:val="18"/>
          <w:szCs w:val="18"/>
          <w:color w:val="auto"/>
        </w:rPr>
      </w:pPr>
    </w:p>
    <w:p>
      <w:pPr>
        <w:ind w:left="1120" w:right="140" w:hanging="369"/>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the rebates a manufacturer must pay under the Medicaid Drug Rebate Program to 23.1% and 13% of the average manufacturer price for branded and generic drugs, respectively;</w:t>
      </w:r>
    </w:p>
    <w:p>
      <w:pPr>
        <w:spacing w:after="0" w:line="129" w:lineRule="exact"/>
        <w:rPr>
          <w:rFonts w:ascii="Arial" w:cs="Arial" w:eastAsia="Arial" w:hAnsi="Arial"/>
          <w:sz w:val="18"/>
          <w:szCs w:val="18"/>
          <w:color w:val="auto"/>
        </w:rPr>
      </w:pPr>
    </w:p>
    <w:p>
      <w:pPr>
        <w:ind w:left="1120" w:right="80" w:hanging="369"/>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to negotiated prices of applicable brand drugs to eligible beneficiaries during their coverage gap period, as a</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ind w:left="1120"/>
        <w:spacing w:after="0"/>
        <w:rPr>
          <w:sz w:val="20"/>
          <w:szCs w:val="20"/>
          <w:color w:val="auto"/>
        </w:rPr>
      </w:pPr>
      <w:r>
        <w:rPr>
          <w:rFonts w:ascii="Arial" w:cs="Arial" w:eastAsia="Arial" w:hAnsi="Arial"/>
          <w:sz w:val="18"/>
          <w:szCs w:val="18"/>
          <w:color w:val="auto"/>
        </w:rPr>
        <w:t>condition for the manufacturer’s outpatient drugs to be covered under Medicare Part D;</w:t>
      </w:r>
    </w:p>
    <w:p>
      <w:pPr>
        <w:spacing w:after="0" w:line="185" w:lineRule="exact"/>
        <w:rPr>
          <w:sz w:val="20"/>
          <w:szCs w:val="20"/>
          <w:color w:val="auto"/>
        </w:rPr>
      </w:pPr>
    </w:p>
    <w:p>
      <w:pPr>
        <w:ind w:left="1120" w:right="200" w:hanging="369"/>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unless the drug is subject to discounts under the 340B drug discount program;</w:t>
      </w:r>
    </w:p>
    <w:p>
      <w:pPr>
        <w:spacing w:after="0" w:line="129" w:lineRule="exact"/>
        <w:rPr>
          <w:rFonts w:ascii="Arial" w:cs="Arial" w:eastAsia="Arial" w:hAnsi="Arial"/>
          <w:sz w:val="18"/>
          <w:szCs w:val="18"/>
          <w:color w:val="auto"/>
        </w:rPr>
      </w:pPr>
    </w:p>
    <w:p>
      <w:pPr>
        <w:ind w:left="1120" w:right="460" w:hanging="369"/>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29" w:lineRule="exact"/>
        <w:rPr>
          <w:rFonts w:ascii="Arial" w:cs="Arial" w:eastAsia="Arial" w:hAnsi="Arial"/>
          <w:sz w:val="18"/>
          <w:szCs w:val="18"/>
          <w:color w:val="auto"/>
        </w:rPr>
      </w:pPr>
    </w:p>
    <w:p>
      <w:pPr>
        <w:ind w:left="1120" w:right="220" w:hanging="369"/>
        <w:spacing w:after="0" w:line="264"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140" w:lineRule="exact"/>
        <w:rPr>
          <w:rFonts w:ascii="Arial" w:cs="Arial" w:eastAsia="Arial" w:hAnsi="Arial"/>
          <w:sz w:val="18"/>
          <w:szCs w:val="18"/>
          <w:color w:val="auto"/>
        </w:rPr>
      </w:pPr>
    </w:p>
    <w:p>
      <w:pPr>
        <w:ind w:left="1120" w:hanging="36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84" w:lineRule="exact"/>
        <w:rPr>
          <w:rFonts w:ascii="Arial" w:cs="Arial" w:eastAsia="Arial" w:hAnsi="Arial"/>
          <w:sz w:val="18"/>
          <w:szCs w:val="18"/>
          <w:color w:val="auto"/>
        </w:rPr>
      </w:pPr>
    </w:p>
    <w:p>
      <w:pPr>
        <w:jc w:val="both"/>
        <w:ind w:left="1120" w:right="200" w:hanging="369"/>
        <w:spacing w:after="0" w:line="264"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requirements under the federal Physician Payments Sunshine Act for drug manufacturers to report information related to payments and other transfers of value made to physicians and teaching hospitals as well as ownership or investment interests held by physicians and their immediate family members;</w:t>
      </w:r>
    </w:p>
    <w:p>
      <w:pPr>
        <w:spacing w:after="0" w:line="140" w:lineRule="exact"/>
        <w:rPr>
          <w:rFonts w:ascii="Arial" w:cs="Arial" w:eastAsia="Arial" w:hAnsi="Arial"/>
          <w:sz w:val="18"/>
          <w:szCs w:val="18"/>
          <w:color w:val="auto"/>
        </w:rPr>
      </w:pPr>
    </w:p>
    <w:p>
      <w:pPr>
        <w:ind w:left="1120" w:right="20" w:hanging="369"/>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29" w:lineRule="exact"/>
        <w:rPr>
          <w:rFonts w:ascii="Arial" w:cs="Arial" w:eastAsia="Arial" w:hAnsi="Arial"/>
          <w:sz w:val="18"/>
          <w:szCs w:val="18"/>
          <w:color w:val="auto"/>
        </w:rPr>
      </w:pPr>
    </w:p>
    <w:p>
      <w:pPr>
        <w:ind w:left="1120" w:right="20" w:hanging="369"/>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if and when impaneled, will have authority to recommend certain changes to the Medicare program that could result in reduced payments for prescription drugs; and</w:t>
      </w:r>
    </w:p>
    <w:p>
      <w:pPr>
        <w:spacing w:after="0" w:line="129" w:lineRule="exact"/>
        <w:rPr>
          <w:rFonts w:ascii="Arial" w:cs="Arial" w:eastAsia="Arial" w:hAnsi="Arial"/>
          <w:sz w:val="18"/>
          <w:szCs w:val="18"/>
          <w:color w:val="auto"/>
        </w:rPr>
      </w:pPr>
    </w:p>
    <w:p>
      <w:pPr>
        <w:ind w:left="1120" w:right="340" w:hanging="369"/>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CMS to test innovative payment and service delivery models to lower Medicare and Medicaid spending, potentially including prescription drug spending.</w:t>
      </w:r>
    </w:p>
    <w:p>
      <w:pPr>
        <w:spacing w:after="0" w:line="130"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Other legislative changes have been proposed and adopted since the ACA was enacted. These changes include the Budget Control Act of 2011, which, among other things, led to aggregate reductions to Medicare payments to providers of up to 2% per fiscal year that started in 2013 and will stay in effect through 2024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41" w:lineRule="exact"/>
        <w:rPr>
          <w:sz w:val="20"/>
          <w:szCs w:val="20"/>
          <w:color w:val="auto"/>
        </w:rPr>
      </w:pPr>
    </w:p>
    <w:p>
      <w:pPr>
        <w:ind w:right="100" w:firstLine="749"/>
        <w:spacing w:after="0" w:line="288" w:lineRule="auto"/>
        <w:rPr>
          <w:sz w:val="20"/>
          <w:szCs w:val="20"/>
          <w:color w:val="auto"/>
        </w:rPr>
      </w:pPr>
      <w:r>
        <w:rPr>
          <w:rFonts w:ascii="Arial" w:cs="Arial" w:eastAsia="Arial" w:hAnsi="Arial"/>
          <w:sz w:val="16"/>
          <w:szCs w:val="16"/>
          <w:color w:val="auto"/>
        </w:rPr>
        <w:t>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for any approved product and/or the level of reimbursement physicians receive for administering any approved product. Reductions in reimbursement levels may negatively impact the prices or the frequency with which products are prescribed or administered. Any reduction in reimbursement from Medicare or other government programs may result in a similar reduction in payments from private payors. Since enactment of the ACA, there have been numerous legal challenges and Congressional actions to repeal and replace provisions of the law. In May 2017, the U.S. House of Representatives passed legislation known as the American Health Care Act of 2017. Thereafter, the Senate Republicans introduced and then updated a bill to replace the ACA known as the Better Care Reconciliation Act of 2017. The Senate Republicans also introduced legislation to repeal the ACA without companion legislation to replace it, and a “skinny” version of the Better Care Reconciliation Act of 2017. In addition, the Senate considered proposed healthcare reform legislation known as the Graham-Cassidy bill. None of these measures was passed by the U.S. Senate.</w:t>
      </w:r>
    </w:p>
    <w:p>
      <w:pPr>
        <w:spacing w:after="0" w:line="142"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ACA. In January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ACA exchanges. At the same time, the Administration announced that it will discontinue the payment of cost-sharing reduction (CSR) payments to insurance companies until Congress approves the appropriation of funds for such CSR payments. The loss of the CSR payments is expected to increase premiums on certain policies issued by qualified health plans under the ACA. A bipartisan bill to appropriate funds for CSR payments was introduced in the Senate, but the future of that bill is uncertain.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6" w:name="page27"/>
    <w:bookmarkEnd w:id="26"/>
    <w:p>
      <w:pPr>
        <w:ind w:right="40" w:firstLine="749"/>
        <w:spacing w:after="0" w:line="291" w:lineRule="auto"/>
        <w:rPr>
          <w:sz w:val="20"/>
          <w:szCs w:val="20"/>
          <w:color w:val="auto"/>
        </w:rPr>
      </w:pPr>
      <w:r>
        <w:rPr>
          <w:rFonts w:ascii="Arial" w:cs="Arial" w:eastAsia="Arial" w:hAnsi="Arial"/>
          <w:sz w:val="16"/>
          <w:szCs w:val="16"/>
          <w:color w:val="auto"/>
        </w:rPr>
        <w:t>More recently, with enactment of the Tax Cuts and Jobs Act of 2017,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The Congress will likely consider other legislation to replace elements of the ACA, during the next Congressional session.</w:t>
      </w:r>
    </w:p>
    <w:p>
      <w:pPr>
        <w:spacing w:after="0" w:line="127"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Further,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Foreign Regulation</w:t>
      </w:r>
    </w:p>
    <w:p>
      <w:pPr>
        <w:spacing w:after="0" w:line="185"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In addition to regulations in the United States, we are subject to a variety of foreign regulations governing clinical trials and may become subject to additional foreign regulations pertaining to commercial sales and distribution of our drug candidates to the extent we choose to clinically evaluate or sell any products outside of the United States.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for sale outside the United States.</w:t>
      </w:r>
    </w:p>
    <w:p>
      <w:pPr>
        <w:spacing w:after="0" w:line="127" w:lineRule="exact"/>
        <w:rPr>
          <w:sz w:val="20"/>
          <w:szCs w:val="20"/>
          <w:color w:val="auto"/>
        </w:rPr>
      </w:pPr>
    </w:p>
    <w:p>
      <w:pPr>
        <w:ind w:firstLine="1193"/>
        <w:spacing w:after="0" w:line="254" w:lineRule="auto"/>
        <w:rPr>
          <w:sz w:val="20"/>
          <w:szCs w:val="20"/>
          <w:color w:val="auto"/>
        </w:rPr>
      </w:pPr>
      <w:r>
        <w:rPr>
          <w:rFonts w:ascii="Arial" w:cs="Arial" w:eastAsia="Arial" w:hAnsi="Arial"/>
          <w:sz w:val="18"/>
          <w:szCs w:val="18"/>
          <w:color w:val="auto"/>
        </w:rPr>
        <w:t>On June 23, 2016, the electorate in the United Kingdom voted in favor of leaving the European Union (“EU”) (commonly referred to as “Brexit”). Thereafter, on March 29, 2017, the country formally notified the EU of its intention to withdraw pursuant to Article 50 of the Lisbon Treaty. The withdrawal of the United Kingdom from the EU will take effect either on the effective date of the withdrawal agreement or, in the absence of agreement, two years after the United Kingdom provides a notice of withdrawal pursuant to the EU Treaty.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As of December 31, 2018, we had 52 employees, of which at least 20 hold graduate degrees (including 15 doctorate degrees) and 31 are engaged in full-time research and development activities.</w:t>
      </w:r>
    </w:p>
    <w:p>
      <w:pPr>
        <w:spacing w:after="0" w:line="62" w:lineRule="exact"/>
        <w:rPr>
          <w:sz w:val="20"/>
          <w:szCs w:val="20"/>
          <w:color w:val="auto"/>
        </w:rPr>
      </w:pPr>
    </w:p>
    <w:p>
      <w:pPr>
        <w:ind w:right="40" w:firstLine="509"/>
        <w:spacing w:after="0" w:line="302" w:lineRule="auto"/>
        <w:rPr>
          <w:sz w:val="20"/>
          <w:szCs w:val="20"/>
          <w:color w:val="auto"/>
        </w:rPr>
      </w:pPr>
      <w:r>
        <w:rPr>
          <w:rFonts w:ascii="Arial" w:cs="Arial" w:eastAsia="Arial" w:hAnsi="Arial"/>
          <w:sz w:val="16"/>
          <w:szCs w:val="16"/>
          <w:color w:val="auto"/>
        </w:rPr>
        <w:t>On December 11, 2018, we initiated a corporate restructuring to align with a strategic decision to continue the development of our drug candidates using external resources rather than internal resources (the “Restructuring”). The Restructuring will allow us to reduce costs while continuing to conduct clinical trials, to support existing partnerships that are advancing development of additional assets, and to pursue new licensing and partnership opportunities. The Restructuring includes a reduction in our workforce affecting approximately 65% of our employees, as of December 31, 2018.</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 of our employees are represented by a labor union, and we consider our employee relations to be good.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were incorporated under the laws of the State of Delaware in 2015. Our principal executive offices are located at 4170 Mendenhall Oaks Pkwy, High Point, NC 27265, and our telephone number is (336) 841-0300. We also maintain a corporate website, www.vtvtherapeutics.com, where stockholders and other interested persons may review, without charge, among other things, corporate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ind w:right="220"/>
        <w:spacing w:after="0" w:line="277" w:lineRule="auto"/>
        <w:rPr>
          <w:sz w:val="20"/>
          <w:szCs w:val="20"/>
          <w:color w:val="auto"/>
        </w:rPr>
      </w:pPr>
      <w:r>
        <w:rPr>
          <w:rFonts w:ascii="Arial" w:cs="Arial" w:eastAsia="Arial" w:hAnsi="Arial"/>
          <w:sz w:val="18"/>
          <w:szCs w:val="18"/>
          <w:color w:val="auto"/>
        </w:rPr>
        <w:t xml:space="preserve">governance materials and certain SEC filings, which are generally available on the same business day as the filing date with the SEC on the SEC’s website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The contents of our website are not made a part of this Annual Report on Form 10-K.</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Financial Position and Need for Additional Capital</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incur continued losses for the foreseeable future. We may never achieve or maintain profitability.</w:t>
      </w:r>
    </w:p>
    <w:p>
      <w:pPr>
        <w:spacing w:after="0" w:line="62"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 xml:space="preserve">We are a clinical-stage biopharmaceutical company with limited operating history. We have never been profitable and do not expect to be profitable in the foreseeable future. We have incurred net losses in each year since beginning to develop our drug candidates, including net losses of approximately $8.7 million, $16.1 million and $16.4 million for the years ended December 31, 2018, 2017 and 2016, respectively. As of December 31, 2018, we had a total accumulated deficit of approximately $233.9 million. In addition, we have not commercialized any products and have never generated any revenue from the commercialization of any product. We have devoted most of our financial resources to research and development, including our preclinical development activities and clinical trials. We expect to incur significant additional operating losses for the next several years, at least, as we conduct our research and development activities, advance drug candidates through clinical development, complete clinical trials, seek regulatory approval and, if we receive FDA approval, commercialize our products. Furthermore, the costs of advancing drugs into each succeeding clinical phase tend to increase substantially over time. The total costs to advance any of our drug candidates to marketing approval in even a single jurisdiction would be substantial. Because of the numerous risks and uncertainties associated with pharmaceutical product development, we are unable to accurately predict the timing or amount of increased expenses or when, or if, we will be able to begin generating revenue from the commercialization of products or achieve or maintain profitability. We expect to continue to incur significant additional expenses as we continue the development of </w:t>
      </w:r>
      <w:r>
        <w:rPr>
          <w:rFonts w:ascii="Arial" w:cs="Arial" w:eastAsia="Arial" w:hAnsi="Arial"/>
          <w:sz w:val="16"/>
          <w:szCs w:val="16"/>
          <w:i w:val="1"/>
          <w:iCs w:val="1"/>
          <w:color w:val="auto"/>
        </w:rPr>
        <w:t>azeliragon</w:t>
      </w:r>
      <w:r>
        <w:rPr>
          <w:rFonts w:ascii="Arial" w:cs="Arial" w:eastAsia="Arial" w:hAnsi="Arial"/>
          <w:sz w:val="16"/>
          <w:szCs w:val="16"/>
          <w:color w:val="auto"/>
        </w:rPr>
        <w:t>, advance our other drug candidates and expand our research and development programs. Furthermore, our ability to successfully develop, commercialize and license our products and generate product revenue is subject to substantial additional risks and uncertainties, as described under “—Risks Relating to the Discovery, Development and Regulatory Approval of Our Drug Candidates” and “—Risks Relating to the Commercialization of Our Drug Candidates.” As a result, we expect to continue to incur net losses and negative cash flows for the foreseeable future. These net losses and negative cash flows have had, and will continue to have, an adverse effect on our stockholders’ equity and working capital. The amount of our future net losses will depend, in part, on the rate of future growth of our expenses and our ability to generate revenues. In addition, we may not be able to enter into any collaborations that will generate significant cash. If we are unable to develop and commercialize one or more of our drug candidates either alone or with collaborators, or if revenues from any drug candidate that receives marketing approval are insufficient, we will not achieve profitability. Even if we do achieve profitability, we may not be able to sustain or increase profitability. If we are unable to achieve and then maintain profitability, the value of our equity securities will be materially and adversely affected.</w:t>
      </w:r>
    </w:p>
    <w:p>
      <w:pPr>
        <w:spacing w:after="0" w:line="290"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Currently, we have no products approved for commercial sale, and to date we have not generated any revenue from product sales. As a result, our ability to generate revenue from products, curtail our losses and reach profitability is unproven, and we may never generate substantial product revenue.</w:t>
      </w:r>
    </w:p>
    <w:p>
      <w:pPr>
        <w:spacing w:after="0" w:line="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have no products approved for commercialization and have never generated any revenue from the commercialization of any product. Our ability to generate revenue and achieve profitability depends on our ability, alone or with strategic collaboration partners, to successfully complete the development of, and obtain the regulatory and marketing approvals necessary to commercialize one or more of our product candidates. We do not anticipate generating revenue from product sales for several years. Our ability to generate future revenue from product sales depends heavily on our success in many areas, including but not limited to:</w:t>
      </w:r>
    </w:p>
    <w:p>
      <w:pPr>
        <w:spacing w:after="0" w:line="80"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completing research and nonclinical and clinical development of our product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regulatory and marketing approvals for product candidates for which we complete clinical studies;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collaborations for the development of certain of our drug candidates;</w:t>
      </w:r>
    </w:p>
    <w:p>
      <w:pPr>
        <w:spacing w:after="0" w:line="117"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spacing w:after="0" w:line="62" w:lineRule="exact"/>
        <w:rPr>
          <w:rFonts w:ascii="Arial" w:cs="Arial" w:eastAsia="Arial" w:hAnsi="Arial"/>
          <w:sz w:val="18"/>
          <w:szCs w:val="18"/>
          <w:color w:val="auto"/>
        </w:rPr>
      </w:pPr>
    </w:p>
    <w:p>
      <w:pPr>
        <w:ind w:left="500" w:right="280" w:hanging="49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either directly or with a collaborator or distributor;</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favorable formulary placement with government and third party payors that allows for favorable reimbursement;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8" w:name="page29"/>
    <w:bookmarkEnd w:id="28"/>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8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We will need additional capital to complete the development and commercialization of azeliragon and our other drug candidates, and there is a substantial doubt about our ability to continue as a going concern. If we are unable to raise sufficient capital for these purposes, we would be forced to delay, reduce or eliminate our product development programs.</w:t>
      </w:r>
    </w:p>
    <w:p>
      <w:pPr>
        <w:spacing w:after="0" w:line="73"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 xml:space="preserve">Developing pharmaceutical products, including conducting preclinical studies and clinical trials, is expensive. We expect to continue to incur significant research and development expenses in connection with our ongoing activities, particularly as we undertake additional clinical trials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and our other drug candidates and continue to work on our other research programs. Our current capital will not be sufficient for us to complete the development of our drug candidates. As such, we will need to raise additional capital to fund continuing drug development including to finance the adaptive Phase 2/3 trial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for the treatment of mild-AD in patients with type 2 diabetes, the future development of our other drug candidates, the portion of the clinical trial costs imposed upon us by the Huadong License Agreement and the JDRF Agreement for </w:t>
      </w:r>
      <w:r>
        <w:rPr>
          <w:rFonts w:ascii="Arial" w:cs="Arial" w:eastAsia="Arial" w:hAnsi="Arial"/>
          <w:sz w:val="16"/>
          <w:szCs w:val="16"/>
          <w:i w:val="1"/>
          <w:iCs w:val="1"/>
          <w:color w:val="auto"/>
        </w:rPr>
        <w:t>TTP273</w:t>
      </w:r>
      <w:r>
        <w:rPr>
          <w:rFonts w:ascii="Arial" w:cs="Arial" w:eastAsia="Arial" w:hAnsi="Arial"/>
          <w:sz w:val="16"/>
          <w:szCs w:val="16"/>
          <w:color w:val="auto"/>
        </w:rPr>
        <w:t xml:space="preserve"> and </w:t>
      </w:r>
      <w:r>
        <w:rPr>
          <w:rFonts w:ascii="Arial" w:cs="Arial" w:eastAsia="Arial" w:hAnsi="Arial"/>
          <w:sz w:val="16"/>
          <w:szCs w:val="16"/>
          <w:i w:val="1"/>
          <w:iCs w:val="1"/>
          <w:color w:val="auto"/>
        </w:rPr>
        <w:t>TTP399</w:t>
      </w:r>
      <w:r>
        <w:rPr>
          <w:rFonts w:ascii="Arial" w:cs="Arial" w:eastAsia="Arial" w:hAnsi="Arial"/>
          <w:sz w:val="16"/>
          <w:szCs w:val="16"/>
          <w:color w:val="auto"/>
        </w:rPr>
        <w:t xml:space="preserve">, respectively, and prior to the commercialization of any of our drug candidates. We are seeking possible additional partnering opportunities for our GKA, GLP-1r and other drug candidates which we believe may provide additional cash for use in our operations and the continuation of the clinical trials for our drug candidates. We are also evaluating several financing strategies to fund the proposed clinical trial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for the treatment of mild-AD in patients with type 2 diabetes, including direct equity investments and future public offerings of our common stock. The timing and availability of such financing are not yet known.</w:t>
      </w:r>
    </w:p>
    <w:p>
      <w:pPr>
        <w:spacing w:after="0" w:line="169"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 xml:space="preserve">If the FDA or other regulators require that we perform additional studies beyond those we currently expect, or if there are any delays in completing our clinical trials or the development of any of our drug candidates, our expenses could increase beyond what we currently anticipate and the timing of any potential product approval may be delayed. We have no commitments or arrangements for any additional financing to fund our research and development programs other than the funds available to us under the letter agreement between vTv and MacAndrews &amp; Forbes Group LLC (“M&amp;F Group”), a related party and an affiliate of MacAndrews &amp; Forbes Incorporated (together with its affiliates “MacAndrews”) dated as of December 11, 2018 (the “December Letter Agreement”), for its commitment to invest up to $10.0 million over a one-year period, of which $4.0 million is still available to us as of February 14, 2019. We also will need to raise substantial additional capital in the future to conduct further clinical trials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and </w:t>
      </w:r>
      <w:r>
        <w:rPr>
          <w:rFonts w:ascii="Arial" w:cs="Arial" w:eastAsia="Arial" w:hAnsi="Arial"/>
          <w:sz w:val="16"/>
          <w:szCs w:val="16"/>
          <w:i w:val="1"/>
          <w:iCs w:val="1"/>
          <w:color w:val="auto"/>
        </w:rPr>
        <w:t>TTP273</w:t>
      </w:r>
      <w:r>
        <w:rPr>
          <w:rFonts w:ascii="Arial" w:cs="Arial" w:eastAsia="Arial" w:hAnsi="Arial"/>
          <w:sz w:val="16"/>
          <w:szCs w:val="16"/>
          <w:color w:val="auto"/>
        </w:rPr>
        <w:t xml:space="preserve"> and to continue developing our other drug candidates. Because successful development of our drug candidates is uncertain, we are unable to estimate the actual funds required to complete research and development and commercialize and license our products under development.</w:t>
      </w:r>
    </w:p>
    <w:p>
      <w:pPr>
        <w:spacing w:after="0" w:line="16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Until such time that we can generate substantial revenue from product sales, we expect to finance our operating activities through a combination of equity offerings, debt financings, marketing and distribution arrangements and other collaborations, strategic alliances and licensing arrangements. We may seek to access the public or private capital markets whenever conditions are favorable, even if we do not have an immediate need for additional capital at that time. If worldwide economic conditions and the international equity and credit markets deteriorate and return to depressed states, it will be more difficult for us to obtain additional equity or credit financing, when needed.</w:t>
      </w:r>
    </w:p>
    <w:p>
      <w:pPr>
        <w:spacing w:after="0" w:line="188"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Our recurring losses, accumulated deficit and our current levels of cash and cash equivalents raise substantial doubt about our ability to continue as a going concern as of the date of this report. If we are unable to continue as a going concern, we may have to liquidate our assets and it is likely that investors will lose all or a significant part of their investments.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 and such additional funding may cause substantial dilution to our existing investors. Further, if adequate funds are not available, we may be required to delay, reduce the scope of or eliminate one or more of our research or development programs.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580" w:right="20" w:hanging="572"/>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progress, costs, results and timing of our adaptive Phase 2/3 trial to evaluate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as a potential treatment of mild-AD in patients with type 2 diabetes;</w:t>
      </w:r>
    </w:p>
    <w:p>
      <w:pPr>
        <w:spacing w:after="0" w:line="62"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drug candidates that we pursue, including our drug candidates in preclinical development;</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ind w:left="580" w:right="140" w:hanging="572"/>
        <w:spacing w:after="0" w:line="264"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3"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and scientific and medical personnel;</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580" w:right="160" w:hanging="572"/>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 and</w:t>
      </w:r>
    </w:p>
    <w:p>
      <w:pPr>
        <w:spacing w:after="0" w:line="62"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amount of any payments we are required to make to M&amp;F TTP Holdings Two LLC in the future under the Tax Receivable Agreement.</w:t>
      </w:r>
    </w:p>
    <w:p>
      <w:pPr>
        <w:spacing w:after="0" w:line="34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62"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to us under the December Letter Agreement. To the extent that we raise additional capital through the sale of equity or convertible debt securities, the interest of our stockholders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8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have entered into the December Letter Agreement with M&amp;F Group, the terms of which are more fully described in “Management’s Discussion and Analysis of Financial Conditions and Results of Operations – Liquidity and Capital Resources” in Item 7 of this Annual Report on Form 10-K. Any shares of our Class A common stock that are sold pursuant to the December Letter Agreement will dilute the interest of our stockholders. In addition, in connection with the December Letter Agreement and previous similar letter agreements, we also issued to M&amp;F Group warrants to purchase 1,057,455 shares of our Class A common stock. Sales of Class A common stock under the December Letter Agreement or the related warrants may result in substantial dilution to existing investors.</w:t>
      </w:r>
    </w:p>
    <w:p>
      <w:pPr>
        <w:spacing w:after="0" w:line="85"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9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significant amount of debt could adversely affect our business, operating results and financial condition and prevent us from fulfilling our debt-related obligations.</w:t>
      </w:r>
    </w:p>
    <w:p>
      <w:pPr>
        <w:spacing w:after="0" w:line="62" w:lineRule="exact"/>
        <w:rPr>
          <w:sz w:val="20"/>
          <w:szCs w:val="20"/>
          <w:color w:val="auto"/>
        </w:rPr>
      </w:pPr>
    </w:p>
    <w:p>
      <w:pPr>
        <w:ind w:right="140" w:firstLine="568"/>
        <w:spacing w:after="0" w:line="264" w:lineRule="auto"/>
        <w:rPr>
          <w:sz w:val="20"/>
          <w:szCs w:val="20"/>
          <w:color w:val="auto"/>
        </w:rPr>
      </w:pPr>
      <w:r>
        <w:rPr>
          <w:rFonts w:ascii="Arial" w:cs="Arial" w:eastAsia="Arial" w:hAnsi="Arial"/>
          <w:sz w:val="18"/>
          <w:szCs w:val="18"/>
          <w:color w:val="auto"/>
        </w:rPr>
        <w:t>We have a significant amount of debt. As of December 31, 2018, the total principal amount of our debt was $14.9 million, all of which was incurred under the venture loan and security agreement (the “Loan Agreement”) with Horizon Technology Finance Corporation and Silicon Valley Bank Loan Agreement.</w:t>
      </w:r>
    </w:p>
    <w:p>
      <w:pPr>
        <w:spacing w:after="0" w:line="73" w:lineRule="exact"/>
        <w:rPr>
          <w:sz w:val="20"/>
          <w:szCs w:val="20"/>
          <w:color w:val="auto"/>
        </w:rPr>
      </w:pPr>
    </w:p>
    <w:p>
      <w:pPr>
        <w:ind w:right="60" w:firstLine="568"/>
        <w:spacing w:after="0" w:line="264" w:lineRule="auto"/>
        <w:rPr>
          <w:sz w:val="20"/>
          <w:szCs w:val="20"/>
          <w:color w:val="auto"/>
        </w:rPr>
      </w:pPr>
      <w:r>
        <w:rPr>
          <w:rFonts w:ascii="Arial" w:cs="Arial" w:eastAsia="Arial" w:hAnsi="Arial"/>
          <w:sz w:val="18"/>
          <w:szCs w:val="18"/>
          <w:color w:val="auto"/>
        </w:rPr>
        <w:t>As a result of the termination of the STEADFAST Study, we granted the Lenders a first priority security interest in all of our intellectual property, subject to certain limited exceptions. We have agreed not to pledge or otherwise encumber our intellectual property assets, subject to certain exceptions. The level and nature of our indebtedness could, among other things:</w:t>
      </w:r>
    </w:p>
    <w:p>
      <w:pPr>
        <w:spacing w:after="0" w:line="73" w:lineRule="exact"/>
        <w:rPr>
          <w:sz w:val="20"/>
          <w:szCs w:val="20"/>
          <w:color w:val="auto"/>
        </w:rPr>
      </w:pPr>
    </w:p>
    <w:p>
      <w:pPr>
        <w:ind w:left="560" w:hanging="552"/>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it difficult for us to obtain any necessary financing in the future;</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ind w:left="560" w:hanging="552"/>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funds available for use in our operations and other strategic initiatives;</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 our ability to incur additional debt because of restrictive covenants or the liens on our assets that secure our current debt;</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hinder our ability to raise equity capital, because in the event of a liquidation of our business, debt holders receive a priority before equity holders;</w:t>
      </w:r>
    </w:p>
    <w:p>
      <w:pPr>
        <w:spacing w:after="0" w:line="140" w:lineRule="exact"/>
        <w:rPr>
          <w:rFonts w:ascii="Arial" w:cs="Arial" w:eastAsia="Arial" w:hAnsi="Arial"/>
          <w:sz w:val="16"/>
          <w:szCs w:val="16"/>
          <w:color w:val="auto"/>
        </w:rPr>
      </w:pPr>
    </w:p>
    <w:p>
      <w:pPr>
        <w:ind w:left="560" w:hanging="552"/>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us more vulnerable in the event of a downturn in our business; and</w:t>
      </w:r>
    </w:p>
    <w:p>
      <w:pPr>
        <w:spacing w:after="0" w:line="117" w:lineRule="exact"/>
        <w:rPr>
          <w:rFonts w:ascii="Arial" w:cs="Arial" w:eastAsia="Arial" w:hAnsi="Arial"/>
          <w:sz w:val="18"/>
          <w:szCs w:val="18"/>
          <w:color w:val="auto"/>
        </w:rPr>
      </w:pPr>
    </w:p>
    <w:p>
      <w:pPr>
        <w:ind w:left="560" w:right="380" w:hanging="552"/>
        <w:spacing w:after="0" w:line="483" w:lineRule="auto"/>
        <w:tabs>
          <w:tab w:leader="none" w:pos="5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place us at a possible competitive disadvantage relative to less leveraged competitors and competitors that have better access to capital resources. We may also incur significantly more debt in the future, which will increase each of the risks described above related to our indebtedness.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Restrictions and covenants in the Loan Agreement limit our ability to take certain actions and impose consequences in the event of failure to comply.</w:t>
      </w:r>
    </w:p>
    <w:p>
      <w:pPr>
        <w:spacing w:after="0" w:line="140" w:lineRule="exact"/>
        <w:rPr>
          <w:sz w:val="20"/>
          <w:szCs w:val="20"/>
          <w:color w:val="auto"/>
        </w:rPr>
      </w:pPr>
    </w:p>
    <w:p>
      <w:pPr>
        <w:ind w:right="140" w:firstLine="568"/>
        <w:spacing w:after="0" w:line="277" w:lineRule="auto"/>
        <w:rPr>
          <w:sz w:val="20"/>
          <w:szCs w:val="20"/>
          <w:color w:val="auto"/>
        </w:rPr>
      </w:pPr>
      <w:r>
        <w:rPr>
          <w:rFonts w:ascii="Arial" w:cs="Arial" w:eastAsia="Arial" w:hAnsi="Arial"/>
          <w:sz w:val="18"/>
          <w:szCs w:val="18"/>
          <w:color w:val="auto"/>
        </w:rPr>
        <w:t>The Loan Agreement contains a number of significant restrictions and covenants that limit our ability (subject in each case to limited exceptions) to, among other things,</w:t>
      </w:r>
    </w:p>
    <w:p>
      <w:pPr>
        <w:spacing w:after="0" w:line="62"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convey, sell, lease, transfer or otherwise dispose of certain of our assets;</w:t>
      </w:r>
    </w:p>
    <w:p>
      <w:pPr>
        <w:spacing w:after="0" w:line="117" w:lineRule="exact"/>
        <w:rPr>
          <w:rFonts w:ascii="Arial" w:cs="Arial" w:eastAsia="Arial" w:hAnsi="Arial"/>
          <w:sz w:val="18"/>
          <w:szCs w:val="18"/>
          <w:color w:val="auto"/>
        </w:rPr>
      </w:pPr>
    </w:p>
    <w:p>
      <w:pPr>
        <w:ind w:left="500" w:right="580" w:hanging="49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a minimum cash balance of $2.5 million in a deposit account pledged to secure the Loan Agreement and subject to an account control agreement;</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any business other than the businesses we currently engage in or reasonably related thereto;</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liquidate or dissolve;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certain management changes;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undergo certain change of control events;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incur, assume or be liable with respect to certain indebtedness;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grant certain liens;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and make certain other restricted payments;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certain investments;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any material transactions with any affiliates, with certain exceptions.</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These covenants affect our operating flexibility by, among other things, restricting our ability to incur expenses and indebtedness that could otherwise be used to fund the costs of executing our business strategy and to grow our business, as well as to fund general corporate purposes. Our ability to comply with these covenants may be affected by events beyond our control and we may not be able to meet these covenants. A breach under the Loan Agreement would permit our lenders to accelerate amounts outstanding thereunder. We may not have sufficient funds at the time of any such breach to repay, in full or in part, the borrowings under the Loan Agreement.</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we expect a number of factors to cause our operating results to fluctuate on a quarterly and annual basis, which may make it difficult to predict our future performance.</w:t>
      </w:r>
    </w:p>
    <w:p>
      <w:pPr>
        <w:spacing w:after="0" w:line="62"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 xml:space="preserve">We are a clinical stage biopharmaceutical company with a limited operating history. Our operations to date have been primarily limited to developing our technology and undertaking preclinical studies and clinical trials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and our other drug candidates. We have not yet obtained regulatory approvals for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or any of our other drug candidates. Consequently, any statements about our future success or viability are not based on any substantial operating history or commercialized products. Our financial condition and operating results have varied significantly in the past and will continue to fluctuate from quarter-to-quarter or year-to-year due to a variety of factors, many of which are beyond our control. As a result, we may never successfully develop and commercialize a product, which could lead to a material adverse effect on the value of any investment in our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Discovery, Development and Regulatory Approval of Our Drug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the development of, obtain regulatory approval for, or successfully commercialize azeliragon.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ind w:right="120" w:firstLine="509"/>
        <w:spacing w:after="0" w:line="264" w:lineRule="auto"/>
        <w:rPr>
          <w:sz w:val="20"/>
          <w:szCs w:val="20"/>
          <w:color w:val="auto"/>
        </w:rPr>
      </w:pPr>
      <w:r>
        <w:rPr>
          <w:rFonts w:ascii="Arial" w:cs="Arial" w:eastAsia="Arial" w:hAnsi="Arial"/>
          <w:sz w:val="18"/>
          <w:szCs w:val="18"/>
          <w:color w:val="auto"/>
        </w:rPr>
        <w:t xml:space="preserve">We have expended considerable resources and efforts on the development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In April 2018, we announced that results from Part A of our Phase 3 STEADFAST Study did not meet either co-primary efficacy endpoint as required by the SPA with the FDA. Following the April 2018 announcement, we discontinued clinical trials involving </w:t>
      </w:r>
      <w:r>
        <w:rPr>
          <w:rFonts w:ascii="Arial" w:cs="Arial" w:eastAsia="Arial" w:hAnsi="Arial"/>
          <w:sz w:val="18"/>
          <w:szCs w:val="18"/>
          <w:i w:val="1"/>
          <w:iCs w:val="1"/>
          <w:color w:val="auto"/>
        </w:rPr>
        <w:t>azeliragon</w:t>
      </w:r>
      <w:r>
        <w:rPr>
          <w:rFonts w:ascii="Arial" w:cs="Arial" w:eastAsia="Arial" w:hAnsi="Arial"/>
          <w:sz w:val="18"/>
          <w:szCs w:val="18"/>
          <w:color w:val="auto"/>
        </w:rPr>
        <w:t>, including Part B and open label extension.</w:t>
      </w:r>
    </w:p>
    <w:p>
      <w:pPr>
        <w:spacing w:after="0" w:line="73"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 xml:space="preserve">At the time of the closure of Part B, a substantial number of participants completed 12 months of treatment under the study protocol. Based on the subpopulation data analyses from Part A and the prior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trials, we prepared and submitted a revised SAP to the FDA for Part B that pre-specified a target population for the primary study analysis at 12 months. In June 2018, we announced that the results from Part B did not meet either co-primary efficacy endpoint.</w:t>
      </w:r>
    </w:p>
    <w:p>
      <w:pPr>
        <w:spacing w:after="0" w:line="79"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 xml:space="preserve">Relying upon the program’s Fast Track Designation status and study results to date, we have pursued discussions with the FDA and European Medicines Agency (“EMA”) to propose a pathway for further clinical development in support of regulatory approval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On July 31, 2018, we submitted a full briefing book to the FDA in support of our request for a Type C meeting seeking development guidance for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On September 17, 2018, we received a written response from the FDA to our Type C meeting request. In the response, the FDA advised that the efficacy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should be demonstrated in at least two adequate and well-controlled trials, unless under the exceptional circumstances in which a single trial might suffice as set forth in the FDA’s guidance document entitled “Providing Clinical Effectiveness for Human Drug and Biological Products”.</w:t>
      </w:r>
    </w:p>
    <w:p>
      <w:pPr>
        <w:spacing w:after="0" w:line="70"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 xml:space="preserve">The failure of Parts A and B of the STEADFAST Study to meet their co-primary endpoints is expected to delay the potential commercialization of </w:t>
      </w:r>
      <w:r>
        <w:rPr>
          <w:rFonts w:ascii="Arial" w:cs="Arial" w:eastAsia="Arial" w:hAnsi="Arial"/>
          <w:sz w:val="18"/>
          <w:szCs w:val="18"/>
          <w:i w:val="1"/>
          <w:iCs w:val="1"/>
          <w:color w:val="auto"/>
        </w:rPr>
        <w:t xml:space="preserve">azeliragon </w:t>
      </w:r>
      <w:r>
        <w:rPr>
          <w:rFonts w:ascii="Arial" w:cs="Arial" w:eastAsia="Arial" w:hAnsi="Arial"/>
          <w:sz w:val="18"/>
          <w:szCs w:val="18"/>
          <w:color w:val="auto"/>
        </w:rPr>
        <w:t>and may make such commercialization more difficult or impossible. We will need to commence and complete additional clinical trials that satisfy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specified primary endpoint criteria, manage clinical and manufacturing activities, obtain necessary regulatory approvals from the FDA or other comparable regulatory authorities, and, if approved, successfully market and commercialize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There is no guarantee that we will be able to successfully complete these steps. As an organization, we have never completed a successful Phase 3 clinical trial or submitted a New Drug Application before, and we may be unsuccessful in doing so for </w:t>
      </w:r>
      <w:r>
        <w:rPr>
          <w:rFonts w:ascii="Arial" w:cs="Arial" w:eastAsia="Arial" w:hAnsi="Arial"/>
          <w:sz w:val="18"/>
          <w:szCs w:val="18"/>
          <w:i w:val="1"/>
          <w:iCs w:val="1"/>
          <w:color w:val="auto"/>
        </w:rPr>
        <w:t>azeliragon</w:t>
      </w:r>
      <w:r>
        <w:rPr>
          <w:rFonts w:ascii="Arial" w:cs="Arial" w:eastAsia="Arial" w:hAnsi="Arial"/>
          <w:sz w:val="18"/>
          <w:szCs w:val="18"/>
          <w:color w:val="auto"/>
        </w:rPr>
        <w:t>.</w:t>
      </w:r>
    </w:p>
    <w:p>
      <w:pPr>
        <w:spacing w:after="0" w:line="193" w:lineRule="exact"/>
        <w:rPr>
          <w:sz w:val="20"/>
          <w:szCs w:val="20"/>
          <w:color w:val="auto"/>
        </w:rPr>
      </w:pPr>
    </w:p>
    <w:p>
      <w:pPr>
        <w:ind w:right="120"/>
        <w:spacing w:after="0" w:line="340" w:lineRule="auto"/>
        <w:rPr>
          <w:sz w:val="20"/>
          <w:szCs w:val="20"/>
          <w:color w:val="auto"/>
        </w:rPr>
      </w:pPr>
      <w:r>
        <w:rPr>
          <w:rFonts w:ascii="Arial" w:cs="Arial" w:eastAsia="Arial" w:hAnsi="Arial"/>
          <w:sz w:val="15"/>
          <w:szCs w:val="15"/>
          <w:b w:val="1"/>
          <w:bCs w:val="1"/>
          <w:i w:val="1"/>
          <w:iCs w:val="1"/>
          <w:color w:val="auto"/>
        </w:rPr>
        <w:t>Clinical drug development involves a lengthy and expensive process with an uncertain outcome, and failure can occur at any stage of clinical development. Because the results of earlier clinical trials are not necessarily predictive of future results, any drug candidate we advance through various stages of clinical trials or development may not have favorable results in later stages of clinical trials or development or receive regulatory approval.</w:t>
      </w:r>
    </w:p>
    <w:p>
      <w:pPr>
        <w:spacing w:after="0" w:line="23"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 xml:space="preserve">Clinical testing is expensive and can take many years to complete, and its outcome is inherently uncertain. Failure can occur at any stage of clinical development.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For example, our Phase 3 STEADFAST Study in mild AD patients failed to meet its co-primary endpoints in either sub-study, and the B-Study was discontinued early due to the results of the A-Study. However, subsequent post-hoc subgroup analyses conducted using information from the STEADFAST Study found that a subgroup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treated patients with type 2 diabetes showed benefit to </w:t>
      </w:r>
      <w:r>
        <w:rPr>
          <w:rFonts w:ascii="Arial" w:cs="Arial" w:eastAsia="Arial" w:hAnsi="Arial"/>
          <w:sz w:val="16"/>
          <w:szCs w:val="16"/>
          <w:i w:val="1"/>
          <w:iCs w:val="1"/>
          <w:color w:val="auto"/>
        </w:rPr>
        <w:t>azeliragon</w:t>
      </w:r>
      <w:r>
        <w:rPr>
          <w:rFonts w:ascii="Arial" w:cs="Arial" w:eastAsia="Arial" w:hAnsi="Arial"/>
          <w:sz w:val="16"/>
          <w:szCs w:val="16"/>
          <w:color w:val="auto"/>
        </w:rPr>
        <w:t>. Based on these results, we have initiated start-up activities for an adaptive Phase 2/3 trial to evaluate</w:t>
      </w:r>
      <w:r>
        <w:rPr>
          <w:rFonts w:ascii="Arial" w:cs="Arial" w:eastAsia="Arial" w:hAnsi="Arial"/>
          <w:sz w:val="16"/>
          <w:szCs w:val="16"/>
          <w:i w:val="1"/>
          <w:iCs w:val="1"/>
          <w:color w:val="auto"/>
        </w:rPr>
        <w:t xml:space="preserve"> azeliragon </w:t>
      </w:r>
      <w:r>
        <w:rPr>
          <w:rFonts w:ascii="Arial" w:cs="Arial" w:eastAsia="Arial" w:hAnsi="Arial"/>
          <w:sz w:val="16"/>
          <w:szCs w:val="16"/>
          <w:color w:val="auto"/>
        </w:rPr>
        <w:t>as a potential treatment of mild-AD in patients with type 2 diabetes. See further discussion under “Business—Our Alzheimer’s Program—</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—Phase 3 STEADFAST Study.” While we plan to explore developing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for the treatment of patients of this subgroup, there can be no assurance that the results a future trial, if any, would be successful or consistent with our previous findings. Success in preclinical testing and early clinical trials does not ensure that later clinical trials will generate the same results or otherwise provide adequate data to demonstrate the efficacy and safety of a drug candidate. Frequently, drug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While members of our management team have experience in designing clinical trials, our company has limited experience in designing clinical trials, and we may be unable to design and execute a clinical trial to support regulatory approval. Further, clinical trials of potential products often reveal that it is not practical or feasible to continue development efforts. For example, if the results of our future clinical trials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or our other drug candidates do not achieve the primary efficacy endpoints or demonstrate safety, the prospects for approval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would be materially and adversely affected. If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or our other drug candidates are found to be unsafe or lack efficacy, we will not be able to obtain regulatory approval for them and our business would be materially harmed.</w:t>
      </w: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Fast Track designation for one or more of our product candidates may not actually lead to a faster development or regulatory review or approval process.</w:t>
      </w:r>
    </w:p>
    <w:p>
      <w:pPr>
        <w:spacing w:after="0" w:line="260"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 xml:space="preserve">If a product is intended for the treatment of a serious condition and nonclinical or clinical data demonstrate the potential to address unmet medical need for this condition, a product sponsor may apply for FDA Fast Track designation. The FDA granted Fast Track designation to </w:t>
      </w:r>
      <w:r>
        <w:rPr>
          <w:rFonts w:ascii="Arial" w:cs="Arial" w:eastAsia="Arial" w:hAnsi="Arial"/>
          <w:sz w:val="18"/>
          <w:szCs w:val="18"/>
          <w:i w:val="1"/>
          <w:iCs w:val="1"/>
          <w:color w:val="auto"/>
        </w:rPr>
        <w:t>azeliragon</w:t>
      </w:r>
      <w:r>
        <w:rPr>
          <w:rFonts w:ascii="Arial" w:cs="Arial" w:eastAsia="Arial" w:hAnsi="Arial"/>
          <w:sz w:val="18"/>
          <w:szCs w:val="18"/>
          <w:color w:val="auto"/>
        </w:rPr>
        <w: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2" w:name="page33"/>
    <w:bookmarkEnd w:id="32"/>
    <w:p>
      <w:pPr>
        <w:ind w:right="720"/>
        <w:spacing w:after="0" w:line="277" w:lineRule="auto"/>
        <w:rPr>
          <w:sz w:val="20"/>
          <w:szCs w:val="20"/>
          <w:color w:val="auto"/>
        </w:rPr>
      </w:pPr>
      <w:r>
        <w:rPr>
          <w:rFonts w:ascii="Arial" w:cs="Arial" w:eastAsia="Arial" w:hAnsi="Arial"/>
          <w:sz w:val="18"/>
          <w:szCs w:val="18"/>
          <w:color w:val="auto"/>
        </w:rPr>
        <w:t>believes that the designation is no longer supported by data from our clinical development program. Fast Track designation alone does not guarantee qualification for the FDA's priority review procedures.</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We cannot be certain that azeliragon or any of our other drug candidates will receive regulatory approval, and without regulatory approval we will not be able to market our drug candidates and generate revenue from products. Any delay in the regulatory review or approval of azeliragon or any of our other drug candidates will materially and adversely affect our business.</w:t>
      </w:r>
    </w:p>
    <w:p>
      <w:pPr>
        <w:spacing w:after="0" w:line="7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 xml:space="preserve">Our ability to generate revenue related to product sales, which we do not expect will occur for at least the next several years, if ever, will depend on the successful development and regulatory approval of our drug candidates. For example, our Phase 3 STEADFAST Study in mild AD patients failed to meet its co-primary endpoints in either sub-study, and the B-Study was discontinued early due to results of the A-Study. Our clinical development programs for </w:t>
      </w:r>
      <w:r>
        <w:rPr>
          <w:rFonts w:ascii="Arial" w:cs="Arial" w:eastAsia="Arial" w:hAnsi="Arial"/>
          <w:sz w:val="18"/>
          <w:szCs w:val="18"/>
          <w:i w:val="1"/>
          <w:iCs w:val="1"/>
          <w:color w:val="auto"/>
        </w:rPr>
        <w:t xml:space="preserve">azeliragon </w:t>
      </w:r>
      <w:r>
        <w:rPr>
          <w:rFonts w:ascii="Arial" w:cs="Arial" w:eastAsia="Arial" w:hAnsi="Arial"/>
          <w:sz w:val="18"/>
          <w:szCs w:val="18"/>
          <w:color w:val="auto"/>
        </w:rPr>
        <w:t>and our other drug candidates may not lead to regulatory approval from the FDA and similar foreign regulatory agencies. This failure to obtain</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approvals would prevent our drug candidates from being marketed and would prevent us from generating revenue from our drug candidates, which would have a material and adverse effect on our business.</w:t>
      </w:r>
    </w:p>
    <w:p>
      <w:pPr>
        <w:spacing w:after="0" w:line="193"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All of our drug candidates require regulatory review and approval prior to commercialization, and generally, only a small percentage of pharmaceutical products under development are ultimately approved for commercial sale. This is particularly true in the area of treatments for Alzheimer’s disease, where pharmaceutical development has been particularly challenging. Moreover, any delays in the regulatory review or approval of our drug candidates would delay market launch, increase our cash requirements and result in additional operating losses.</w:t>
      </w:r>
    </w:p>
    <w:p>
      <w:pPr>
        <w:spacing w:after="0" w:line="18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process of obtaining FDA and other required regulatory approvals, including foreign approvals, often takes many years and can vary substantially based upon the type, complexity and novelty of the products involved. Furthermore, this approval process is extremely complex, expensive and uncertain, and failure to comply with applicable regulatory requirements can, among other things, result in the suspension of regulatory approval as well as possible civil and criminal sanctions. We may be unable to submit any new drug application (“NDA”), in the United States or any marketing approval application in foreign jurisdictions for any of our products. If we submit an NDA including any amended NDA or supplemental NDA, to the FDA seeking marketing approval for any of our drug candidates, the FDA must decide whether to accept or reject the submission for filing. We cannot be certain that any of these submissions will be accepted for filing and reviewed by the FDA, or that the marketing approval application submissions to any other regulatory authorities will be accepted for filing and review by those authorities. We cannot be certain that we will be able to respond to any regulatory requests during the review period in a timely manner, or at all, without delaying potential regulatory action. We also cannot be certain that any of our drug candidates will receive favorable recommendations from any FDA advisory committee or foreign regulatory bodies or be approved for marketing by the FDA or foreign regulatory authorities. In addition, delays in approvals or rejections of marketing applications may be based upon many factors, including regulatory requests for additional analyses, reports, data and studies, regulatory questions regarding data and results, changes in regulatory policy during the period of product development and the emergence of new information regarding our drug candidates.</w:t>
      </w:r>
    </w:p>
    <w:p>
      <w:pPr>
        <w:spacing w:after="0" w:line="188"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Data obtained from preclinical studies and clinical trials are subject to different interpretations, which could delay, limit or prevent regulatory review or approval of any of our drug candidates. Furthermore, regulatory attitudes towards the data and results required to demonstrate safety and efficacy can change over time and can be affected by many factors, such as the emergence of new information, including on other products, policy changes and agency funding, staffing and leadership. We do not know whether future changes to the regulatory environment will be favorable or unfavorable to our business prospects.</w:t>
      </w:r>
    </w:p>
    <w:p>
      <w:pPr>
        <w:spacing w:after="0" w:line="188" w:lineRule="exact"/>
        <w:rPr>
          <w:sz w:val="20"/>
          <w:szCs w:val="20"/>
          <w:color w:val="auto"/>
        </w:rPr>
      </w:pPr>
    </w:p>
    <w:p>
      <w:pPr>
        <w:ind w:right="100" w:firstLine="509"/>
        <w:spacing w:after="0" w:line="288" w:lineRule="auto"/>
        <w:rPr>
          <w:sz w:val="20"/>
          <w:szCs w:val="20"/>
          <w:color w:val="auto"/>
        </w:rPr>
      </w:pPr>
      <w:r>
        <w:rPr>
          <w:rFonts w:ascii="Arial" w:cs="Arial" w:eastAsia="Arial" w:hAnsi="Arial"/>
          <w:sz w:val="16"/>
          <w:szCs w:val="16"/>
          <w:color w:val="auto"/>
        </w:rPr>
        <w:t>In addition, the environment in which our regulatory submissions may be reviewed changes over time. For example, average review times at the FDA for NDAs have fluctuated over the last ten years, and we cannot predict the review time for any of our submissions with any regulatory authorities. Review times can be affected by a variety of factors, including budget and funding levels and statutory, regulatory and policy as well as personnel changes at the FDA. Moreover, in light of widely publicized events concerning the safety risk of certain drug products, regulatory authorities, members of the U.S. Government Accountability Office, medical professionals and the general public have raised concerns about potential drug safety issues. These events have resulted in the withdrawal of drug products, revisions to drug labeling that further limit use of the drug products and establishment of REMS, measures that may, for instance, place restrictions on the distribution of new drug products. The increased attention to drug safety issues may result in a more cautious approach by the FDA to clinical trials. Data from clinical trials may receive greater scrutiny with respect to safety, which may make the FDA or other regulatory authorities more likely to delay or terminate clinical trials before completion, or require longer or additional clinical trials that may result in substantial additional expense and a delay or failure in obtaining approval or may result in approval for a more limited indication than originally sought.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ind w:right="160" w:firstLine="509"/>
        <w:spacing w:after="0" w:line="264" w:lineRule="auto"/>
        <w:rPr>
          <w:sz w:val="20"/>
          <w:szCs w:val="20"/>
          <w:color w:val="auto"/>
        </w:rPr>
      </w:pPr>
      <w:r>
        <w:rPr>
          <w:rFonts w:ascii="Arial" w:cs="Arial" w:eastAsia="Arial" w:hAnsi="Arial"/>
          <w:sz w:val="18"/>
          <w:szCs w:val="18"/>
          <w:color w:val="auto"/>
        </w:rPr>
        <w:t>In addition, approval policies, regulations, or the type and amount of clinical data necessary to gain approval may change during the course of a drug candidate’s clinical development and may vary among jurisdictions, and approval in one jurisdiction does not guarantee approval in any other jurisdiction. Our drug candidates could fail to receive regulatory approval for many reasons, including the following:</w:t>
      </w:r>
    </w:p>
    <w:p>
      <w:pPr>
        <w:spacing w:after="0" w:line="73"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500" w:right="40" w:hanging="49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w:t>
      </w:r>
    </w:p>
    <w:p>
      <w:pPr>
        <w:spacing w:after="0" w:line="62" w:lineRule="exact"/>
        <w:rPr>
          <w:rFonts w:ascii="Arial" w:cs="Arial" w:eastAsia="Arial" w:hAnsi="Arial"/>
          <w:sz w:val="18"/>
          <w:szCs w:val="18"/>
          <w:color w:val="auto"/>
        </w:rPr>
      </w:pPr>
    </w:p>
    <w:p>
      <w:pPr>
        <w:ind w:left="500" w:right="440" w:hanging="49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17" w:lineRule="exact"/>
        <w:rPr>
          <w:rFonts w:ascii="Arial" w:cs="Arial" w:eastAsia="Arial" w:hAnsi="Arial"/>
          <w:sz w:val="18"/>
          <w:szCs w:val="18"/>
          <w:color w:val="auto"/>
        </w:rPr>
      </w:pPr>
    </w:p>
    <w:p>
      <w:pPr>
        <w:ind w:left="500" w:right="460" w:hanging="49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data collected from clinical trials of our drug candidates may not be sufficient to support the submission of an NDA or other submission or to obtain regulatory approval in the United States or elsewhere;</w:t>
      </w:r>
    </w:p>
    <w:p>
      <w:pPr>
        <w:spacing w:after="0" w:line="62" w:lineRule="exact"/>
        <w:rPr>
          <w:rFonts w:ascii="Arial" w:cs="Arial" w:eastAsia="Arial" w:hAnsi="Arial"/>
          <w:sz w:val="18"/>
          <w:szCs w:val="18"/>
          <w:color w:val="auto"/>
        </w:rPr>
      </w:pPr>
    </w:p>
    <w:p>
      <w:pPr>
        <w:ind w:left="500" w:right="180" w:hanging="49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companion diagnostics we contemplate developing with partners; and</w:t>
      </w:r>
    </w:p>
    <w:p>
      <w:pPr>
        <w:spacing w:after="0" w:line="140" w:lineRule="exact"/>
        <w:rPr>
          <w:rFonts w:ascii="Arial" w:cs="Arial" w:eastAsia="Arial" w:hAnsi="Arial"/>
          <w:sz w:val="16"/>
          <w:szCs w:val="16"/>
          <w:color w:val="auto"/>
        </w:rPr>
      </w:pPr>
    </w:p>
    <w:p>
      <w:pPr>
        <w:ind w:left="500" w:right="480" w:hanging="49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our drug candidates, which would significantly harm our business, results of operations and prospects.</w:t>
      </w:r>
    </w:p>
    <w:p>
      <w:pPr>
        <w:spacing w:after="0" w:line="170" w:lineRule="exact"/>
        <w:rPr>
          <w:sz w:val="20"/>
          <w:szCs w:val="20"/>
          <w:color w:val="auto"/>
        </w:rPr>
      </w:pPr>
    </w:p>
    <w:p>
      <w:pPr>
        <w:ind w:right="80" w:firstLine="509"/>
        <w:spacing w:after="0" w:line="276" w:lineRule="auto"/>
        <w:rPr>
          <w:sz w:val="20"/>
          <w:szCs w:val="20"/>
          <w:color w:val="auto"/>
        </w:rPr>
      </w:pPr>
      <w:r>
        <w:rPr>
          <w:rFonts w:ascii="Arial" w:cs="Arial" w:eastAsia="Arial" w:hAnsi="Arial"/>
          <w:sz w:val="17"/>
          <w:szCs w:val="17"/>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necessary or desirable for the successful commercialization of that drug candidate. To date, the FDA has not approved any drugs for the treatment of AD as disease modifying. Any of the foregoing scenarios could materially harm the commercial prospects for our drug candidates.</w:t>
      </w:r>
    </w:p>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results of previous clinical trials may not be predictive of future results, and the results of our current and planned clinical trials may not satisfy the requirements of the FDA or non-U.S. regulatory authorities.</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currently have no drugs approved for sale and we cannot guarantee that we will ever have marketable drugs. Clinical failure can occur at any stage of clinical development. Clinical trials may produce negative or inconclusive results, and we or any collaborators may decide, or regulators may require us, to conduct additional clinical trials or preclinical studies. We will be required to demonstrate with substantial evidence through well-controlled clinical trials that our drug candidates are safe and effective for use in a diverse population before we can seek regulatory approvals for their commercial sale. Success in early-stage clinical trials does not mean that future larger registration clinical trials will be successful because drug candidates in later-stage clinical trials may fail to demonstrate sufficient safety and efficacy to the satisfaction of the FDA and non-U.S. regulatory authorities despite having progressed through early-stage clinical trials. Drug candidates that have shown promising results in early-stage clinical trials may still suffer significant setbacks in subsequent registration clinical trials. Additionally, the outcome of preclinical studies and early-stage clinical trials may not be predictive of the success of later-stage clinical trials, and interim results of a clinical trial are not necessarily indicative of final results.</w:t>
      </w:r>
    </w:p>
    <w:p>
      <w:pPr>
        <w:spacing w:after="0" w:line="2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FDA or non-U.S. regulatory authorities may disagree with our and/or our clinical trial investigators’ interpretation of data from clinical trials in determining if serious adverse or unacceptable side effects are drug-related.</w:t>
      </w:r>
    </w:p>
    <w:p>
      <w:pPr>
        <w:spacing w:after="0" w:line="62" w:lineRule="exact"/>
        <w:rPr>
          <w:sz w:val="20"/>
          <w:szCs w:val="20"/>
          <w:color w:val="auto"/>
        </w:rPr>
      </w:pPr>
    </w:p>
    <w:p>
      <w:pPr>
        <w:ind w:right="400" w:firstLine="509"/>
        <w:spacing w:after="0" w:line="273" w:lineRule="auto"/>
        <w:rPr>
          <w:sz w:val="20"/>
          <w:szCs w:val="20"/>
          <w:color w:val="auto"/>
        </w:rPr>
      </w:pPr>
      <w:r>
        <w:rPr>
          <w:rFonts w:ascii="Arial" w:cs="Arial" w:eastAsia="Arial" w:hAnsi="Arial"/>
          <w:sz w:val="17"/>
          <w:szCs w:val="17"/>
          <w:color w:val="auto"/>
        </w:rPr>
        <w:t>We, and our clinical trial investigators, currently determine if serious adverse or unacceptable side effects are drug-related. The FDA or non-U.S. regulatory authorities may disagree with our or our clinical trial investigators’ interpretation of data from clinical trials and the conclusion by us or our clinical trial investigators that a serious adverse effect or unacceptable side effect was not drug-related. The FDA or non-U.S. regulatory authorities may require more information, including additional preclinical or clinical data to support approval, which may cause us to incur additional expenses, delay or prevent the approval of one of our drug candidates, and/or delay or cause us to change our commercialization plans, or we may decide to abandon the development or commercialization of the drug candidate altogether.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Changes in law could have a negative impact on the approval of our drug candidates.</w:t>
      </w:r>
    </w:p>
    <w:p>
      <w:pPr>
        <w:spacing w:after="0" w:line="117"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The FDA has established regulations, guidelines and policies to govern the drug development and approval process, as have foreign regulatory authorities. Any change in regulatory requirements resulting from the adoption of new legislation, regulations or policies may require us to amend existing clinical trial protocols or add new clinical trials to comply with these changes. Such amendments to existing protocols or clinical trial applications or the need for new ones, may significantly and adversely affect the cost, timing and completion of the clinical trials for our drug candidates. In addition, the FDA’s policies may change and additional government regulations may be issued that could prevent, limit or delay regulatory approval of our drug candidates, or impose more stringent product labeling and post-marketing testing and other requirements. If we are slow or unable to adapt to any such changes, our business, prospects and ability to achieve or sustain profitability would be adversely affected.</w:t>
      </w:r>
    </w:p>
    <w:p>
      <w:pPr>
        <w:spacing w:after="0" w:line="286"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Under the CURES Act and the Trump Administration’s regulatory reform initiatives, the FDA’s policies, regulations and guidance may be revised or revoked and that could prevent, limit or delay regulatory approval of our product candidates, which would impact our ability to generate revenue.</w:t>
      </w:r>
    </w:p>
    <w:p>
      <w:pPr>
        <w:spacing w:after="0" w:line="101" w:lineRule="exact"/>
        <w:rPr>
          <w:sz w:val="20"/>
          <w:szCs w:val="20"/>
          <w:color w:val="auto"/>
        </w:rPr>
      </w:pPr>
    </w:p>
    <w:p>
      <w:pPr>
        <w:ind w:right="80" w:firstLine="509"/>
        <w:spacing w:after="0" w:line="302" w:lineRule="auto"/>
        <w:rPr>
          <w:sz w:val="20"/>
          <w:szCs w:val="20"/>
          <w:color w:val="auto"/>
        </w:rPr>
      </w:pPr>
      <w:r>
        <w:rPr>
          <w:rFonts w:ascii="Arial" w:cs="Arial" w:eastAsia="Arial" w:hAnsi="Arial"/>
          <w:sz w:val="16"/>
          <w:szCs w:val="16"/>
          <w:color w:val="auto"/>
        </w:rPr>
        <w:t>In December 2016, the 21st Century Cures Act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54"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under-staffed FDA could result in delays in the FDA’s responsiveness or in its ability to review submissions or applications, issue regulations or guidance, or implement or enforce regulatory requirements in a timely fashion or at all. Moreover,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2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Delays in the commencement, enrollment and completion of our clinical trials could result in increased costs to us and delay or limit our ability to obtain regulatory approval for azeliragon and our other drug candidates.</w:t>
      </w:r>
    </w:p>
    <w:p>
      <w:pPr>
        <w:spacing w:after="0" w:line="62"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 xml:space="preserve">Delays in the commencement, enrollment and completion of clinical trials could increase our product development costs or limit the regulatory approval of our drug candidates. We do not know whether current or future clinical trials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or our other drug candidates will begin on time or at all or will be completed on schedule or at all. The commencement, enrollment and completion of our clinical trials can be delayed for a variety of reasons, including:</w:t>
      </w:r>
    </w:p>
    <w:p>
      <w:pPr>
        <w:spacing w:after="0" w:line="79" w:lineRule="exact"/>
        <w:rPr>
          <w:sz w:val="20"/>
          <w:szCs w:val="20"/>
          <w:color w:val="auto"/>
        </w:rPr>
      </w:pPr>
    </w:p>
    <w:p>
      <w:pPr>
        <w:ind w:left="500" w:right="60" w:hanging="492"/>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reach agreements on acceptable terms with prospective CROs and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objections to commencing a clinical trial;</w:t>
      </w:r>
    </w:p>
    <w:p>
      <w:pPr>
        <w:spacing w:after="0" w:line="117" w:lineRule="exact"/>
        <w:rPr>
          <w:rFonts w:ascii="Arial" w:cs="Arial" w:eastAsia="Arial" w:hAnsi="Arial"/>
          <w:sz w:val="18"/>
          <w:szCs w:val="18"/>
          <w:color w:val="auto"/>
        </w:rPr>
      </w:pPr>
    </w:p>
    <w:p>
      <w:pPr>
        <w:ind w:left="500" w:right="240" w:hanging="492"/>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trial sites, many of which may already be engaged in other clinical trial programs, including some that may be for the same indication as our drug candidates;</w:t>
      </w:r>
    </w:p>
    <w:p>
      <w:pPr>
        <w:spacing w:after="0" w:line="62" w:lineRule="exact"/>
        <w:rPr>
          <w:rFonts w:ascii="Arial" w:cs="Arial" w:eastAsia="Arial" w:hAnsi="Arial"/>
          <w:sz w:val="18"/>
          <w:szCs w:val="18"/>
          <w:color w:val="auto"/>
        </w:rPr>
      </w:pPr>
    </w:p>
    <w:p>
      <w:pPr>
        <w:ind w:left="500" w:right="60" w:hanging="492"/>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obtain institutional review board (“IRB”), approval to conduct a clinical trial;</w:t>
      </w:r>
    </w:p>
    <w:p>
      <w:pPr>
        <w:spacing w:after="0" w:line="117" w:lineRule="exact"/>
        <w:rPr>
          <w:rFonts w:ascii="Arial" w:cs="Arial" w:eastAsia="Arial" w:hAnsi="Arial"/>
          <w:sz w:val="18"/>
          <w:szCs w:val="18"/>
          <w:color w:val="auto"/>
        </w:rPr>
      </w:pPr>
    </w:p>
    <w:p>
      <w:pPr>
        <w:ind w:left="500" w:right="60" w:hanging="492"/>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recruiting and enrolling subjects to participate in clinical trials for a variety of reasons, including willingness of subjects to undergo required study procedures, meeting the enrollment criteria for our study and competition from other clinical trial programs for the same indication as our drug candidates;</w:t>
      </w:r>
    </w:p>
    <w:p>
      <w:pPr>
        <w:spacing w:after="0" w:line="73" w:lineRule="exact"/>
        <w:rPr>
          <w:rFonts w:ascii="Arial" w:cs="Arial" w:eastAsia="Arial" w:hAnsi="Arial"/>
          <w:sz w:val="18"/>
          <w:szCs w:val="18"/>
          <w:color w:val="auto"/>
        </w:rPr>
      </w:pPr>
    </w:p>
    <w:p>
      <w:pPr>
        <w:ind w:left="500" w:right="180" w:hanging="492"/>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recruit and retain subjects in clinical trials due to the treatment protocol, personal issues, side effects from the therapy or lack of efficacy;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in importing and exporting clinical trial materials and study samples.</w:t>
      </w:r>
    </w:p>
    <w:p>
      <w:pPr>
        <w:spacing w:after="0" w:line="225" w:lineRule="exact"/>
        <w:rPr>
          <w:sz w:val="20"/>
          <w:szCs w:val="20"/>
          <w:color w:val="auto"/>
        </w:rPr>
      </w:pPr>
    </w:p>
    <w:p>
      <w:pPr>
        <w:ind w:firstLine="509"/>
        <w:spacing w:after="0" w:line="297" w:lineRule="auto"/>
        <w:rPr>
          <w:sz w:val="20"/>
          <w:szCs w:val="20"/>
          <w:color w:val="auto"/>
        </w:rPr>
      </w:pPr>
      <w:r>
        <w:rPr>
          <w:rFonts w:ascii="Arial" w:cs="Arial" w:eastAsia="Arial" w:hAnsi="Arial"/>
          <w:sz w:val="16"/>
          <w:szCs w:val="16"/>
          <w:color w:val="auto"/>
        </w:rPr>
        <w:t>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that may be approved for the indications we are investigating. Furthermore, we rely on CROs and clinical trial sites to ensure the proper and timely conduct of our clinical trials and while we have agreements governing their committed activities, we have limited influence over their actual performance.</w:t>
      </w:r>
    </w:p>
    <w:p>
      <w:pPr>
        <w:spacing w:after="0" w:line="158" w:lineRule="exact"/>
        <w:rPr>
          <w:sz w:val="20"/>
          <w:szCs w:val="20"/>
          <w:color w:val="auto"/>
        </w:rPr>
      </w:pPr>
    </w:p>
    <w:p>
      <w:pPr>
        <w:ind w:right="100" w:firstLine="509"/>
        <w:spacing w:after="0" w:line="264"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the DSMB for such trial or by the FDA or other regulatory authorities. Such authorities may impose such a suspension or termination due to a number of factors, including:</w:t>
      </w:r>
    </w:p>
    <w:p>
      <w:pPr>
        <w:spacing w:after="0" w:line="73"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pass inspection of the clinical trial operations or trial sites by the FDA or other regulatory authorities;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of any contract manufacturing organizations (“CMOs”), that we use to comply with current Good Manufacturing Practices (“cGMPs”);</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a clinical trial presents unacceptable health risks;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demonstrate benefit from using the drug;</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regulatory requirement and guidance; or</w:t>
      </w:r>
    </w:p>
    <w:p>
      <w:pPr>
        <w:spacing w:after="0" w:line="117"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lack of adequate funding to continue the clinical trial due to unforeseen costs resulting from enrollment delays, requirements to conduct additional trials and studies, increased expenses associated with the services of our CROs and other third parties or other reasons.</w:t>
      </w:r>
    </w:p>
    <w:p>
      <w:pPr>
        <w:spacing w:after="0" w:line="14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one or more of our product candidates.</w:t>
      </w:r>
    </w:p>
    <w:p>
      <w:pPr>
        <w:spacing w:after="0" w:line="19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If we experience delays in the completion of, or termination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drug candidates.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submitted an NDA before and may be unable to do so for azeliragon and other drug candidates we are developing.</w:t>
      </w:r>
    </w:p>
    <w:p>
      <w:pPr>
        <w:spacing w:after="0" w:line="117" w:lineRule="exact"/>
        <w:rPr>
          <w:sz w:val="20"/>
          <w:szCs w:val="20"/>
          <w:color w:val="auto"/>
        </w:rPr>
      </w:pPr>
    </w:p>
    <w:p>
      <w:pPr>
        <w:ind w:right="220" w:firstLine="509"/>
        <w:spacing w:after="0" w:line="276" w:lineRule="auto"/>
        <w:rPr>
          <w:sz w:val="20"/>
          <w:szCs w:val="20"/>
          <w:color w:val="auto"/>
        </w:rPr>
      </w:pPr>
      <w:r>
        <w:rPr>
          <w:rFonts w:ascii="Arial" w:cs="Arial" w:eastAsia="Arial" w:hAnsi="Arial"/>
          <w:sz w:val="17"/>
          <w:szCs w:val="17"/>
          <w:color w:val="auto"/>
        </w:rPr>
        <w:t>The submission of a successful NDA is a complicated process. As a team, we have limited experience in preparing, submitting and prosecuting regulatory filings, and have not submitted an NDA before. Consequently, we may be unable to successfully and efficiently execute and complete clinical trials in a way that leads to an NDA submission and approval of any of our drug candidates. We may require more time and incur greater costs than our competitors and may not succeed in obtaining regulatory approvals of the drug candidates that we develop. Failure to commence or complete, or delays in, our planned clinical trials would prevent or delay commercialization of the drug candidates we are developing.</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6" w:name="page37"/>
    <w:bookmarkEnd w:id="36"/>
    <w:p>
      <w:pPr>
        <w:ind w:right="500"/>
        <w:spacing w:after="0" w:line="342" w:lineRule="auto"/>
        <w:rPr>
          <w:sz w:val="20"/>
          <w:szCs w:val="20"/>
          <w:color w:val="auto"/>
        </w:rPr>
      </w:pPr>
      <w:r>
        <w:rPr>
          <w:rFonts w:ascii="Arial" w:cs="Arial" w:eastAsia="Arial" w:hAnsi="Arial"/>
          <w:sz w:val="16"/>
          <w:szCs w:val="16"/>
          <w:b w:val="1"/>
          <w:bCs w:val="1"/>
          <w:i w:val="1"/>
          <w:iCs w:val="1"/>
          <w:color w:val="auto"/>
        </w:rPr>
        <w:t>Our drug candidates may cause serious adverse events or undesirable side effects which may delay or prevent marketing approval, or, if approval is received, require them to be taken off the market, require them to include safety warnings or otherwise limit their sales.</w:t>
      </w:r>
    </w:p>
    <w:p>
      <w:pPr>
        <w:spacing w:after="0" w:line="1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Serious adverse events or undesirable side effects from any of our drug candidates could arise either during clinical development or, if approved, after the approved product has been marketed. The results of future clinical trials may show that our drug candidates cause serious adverse events or undesirable side effects, which could interrupt, delay or halt clinical trials, resulting in delay of, or failure to obtain, marketing approval from the FDA and other regulatory authorities or could result in a more restrictive label if our drug candidates are approved.</w:t>
      </w:r>
    </w:p>
    <w:p>
      <w:pPr>
        <w:spacing w:after="0" w:line="18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If any of our drug candidates cause serious adverse events or undesirable side effects either during clinical development, or after marketing approval, if obtained:</w:t>
      </w:r>
    </w:p>
    <w:p>
      <w:pPr>
        <w:spacing w:after="0" w:line="62" w:lineRule="exact"/>
        <w:rPr>
          <w:sz w:val="20"/>
          <w:szCs w:val="20"/>
          <w:color w:val="auto"/>
        </w:rPr>
      </w:pPr>
    </w:p>
    <w:p>
      <w:pPr>
        <w:ind w:left="500" w:right="360" w:hanging="49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IRBs, or the DSMB may impose a clinical hold, or we may decide on our own to suspend or terminate a study, which could result in substantial delays and adversely impact our ability to continue development of the product;</w:t>
      </w:r>
    </w:p>
    <w:p>
      <w:pPr>
        <w:spacing w:after="0" w:line="62" w:lineRule="exact"/>
        <w:rPr>
          <w:rFonts w:ascii="Arial" w:cs="Arial" w:eastAsia="Arial" w:hAnsi="Arial"/>
          <w:sz w:val="18"/>
          <w:szCs w:val="18"/>
          <w:color w:val="auto"/>
        </w:rPr>
      </w:pPr>
    </w:p>
    <w:p>
      <w:pPr>
        <w:ind w:left="500" w:right="940" w:hanging="49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contraindications or field alerts to study subjects, investigators, physicians or pharmacies;</w:t>
      </w:r>
    </w:p>
    <w:p>
      <w:pPr>
        <w:spacing w:after="0" w:line="62" w:lineRule="exact"/>
        <w:rPr>
          <w:rFonts w:ascii="Arial" w:cs="Arial" w:eastAsia="Arial" w:hAnsi="Arial"/>
          <w:sz w:val="18"/>
          <w:szCs w:val="18"/>
          <w:color w:val="auto"/>
        </w:rPr>
      </w:pPr>
    </w:p>
    <w:p>
      <w:pPr>
        <w:ind w:left="500" w:right="40" w:hanging="49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change the product design or the way the product is administered, conduct additional clinical trials or change the labeling of the product;</w:t>
      </w:r>
    </w:p>
    <w:p>
      <w:pPr>
        <w:spacing w:after="0" w:line="62" w:lineRule="exact"/>
        <w:rPr>
          <w:rFonts w:ascii="Arial" w:cs="Arial" w:eastAsia="Arial" w:hAnsi="Arial"/>
          <w:sz w:val="18"/>
          <w:szCs w:val="18"/>
          <w:color w:val="auto"/>
        </w:rPr>
      </w:pPr>
    </w:p>
    <w:p>
      <w:pPr>
        <w:ind w:left="500" w:right="580" w:hanging="49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implement a REMS, which could result in substantial cost increases or signification limitations on distribution or have a negative impact on our ability to successfully commercialize the product;</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limit the patients who can receive the product;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subject to limitations on how we promote the product;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0" w:firstLine="509"/>
        <w:spacing w:after="0" w:line="264" w:lineRule="auto"/>
        <w:rPr>
          <w:sz w:val="20"/>
          <w:szCs w:val="20"/>
          <w:color w:val="auto"/>
        </w:rPr>
      </w:pPr>
      <w:r>
        <w:rPr>
          <w:rFonts w:ascii="Arial" w:cs="Arial" w:eastAsia="Arial" w:hAnsi="Arial"/>
          <w:sz w:val="18"/>
          <w:szCs w:val="18"/>
          <w:color w:val="auto"/>
        </w:rPr>
        <w:t>Any of these events could prevent us from obtaining approval, or achieving or maintaining market acceptance of the affected product, if approved, or could substantially increase commercialization costs and expenses, which in turn could delay or prevent us from generating significant revenues from the sale of our products.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Azeliragon and our other drug candidates employ novel mechanisms of action and may never be approved or accepted by their intended markets.</w:t>
      </w:r>
    </w:p>
    <w:p>
      <w:pPr>
        <w:spacing w:after="0" w:line="24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i w:val="1"/>
          <w:iCs w:val="1"/>
          <w:color w:val="auto"/>
        </w:rPr>
        <w:t xml:space="preserve">Azeliragon </w:t>
      </w:r>
      <w:r>
        <w:rPr>
          <w:rFonts w:ascii="Arial" w:cs="Arial" w:eastAsia="Arial" w:hAnsi="Arial"/>
          <w:sz w:val="18"/>
          <w:szCs w:val="18"/>
          <w:color w:val="auto"/>
        </w:rPr>
        <w:t>and a number of our other drug candidates have novel mechanisms of action.</w:t>
      </w:r>
      <w:r>
        <w:rPr>
          <w:rFonts w:ascii="Arial" w:cs="Arial" w:eastAsia="Arial" w:hAnsi="Arial"/>
          <w:sz w:val="18"/>
          <w:szCs w:val="18"/>
          <w:i w:val="1"/>
          <w:iCs w:val="1"/>
          <w:color w:val="auto"/>
        </w:rPr>
        <w:t xml:space="preserve"> Azeliragon </w:t>
      </w:r>
      <w:r>
        <w:rPr>
          <w:rFonts w:ascii="Arial" w:cs="Arial" w:eastAsia="Arial" w:hAnsi="Arial"/>
          <w:sz w:val="18"/>
          <w:szCs w:val="18"/>
          <w:color w:val="auto"/>
        </w:rPr>
        <w:t>targets RAGE, a novel mechanism of action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treatment of AD. We are not aware of any other products under development that target RAGE. Our future success depends on our ability to complete any future trials successfully, obtain market approval for and successfully commercialize our drug candidates, as well as our ability to develop and market those drug candidates. The scientific discoveries that form the basis of our drug candidates are relatively new. We are not aware of any other drugs for the treatment of AD that have the same mechanism of action as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and even if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is approved, physicians may not be willing to use it. If we do not successfully develop and commercialize drug candidates based upon our technological approach, we may not become profitable and the value of our common stock may decline.</w:t>
      </w:r>
    </w:p>
    <w:p>
      <w:pPr>
        <w:spacing w:after="0" w:line="189" w:lineRule="exact"/>
        <w:rPr>
          <w:sz w:val="20"/>
          <w:szCs w:val="20"/>
          <w:color w:val="auto"/>
        </w:rPr>
      </w:pPr>
    </w:p>
    <w:p>
      <w:pPr>
        <w:jc w:val="both"/>
        <w:ind w:right="220" w:firstLine="509"/>
        <w:spacing w:after="0" w:line="264" w:lineRule="auto"/>
        <w:rPr>
          <w:sz w:val="20"/>
          <w:szCs w:val="20"/>
          <w:color w:val="auto"/>
        </w:rPr>
      </w:pPr>
      <w:r>
        <w:rPr>
          <w:rFonts w:ascii="Arial" w:cs="Arial" w:eastAsia="Arial" w:hAnsi="Arial"/>
          <w:sz w:val="18"/>
          <w:szCs w:val="18"/>
          <w:color w:val="auto"/>
        </w:rPr>
        <w:t xml:space="preserve">Evidence of the effectiveness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in patients with type 2 diabetes is limited to post-hoc sub-group analyses generated in our STEADFAST Study and a single Phase 2b study. These results may not be replicated in future clinical trials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and the FDA may not approve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for commercial use.</w:t>
      </w:r>
    </w:p>
    <w:p>
      <w:pPr>
        <w:spacing w:after="0" w:line="181"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 xml:space="preserve">In addition, regulatory approval of novel drug candidates such as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and our other drug candidates using novel mechanisms of action can be more expensive and take longer than other, more well-known or extensively studied pharmaceutical or biopharmaceutical products, due to our and regulatory agencies’ lack of experience with them. We are not aware of the FDA reviewing any other products targeting RAGE as a mechanism of action to date. This lack of experience may lengthen the regulatory review process, require us to conduct additional studies or clinical trials, increase our development costs, lead to changes in regulatory positions and interpretations, delay or prevent approval and commercialization of these drug candidates or lead to significant post-approval limitations or restrictions.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trials for certain of our product candidates at sites outside the United States, and the FDA may not accept data from trials conducted in such locations.</w:t>
      </w:r>
    </w:p>
    <w:p>
      <w:pPr>
        <w:spacing w:after="0" w:line="17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We conducted a portion of the STEADFAST Study outside the United States. Also, we are required to conduct a portion of the Phase 2 MRCT outside the United States pursuant to the Huadong License Agreement. We may in the future choose to conduct additional clinical trials outside the United States. Although the FDA may accept data from clinical trials conducted outside the United States, acceptance of this data is subject to certain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Generally, the patient population for any clinical trials conducted outside of the United States must be representative of the population for whom we intend to seek approval in the United States.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United States. If the FDA does not accept the data from any of our clinical trials that we determine to conduct outside the United States, it would likely result in the need for additional trials, which would be costly and time-consuming and could delay or permanently halt the development of a product candidate.</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impact on us. Risks inherent in conducting international clinical trials include:</w:t>
      </w:r>
    </w:p>
    <w:p>
      <w:pPr>
        <w:spacing w:after="0" w:line="62"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regulatory requirements that could restrict or limit our ability to conduct our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foreign regulatory schema;</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exchange fluctuations;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particularly in Asia.</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Commercialization of Our Drug Candidates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any of our drug candidates for which we receive regulatory approval do not achieve broad market acceptance, the revenues that are generated from their sales will be limited.</w:t>
      </w:r>
    </w:p>
    <w:p>
      <w:pPr>
        <w:spacing w:after="0" w:line="170" w:lineRule="exact"/>
        <w:rPr>
          <w:sz w:val="20"/>
          <w:szCs w:val="20"/>
          <w:color w:val="auto"/>
        </w:rPr>
      </w:pPr>
    </w:p>
    <w:p>
      <w:pPr>
        <w:ind w:right="120" w:firstLine="509"/>
        <w:spacing w:after="0" w:line="342" w:lineRule="auto"/>
        <w:rPr>
          <w:sz w:val="20"/>
          <w:szCs w:val="20"/>
          <w:color w:val="auto"/>
        </w:rPr>
      </w:pPr>
      <w:r>
        <w:rPr>
          <w:rFonts w:ascii="Arial" w:cs="Arial" w:eastAsia="Arial" w:hAnsi="Arial"/>
          <w:sz w:val="16"/>
          <w:szCs w:val="16"/>
          <w:color w:val="auto"/>
        </w:rPr>
        <w:t>The commercial success of our drug candidates, if approved, will depend upon the acceptance of these products among physicians, healthcare payors, patients and others in the medical community. The degree of market acceptance of our drug candidates will depend on a number of factors, including:</w:t>
      </w:r>
    </w:p>
    <w:p>
      <w:pPr>
        <w:spacing w:after="0" w:line="16"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or warnings contained in a product’s FDA-approved labeling;</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standard of care or the availability of alternative therapies for the targeted indications for any of our drug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in the approved indications for our drug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significant adverse side effects;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education, sales, marketing and distribution support;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and degree of coverage and reimbursement from third-party payors;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alternative therapies at similar or lower cost, including generics, biosimilar and over-the-counter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publicity about our drug candidates or favorable publicity about competitive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convenience and ease of administration of our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product liability claims;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government-imposed pricing restrictions.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ind w:firstLine="509"/>
        <w:spacing w:after="0" w:line="312" w:lineRule="auto"/>
        <w:rPr>
          <w:sz w:val="20"/>
          <w:szCs w:val="20"/>
          <w:color w:val="auto"/>
        </w:rPr>
      </w:pPr>
      <w:r>
        <w:rPr>
          <w:rFonts w:ascii="Arial" w:cs="Arial" w:eastAsia="Arial" w:hAnsi="Arial"/>
          <w:sz w:val="16"/>
          <w:szCs w:val="16"/>
          <w:color w:val="auto"/>
        </w:rPr>
        <w:t>If our drug candidates are approved, but do not achieve an adequate level of acceptance by physicians, healthcare payors, patients and others in the medical community, sufficient revenue may not be generated from these products, and we may not become or remain profitable. In addition, efforts to educate the medical community and third-party payors on the benefits of our drug candidates may require significant resources and may not be successful.</w:t>
      </w:r>
    </w:p>
    <w:p>
      <w:pPr>
        <w:spacing w:after="0" w:line="25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w:t>
      </w:r>
    </w:p>
    <w:p>
      <w:pPr>
        <w:spacing w:after="0" w:line="147"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We do not have a sales or marketing infrastructure and have no experience in the sale or marketing of pharmaceutical drugs. To achieve commercial success for any approved drug for which sales and marketing is not the responsibility of any strategic collaborator that we may have in the future, we must either develop a sales and marketing organization or outsource these functions to other third parties. In the future, we may choose to build a sales and marketing infrastructure to market our drug candidates, if and when they are approved, or enter into collaborations with respect to the sale and marketing of our drug candidate.</w:t>
      </w:r>
    </w:p>
    <w:p>
      <w:pPr>
        <w:spacing w:after="0" w:line="188"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commercial launch of a drug candidate.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drugs on our own include:</w:t>
      </w:r>
    </w:p>
    <w:p>
      <w:pPr>
        <w:spacing w:after="0" w:line="117" w:lineRule="exact"/>
        <w:rPr>
          <w:sz w:val="20"/>
          <w:szCs w:val="20"/>
          <w:color w:val="auto"/>
        </w:rPr>
      </w:pPr>
    </w:p>
    <w:p>
      <w:pPr>
        <w:ind w:left="1000" w:hanging="492"/>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drugs;</w:t>
      </w:r>
    </w:p>
    <w:p>
      <w:pPr>
        <w:spacing w:after="0" w:line="128" w:lineRule="exact"/>
        <w:rPr>
          <w:rFonts w:ascii="Arial" w:cs="Arial" w:eastAsia="Arial" w:hAnsi="Arial"/>
          <w:sz w:val="17"/>
          <w:szCs w:val="17"/>
          <w:color w:val="auto"/>
        </w:rPr>
      </w:pPr>
    </w:p>
    <w:p>
      <w:pPr>
        <w:ind w:left="1000" w:right="220" w:hanging="492"/>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drug lines;</w:t>
      </w:r>
    </w:p>
    <w:p>
      <w:pPr>
        <w:spacing w:after="0" w:line="62" w:lineRule="exact"/>
        <w:rPr>
          <w:rFonts w:ascii="Arial" w:cs="Arial" w:eastAsia="Arial" w:hAnsi="Arial"/>
          <w:sz w:val="18"/>
          <w:szCs w:val="18"/>
          <w:color w:val="auto"/>
        </w:rPr>
      </w:pPr>
    </w:p>
    <w:p>
      <w:pPr>
        <w:ind w:left="1000" w:hanging="492"/>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22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Entering into arrangements with third parties to perform sales and marketing services may result in lower revenues from the sale of drug or the profitability of these revenues to us than if we were to market and sell any drugs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drugs effectively. If we do not establish sales and marketing capabilities successfully, either on our own or in collaboration with third parties, we will not be successful in commercializing our drug candidates.</w:t>
      </w:r>
    </w:p>
    <w:p>
      <w:pPr>
        <w:spacing w:after="0" w:line="3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Even if our drug candidates receive regulatory approval, we will still be subject to ongoing obligations and continued regulatory review, which may result in significant additional expense, and we may still face future development and regulatory difficulties.</w:t>
      </w:r>
    </w:p>
    <w:p>
      <w:pPr>
        <w:spacing w:after="0" w:line="170"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Even if regulatory approval is obtained for any of our drug candidates, regulatory authorities may still impose significant restrictions on a product’s indicated uses or marketing or impose ongoing requirements for potentially costly post-approval studies. Given the number of high profile adverse safety events with certain drug products, regulatory authorities may require, as a condition of approval, costly REMS, which may include safety surveillance, restricted distribution and use, patient education, enhanced labeling, expedited reporting of certain adverse events, pre-approval of promotional materials and restrictions on direct-to-consumer advertising. For example, any labeling approved for any of our drug candidates may include a restriction on the term of its use, or it may not include one or more of our intended indications or patient populations. Furthermore, any new legislation addressing drug safety issues could result in delays or increased costs during the period of product development, clinical trials and regulatory review and approval, as well as increased costs to assure compliance with any new post-approval regulatory requirements.</w:t>
      </w:r>
    </w:p>
    <w:p>
      <w:pPr>
        <w:spacing w:after="0" w:line="179"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drug candidates will also be subject to ongoing regulatory requirements for the labeling, packaging, storage, advertising, promotion, record-keeping and submission of safety and other post-market information. In addition, sellers of approved products, manufacturers and manufacturers’ facilities are required to comply with extensive FDA requirements, including ensuring that quality control and manufacturing procedures conform to cGMP. As such, we and our CMOs are subject to continual review and periodic inspections to assess compliance with cGMP and the terms and conditions of approvals. Accordingly, we and others with whom we work must continue to expend time, money and effort in all areas of regulatory compliance, including manufacturing, production and quality control. We will also be required to report certain adverse reactions and production problems, if any, to the FDA, and to comply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jc w:val="both"/>
        <w:ind w:right="80"/>
        <w:spacing w:after="0" w:line="264" w:lineRule="auto"/>
        <w:rPr>
          <w:sz w:val="20"/>
          <w:szCs w:val="20"/>
          <w:color w:val="auto"/>
        </w:rPr>
      </w:pPr>
      <w:r>
        <w:rPr>
          <w:rFonts w:ascii="Arial" w:cs="Arial" w:eastAsia="Arial" w:hAnsi="Arial"/>
          <w:sz w:val="18"/>
          <w:szCs w:val="18"/>
          <w:color w:val="auto"/>
        </w:rPr>
        <w:t>with certain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w:t>
      </w:r>
    </w:p>
    <w:p>
      <w:pPr>
        <w:spacing w:after="0" w:line="181" w:lineRule="exact"/>
        <w:rPr>
          <w:sz w:val="20"/>
          <w:szCs w:val="20"/>
          <w:color w:val="auto"/>
        </w:rPr>
      </w:pPr>
    </w:p>
    <w:p>
      <w:pPr>
        <w:ind w:right="60" w:firstLine="509"/>
        <w:spacing w:after="0" w:line="312" w:lineRule="auto"/>
        <w:rPr>
          <w:sz w:val="20"/>
          <w:szCs w:val="20"/>
          <w:color w:val="auto"/>
        </w:rPr>
      </w:pPr>
      <w:r>
        <w:rPr>
          <w:rFonts w:ascii="Arial" w:cs="Arial" w:eastAsia="Arial" w:hAnsi="Arial"/>
          <w:sz w:val="16"/>
          <w:szCs w:val="16"/>
          <w:color w:val="auto"/>
        </w:rPr>
        <w:t>If a regulatory agency discovers problems with a product, such as adverse events of unanticipated severity or frequency, or problems with the facility where the product is manufactured, or objects to the promotion, marketing or labeling of a product, it may impose restrictions on that product or us, including requiring withdrawal of the product from the market. If our drug candidates fail to comply with applicable regulatory requirements, a regulatory agency may:</w:t>
      </w:r>
    </w:p>
    <w:p>
      <w:pPr>
        <w:spacing w:after="0" w:line="39"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mandate modifications to promotional materials or require us to disseminate corrective information to healthcare practitioners or other parties;</w:t>
      </w:r>
    </w:p>
    <w:p>
      <w:pPr>
        <w:spacing w:after="0" w:line="128" w:lineRule="exact"/>
        <w:rPr>
          <w:rFonts w:ascii="Arial" w:cs="Arial" w:eastAsia="Arial" w:hAnsi="Arial"/>
          <w:sz w:val="17"/>
          <w:szCs w:val="17"/>
          <w:color w:val="auto"/>
        </w:rPr>
      </w:pPr>
    </w:p>
    <w:p>
      <w:pPr>
        <w:ind w:left="500" w:right="16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us to enter into a consent decree or permanent injunction,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25"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that our existing and future drug candidates will face competition, and most of our competitors have significantly greater resources than we do.</w:t>
      </w:r>
    </w:p>
    <w:p>
      <w:pPr>
        <w:spacing w:after="0" w:line="152"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 xml:space="preserve">The biopharmaceutical industry is characterized by intense competition and rapid innovation. Our potential competitors include large pharmaceutical and biotechnology companies, specialty pharmaceutical companies, generic or biosimilar drug companies, universities and other research institutions. Our drug candidates, if successfully developed and approved, will compete in crowded and competitive markets. In order to compete with approved products, our drug candidates will need to demonstrate compelling advantages. We believe the key competitive factors that will affect the development and commercial success of our drug candidates are efficacy, safety and tolerability profile, mechanism of action, control and predictability, convenience of dosing and price and reimbursement.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is being developed for use in the treatment of probable Alzheimer’s dementia in patients with type 2 diabetes. If approved for this indication, new competitors may emerge and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may face competition from several therapies currently in clinical development for AD that address different mechanisms of action than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and may serve as treatments for a broader population group than </w:t>
      </w:r>
      <w:r>
        <w:rPr>
          <w:rFonts w:ascii="Arial" w:cs="Arial" w:eastAsia="Arial" w:hAnsi="Arial"/>
          <w:sz w:val="16"/>
          <w:szCs w:val="16"/>
          <w:i w:val="1"/>
          <w:iCs w:val="1"/>
          <w:color w:val="auto"/>
        </w:rPr>
        <w:t>azeliragon</w:t>
      </w:r>
      <w:r>
        <w:rPr>
          <w:rFonts w:ascii="Arial" w:cs="Arial" w:eastAsia="Arial" w:hAnsi="Arial"/>
          <w:sz w:val="16"/>
          <w:szCs w:val="16"/>
          <w:color w:val="auto"/>
        </w:rPr>
        <w:t>.</w:t>
      </w:r>
    </w:p>
    <w:p>
      <w:pPr>
        <w:spacing w:after="0" w:line="58"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Potential competitors with products in late stage clinical development are Biogen Inc, with its drug candidate aducanumab and Roche with its drug candidate gantenerumab.</w:t>
      </w:r>
    </w:p>
    <w:p>
      <w:pPr>
        <w:spacing w:after="0" w:line="6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drug candidates TTP399 and TTP273, compounds for treating type 2 diabetes, would compete with both marketed non-insulin anti-diabetic medications and non-insulin anti-diabetic agents that are in clinical development. Competition is high among novel drug classes for the treatment of type 2 diabetes. Products that are currently available that may compete with TTP399 and TTP273 include DPP-4 inhibitors, such as sitagliptin or saxagliptin, SGLT-2 inhibitors, such as dapagliflozin and canagliflozin, and GLP-1 agonists, such as liraglutide and exenatide. Companies with GKAs in clinical development that may compete with TTP399 include Hua Medicine Ltd., Yabao Pharmaceutical Co, Inc., Pegbio Co. Ltd. and Teijin Pharma Limited. Oral GLP-1 agonists in clinical development that may compete with TTP273 include oral semaglutide being developed by Novo Nordisk A/S and ORMD-0901 being developed by Oramed.</w:t>
      </w:r>
    </w:p>
    <w:p>
      <w:pPr>
        <w:spacing w:after="0" w:line="81" w:lineRule="exact"/>
        <w:rPr>
          <w:sz w:val="20"/>
          <w:szCs w:val="20"/>
          <w:color w:val="auto"/>
        </w:rPr>
      </w:pPr>
    </w:p>
    <w:p>
      <w:pPr>
        <w:ind w:right="380" w:firstLine="509"/>
        <w:spacing w:after="0" w:line="264" w:lineRule="auto"/>
        <w:rPr>
          <w:sz w:val="20"/>
          <w:szCs w:val="20"/>
          <w:color w:val="auto"/>
        </w:rPr>
      </w:pPr>
      <w:r>
        <w:rPr>
          <w:rFonts w:ascii="Arial" w:cs="Arial" w:eastAsia="Arial" w:hAnsi="Arial"/>
          <w:sz w:val="18"/>
          <w:szCs w:val="18"/>
          <w:color w:val="auto"/>
        </w:rPr>
        <w:t>In type 1 diabetes, oral non-insulin agents that are currently being developed that may compete with TTP399 include SGLT-1/2 inhibitors, such as sotagliflozin, being developed by Sanofi/Lexicon and SGLT-2 inhibitors such as AstraZeneca’s dapagliflozin and Eli Lilly/ Boehringer Ingelheim’s empagliflozin.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ind w:left="520"/>
        <w:spacing w:after="0"/>
        <w:rPr>
          <w:sz w:val="20"/>
          <w:szCs w:val="20"/>
          <w:color w:val="auto"/>
        </w:rPr>
      </w:pPr>
      <w:r>
        <w:rPr>
          <w:rFonts w:ascii="Arial" w:cs="Arial" w:eastAsia="Arial" w:hAnsi="Arial"/>
          <w:sz w:val="18"/>
          <w:szCs w:val="18"/>
          <w:color w:val="auto"/>
        </w:rPr>
        <w:t>Many of our potential competitors have substantially greater:</w:t>
      </w:r>
    </w:p>
    <w:p>
      <w:pPr>
        <w:spacing w:after="0" w:line="117"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resources, including capital, personnel and technology;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research and development capability;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trial expertise;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expertise;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intellectual property rights, including patent rights;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expertise in obtaining, maintaining, defending and enforcing intellectual property rights, including patent rights;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manufacturing and distribution expertise;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and marketing expertise.</w:t>
      </w:r>
    </w:p>
    <w:p>
      <w:pPr>
        <w:spacing w:after="0" w:line="225" w:lineRule="exact"/>
        <w:rPr>
          <w:sz w:val="20"/>
          <w:szCs w:val="20"/>
          <w:color w:val="auto"/>
        </w:rPr>
      </w:pPr>
    </w:p>
    <w:p>
      <w:pPr>
        <w:jc w:val="both"/>
        <w:ind w:right="280" w:firstLine="509"/>
        <w:spacing w:after="0" w:line="264" w:lineRule="auto"/>
        <w:rPr>
          <w:sz w:val="20"/>
          <w:szCs w:val="20"/>
          <w:color w:val="auto"/>
        </w:rPr>
      </w:pPr>
      <w:r>
        <w:rPr>
          <w:rFonts w:ascii="Arial" w:cs="Arial" w:eastAsia="Arial" w:hAnsi="Arial"/>
          <w:sz w:val="18"/>
          <w:szCs w:val="18"/>
          <w:color w:val="auto"/>
        </w:rPr>
        <w:t>In addition, academic and government institutions are increasingly likely to enter into exclusive licensing agreements with commercial enterprises, including our competitors, to market commercial products based on technology developed at such institutions. Many of these competitors have significant products approved or in development that could be competitive with our products.</w:t>
      </w:r>
    </w:p>
    <w:p>
      <w:pPr>
        <w:spacing w:after="0" w:line="181" w:lineRule="exact"/>
        <w:rPr>
          <w:sz w:val="20"/>
          <w:szCs w:val="20"/>
          <w:color w:val="auto"/>
        </w:rPr>
      </w:pPr>
    </w:p>
    <w:p>
      <w:pPr>
        <w:ind w:right="40" w:firstLine="509"/>
        <w:spacing w:after="0" w:line="297" w:lineRule="auto"/>
        <w:rPr>
          <w:sz w:val="20"/>
          <w:szCs w:val="20"/>
          <w:color w:val="auto"/>
        </w:rPr>
      </w:pPr>
      <w:r>
        <w:rPr>
          <w:rFonts w:ascii="Arial" w:cs="Arial" w:eastAsia="Arial" w:hAnsi="Arial"/>
          <w:sz w:val="16"/>
          <w:szCs w:val="16"/>
          <w:color w:val="auto"/>
        </w:rPr>
        <w:t>Accordingly, our competitors may be more successful than us in obtaining regulatory approval for drugs and achieving widespread market acceptance. Our competitors’ drugs may be more effective, less costly, or more effectively marketed and sold, than any drug candidate we may commercialize and may render our drug candidates obsolete or non-competitive before we can recover the expenses of their development and commercialization. We anticipate that we will face intense and increasing competition as new drugs enter the market and advanced technologies become available. Finally, the development of new treatment methods for the diseases we are targeting could render our drug candidates non-competitive or obsolete.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cost containment initiatives and the growth of managed care may limit our revenues and profitability.</w:t>
      </w:r>
    </w:p>
    <w:p>
      <w:pPr>
        <w:spacing w:after="0" w:line="11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Our ability to commercialize our products successfully may be negatively affected by the ongoing efforts of governmental and third-party payors to contain the cost of health care. In the United States, there have been and continue to be a number of legislative initiatives to contain healthcare costs. For example, in March 2010, the Patient Protection and Affordable Care Act of 2010, as amended by the Health Care and Education Reconciliation Act (collectively, the “Affordable Care Act”), was passed, which substantially changes the way health care is financed by both governmental and private insurers, and significantly impacts the U.S. pharmaceutical industry. The Affordable Care Act,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established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93"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automatic reductions include aggregate reductions of Medicare payments to providers of 2% per fiscal year, which went into effect in April 2013 and, due to subsequent legislative amendments to the statute, will remain in effect through 2024 unless additional Congressional action is taken. On January 2, 2013, the American Taxpayer Relief Act of 2012 was signed into law, which, among other things, further reduced Medicare payments to several providers, including hospitals, imaging centers and cancer treatment centers.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spacing w:after="0" w:line="16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Both governmental and third-party payers are challenging the cost of healthcare products and services, denying or limiting coverage and reimbursement amounts for new therapeutic products, for FDA-approved products considered experimental or investigational or used for disease indications without FDA marketing approval. Any restrictions in coverage or reductions in reimbursement rates under government programs often result in reductions in reimbursement rates by insurance companies and other third-party payors.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ind w:right="120" w:firstLine="509"/>
        <w:spacing w:after="0" w:line="257" w:lineRule="auto"/>
        <w:rPr>
          <w:sz w:val="20"/>
          <w:szCs w:val="20"/>
          <w:color w:val="auto"/>
        </w:rPr>
      </w:pPr>
      <w:r>
        <w:rPr>
          <w:rFonts w:ascii="Arial" w:cs="Arial" w:eastAsia="Arial" w:hAnsi="Arial"/>
          <w:sz w:val="18"/>
          <w:szCs w:val="18"/>
          <w:color w:val="auto"/>
        </w:rPr>
        <w:t>Even if we succeed in bringing any of our drug candidates to the market, we may not be considered cost-effective, and governmental or third-party payor coverage and reimbursement might not be available or sufficient. If adequate governmental or third-party coverage or reimbursement is not available, we may not be able to maintain price levels sufficient to realize an appropriate return on our investment in research and product development. In addition, legislation and regulations affecting the pricing of pharmaceuticals may change in ways adverse to us before or after any of our proposed products are approved for marketing.</w:t>
      </w:r>
    </w:p>
    <w:p>
      <w:pPr>
        <w:spacing w:after="0" w:line="188" w:lineRule="exact"/>
        <w:rPr>
          <w:sz w:val="20"/>
          <w:szCs w:val="20"/>
          <w:color w:val="auto"/>
        </w:rPr>
      </w:pPr>
    </w:p>
    <w:p>
      <w:pPr>
        <w:ind w:right="300" w:firstLine="509"/>
        <w:spacing w:after="0" w:line="308" w:lineRule="auto"/>
        <w:rPr>
          <w:sz w:val="20"/>
          <w:szCs w:val="20"/>
          <w:color w:val="auto"/>
        </w:rPr>
      </w:pPr>
      <w:r>
        <w:rPr>
          <w:rFonts w:ascii="Arial" w:cs="Arial" w:eastAsia="Arial" w:hAnsi="Arial"/>
          <w:sz w:val="17"/>
          <w:szCs w:val="17"/>
          <w:color w:val="auto"/>
        </w:rPr>
        <w:t>Therefore, adverse changes in third-party payor coverage and reimbursement and/or new state and federal healthcare reform measures that may be adopted in the future could have a material adverse effect on our businesses, financial conditions and results of operations.</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future collaborators to obtain marketing approval of our other drug candidates and affect the prices we, or they, may obtain.</w:t>
      </w:r>
    </w:p>
    <w:p>
      <w:pPr>
        <w:spacing w:after="0" w:line="170" w:lineRule="exact"/>
        <w:rPr>
          <w:sz w:val="20"/>
          <w:szCs w:val="20"/>
          <w:color w:val="auto"/>
        </w:rPr>
      </w:pPr>
    </w:p>
    <w:p>
      <w:pPr>
        <w:ind w:right="60" w:firstLine="509"/>
        <w:spacing w:after="0" w:line="27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among other things, prevent or delay marketing approval of our drug candidates, 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173"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In the European Union, similar political, economic and regulatory developments may affect our ability to profitably commercialize our products. In addition to continuing pressure on prices and cost containment measures, legislative developments at the European Union or member state level may result in significant additional requirements or obstacles that may increase our operating costs.</w:t>
      </w:r>
    </w:p>
    <w:p>
      <w:pPr>
        <w:spacing w:after="0" w:line="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Moreover, legislative and regulatory proposals have also been made to expand post-approval requirements and restrict sales and promotional activities for pharmaceutical drugs. We cannot be sure whether additional legislative changes will be enacted, or whether the FDA regulations, guidance or interpretations will be changed, or what the impact of such changes on the marketing approvals of our drug candidates, if any, may be. In addition, increased scrutiny by the United States Congress of the FDA’s approval process may significantly delay or prevent marketing approval, as well as subject us and any future collaborators to more stringent drug labeling and post-marketing testing and other requirements.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any drugs that we may develop.</w:t>
      </w:r>
    </w:p>
    <w:p>
      <w:pPr>
        <w:spacing w:after="0" w:line="248"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drug candidates in human clinical trials and will face an even greater risk if we commercially sell any drugs that we may develop. If we cannot successfully defend ourselves against claims that our drug candidates or drugs caused injuries, we will incur substantial liabilities. Regardless of merit or eventual outcome, liability claims may result in:</w:t>
      </w:r>
    </w:p>
    <w:p>
      <w:pPr>
        <w:spacing w:after="0" w:line="57"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drug candidates or drugs that we may develop;</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drugs that we may develop.</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2" w:name="page43"/>
    <w:bookmarkEnd w:id="42"/>
    <w:p>
      <w:pPr>
        <w:jc w:val="both"/>
        <w:ind w:right="180" w:firstLine="509"/>
        <w:spacing w:after="0" w:line="312" w:lineRule="auto"/>
        <w:rPr>
          <w:sz w:val="20"/>
          <w:szCs w:val="20"/>
          <w:color w:val="auto"/>
        </w:rPr>
      </w:pPr>
      <w:r>
        <w:rPr>
          <w:rFonts w:ascii="Arial" w:cs="Arial" w:eastAsia="Arial" w:hAnsi="Arial"/>
          <w:sz w:val="16"/>
          <w:szCs w:val="16"/>
          <w:color w:val="auto"/>
        </w:rPr>
        <w:t>We currently hold clinical trial liability insurance coverage, but that coverage may not be adequate to cover any and all liabilities that we may incur. We would need to increase our insurance coverage when we begin the commercialization of our drug candidates, if ever. Insurance coverage is increasingly expensive. We may not be able to maintain insurance coverage at a reasonable cost or in an amount adequate to satisfy any liability that may arise.</w:t>
      </w:r>
    </w:p>
    <w:p>
      <w:pPr>
        <w:spacing w:after="0" w:line="25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Our current and future relationships with healthcare professionals, principal investigators, consultants, customers (actual and potential) and third-party payors in the United States and elsewhere may be subject, directly or indirectly, to applicable healthcare laws and regulations.</w:t>
      </w:r>
    </w:p>
    <w:p>
      <w:pPr>
        <w:spacing w:after="0" w:line="124"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drug candidates for which we obtain marketing approval. Our current and future arrangements with healthcare professionals, principal investigators, consultants, customers (actual and potential) and third-party payors may expose us to broadly applicable fraud and abuse and other healthcare laws, including, without limitation:</w:t>
      </w:r>
    </w:p>
    <w:p>
      <w:pPr>
        <w:spacing w:after="0" w:line="79" w:lineRule="exact"/>
        <w:rPr>
          <w:sz w:val="20"/>
          <w:szCs w:val="20"/>
          <w:color w:val="auto"/>
        </w:rPr>
      </w:pPr>
    </w:p>
    <w:p>
      <w:pPr>
        <w:ind w:left="500" w:right="20" w:hanging="492"/>
        <w:spacing w:after="0" w:line="269"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Food, Drug and Cosmetic Act (“FDCA”) is the statute that provides the FDA with authority to oversee the safety and approval of pharmaceutical products. The FDCA vests authority with FDA to conduct inspections sponsors conducting pharmaceutical development, such as vTv, to protect the rights, safety and welfare of clinical trial subjects, ensure the accuracy and reliability of clinical trial data, and verify compliance with FDA regulations. The FDCA sets forth the standards for approval of new and generic drugs, as well as setting forth the prohibition on marketing investigational products that have not been approved by the FDA as safe and effective. The government (FDA and SEC) use the FDCA to ensure that companies do not mislead the medical, patient or investor communities about investigational products prior to their approval. To that end, the FDCA prohibits “off-label promotion” of any investigational or approved product for any uses, doses or populations, except that set forth in the full prescribing information approved by the FDA. While physicians can prescribe a product for any dose, purpose or population in their medical judgment, manufacturers can only market products for their FDA-approved dose, purpose and population. There are significant civil and criminal penalties that attach to violations of the FDCA, including strict liability misdemeanors for responsible corporate officers, even if such officers were not involved in or aware of the underlying wrongdoing;</w:t>
      </w:r>
    </w:p>
    <w:p>
      <w:pPr>
        <w:spacing w:after="0" w:line="74" w:lineRule="exact"/>
        <w:rPr>
          <w:rFonts w:ascii="Arial" w:cs="Arial" w:eastAsia="Arial" w:hAnsi="Arial"/>
          <w:sz w:val="17"/>
          <w:szCs w:val="17"/>
          <w:color w:val="auto"/>
        </w:rPr>
      </w:pPr>
    </w:p>
    <w:p>
      <w:pPr>
        <w:ind w:left="500" w:right="20" w:hanging="492"/>
        <w:spacing w:after="0" w:line="255"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 A person or entity does not need to have actual knowledge of the statute or specific intent to violate it to have committed a violation. In addition, the Affordable Care Act provided that the government may assert that a claim including items or services resulting from a violation of the federal Anti-Kickback Statute constitutes a false or fraudulent claim for purposes of the False Claims Act;</w:t>
      </w:r>
    </w:p>
    <w:p>
      <w:pPr>
        <w:spacing w:after="0" w:line="81" w:lineRule="exact"/>
        <w:rPr>
          <w:rFonts w:ascii="Arial" w:cs="Arial" w:eastAsia="Arial" w:hAnsi="Arial"/>
          <w:sz w:val="18"/>
          <w:szCs w:val="18"/>
          <w:color w:val="auto"/>
        </w:rPr>
      </w:pPr>
    </w:p>
    <w:p>
      <w:pPr>
        <w:ind w:left="500" w:right="400" w:hanging="492"/>
        <w:spacing w:after="0" w:line="259"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federal False Claims Act, which impose criminal and civil penalties, including civil whistleblower actions, against individuals or entities for, among other things,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500" w:right="80" w:hanging="492"/>
        <w:spacing w:after="0" w:line="25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Foreign Corrupt Practices Act that prohibits payments to foreign public officials relating to official acts. In addition to its prohibition on bribery of foreign government officials, the Act requires companies to maintain accurate records and have vigorous internal controls. The DOJ and SEC have made FCPA enforcement a high priority. In addition, other anti-corruption laws such as the UK Bribery Act are even broader than the FCPA in that they apply to bribes offered to any person, not just government officials. There are significant criminal and civil penalties and fines that attach to violations of the FCPA;</w:t>
      </w:r>
    </w:p>
    <w:p>
      <w:pPr>
        <w:spacing w:after="0" w:line="80" w:lineRule="exact"/>
        <w:rPr>
          <w:rFonts w:ascii="Arial" w:cs="Arial" w:eastAsia="Arial" w:hAnsi="Arial"/>
          <w:sz w:val="18"/>
          <w:szCs w:val="18"/>
          <w:color w:val="auto"/>
        </w:rPr>
      </w:pPr>
    </w:p>
    <w:p>
      <w:pPr>
        <w:ind w:left="500" w:right="100" w:hanging="492"/>
        <w:spacing w:after="0" w:line="26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73" w:lineRule="exact"/>
        <w:rPr>
          <w:rFonts w:ascii="Arial" w:cs="Arial" w:eastAsia="Arial" w:hAnsi="Arial"/>
          <w:sz w:val="18"/>
          <w:szCs w:val="18"/>
          <w:color w:val="auto"/>
        </w:rPr>
      </w:pPr>
    </w:p>
    <w:p>
      <w:pPr>
        <w:ind w:left="500" w:hanging="492"/>
        <w:spacing w:after="0" w:line="272"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healthcare benefit program, willfully obstructing a criminal investigation of a healthcare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specific intent to violate it to have committed a violation;</w:t>
      </w:r>
    </w:p>
    <w:p>
      <w:pPr>
        <w:spacing w:after="0" w:line="69" w:lineRule="exact"/>
        <w:rPr>
          <w:rFonts w:ascii="Arial" w:cs="Arial" w:eastAsia="Arial" w:hAnsi="Arial"/>
          <w:sz w:val="17"/>
          <w:szCs w:val="17"/>
          <w:color w:val="auto"/>
        </w:rPr>
      </w:pPr>
    </w:p>
    <w:p>
      <w:pPr>
        <w:ind w:left="500" w:right="160" w:hanging="492"/>
        <w:spacing w:after="0" w:line="259"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obligations on covered entities, including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 w:name="page44"/>
    <w:bookmarkEnd w:id="43"/>
    <w:p>
      <w:pPr>
        <w:ind w:left="500" w:hanging="492"/>
        <w:spacing w:after="0" w:line="264"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Physician Payments Sunshine Act and its implementing regulations, which imposed annual reporting requirements for certain manufacturers of drugs, devices, biologicals and medical supplies for payments and “transfers of value” provided to physicians and teaching hospitals, as well as ownership and investment interests held by physicians and their immediate family members; and</w:t>
      </w:r>
    </w:p>
    <w:p>
      <w:pPr>
        <w:spacing w:after="0" w:line="73" w:lineRule="exact"/>
        <w:rPr>
          <w:rFonts w:ascii="Arial" w:cs="Arial" w:eastAsia="Arial" w:hAnsi="Arial"/>
          <w:sz w:val="18"/>
          <w:szCs w:val="18"/>
          <w:color w:val="auto"/>
        </w:rPr>
      </w:pPr>
    </w:p>
    <w:p>
      <w:pPr>
        <w:ind w:left="500" w:right="40" w:hanging="492"/>
        <w:spacing w:after="0" w:line="291"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analogous state and foreign laws,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6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Efforts to ensure that our future business arrangements with third parties will comply with applicable healthcare laws and regulations may involve substantial costs. It is possible that governmental authorities will conclude that our business activities, including our relationships with physician consultants, some of whom may prescribe our product candidates, if approved, in the future,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and the curtailment or restructuring of our operations, which could significantly harm our business.</w:t>
      </w:r>
    </w:p>
    <w:p>
      <w:pPr>
        <w:spacing w:after="0" w:line="297"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If we try to obtain approval to commercialize any products outside the United States, many of the same risks that apply to obtaining approvals in the United States will likely apply to such a process, and even if we obtain approval to commercialize any such products outside of the United States, a variety of risks associated with international operations could materially adversely affect our business.</w:t>
      </w:r>
    </w:p>
    <w:p>
      <w:pPr>
        <w:spacing w:after="0" w:line="166" w:lineRule="exact"/>
        <w:rPr>
          <w:sz w:val="20"/>
          <w:szCs w:val="20"/>
          <w:color w:val="auto"/>
        </w:rPr>
      </w:pPr>
    </w:p>
    <w:p>
      <w:pPr>
        <w:ind w:right="100" w:firstLine="509"/>
        <w:spacing w:after="0" w:line="302" w:lineRule="auto"/>
        <w:rPr>
          <w:sz w:val="20"/>
          <w:szCs w:val="20"/>
          <w:color w:val="auto"/>
        </w:rPr>
      </w:pPr>
      <w:r>
        <w:rPr>
          <w:rFonts w:ascii="Arial" w:cs="Arial" w:eastAsia="Arial" w:hAnsi="Arial"/>
          <w:sz w:val="16"/>
          <w:szCs w:val="16"/>
          <w:color w:val="auto"/>
        </w:rPr>
        <w:t xml:space="preserve">If we try to obtain approval to commercialize any of our products outside the United States, many of the same risks with respect to obtaining such approvals in the United States will apply to that process. If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or any of our other drug candidates are approved for commercialization outside of the United States, we intend to enter into agreements with third parties to market them on a worldwide basis or in more limited geographical regions. In that event, we expect that we will be subject to additional risks related to entering into international business relationships, including:</w:t>
      </w:r>
    </w:p>
    <w:p>
      <w:pPr>
        <w:spacing w:after="0" w:line="46"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including trade secret and patent rights;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existing tariffs, trade barriers and regulatory requirements and expected or unexpected changes;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foreign economies and markets;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500" w:right="54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or less common than in the United States;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500" w:right="20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hurricanes, floods and fires;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difficulty in importing and exporting clinical trial materials and study samples.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Dependence on Third Parties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not succeed in establishing and maintaining collaborative relationships, which may significantly limit our ability to develop and commercialize our drug candidates successfully, if at all.</w:t>
      </w:r>
    </w:p>
    <w:p>
      <w:pPr>
        <w:spacing w:after="0" w:line="170"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 xml:space="preserve">We intend to seek collaborative relationships for the development and commercialization of our drug candidates, including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Failure to obtain a collaborative relationship for </w:t>
      </w:r>
      <w:r>
        <w:rPr>
          <w:rFonts w:ascii="Arial" w:cs="Arial" w:eastAsia="Arial" w:hAnsi="Arial"/>
          <w:sz w:val="18"/>
          <w:szCs w:val="18"/>
          <w:i w:val="1"/>
          <w:iCs w:val="1"/>
          <w:color w:val="auto"/>
        </w:rPr>
        <w:t>azeliragon</w:t>
      </w:r>
      <w:r>
        <w:rPr>
          <w:rFonts w:ascii="Arial" w:cs="Arial" w:eastAsia="Arial" w:hAnsi="Arial"/>
          <w:sz w:val="18"/>
          <w:szCs w:val="18"/>
          <w:color w:val="auto"/>
        </w:rPr>
        <w:t>, particularly in the European Union and for other markets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4" w:name="page45"/>
    <w:bookmarkEnd w:id="44"/>
    <w:p>
      <w:pPr>
        <w:ind w:right="100"/>
        <w:spacing w:after="0" w:line="264" w:lineRule="auto"/>
        <w:rPr>
          <w:sz w:val="20"/>
          <w:szCs w:val="20"/>
          <w:color w:val="auto"/>
        </w:rPr>
      </w:pPr>
      <w:r>
        <w:rPr>
          <w:rFonts w:ascii="Arial" w:cs="Arial" w:eastAsia="Arial" w:hAnsi="Arial"/>
          <w:sz w:val="18"/>
          <w:szCs w:val="18"/>
          <w:color w:val="auto"/>
        </w:rPr>
        <w:t>requiring extensive sales efforts, may significantly impair the potential for this drug candidate. We also will need to enter into collaborative relationships to provide funding to support our other research and development programs. The process of establishing and maintaining collaborative relationships is difficult, time-consuming and involves significant uncertainty, including:</w:t>
      </w:r>
    </w:p>
    <w:p>
      <w:pPr>
        <w:spacing w:after="0" w:line="73" w:lineRule="exact"/>
        <w:rPr>
          <w:sz w:val="20"/>
          <w:szCs w:val="20"/>
          <w:color w:val="auto"/>
        </w:rPr>
      </w:pPr>
    </w:p>
    <w:p>
      <w:pPr>
        <w:ind w:left="500" w:right="66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collaboration partner may shift its priorities and resources away from our drug candidates due to a change in business strategies, or a merger, acquisition, sale or downsizing;</w:t>
      </w:r>
    </w:p>
    <w:p>
      <w:pPr>
        <w:spacing w:after="0" w:line="62" w:lineRule="exact"/>
        <w:rPr>
          <w:rFonts w:ascii="Arial" w:cs="Arial" w:eastAsia="Arial" w:hAnsi="Arial"/>
          <w:sz w:val="18"/>
          <w:szCs w:val="18"/>
          <w:color w:val="auto"/>
        </w:rPr>
      </w:pPr>
    </w:p>
    <w:p>
      <w:pPr>
        <w:ind w:left="500" w:right="28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collaboration partner may seek to renegotiate or terminate their relationships with us due to unsatisfactory clinical results, manufacturing issues, a change in business strategy, a change of control or other reasons;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collaboration partner may cease development in therapeutic areas which are the subject of our strategic collaboration;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collaboration partner may not devote sufficient capital or resources towards our drug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collaboration partner may change the success criteria for a drug candidate thereby delaying or ceasing development of such candidate;</w:t>
      </w:r>
    </w:p>
    <w:p>
      <w:pPr>
        <w:spacing w:after="0" w:line="117" w:lineRule="exact"/>
        <w:rPr>
          <w:rFonts w:ascii="Arial" w:cs="Arial" w:eastAsia="Arial" w:hAnsi="Arial"/>
          <w:sz w:val="18"/>
          <w:szCs w:val="18"/>
          <w:color w:val="auto"/>
        </w:rPr>
      </w:pPr>
    </w:p>
    <w:p>
      <w:pPr>
        <w:ind w:left="500" w:right="4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significant delay in initiation of certain development activities by a collaboration partner will also delay payment of milestones tied to such activities, thereby impacting our ability to fund our own activities;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collaboration partner could develop a product that competes, either directly or indirectly, with our drug candidate;</w:t>
      </w:r>
    </w:p>
    <w:p>
      <w:pPr>
        <w:spacing w:after="0" w:line="117" w:lineRule="exact"/>
        <w:rPr>
          <w:rFonts w:ascii="Arial" w:cs="Arial" w:eastAsia="Arial" w:hAnsi="Arial"/>
          <w:sz w:val="18"/>
          <w:szCs w:val="18"/>
          <w:color w:val="auto"/>
        </w:rPr>
      </w:pPr>
    </w:p>
    <w:p>
      <w:pPr>
        <w:ind w:left="500" w:right="28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collaboration partner with commercialization obligations may not commit sufficient financial or human resources to the marketing, distribution or sale of a product;</w:t>
      </w:r>
    </w:p>
    <w:p>
      <w:pPr>
        <w:spacing w:after="0" w:line="62" w:lineRule="exact"/>
        <w:rPr>
          <w:rFonts w:ascii="Arial" w:cs="Arial" w:eastAsia="Arial" w:hAnsi="Arial"/>
          <w:sz w:val="18"/>
          <w:szCs w:val="18"/>
          <w:color w:val="auto"/>
        </w:rPr>
      </w:pPr>
    </w:p>
    <w:p>
      <w:pPr>
        <w:ind w:left="500" w:right="66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collaboration partner with manufacturing responsibilities may encounter regulatory, resource or quality issues and be unable to meet demand requirements;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partner may exercise a contractual right to terminate a strategic alliance;</w:t>
      </w:r>
    </w:p>
    <w:p>
      <w:pPr>
        <w:spacing w:after="0" w:line="117" w:lineRule="exact"/>
        <w:rPr>
          <w:rFonts w:ascii="Arial" w:cs="Arial" w:eastAsia="Arial" w:hAnsi="Arial"/>
          <w:sz w:val="18"/>
          <w:szCs w:val="18"/>
          <w:color w:val="auto"/>
        </w:rPr>
      </w:pPr>
    </w:p>
    <w:p>
      <w:pPr>
        <w:ind w:left="500" w:right="300" w:hanging="492"/>
        <w:spacing w:after="0" w:line="26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dispute may arise between us and a partner concerning the research, development or commercialization of a drug candidate resulting in a delay in milestones, royalty payments or termination of an alliance and possibly resulting in costly litigation or arbitration which may divert management attention and resources; and</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partner may use our products or technology in such a way as to invite litigation from a third party.</w:t>
      </w:r>
    </w:p>
    <w:p>
      <w:pPr>
        <w:spacing w:after="0" w:line="22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Any collaborative partners we enter into agreements with in the future may shift their priorities and resources away from our drug candidates or seek to renegotiate or terminate their relationships with us. If any collaborator fails to fulfill its responsibilities in a timely manner, or at all, our research, clinical development, manufacturing or commercialization efforts related to that collaboration could be delayed or terminated, or it may be necessary for us to assume responsibility for expenses or activities that would otherwise have been the responsibility of our collaborator. If we are unable to establish and maintain collaborative relationships on acceptable terms or to successfully transition terminated collaborative agreements, we may have to delay or discontinue further development of one or more of our drug candidates, undertake development and commercialization activities at our own expense or find alternative sources of capital.</w:t>
      </w:r>
    </w:p>
    <w:p>
      <w:pPr>
        <w:spacing w:after="0" w:line="2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supervise and monitor certain of our clinical trials, and if those third parties perform in an unsatisfactory manner, it may harm our business.</w:t>
      </w:r>
    </w:p>
    <w:p>
      <w:pPr>
        <w:spacing w:after="0" w:line="170"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We rely on contract research organizations (“CROs”) and clinical trial sites to ensure the proper and timely conduct of certain of our clinical trials. While we have agreements governing their activities, and continue to monitor their compliance with those agreements as well as federal standards and regulations, we have limited influence over their actual performance. We will control only certain aspects of our CROs’ activities. Nevertheless, we will be responsible for ensuring that our clinical trials are conducted in accordance with the applicable protocol, legal, regulatory and scientific standards and our reliance on the CROs does not relieve us of our regulatory responsibilities.</w:t>
      </w:r>
    </w:p>
    <w:p>
      <w:pPr>
        <w:spacing w:after="0" w:line="188"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We and our CROs are required to comply with the FDA’s good clinical practices requirements (“GCPs”) for conducting, recording and reporting the results of clinical trials to assure that data and reported results are credible and accurate and that the rights, integrity and confidentiality of clinical trial participants are protected. The FDA enforces these GCPs through periodic inspections of trial sponsors, principal investigators and clinical trial sites. If we or our CROs fail to comply with applicable GCPs, the clinical data generated in our clinical trials may be deemed unreliable and the FDA may require us to perform additional clinical trials before approving any marketing applications. Upon inspection, the FDA may determine that our clinical trials did not comply with GCPs. In addition, our clinical trials conducted by third parties will require a sufficiently large number of test subjects to evaluate the safety and effectiveness of a drug candidate. Accordingly, if our CROs fail to comply with these regulations or fail to recruit a sufficient number of patients, our clinical trials may be delayed or we may be required to repeat such clinical trials, which would delay the regulatory approval process.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right="20" w:firstLine="509"/>
        <w:spacing w:after="0" w:line="273" w:lineRule="auto"/>
        <w:rPr>
          <w:sz w:val="20"/>
          <w:szCs w:val="20"/>
          <w:color w:val="auto"/>
        </w:rPr>
      </w:pPr>
      <w:r>
        <w:rPr>
          <w:rFonts w:ascii="Arial" w:cs="Arial" w:eastAsia="Arial" w:hAnsi="Arial"/>
          <w:sz w:val="17"/>
          <w:szCs w:val="17"/>
          <w:color w:val="auto"/>
        </w:rPr>
        <w:t>Our CROs are not our employees, and although we monitor their activities related to our trials, we are not able to control whether or not they devote sufficient time and resources to our clinical trials.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drug candidates. As a result, our financial results and the commercial prospects for such drug candidates would be harmed, our costs could increase, and our ability to generate revenues could be delayed.</w:t>
      </w:r>
    </w:p>
    <w:p>
      <w:pPr>
        <w:spacing w:after="0" w:line="178" w:lineRule="exact"/>
        <w:rPr>
          <w:sz w:val="20"/>
          <w:szCs w:val="20"/>
          <w:color w:val="auto"/>
        </w:rPr>
      </w:pPr>
    </w:p>
    <w:p>
      <w:pPr>
        <w:ind w:right="20" w:firstLine="509"/>
        <w:spacing w:after="0" w:line="264" w:lineRule="auto"/>
        <w:rPr>
          <w:sz w:val="20"/>
          <w:szCs w:val="20"/>
          <w:color w:val="auto"/>
        </w:rPr>
      </w:pPr>
      <w:r>
        <w:rPr>
          <w:rFonts w:ascii="Arial" w:cs="Arial" w:eastAsia="Arial" w:hAnsi="Arial"/>
          <w:sz w:val="18"/>
          <w:szCs w:val="18"/>
          <w:color w:val="auto"/>
        </w:rPr>
        <w:t>We also rely on other third parties to store and distribute drug products for our clinical trials. Any performance failure on the part of our distributors could delay clinical development or marketing approval of our drug candidates or commercialization of our products, if approved, producing additional losses and depriving us of potential product revenue.</w:t>
      </w:r>
    </w:p>
    <w:p>
      <w:pPr>
        <w:spacing w:after="0" w:line="28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We do not have multiple sources of supply for the components used in azeliragon and our other drug candidates. If we were to lose a supplier, it could have a material adverse effect on our ability to complete the development of azeliragon or our other drug candidates. If we obtain regulatory approval for azeliragon or our other drug candidates we would need to expand the supply of its components in order to commercialize them.</w:t>
      </w:r>
    </w:p>
    <w:p>
      <w:pPr>
        <w:spacing w:after="0" w:line="39"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do not have multiple sources of supply for the components used in our drug candidates. We also do not have long-term supply agreements with any of our suppliers. If for any reason we are unable to obtain drug substance or drug product from the manufacturers we select, we would have to seek to obtain these from other manufacturers. We may not be able to establish additional sources of supply for our drug candidates, or may be unable to do so on acceptable terms. Such suppliers are subject to regulatory requirements, covering manufacturing, testing, quality control and record keeping relating to our drug candidates and subject to ongoing inspections by the regulatory agencies. Failure by any of our suppliers to comply with applicable regulations may result in long delays and interruptions.</w:t>
      </w:r>
    </w:p>
    <w:p>
      <w:pPr>
        <w:spacing w:after="0" w:line="193" w:lineRule="exact"/>
        <w:rPr>
          <w:sz w:val="20"/>
          <w:szCs w:val="20"/>
          <w:color w:val="auto"/>
        </w:rPr>
      </w:pPr>
    </w:p>
    <w:p>
      <w:pPr>
        <w:ind w:right="160" w:firstLine="509"/>
        <w:spacing w:after="0" w:line="264" w:lineRule="auto"/>
        <w:rPr>
          <w:sz w:val="20"/>
          <w:szCs w:val="20"/>
          <w:color w:val="auto"/>
        </w:rPr>
      </w:pPr>
      <w:r>
        <w:rPr>
          <w:rFonts w:ascii="Arial" w:cs="Arial" w:eastAsia="Arial" w:hAnsi="Arial"/>
          <w:sz w:val="18"/>
          <w:szCs w:val="18"/>
          <w:color w:val="auto"/>
        </w:rPr>
        <w:t>The number of suppliers of the raw material components of our drug candidates is limited. In the event it is necessary or desirable to acquire supplies from an alternative supplier, we might not be able to obtain them on commercially reasonable terms, if at all. It could also require significant time and expense to redesign our manufacturing processes to work with another company.</w:t>
      </w:r>
    </w:p>
    <w:p>
      <w:pPr>
        <w:spacing w:after="0" w:line="18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As part of any marketing approval, a manufacturer and its processes are required to be qualified by the FDA prior to commercialization. If supply from the approved supplier is interrupted, there could be a significant disruption in commercial supply. An alternative vendor would need to be qualified through an NDA amendment or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88" w:lineRule="exact"/>
        <w:rPr>
          <w:sz w:val="20"/>
          <w:szCs w:val="20"/>
          <w:color w:val="auto"/>
        </w:rPr>
      </w:pPr>
    </w:p>
    <w:p>
      <w:pPr>
        <w:ind w:right="520" w:firstLine="509"/>
        <w:spacing w:after="0" w:line="308" w:lineRule="auto"/>
        <w:rPr>
          <w:sz w:val="20"/>
          <w:szCs w:val="20"/>
          <w:color w:val="auto"/>
        </w:rPr>
      </w:pPr>
      <w:r>
        <w:rPr>
          <w:rFonts w:ascii="Arial" w:cs="Arial" w:eastAsia="Arial" w:hAnsi="Arial"/>
          <w:sz w:val="17"/>
          <w:szCs w:val="17"/>
          <w:color w:val="auto"/>
        </w:rPr>
        <w:t>If we are unable to obtain the supplies we need at a reasonable price or on a timely basis, it could have a material adverse effect on our ability to complete the development of our drug candidates or, if we obtain regulatory approval for our drug candidates, to commercialize them.</w:t>
      </w:r>
    </w:p>
    <w:p>
      <w:pPr>
        <w:spacing w:after="0" w:line="25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drug candidates. If we experience problems with any of these suppliers, the manufacturing of our drug candidates or products could be delayed.</w:t>
      </w:r>
    </w:p>
    <w:p>
      <w:pPr>
        <w:spacing w:after="0" w:line="62"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We do not have the capability to manufacture our drug candidates and do not intend to develop that capability. In order to continue to develop our drug candidates, apply for regulatory approvals and ultimately commercialize products, we need to develop, contract for or otherwise arrange for the necessary manufacturing capabilities. The facilities used by our CMOs to manufacture our drug candidates must be approved by the FDA pursuant to inspections that will be conducted after we submit our NDA to the FDA. We do not control the manufacturing process of, and are completely dependent on, our contract manufacturing partners for compliance with the regulatory requirements, known as cGMPs, for manufacture of both active drug substances and finished drug products. If our CMOs cannot successfully manufacture material that conforms to our specifications and the regulatory requirements of the FDA or others, they will not be able to secure and/or maintain regulatory approval for their manufacturing facilities. In addition, although we monitor our suppliers and their compliance with our contractual terms and federal laws and regulations, we do not control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73"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addition, there are a limited number of manufacturers that operate under the FDA’s cGMP regulations capable of manufacturing our drug candidates. As a result, we may have difficulty finding manufacturers for our drug candidates with adequate capacity for our needs. If we are unable to arrange for third-party manufacturing of our drug candidates on a timely basis, or to do so on commercially reasonable terms, we may not be able to complete development of our drug candidates or market them.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ind w:left="520"/>
        <w:spacing w:after="0"/>
        <w:rPr>
          <w:sz w:val="20"/>
          <w:szCs w:val="20"/>
          <w:color w:val="auto"/>
        </w:rPr>
      </w:pPr>
      <w:r>
        <w:rPr>
          <w:rFonts w:ascii="Arial" w:cs="Arial" w:eastAsia="Arial" w:hAnsi="Arial"/>
          <w:sz w:val="17"/>
          <w:szCs w:val="17"/>
          <w:color w:val="auto"/>
        </w:rPr>
        <w:t>Reliance on third-party manufacturers entails risks to which we might not be subject if we manufactured drug candidates ourselves, including:</w:t>
      </w:r>
    </w:p>
    <w:p>
      <w:pPr>
        <w:spacing w:after="0" w:line="129"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limited number of manufacturers that could produce our drug candidates for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meet our product specifications and quality requirements consistently;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access production facilities on a timely basis;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or delay in increasing manufacturing capacity;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manufacturing and product quality issues related to scale-up of manufacturing;</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commercial level activity;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failure to satisfy the FDA’s cGMP requirements and similar foreign standards on a consistent basis;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is costly or damaging to us;</w:t>
      </w:r>
    </w:p>
    <w:p>
      <w:pPr>
        <w:spacing w:after="0" w:line="117" w:lineRule="exact"/>
        <w:rPr>
          <w:rFonts w:ascii="Arial" w:cs="Arial" w:eastAsia="Arial" w:hAnsi="Arial"/>
          <w:sz w:val="18"/>
          <w:szCs w:val="18"/>
          <w:color w:val="auto"/>
        </w:rPr>
      </w:pPr>
    </w:p>
    <w:p>
      <w:pPr>
        <w:ind w:left="500" w:right="22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reliance on a single source of supply which, if unavailable, would delay our ability to complete our clinical trials or to sell any product for which we have received marketing approval;</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lack of qualified backup suppliers for supplies that are currently purchased from a single source supplier;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failure to deliver products under specified storage conditions and in a timely manner.</w:t>
      </w:r>
    </w:p>
    <w:p>
      <w:pPr>
        <w:spacing w:after="0" w:line="225"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Any of these risks could cause the delay of clinical trials, regulatory submissions, required approvals or commercialization of our products, cause us to incur higher costs and prevent us from commercializing our drug candidates successfully. Manufacturing of our drug candidates and any approved products could be disrupted or halted if our third-party manufacturers do not comply with cGMP or foreign manufacturing standards, even if the compliance failure does not relate to our drug candidates or approved products. Furthermore, if any of our drug candidates are approved and our third-party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our drug candidates and to have any such new source approved by the FDA or a foreign regulator.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commercial success will depend in part on our ability to:</w:t>
      </w:r>
    </w:p>
    <w:p>
      <w:pPr>
        <w:spacing w:after="0" w:line="117"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apply for, obtain, maintain and enforce patents;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protect trade secrets and other confidential and proprietary information;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operate without infringing upon the proprietary rights of others.</w:t>
      </w:r>
    </w:p>
    <w:p>
      <w:pPr>
        <w:spacing w:after="0" w:line="225" w:lineRule="exact"/>
        <w:rPr>
          <w:sz w:val="20"/>
          <w:szCs w:val="20"/>
          <w:color w:val="auto"/>
        </w:rPr>
      </w:pPr>
    </w:p>
    <w:p>
      <w:pPr>
        <w:jc w:val="both"/>
        <w:ind w:right="120" w:firstLine="509"/>
        <w:spacing w:after="0" w:line="259" w:lineRule="auto"/>
        <w:rPr>
          <w:sz w:val="20"/>
          <w:szCs w:val="20"/>
          <w:color w:val="auto"/>
        </w:rPr>
      </w:pPr>
      <w:r>
        <w:rPr>
          <w:rFonts w:ascii="Arial" w:cs="Arial" w:eastAsia="Arial" w:hAnsi="Arial"/>
          <w:sz w:val="18"/>
          <w:szCs w:val="18"/>
          <w:color w:val="auto"/>
        </w:rPr>
        <w:t>We will be able to protect our proprietary technology from unauthorized use by third parties only to the extent that such proprietary rights are covered by regulatory exclusivity, valid and enforceable patents or are effectively maintained as trade secrets. Any non-confidential disclosure to or misappropriation by third parties of our confidential or proprietary information could enable competitors to quickly duplicate or surpass our technological achievements, thus eroding our competitive position in our market.</w:t>
      </w:r>
    </w:p>
    <w:p>
      <w:pPr>
        <w:spacing w:after="0" w:line="187" w:lineRule="exact"/>
        <w:rPr>
          <w:sz w:val="20"/>
          <w:szCs w:val="20"/>
          <w:color w:val="auto"/>
        </w:rPr>
      </w:pPr>
    </w:p>
    <w:p>
      <w:pPr>
        <w:jc w:val="both"/>
        <w:ind w:right="60" w:firstLine="509"/>
        <w:spacing w:after="0" w:line="312" w:lineRule="auto"/>
        <w:rPr>
          <w:sz w:val="20"/>
          <w:szCs w:val="20"/>
          <w:color w:val="auto"/>
        </w:rPr>
      </w:pPr>
      <w:r>
        <w:rPr>
          <w:rFonts w:ascii="Arial" w:cs="Arial" w:eastAsia="Arial" w:hAnsi="Arial"/>
          <w:sz w:val="16"/>
          <w:szCs w:val="16"/>
          <w:color w:val="auto"/>
        </w:rPr>
        <w:t>As of December 31, 2018, we were the owner of record of 63 issued U.S. patents and at least 320 issued non-U.S. patents, as well as the licensee of at least 3 issued U.S. patents and at least 33 issued non-U.S. patents. As of December 31, 2018, we were actively pursuing 23 U.S. patent applications, of which eight are provisional and 15 are non-provisional and at least 87 non-U.S. patent applications in twelve or more jurisdictions as the owner of record.</w:t>
      </w:r>
    </w:p>
    <w:p>
      <w:pPr>
        <w:spacing w:after="0" w:line="147" w:lineRule="exact"/>
        <w:rPr>
          <w:sz w:val="20"/>
          <w:szCs w:val="20"/>
          <w:color w:val="auto"/>
        </w:rPr>
      </w:pPr>
    </w:p>
    <w:p>
      <w:pPr>
        <w:ind w:right="320" w:firstLine="509"/>
        <w:spacing w:after="0" w:line="259" w:lineRule="auto"/>
        <w:rPr>
          <w:sz w:val="20"/>
          <w:szCs w:val="20"/>
          <w:color w:val="auto"/>
        </w:rPr>
      </w:pPr>
      <w:r>
        <w:rPr>
          <w:rFonts w:ascii="Arial" w:cs="Arial" w:eastAsia="Arial" w:hAnsi="Arial"/>
          <w:sz w:val="18"/>
          <w:szCs w:val="18"/>
          <w:color w:val="auto"/>
        </w:rPr>
        <w:t>The patent application process, also known as patent prosecution, is expensive and time-consuming, and we and our current or future licensors and licensees may not be able to prepare, file and prosecute all necessary or desirable patent applications at a reasonable cost or in a timely manner. It is also possible that we or our current licensors or licensees, or any future licensors or licensees, will fail to identify patentable aspects of inventions made in the course of development and commercialization activities before it is too late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right="20"/>
        <w:spacing w:after="0" w:line="270" w:lineRule="auto"/>
        <w:rPr>
          <w:sz w:val="20"/>
          <w:szCs w:val="20"/>
          <w:color w:val="auto"/>
        </w:rPr>
      </w:pPr>
      <w:r>
        <w:rPr>
          <w:rFonts w:ascii="Arial" w:cs="Arial" w:eastAsia="Arial" w:hAnsi="Arial"/>
          <w:sz w:val="17"/>
          <w:szCs w:val="17"/>
          <w:color w:val="auto"/>
        </w:rPr>
        <w:t>obtain patent protection on them. Therefore, these and any of our patents and patent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or inventorship. If we or our current licensors or licensees, or any future licensors or licensees, fail to establish, maintain or protect such patents and other intellectual property rights, such rights may be reduced or eliminated. Moreover, in some circumstances, we may not have the right to control the preparation, filing and prosecution of patent applications, or to maintain the patents, covering technology that we license from or license to third parties. Therefore, such patents and patent applications may not be prosecuted and enforced in a manner consistent with the best interests of our business. If our current licensors or licensees, or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harm our business.</w:t>
      </w:r>
    </w:p>
    <w:p>
      <w:pPr>
        <w:spacing w:after="0" w:line="178"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color w:val="auto"/>
        </w:rPr>
        <w:t>The patent applications that we own or license may fail to result in issued patents in the United States or in other countries. Even if patents do issue on such patent applications, third parties may challenge the validity, enforceability or scope thereof, which may result in such patents being narrowed, invalidated or held unenforceable. For example, U.S. patents can be challenged by any person before the United States Patent and Trademark Office (“USPTO”) Patent Trial and Appeals Board at any time within the one year period following that person’s receipt of an allegation of infringement of the patents. Patents granted by the European Patent Office may be similarly opposed by any person within nine months from the publication of the grant. Similar proceedings are available in other jurisdictions.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harm our business. Further, if we encounter delays in our clinical trials, the period of time during which we or our collaborators could market our product candidates under patent protection would be reduced.</w:t>
      </w:r>
    </w:p>
    <w:p>
      <w:pPr>
        <w:spacing w:after="0" w:line="173"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62"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might not have been the first to invent or the first to file the inventions covered by each of our pending patent applications and issued patents;</w:t>
      </w:r>
    </w:p>
    <w:p>
      <w:pPr>
        <w:spacing w:after="0" w:line="128" w:lineRule="exact"/>
        <w:rPr>
          <w:rFonts w:ascii="Arial" w:cs="Arial" w:eastAsia="Arial" w:hAnsi="Arial"/>
          <w:sz w:val="17"/>
          <w:szCs w:val="17"/>
          <w:color w:val="auto"/>
        </w:rPr>
      </w:pPr>
    </w:p>
    <w:p>
      <w:pPr>
        <w:ind w:left="500" w:right="140" w:hanging="492"/>
        <w:spacing w:after="0" w:line="308"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others may be able to make, use, sell, offer to sell or import products that are similar to our products or product candidates but that are not covered by the claims of our patents; others may independently develop similar or alternative technologies or duplicate any of our technologies;</w:t>
      </w:r>
    </w:p>
    <w:p>
      <w:pPr>
        <w:spacing w:after="0" w:line="38" w:lineRule="exact"/>
        <w:rPr>
          <w:rFonts w:ascii="Arial" w:cs="Arial" w:eastAsia="Arial" w:hAnsi="Arial"/>
          <w:sz w:val="17"/>
          <w:szCs w:val="17"/>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proprietary rights of others may have an adverse effect on our business;</w:t>
      </w:r>
    </w:p>
    <w:p>
      <w:pPr>
        <w:spacing w:after="0" w:line="117" w:lineRule="exact"/>
        <w:rPr>
          <w:rFonts w:ascii="Arial" w:cs="Arial" w:eastAsia="Arial" w:hAnsi="Arial"/>
          <w:sz w:val="18"/>
          <w:szCs w:val="18"/>
          <w:color w:val="auto"/>
        </w:rPr>
      </w:pPr>
    </w:p>
    <w:p>
      <w:pPr>
        <w:ind w:left="500" w:right="8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proprietary rights we do obtain may not encompass commercially viable products, may not provide us with any competitive advantages or may be challenged by third parties;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patents we obtain or our in-licensed issued patents may not be valid or enforceable;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develop additional technologies or products that are patentable or suitable to maintain as trade secrets.</w:t>
      </w:r>
    </w:p>
    <w:p>
      <w:pPr>
        <w:spacing w:after="0" w:line="225" w:lineRule="exact"/>
        <w:rPr>
          <w:sz w:val="20"/>
          <w:szCs w:val="20"/>
          <w:color w:val="auto"/>
        </w:rPr>
      </w:pPr>
    </w:p>
    <w:p>
      <w:pPr>
        <w:ind w:right="80" w:firstLine="509"/>
        <w:spacing w:after="0" w:line="302" w:lineRule="auto"/>
        <w:rPr>
          <w:sz w:val="20"/>
          <w:szCs w:val="20"/>
          <w:color w:val="auto"/>
        </w:rPr>
      </w:pPr>
      <w:r>
        <w:rPr>
          <w:rFonts w:ascii="Arial" w:cs="Arial" w:eastAsia="Arial" w:hAnsi="Arial"/>
          <w:sz w:val="16"/>
          <w:szCs w:val="16"/>
          <w:color w:val="auto"/>
        </w:rPr>
        <w:t>If we or our current licensors or licensees, or any future licensors or licensees, fail to prosecute, maintain and enforce patent protection for our product candidates, our ability to develop and commercialize our product candidates could be harmed and we might not be able to prevent competitors from making, using and selling competing products. This failure to properly protect the intellectual property rights relating to our product candidates could harm our business, financial condition and operating results. Moreover, our competitors may independently develop equivalent knowledge, methods and know-how.</w:t>
      </w:r>
    </w:p>
    <w:p>
      <w:pPr>
        <w:spacing w:after="0" w:line="154"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Even where laws provide protection, costly and time-consuming litigation could be necessary to enforce and determine the scope of our proprietary rights, and the outcome of such litigation would be uncertain. If we or one of our collaborators were to initiate legal proceedings against a third party to enforce a patent covering the product candidate, the defendant could assert an affirmative defense or counterclaim that our patent is not infringed, invalid and/or unenforceable. In patent litigation in the United States, defendant defenses and counterclaims alleging noninfringement, invalidity and/or unenforceability are commonplace. Grounds for a validity challenge could be an alleged failure to meet any of several statutory requirements, including lack of novelty, anticipation or obviousness, and lack of written description, definiteness or enablement. Patents may be unenforceable if someone connected with prosecution of the patent withheld material information from the USPTO, or made a misleading statement, during prosecution. The outcomes of proceedings involving assertions of invalidity and unenforceability are unpredictable. It is possible that prior art of which we and the patent examiner were unaware during prosecution exists, which would render our patents invalid. Moreover, it is also possible that prior art may exist that we are aware of, but that we do not believe are relevant to our current or future patents, that could nevertheless be determined to</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jc w:val="both"/>
        <w:ind w:right="180"/>
        <w:spacing w:after="0" w:line="279" w:lineRule="auto"/>
        <w:rPr>
          <w:sz w:val="20"/>
          <w:szCs w:val="20"/>
          <w:color w:val="auto"/>
        </w:rPr>
      </w:pPr>
      <w:r>
        <w:rPr>
          <w:rFonts w:ascii="Arial" w:cs="Arial" w:eastAsia="Arial" w:hAnsi="Arial"/>
          <w:sz w:val="17"/>
          <w:szCs w:val="17"/>
          <w:color w:val="auto"/>
        </w:rPr>
        <w:t>render our patents invalid. If a defendant were to prevail on a legal assertion of invalidity and/or unenforceability of our patents covering one of our product candidates, we would lose at least part, and perhaps all, of the patent protection on such product candidate. Such a loss of patent protection would harm our business. Moreover, our competitors could counterclaim in any suit to enforce our patents that we infringe their intellectual property. Furthermore, some of our competitors have substantially greater intellectual property portfolios, and resources, than we do.</w:t>
      </w:r>
    </w:p>
    <w:p>
      <w:pPr>
        <w:spacing w:after="0" w:line="17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Our ability to stop third parties from using our technology or making, using, selling, offering to sell or importing our products is dependent upon the extent to which we have rights under valid and enforceable patents that cover these activities. If any patent we currently or in the future may own or license is deemed not infringed, invalid or unenforceable, it could impact our commercial success. We cannot predict the breadth of claims that may be issued from any patent applications we currently or may in the future own or license from third parties.</w:t>
      </w:r>
    </w:p>
    <w:p>
      <w:pPr>
        <w:spacing w:after="0" w:line="187" w:lineRule="exact"/>
        <w:rPr>
          <w:sz w:val="20"/>
          <w:szCs w:val="20"/>
          <w:color w:val="auto"/>
        </w:rPr>
      </w:pPr>
    </w:p>
    <w:p>
      <w:pPr>
        <w:ind w:right="160" w:firstLine="509"/>
        <w:spacing w:after="0" w:line="276" w:lineRule="auto"/>
        <w:rPr>
          <w:sz w:val="20"/>
          <w:szCs w:val="20"/>
          <w:color w:val="auto"/>
        </w:rPr>
      </w:pPr>
      <w:r>
        <w:rPr>
          <w:rFonts w:ascii="Arial" w:cs="Arial" w:eastAsia="Arial" w:hAnsi="Arial"/>
          <w:sz w:val="17"/>
          <w:szCs w:val="17"/>
          <w:color w:val="auto"/>
        </w:rPr>
        <w:t>To the extent that consultants or key employees apply technological information independently developed by them or by others to our product candidates, disputes may arise as to who has the proprietary rights to such information and product candidates, and certain of such disputes may not be resolved in our favor. Consultants and key employees that work with our confidential and proprietary technologies are required to assign all intellectual property rights in their inventions and discoveries created during the scope of their work to our company. However, these consultants or key employees may terminate their relationship with us, and we cannot preclude them indefinitely from dealing with our competitors.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prevent disclosure of our trade secrets or other confidential information to third parties, our competitive position may be impaired.</w:t>
      </w:r>
    </w:p>
    <w:p>
      <w:pPr>
        <w:spacing w:after="0" w:line="140" w:lineRule="exact"/>
        <w:rPr>
          <w:sz w:val="20"/>
          <w:szCs w:val="20"/>
          <w:color w:val="auto"/>
        </w:rPr>
      </w:pPr>
    </w:p>
    <w:p>
      <w:pPr>
        <w:ind w:right="140" w:firstLine="509"/>
        <w:spacing w:after="0" w:line="290"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Our ability to stop third parties from obtaining the information or know-how necessary to make, use, sell, offer to sell or import our products or practice our technology is dependent in part upon the extent to which we prevent disclosure of the trade secrets that cover these activities. Trade secret rights can be lost through disclosure to third parties. Although we use reasonable efforts to protect our trade secrets, our employees, consultants, contractors, outside scientific collaborators and other advisors may unintentionally or willfully disclose our trade secrets to third parties, resulting in loss of trade secret protection. Moreover, our competitors may independently develop equivalent knowledge, methods and know-how, which would not constitute a violation of our trade secret rights. Enforcing a claim that a third party is engaged in the unlawful use of our trade secrets is expensive, difficult and time consuming, and the outcome is unpredictable. In addition, recognition of rights in trade secrets and a willingness to enforce trade secrets differs in certain jurisdictions.</w:t>
      </w:r>
    </w:p>
    <w:p>
      <w:pPr>
        <w:spacing w:after="0" w:line="27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to the patent laws in the United States and other jurisdictions could diminish the value of patents in general, thereby impairing our ability to protect our products.</w:t>
      </w:r>
    </w:p>
    <w:p>
      <w:pPr>
        <w:spacing w:after="0" w:line="62" w:lineRule="exact"/>
        <w:rPr>
          <w:sz w:val="20"/>
          <w:szCs w:val="20"/>
          <w:color w:val="auto"/>
        </w:rPr>
      </w:pPr>
    </w:p>
    <w:p>
      <w:pPr>
        <w:jc w:val="both"/>
        <w:ind w:right="200" w:firstLine="509"/>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w:t>
      </w:r>
    </w:p>
    <w:p>
      <w:pPr>
        <w:spacing w:after="0" w:line="181"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it will be costly and time consuming, and an unfavorable outcome in that litigation could harm our business.</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Our commercial success depends significantly on our ability to operate without infringing, violating or misappropriating the patents and other proprietary rights of third parties. Our own technologies may infringe, violate or misappropriate the patents or other proprietary rights of third parties, or we may be subject to third-party claims of such infringement. Numerous U.S. and foreign issued patents and pending patent applications owned by third parties, exist in the fields in which we are developing our product candidates. Because some patent applications may be maintained in secrecy until the patents are issued, because publication of patent applications is often delayed, and because publications in the scientific literature often lag behind actual discoveries, we cannot be certain that we were the first to invent the technology or that others have not filed patent applications for technology covered by our pending applications. We may not be aware of patents that have already issued that a third party might assert are infringed by our product candidates. It is also possible that patents of which we are aware, but which we do not believe are relevant to our product candidates, could nevertheless be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spacing w:after="0" w:line="286" w:lineRule="auto"/>
        <w:rPr>
          <w:sz w:val="20"/>
          <w:szCs w:val="20"/>
          <w:color w:val="auto"/>
        </w:rPr>
      </w:pPr>
      <w:r>
        <w:rPr>
          <w:rFonts w:ascii="Arial" w:cs="Arial" w:eastAsia="Arial" w:hAnsi="Arial"/>
          <w:sz w:val="17"/>
          <w:szCs w:val="17"/>
          <w:color w:val="auto"/>
        </w:rPr>
        <w:t>found to be infringed by our product candidates. Moreover, we may face Inter Partes Review (“IPR”) proceedings before the USPTO or patent infringement claims from non-practicing entities that have no relevant product revenue and against whom our own patent portfolio may thus have no deterrent effect. In the future, we may agree to indemnify our manufacturing partners against certain intellectual property claims brought by third parties.</w:t>
      </w:r>
    </w:p>
    <w:p>
      <w:pPr>
        <w:spacing w:after="0" w:line="166"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Intellectual property litigation involves many risks and uncertainties, and there is no assurance that we will prevail in any lawsuit brought against us. Third parties making claims against us for infringement, violation or misappropriation of their intellectual property rights may seek and obtain injunctive or other equitable relief, which could effectively block our ability 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resources from our business. In the event of a successful claim of any such infringement, violation or misappropriation, we may need to obtain licenses from such third parties and we and our partners may be prevented from pursuing product development or commercialization and/or may be required to pay damages. We cannot be certain that any licenses required under such patents or proprietary rights would be made available to us, or that any offer to license would be made available to us on commercially reasonable terms. If we cannot obtain such licenses, we and our collaborators may be restricted or prevented from manufacturing and selling products employing our technology. These adverse results, if they occur, could adversely affect our business, results of operations and prospects, and the value of our shares.</w:t>
      </w:r>
    </w:p>
    <w:p>
      <w:pPr>
        <w:spacing w:after="0" w:line="29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biotechnology and pharmaceutical industries have been characterized by extensive litigation regarding patents and other intellectual property rights. The defense and prosecution of contractual or intellectual property lawsuits, USPTO interference or derivation proceedings, European Patent Office oppositions and related legal and administrative proceedings in the United States, Europe and other countries, involve complex legal and factual questions. As a result, such proceedings may be costly and time-consuming to pursue and their outcome is uncertain.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Litigation may be necessary to:</w:t>
      </w:r>
    </w:p>
    <w:p>
      <w:pPr>
        <w:spacing w:after="0" w:line="117"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protect and enforce our patents and any future patents issuing on our patent applications;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enforce or clarify the terms of the licenses we have granted or been granted or may grant or be granted in the future;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protect and enforce trade secrets, know-how and other proprietary rights that we own or have licensed, or may license in the future;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third parties and defend against alleged patent infringement.</w:t>
      </w:r>
    </w:p>
    <w:p>
      <w:pPr>
        <w:spacing w:after="0" w:line="225"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Competitors may infringe our intellectual property. As a result, we may be required to file infringement claims to stop third-party infringement 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178" w:lineRule="exact"/>
        <w:rPr>
          <w:sz w:val="20"/>
          <w:szCs w:val="20"/>
          <w:color w:val="auto"/>
        </w:rPr>
      </w:pPr>
    </w:p>
    <w:p>
      <w:pPr>
        <w:ind w:firstLine="509"/>
        <w:spacing w:after="0" w:line="297" w:lineRule="auto"/>
        <w:rPr>
          <w:sz w:val="20"/>
          <w:szCs w:val="20"/>
          <w:color w:val="auto"/>
        </w:rPr>
      </w:pPr>
      <w:r>
        <w:rPr>
          <w:rFonts w:ascii="Arial" w:cs="Arial" w:eastAsia="Arial" w:hAnsi="Arial"/>
          <w:sz w:val="16"/>
          <w:szCs w:val="16"/>
          <w:color w:val="auto"/>
        </w:rPr>
        <w:t>IPR, interference, derivation or other proceedings brought at the USPTO, may be necessary to determine the priority or patentability of inventions with respect to our patent applications or those of our licensors or potential collaborators. Litigation or USPTO proceedings brought by us may fail or may be invoked against us by third parties.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w:t>
      </w:r>
    </w:p>
    <w:p>
      <w:pPr>
        <w:spacing w:after="0" w:line="158"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0" w:name="page51"/>
    <w:bookmarkEnd w:id="50"/>
    <w:p>
      <w:pPr>
        <w:jc w:val="both"/>
        <w:ind w:right="200" w:firstLine="509"/>
        <w:spacing w:after="0" w:line="264" w:lineRule="auto"/>
        <w:rPr>
          <w:sz w:val="20"/>
          <w:szCs w:val="20"/>
          <w:color w:val="auto"/>
        </w:rPr>
      </w:pPr>
      <w:r>
        <w:rPr>
          <w:rFonts w:ascii="Arial" w:cs="Arial" w:eastAsia="Arial" w:hAnsi="Arial"/>
          <w:sz w:val="18"/>
          <w:szCs w:val="18"/>
          <w:color w:val="auto"/>
        </w:rPr>
        <w:t>Some of our competitors may be able to sustain the costs of patent-related disputes, including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laws of some countries outside of the United States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80"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29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do not obtain patent term extensions for our drug candidates, the length of our patent exclusivity will be shorter which may harm our business materially.</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 xml:space="preserve">Depending upon the timing, duration and specifics of any FDA marketing approval of our drug candidates, one or more of our U.S. patents may be eligible for limited patent term extension under the Drug Price Competition and Patent Term Restoration Act of 1984 (“Hatch-Waxman Act”).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applicable to each regulatory review period may be granted an extension,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For example, the U.S. patent providing composition of matter protection for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is scheduled to expire in 2024, but if we obtain the maximum possible extension in the United States, a period of patent extension for the approved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product could extend as late as 2029. If we are unable to obtain patent term extension or the term of any such extension is less than we request, our competitors may obtain approval of competing products following the original expiration dates of our patents, and our business may be materially harmed.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expand our operations and increase the size of our company, and we may experience difficulties in managing growth.</w:t>
      </w:r>
    </w:p>
    <w:p>
      <w:pPr>
        <w:spacing w:after="0" w:line="12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As we advance our drug candidates through preclinical studies and clinical trials and develop new drug candidates, we may need to increase our product development, scientific and administrative headcount to manage these programs. If we commercialize our products, we may need to expand our staff further, particularly in sales and marketing. See “—Risks Relating to the Commercialization of Our Drug Candidates.” We do not presently have the capability to sell, distribute and market our drug candidates. If we are unable to establish an effective sales force and marketing infrastructure, or enter into acceptable third-party sales and marketing or licensing arrangements, we may not be able to commercialize our drug candidates successfully. In addition, to meet our obligations as a public company, we will need to increase our general and administrative capabilities. Our management, personnel and systems currently in place may not be adequate to support this future growth. Our need to effectively manage our operations, growth and various projects requires that we:</w:t>
      </w:r>
    </w:p>
    <w:p>
      <w:pPr>
        <w:spacing w:after="0" w:line="84"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successfully attract and recruit new employees with the expertise and experience we will require;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 our clinical programs effectively, which we anticipate being conducted at numerous clinical sites;</w:t>
      </w:r>
    </w:p>
    <w:p>
      <w:pPr>
        <w:spacing w:after="0" w:line="117" w:lineRule="exact"/>
        <w:rPr>
          <w:rFonts w:ascii="Arial" w:cs="Arial" w:eastAsia="Arial" w:hAnsi="Arial"/>
          <w:sz w:val="18"/>
          <w:szCs w:val="18"/>
          <w:color w:val="auto"/>
        </w:rPr>
      </w:pPr>
    </w:p>
    <w:p>
      <w:pPr>
        <w:ind w:left="500" w:right="720" w:hanging="49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 a marketing, distribution and sales infrastructure if we seek to market our products directly, or successfully partner with a third party organization that will oversee those efforts;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continue to improve our operational, manufacturing, financial and management controls, reporting systems and procedures.</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If we are unable to successfully manage this growth and increased complexity of operations, our business may be adversely affected.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business effectively if we are unable to attract and retain key personnel.</w:t>
      </w:r>
    </w:p>
    <w:p>
      <w:pPr>
        <w:spacing w:after="0" w:line="11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We may not be able to attract or retain qualified management, finance, scientific and clinical personnel in the future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7" w:lineRule="exact"/>
        <w:rPr>
          <w:sz w:val="20"/>
          <w:szCs w:val="20"/>
          <w:color w:val="auto"/>
        </w:rPr>
      </w:pPr>
    </w:p>
    <w:p>
      <w:pPr>
        <w:ind w:right="260" w:firstLine="509"/>
        <w:spacing w:after="0" w:line="290" w:lineRule="auto"/>
        <w:rPr>
          <w:sz w:val="20"/>
          <w:szCs w:val="20"/>
          <w:color w:val="auto"/>
        </w:rPr>
      </w:pPr>
      <w:r>
        <w:rPr>
          <w:rFonts w:ascii="Arial" w:cs="Arial" w:eastAsia="Arial" w:hAnsi="Arial"/>
          <w:sz w:val="16"/>
          <w:szCs w:val="16"/>
          <w:color w:val="auto"/>
        </w:rPr>
        <w:t>Our industry has experienced a high rate of turnover of management personnel in recent years. In addition, our recent corporate restructurings may have impacted employee morale and may lead to higher rates of voluntary attrition compared to prior years. We are highly dependent on the development, regulatory, commercialization and business development expertise of our executive officers and key employees. If we lose one or more of our executive officers or key personnel, our ability to implement our business strategy successfully could be seriously harmed. Any of our executive officers or key employees may terminate their employment at any time. Replacing executive officers and key employees may be difficult, will be costly and may take an extended period of time because of the limited number of individuals in our industry with the mix of skills and experience required to develop, gain regulatory approval of and commercialize products successfully. Competition to hire from this limited pool is intense, and we may be unable to hire, train, retain or motivate these additional key personnel. Our failure to attract and retain key personnel could materially harm our business.</w:t>
      </w:r>
    </w:p>
    <w:p>
      <w:pPr>
        <w:spacing w:after="0" w:line="27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62" w:lineRule="exact"/>
        <w:rPr>
          <w:sz w:val="20"/>
          <w:szCs w:val="20"/>
          <w:color w:val="auto"/>
        </w:rPr>
      </w:pPr>
    </w:p>
    <w:p>
      <w:pPr>
        <w:ind w:firstLine="509"/>
        <w:spacing w:after="0" w:line="276" w:lineRule="auto"/>
        <w:rPr>
          <w:sz w:val="20"/>
          <w:szCs w:val="20"/>
          <w:color w:val="auto"/>
        </w:rPr>
      </w:pPr>
      <w:r>
        <w:rPr>
          <w:rFonts w:ascii="Arial" w:cs="Arial" w:eastAsia="Arial" w:hAnsi="Arial"/>
          <w:sz w:val="17"/>
          <w:szCs w:val="17"/>
          <w:color w:val="auto"/>
        </w:rPr>
        <w:t>As a public company, we operate in an increasingly demanding regulatory environment, which requires us to comply with applicable provisions of the Sarbanes-Oxley Act of 2002 and the related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w:t>
      </w:r>
    </w:p>
    <w:p>
      <w:pPr>
        <w:spacing w:after="0" w:line="173" w:lineRule="exact"/>
        <w:rPr>
          <w:sz w:val="20"/>
          <w:szCs w:val="20"/>
          <w:color w:val="auto"/>
        </w:rPr>
      </w:pPr>
    </w:p>
    <w:p>
      <w:pPr>
        <w:jc w:val="both"/>
        <w:ind w:right="40" w:firstLine="509"/>
        <w:spacing w:after="0" w:line="286" w:lineRule="auto"/>
        <w:rPr>
          <w:sz w:val="20"/>
          <w:szCs w:val="20"/>
          <w:color w:val="auto"/>
        </w:rPr>
      </w:pPr>
      <w:r>
        <w:rPr>
          <w:rFonts w:ascii="Arial" w:cs="Arial" w:eastAsia="Arial" w:hAnsi="Arial"/>
          <w:sz w:val="17"/>
          <w:szCs w:val="17"/>
          <w:color w:val="auto"/>
        </w:rPr>
        <w:t>We may not be able to prepare and disclose, in a timely manner, our financial statements and other required disclosures or comply with the applicable provisions of the Sarbanes-Oxley Act or existing or new reporting requirements. If we cannot provide reliable financial reports or prevent fraud, our business and results of operations could be harmed and investors could lose confidence in our reported financial information.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52" w:name="page53"/>
    <w:bookmarkEnd w:id="52"/>
    <w:p>
      <w:pPr>
        <w:ind w:right="44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legal, compliance or regulatory standards and requirements.</w:t>
      </w:r>
    </w:p>
    <w:p>
      <w:pPr>
        <w:spacing w:after="0" w:line="38"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and collaborators may engage in fraudulent conduct or other illegal activity. Misconduct by these parties could include intentional, reckless and/or negligent conduct or unauthorized activities that violate the regulations of the FDA and non-U.S. regulators, including those laws requiring the reporting of true, complete and accurate information to the FDA and non-U.S. regulators, healthcare fraud and abuse laws and regulations in the United States and abroad, or laws that require the reporting of true and accurate financial information and data. In particular, sales, marketing and business arrangements in the healthcare industry are subject to extensive laws and regulations intended to prevent fraud, misconduct, kickbacks, self-dealing, pre-market promotion, and other abusive practices. These laws and regulations may restrict or prohibit a wide range of pricing, discounting, marketing and promotion, sales commission, customer incentive programs and other business arrangements. These activities also include the improper use or disclosure of information obtained in the course of clinical trials, which could result in regulatory sanctions and cause serious harm to our reputation. We have adopted new comprehensive compliance policies, and revised our code of conduct, but it is not always possible to identify and deter employee or non-employee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federal healthcare programs, contractual damages, reputational harm, diminished profits and future earnings, and curtailment of our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Relating to Our Business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use our financial and human resources to pursue a particular research program or drug candidate and fail to capitalize on programs or drug candidates that may be more profitable or for which there is a greater likelihood of success.</w:t>
      </w:r>
    </w:p>
    <w:p>
      <w:pPr>
        <w:spacing w:after="0" w:line="62"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 xml:space="preserve">Because we have limited financial and human resources, we have here to date focused primarily on the regulatory approval of </w:t>
      </w:r>
      <w:r>
        <w:rPr>
          <w:rFonts w:ascii="Arial" w:cs="Arial" w:eastAsia="Arial" w:hAnsi="Arial"/>
          <w:sz w:val="17"/>
          <w:szCs w:val="17"/>
          <w:i w:val="1"/>
          <w:iCs w:val="1"/>
          <w:color w:val="auto"/>
        </w:rPr>
        <w:t>azeliragon</w:t>
      </w:r>
      <w:r>
        <w:rPr>
          <w:rFonts w:ascii="Arial" w:cs="Arial" w:eastAsia="Arial" w:hAnsi="Arial"/>
          <w:sz w:val="17"/>
          <w:szCs w:val="17"/>
          <w:color w:val="auto"/>
        </w:rPr>
        <w:t>. As a result, we may have foregone or delayed the pursuit of opportunities with other drug candidates or for other indications that could later prove to have had greater commercial potential. Our future resource allocation decisions may cause us to fail to capitalize on viable commercial products or profitable market opportunities. Our spending on existing and future drug candidates for specific indications may not yield any commercially viable products. If we do not accurately evaluate the commercial potential or target market for a particular drug candidate, we may relinquish valuable rights to that drug candidate through strategic alliance, licensing or other royalty arrangements in cases in which it would have been more advantageous for us to retain sole development and commercialization rights to such drug candidate, or we may allocate internal resources to a drug candidate in a therapeutic area in which it would have been more advantageous to enter into a partnering arrangement.</w:t>
      </w:r>
    </w:p>
    <w:p>
      <w:pPr>
        <w:spacing w:after="0" w:line="2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future products we develop.</w:t>
      </w:r>
    </w:p>
    <w:p>
      <w:pPr>
        <w:spacing w:after="0" w:line="62"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We face an inherent risk of product liability as a result of the clinical testing of our drug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demand for any drug candidates or products we develop;</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clinical trial participants or delay or cancellation of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investigations, product recalls, withdrawals or labeling, marketing or promotional restrictions;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3" w:name="page54"/>
    <w:bookmarkEnd w:id="53"/>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or delay in our ability to commercialize any products we develop;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clinical trial liability insurance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If and when we obtain approval for marketing for any drug product, we intend to expand our insurance coverage to include the sale of that product, however, we may be unable to obtain this liability insurance on commercially reasonable terms.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involve hazardous materials, which could subject us to significant liabilities.</w:t>
      </w:r>
    </w:p>
    <w:p>
      <w:pPr>
        <w:spacing w:after="0" w:line="11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Our research and development processes involve the controlled use of hazardous materials, including medical waste. Our operations produce hazardous waste products. We cannot eliminate the risk of accidental contamination or discharge or injury from these materials. Federal, state and local laws and regulations govern the use, manufacture, storage, handling and disposal of these materials. We could be subject to civil damages in the event of exposure of individuals to hazardous materials. In addition, claimants may sue us for injury or contamination that results from our use of these materials and our liability may exceed our total assets. We have general liability and umbrella insurance of up to $6.0 million per occurrence, with an annual aggregate limit of $7.0 million, which excludes pollution liability. This coverage may not be adequate to cover all claims related to our hazardous materials. Furthermore, if we were to be held liable for a claim involving hazardous materials, this liability could exceed our insurance coverage, if any, and our other financial resources. Compliance with environmental and other laws and regulations may be expensive and current or future regulations may impair our research, development or production efforts.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will leave us exposed to significant uninsured liabilities.</w:t>
      </w:r>
    </w:p>
    <w:p>
      <w:pPr>
        <w:spacing w:after="0" w:line="14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general liability, employment practices liability, property, auto, workers’ compensation, umbrella, clinical trial and directors’ and officers’ insurance. We do not know, however, if we will be able to maintain existing insurance with adequate levels of coverage. Any significant uninsured liability may require us to pay substantial amounts, which would adversely affect our cash position and results of operations.</w:t>
      </w:r>
    </w:p>
    <w:p>
      <w:pPr>
        <w:spacing w:after="0" w:line="2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market for our proposed products is rapidly changing and competitive, and new drugs and new treatments that may be developed by others could impair our ability to maintain and grow our businesses and remain competitive.</w:t>
      </w:r>
    </w:p>
    <w:p>
      <w:pPr>
        <w:spacing w:after="0" w:line="62" w:lineRule="exact"/>
        <w:rPr>
          <w:sz w:val="20"/>
          <w:szCs w:val="20"/>
          <w:color w:val="auto"/>
        </w:rPr>
      </w:pPr>
    </w:p>
    <w:p>
      <w:pPr>
        <w:ind w:right="300" w:firstLine="509"/>
        <w:spacing w:after="0" w:line="259" w:lineRule="auto"/>
        <w:rPr>
          <w:sz w:val="20"/>
          <w:szCs w:val="20"/>
          <w:color w:val="auto"/>
        </w:rPr>
      </w:pPr>
      <w:r>
        <w:rPr>
          <w:rFonts w:ascii="Arial" w:cs="Arial" w:eastAsia="Arial" w:hAnsi="Arial"/>
          <w:sz w:val="18"/>
          <w:szCs w:val="18"/>
          <w:color w:val="auto"/>
        </w:rPr>
        <w:t>The pharmaceutical and biotechnology industries are subject to rapid and substantial technological change. Developments by others may render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w:t>
      </w:r>
    </w:p>
    <w:p>
      <w:pPr>
        <w:spacing w:after="0" w:line="18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As a company with nominal revenues engaged in the development of drug technologies, our resources are limited, and we may experience technical challenges inherent in such technologies. Competitors have developed or are in the process of developing technologies that are, or in the future may be, the basis for competition. Some of these technologies may have an entirely different approach or means of accomplishing similar therapeutic effects compared to our proposed products. Our competitors may develop drugs that are safer, more effective or less costly than our proposed products and, therefore, present a serious competitive threat to us.</w:t>
      </w:r>
    </w:p>
    <w:p>
      <w:pPr>
        <w:spacing w:after="0" w:line="18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potential widespread acceptance of therapies that are alternatives to ours may limit market acceptance of our drug candidates, even if commercialized. Some of our targeted diseases and conditions can also be treated by other medication. These treatments may be widely accepted in medical communities and have a longer history of use or be offered at a more competitive price. The established use of these competitive drugs may limit the potential for our technologies, formulations and products to receive widespread acceptance if commercialized.</w:t>
      </w:r>
    </w:p>
    <w:p>
      <w:pPr>
        <w:spacing w:after="0" w:line="187"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Therefore, changes in the market for our products and the availability of new or alternative treatments could have a material adverse effect on our businesses, financial conditions and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i w:val="1"/>
          <w:iCs w:val="1"/>
          <w:color w:val="auto"/>
        </w:rPr>
        <w:t>Our business and operations would suffer in the event of computer system failures, cyber-attacks or a deficiency in our cyber-security.</w:t>
      </w:r>
    </w:p>
    <w:p>
      <w:pPr>
        <w:spacing w:after="0" w:line="129"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Also, confidential patient and other information may be compromised in a cyber-attack or cyber-intrusion. To the extent that any disruption or security breach was to result in a loss of or damage to our data or applications, or inappropriate disclosure of confidential or proprietary information, we could incur material legal claims and liability, damage to our reputation, and the further development of our drug candidates could be delayed.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foreign exchange fluctuations.</w:t>
      </w:r>
    </w:p>
    <w:p>
      <w:pPr>
        <w:spacing w:after="0" w:line="117" w:lineRule="exact"/>
        <w:rPr>
          <w:sz w:val="20"/>
          <w:szCs w:val="20"/>
          <w:color w:val="auto"/>
        </w:rPr>
      </w:pPr>
    </w:p>
    <w:p>
      <w:pPr>
        <w:ind w:right="20" w:firstLine="794"/>
        <w:spacing w:after="0" w:line="308" w:lineRule="auto"/>
        <w:rPr>
          <w:sz w:val="20"/>
          <w:szCs w:val="20"/>
          <w:color w:val="auto"/>
        </w:rPr>
      </w:pPr>
      <w:r>
        <w:rPr>
          <w:rFonts w:ascii="Arial" w:cs="Arial" w:eastAsia="Arial" w:hAnsi="Arial"/>
          <w:sz w:val="17"/>
          <w:szCs w:val="17"/>
          <w:color w:val="auto"/>
        </w:rPr>
        <w:t>Our functional and reporting currency is the United States dollar. A portion of our expenditures are in foreign currencies, most notably in Canadian dollars, and therefore we are subject to foreign currency fluctuations, which may, from time to time, impact our financial position and results.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MacAndrews has substantial influence over our business, and their interests may differ from our interests or those of our other stockholders.</w:t>
      </w:r>
    </w:p>
    <w:p>
      <w:pPr>
        <w:spacing w:after="0" w:line="140" w:lineRule="exact"/>
        <w:rPr>
          <w:sz w:val="20"/>
          <w:szCs w:val="20"/>
          <w:color w:val="auto"/>
        </w:rPr>
      </w:pPr>
    </w:p>
    <w:p>
      <w:pPr>
        <w:ind w:right="720" w:firstLine="509"/>
        <w:spacing w:after="0" w:line="264" w:lineRule="auto"/>
        <w:rPr>
          <w:sz w:val="20"/>
          <w:szCs w:val="20"/>
          <w:color w:val="auto"/>
        </w:rPr>
      </w:pPr>
      <w:r>
        <w:rPr>
          <w:rFonts w:ascii="Arial" w:cs="Arial" w:eastAsia="Arial" w:hAnsi="Arial"/>
          <w:sz w:val="18"/>
          <w:szCs w:val="18"/>
          <w:color w:val="auto"/>
        </w:rPr>
        <w:t>MacAndrews holds, directly or indirectly, a majority of our combined voting power. Due to its ownership and rights under our investor rights agreement, amended and restated certificate of incorporation and amended and restated bylaws, MacAndrews has the power to control us and our subsidiaries, including the power to:</w:t>
      </w:r>
    </w:p>
    <w:p>
      <w:pPr>
        <w:spacing w:after="0" w:line="73" w:lineRule="exact"/>
        <w:rPr>
          <w:sz w:val="20"/>
          <w:szCs w:val="20"/>
          <w:color w:val="auto"/>
        </w:rPr>
      </w:pPr>
    </w:p>
    <w:p>
      <w:pPr>
        <w:ind w:left="500" w:right="360" w:hanging="492"/>
        <w:spacing w:after="0" w:line="277"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nominate a majority of our directors, elect a majority of our directors and appoint our executive officers, set our management policies and exercise overall control over our company and subsidiaries;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determine the composition of the committees on our Board of Directors;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agree to sell or otherwise transfer a controlling stake in our company; and</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determine the outcome of substantially all actions requiring stockholder approval, including transactions with related parties, corporate reorganizations, acquisitions and dispositions of assets and dividends.</w:t>
      </w:r>
    </w:p>
    <w:p>
      <w:pPr>
        <w:spacing w:after="0" w:line="170"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The interests of MacAndrews may differ from our interests or those of our other stockholders and the concentration of control in MacAndrews will limit other stockholders’ ability to influence corporate matters. The concentration of ownership and voting power with MacAndrews may also delay, defer or even prevent an acquisition by a third party or other change of control of our company and may make some transactions more difficult or impossible without the support of MacAndrews, even if such events are in the best interests of our other stockholders. The concentration of voting power with MacAndrews may have an adverse effect on the price of our Class A common stock. Our company may take actions that our other stockholders do not view as beneficial, which may adversely affect our results of operations and financial condition and cause the value of our Class A common stock to decline.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directors who have relationships with MacAndrews may have conflicts of interest with respect to matters involving our company.</w:t>
      </w:r>
    </w:p>
    <w:p>
      <w:pPr>
        <w:spacing w:after="0" w:line="129"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Half of our directors are affiliated with MacAndrews. These persons will have fiduciary duties to us and in addition will have duties to MacAndrews. In addition, our amended and restated certificate of incorporation provides that none of MacAndrews, any of our non-employee directors who are employees, affiliates or consultants of MacAndrews or its affiliates (other than us or our subsidiaries) or any of their respective affiliates will be liable to us or our stockholders for breach of any fiduciary duty by reason of the fact that any such individual directs a corporate opportunity to MacAndrews or its affiliates instead of us, or does not communicate information regarding a corporate opportunity to us that such person or affiliate has directed to MacAndrews or its affiliates. As a result, such circumstances may entail real or apparent conflicts of interest with respect to matters affecting both us and MacAndrews, whose interests, in some circumstances, may be adverse to ours. In addition, as a result of MacAndrews’ indirect ownership interest, conflicts of interest could arise with respect to transactions involving business dealings between us and MacAndrews or their affiliates, including potential business transactions, potential acquisitions of businesses or properties, the issuance of additional securities, the payment of dividends by us and other matters.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5" w:name="page56"/>
    <w:bookmarkEnd w:id="55"/>
    <w:p>
      <w:pPr>
        <w:ind w:right="160"/>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on our Class A common stock, and accordingly, stockholders must rely on stock appreciation for any return on their investment.</w:t>
      </w:r>
    </w:p>
    <w:p>
      <w:pPr>
        <w:spacing w:after="0" w:line="6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have never declared or paid any cash dividend on our Class A common stock and do not anticipate paying cash dividends on our Class A common stock in the future. In addition, our Loan Agreement includes restrictive covenants which prevent us from paying dividends to our stockholders. As a result, the only return to stockholders will be appreciation in the price of our Class A common stock, which may never occur. Investors seeking cash dividends should not invest in our Class A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share price may be volatile, which could subject us to securities class action litigation and result in substantial losses for our stockholders.</w:t>
      </w:r>
    </w:p>
    <w:p>
      <w:pPr>
        <w:spacing w:after="0" w:line="140"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market price of shares of our Class A common stock could be subject to wide fluctuations in response to many risk factors listed in this section, and others beyond our control, including:</w:t>
      </w:r>
    </w:p>
    <w:p>
      <w:pPr>
        <w:spacing w:after="0" w:line="62"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and timing of our clinical trials and receipt of data from the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or discontinuation of any of our research programs;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delays in the development or commercialization of our potential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fluctuations in our competitors’ operating results or changes in their growth rate;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collaborations or capital commitments;</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117" w:lineRule="exact"/>
        <w:rPr>
          <w:rFonts w:ascii="Arial" w:cs="Arial" w:eastAsia="Arial" w:hAnsi="Arial"/>
          <w:sz w:val="18"/>
          <w:szCs w:val="18"/>
          <w:color w:val="auto"/>
        </w:rPr>
      </w:pPr>
    </w:p>
    <w:p>
      <w:pPr>
        <w:ind w:left="500" w:right="120" w:hanging="492"/>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maintain, defend or enforce proprietary rights relating to our products and technologies;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our Class A common stock by us, our insiders or our other stockholders;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issues in manufacturing our potential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acceptance of our potential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conditions for biopharmaceutical stocks in general;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Class A common stock. In addition, such fluctuations could subject us to securities class action litigation, which could result in substantial costs and divert our management’s attention from other business concerns, which could potentially harm our business. As a result of this volatility, our stockholders may not be able to sell their common stock at or above the price at which they purchased their shares.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not be sustained.</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Our shares of Class A common stock began trading on The NASDAQ Global Market on July 30, 2015 and its listing was transferred to The NASDAQ Capital Market on October 30, 2018. Given the limited trading history of our Class A common stock, there is a risk that an active trading market for our shares will not be sustained, which could put downward pressure on the market price of our Class A common stock and thereby affect the ability of our stockholders to sell their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decline and we may not be able to maintain compliance with NASDAQ listing requirements.</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Our Class A common stock is listed on The NASDAQ Capital Market, which imposes certain minimum continued listing requirements. If compliance with these requirements is not maintained, NASDAQ may make a determination to delist our Class A common stock.</w:t>
      </w:r>
    </w:p>
    <w:p>
      <w:pPr>
        <w:spacing w:after="0" w:line="2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trading market for our Class A common stock will be influenced by the research and reports that equity research analysts publish about us and our business.</w:t>
      </w:r>
    </w:p>
    <w:p>
      <w:pPr>
        <w:spacing w:after="0" w:line="62" w:lineRule="exact"/>
        <w:rPr>
          <w:sz w:val="20"/>
          <w:szCs w:val="20"/>
          <w:color w:val="auto"/>
        </w:rPr>
      </w:pPr>
    </w:p>
    <w:p>
      <w:pPr>
        <w:ind w:firstLine="509"/>
        <w:spacing w:after="0" w:line="264" w:lineRule="auto"/>
        <w:rPr>
          <w:sz w:val="20"/>
          <w:szCs w:val="20"/>
          <w:color w:val="auto"/>
        </w:rPr>
      </w:pPr>
      <w:r>
        <w:rPr>
          <w:rFonts w:ascii="Arial" w:cs="Arial" w:eastAsia="Arial" w:hAnsi="Arial"/>
          <w:sz w:val="18"/>
          <w:szCs w:val="18"/>
          <w:color w:val="auto"/>
        </w:rPr>
        <w:t>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3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substantial portion of our total outstanding shares may be sold into the market at any time. This could cause the market price of our Class A common stock to drop significantly, even if our business is doing well.</w:t>
      </w:r>
    </w:p>
    <w:p>
      <w:pPr>
        <w:spacing w:after="0" w:line="62" w:lineRule="exact"/>
        <w:rPr>
          <w:sz w:val="20"/>
          <w:szCs w:val="20"/>
          <w:color w:val="auto"/>
        </w:rPr>
      </w:pPr>
    </w:p>
    <w:p>
      <w:pPr>
        <w:ind w:right="460" w:firstLine="509"/>
        <w:spacing w:after="0" w:line="264" w:lineRule="auto"/>
        <w:rPr>
          <w:sz w:val="20"/>
          <w:szCs w:val="20"/>
          <w:color w:val="auto"/>
        </w:rPr>
      </w:pPr>
      <w:r>
        <w:rPr>
          <w:rFonts w:ascii="Arial" w:cs="Arial" w:eastAsia="Arial" w:hAnsi="Arial"/>
          <w:sz w:val="18"/>
          <w:szCs w:val="18"/>
          <w:color w:val="auto"/>
        </w:rPr>
        <w:t>The market price of our Class A common stock could decline as a result of sales of a large number of shares of our Class A common stock or the perception that such sales could occur. These sales, or the possibility that these sales may occur, also might make it more difficult for us to sell equity securities in the future at a time and price that we deem appropriate.</w:t>
      </w:r>
    </w:p>
    <w:p>
      <w:pPr>
        <w:spacing w:after="0" w:line="73"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As of December 31, 2018, MacAndrews and its affiliates hold 23,084,267 non-voting common units of vTv LLC (“vTv Units”) and the same number of shares of vTv Therapeutics Inc. Class B common stock as well as an aggregate of 13,232,785 shares of our Class A common stock. As a result, MacAndrews and its affiliates hold shares representing approximately 83.6% of the combined voting power of our outstanding common stock. Pursuant to the terms of the Exchange Agreement among the Company, vTv LLC and the holders of vTv Units party thereto (the “Exchange Agreement”), vTv Units (along with the corresponding number of shares of our Class B common stock) will be exchangeable for (i) shares of our Class A common stock on a one-for-one basis or (ii) cash (based on the market price of the shares of Class A common stock), at our option (as the managing member of vTv Therapeutics LLC). Shares of our Class A common stock issuable upon an exchange of vTv Units as described above would be considered “restricted securities,” as that term is defined in Rule 144 under the Securities Act, unless the exchange is registered under the Securities Act.</w:t>
      </w:r>
    </w:p>
    <w:p>
      <w:pPr>
        <w:spacing w:after="0" w:line="58" w:lineRule="exact"/>
        <w:rPr>
          <w:sz w:val="20"/>
          <w:szCs w:val="20"/>
          <w:color w:val="auto"/>
        </w:rPr>
      </w:pPr>
    </w:p>
    <w:p>
      <w:pPr>
        <w:ind w:firstLine="838"/>
        <w:spacing w:after="0" w:line="271" w:lineRule="auto"/>
        <w:rPr>
          <w:sz w:val="20"/>
          <w:szCs w:val="20"/>
          <w:color w:val="auto"/>
        </w:rPr>
      </w:pPr>
      <w:r>
        <w:rPr>
          <w:rFonts w:ascii="Arial" w:cs="Arial" w:eastAsia="Arial" w:hAnsi="Arial"/>
          <w:sz w:val="17"/>
          <w:szCs w:val="17"/>
          <w:color w:val="auto"/>
        </w:rPr>
        <w:t>We have entered into the December Letter Agreement with M&amp;F Group and previously entered into other similar letter agreements with MacAndrews. Under the December Letter Agreement, we have the right to sell to M&amp;F Group shares of our Class A common stock at set prices, and M&amp;F Group has the right (exercisable up to three times) to require us to sell to it shares of Class A common stock at the same prices. An aggregate of $10.0 million worth of Class A common stock may be sold under the December Letter Agreement (whether at our or M&amp;F Group’s option), with $4.0 million remaining to be sold as of February 14, 2019. In addition, in connection with the December Letter Agreement and previous letter agreements, we also issued M&amp;F Group warrants to purchase shares of our Class A common stock at set prices. The warrants are exercisable for seven years from their issuance. Sales of shares of Class A common stock to M&amp;F Group under the December Letter Agreement or pursuant to the exercise of the related warrants (or resales by M&amp;F Group of such shares) could negatively affect our stock price, as could the anticipation of such sales or resales.</w:t>
      </w:r>
    </w:p>
    <w:p>
      <w:pPr>
        <w:spacing w:after="0" w:line="71"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color w:val="auto"/>
        </w:rPr>
        <w:t>On August 13, 2015, we filed a registration statement under the Securities Act registering 3,250,000 shares of our Class A common stock reserved for issuance under our 2015 Plan. As part of our Loan Agreement, we issued warrants to purchase 190,586 shares of our Class A common stock to our lenders.</w:t>
      </w:r>
    </w:p>
    <w:p>
      <w:pPr>
        <w:spacing w:after="0" w:line="16"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On February 27, 2018, we filed a shelf registration statement on Form S-3 through which we may offer and sell from time to time shares of our Class A common stock with an aggregate initial offering price of up to $250,000,000. However, in no event will we sell Class A common stock under this registration statement with a value exceeding more than one-third of the “public float” (the market value of our Class A common stock and any other equity securities that we may issue in the future that are held by non-affiliates) in any 12-calendar month period so long as our public float remains below $75 million.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Further, we have entered into an investor rights agreement with an affiliate of MacAndrews providing certain governance and registration rights.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7" w:name="page58"/>
    <w:bookmarkEnd w:id="57"/>
    <w:p>
      <w:pPr>
        <w:ind w:right="140"/>
        <w:spacing w:after="0" w:line="264"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Class A common stock, including pursuant to our equity incentive plans, the exercise of outstanding warrants or pursuant to the Loan Agreement or the December Letter Agreement, could result in additional dilution of the percentage ownership of our stockholders and could cause our stock price to fall.</w:t>
      </w:r>
    </w:p>
    <w:p>
      <w:pPr>
        <w:spacing w:after="0" w:line="73" w:lineRule="exact"/>
        <w:rPr>
          <w:sz w:val="20"/>
          <w:szCs w:val="20"/>
          <w:color w:val="auto"/>
        </w:rPr>
      </w:pPr>
    </w:p>
    <w:p>
      <w:pPr>
        <w:jc w:val="both"/>
        <w:ind w:right="100" w:firstLine="509"/>
        <w:spacing w:after="0" w:line="259"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To the extent we raise additional capital by issuing equity securities, our stockholders may experience substantial dilution. We may sell Class A common stock, convertible securities or other equity securities, including under the December Letter Agreement and warrants issued to M&amp;F Group, and such sales could result in substantial dilution to existing investors.</w:t>
      </w:r>
    </w:p>
    <w:p>
      <w:pPr>
        <w:spacing w:after="0" w:line="79"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In addition, under the Loan Agreement the Lenders have the right to purchase shares of our Class A common stock from us, at a discounted price, with a value up to $1.0 million in the event that we conduct a public offering in which we receive cash proceeds of at least $10.0 million. If we sell Class A common stock, convertible securities or other equity securities, the percentage ownership of our stockholders will be diluted. In addition, new investors could gain rights superior to our existing stockholders.</w:t>
      </w:r>
    </w:p>
    <w:p>
      <w:pPr>
        <w:spacing w:after="0" w:line="29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are taking advantage of reduced disclosure requirements applicable to “emerging growth companies,” which could make our Class A common stock less attractive to investors.</w:t>
      </w:r>
    </w:p>
    <w:p>
      <w:pPr>
        <w:spacing w:after="0" w:line="62"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and, for as long as we continue to be an “emerging growth company,” we intend to take advantage of certain exemptions from various reporting requirements applicable to other public companies but not to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from the date of our initial public offering, or until the earliest of (i) the last day of the first fiscal year in which our annual gross revenues exceed $1.07 billion, (ii) the date that we become a “large accelerated filer” as defined in Rule 12b-2 under the Exchange Act, which would occur if the market value of our Class A common stock that is held by non-affiliates exceeds $700 million as of the last business day of our most recently completed second fiscal quarter, or (iii) the date on which we have issued more than $1 billion in non-convertible debt during the preceding three year period. We cannot predict if investors will find our Class A common stock less attractive if we choose to rely on these exemptions. Even after we no longer qualify as an emerging growth company, we may still qualify as a “smaller reporting company” which would allow us to take advantage of many of the same exemptions from disclosure requirements including exemption from compliance with the auditor attestation requirements of Section 404 and reduced disclosure obligations regarding executive compensation in our periodic reports and proxy statements. If some investors find our Class A common stock less attractive as a result of any choices to reduce future disclosure, there may be a less active trading market for our Class A common stock and our stock price may be more volatile.</w:t>
      </w:r>
    </w:p>
    <w:p>
      <w:pPr>
        <w:spacing w:after="0" w:line="27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will incur significantly increased costs and devote substantial management time as a result of operating as a public company particularly after we are no longer an “emerging growth company.”</w:t>
      </w:r>
    </w:p>
    <w:p>
      <w:pPr>
        <w:spacing w:after="0" w:line="62"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For example, we are required to comply with certain of the requirements of the Sarbanes-Oxley Act and the Dodd-Frank Wall Street Reform and Consumer Protection Act, as well as rules and regulations subsequently implemented by the Securities and Exchange Commission, and NASDAQ, our stock exchange, including the establishment and maintenance of effective disclosure and financial controls and changes in corporate governance practices. We expect that compliance with these requirements will increase our legal and financial compliance costs and will make some activities more time consuming and costly. In addition, our management and other personnel will need to divert attention from operational and other business matters to devote substantial time to these public company requirements. In particular, we expect to incur significant expenses and devote substantial management effort toward ensuring compliance with the requirements of Section 404 of the Sarbanes-Oxley Act. In that regard, we currently do not have an internal audit function.</w:t>
      </w:r>
    </w:p>
    <w:p>
      <w:pPr>
        <w:spacing w:after="0" w:line="179"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However,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intend to take advantage of these reporting exemptions until we are no longer an “emerging growth company.”</w:t>
      </w:r>
    </w:p>
    <w:p>
      <w:pPr>
        <w:spacing w:after="0" w:line="193" w:lineRule="exact"/>
        <w:rPr>
          <w:sz w:val="20"/>
          <w:szCs w:val="20"/>
          <w:color w:val="auto"/>
        </w:rPr>
      </w:pPr>
    </w:p>
    <w:p>
      <w:pPr>
        <w:jc w:val="both"/>
        <w:ind w:right="120" w:firstLine="509"/>
        <w:spacing w:after="0" w:line="312" w:lineRule="auto"/>
        <w:rPr>
          <w:sz w:val="20"/>
          <w:szCs w:val="20"/>
          <w:color w:val="auto"/>
        </w:rPr>
      </w:pPr>
      <w:r>
        <w:rPr>
          <w:rFonts w:ascii="Arial" w:cs="Arial" w:eastAsia="Arial" w:hAnsi="Arial"/>
          <w:sz w:val="16"/>
          <w:szCs w:val="16"/>
          <w:color w:val="auto"/>
        </w:rPr>
        <w:t>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8" w:name="page59"/>
    <w:bookmarkEnd w:id="58"/>
    <w:p>
      <w:pPr>
        <w:ind w:right="80" w:firstLine="509"/>
        <w:spacing w:after="0" w:line="264" w:lineRule="auto"/>
        <w:rPr>
          <w:sz w:val="20"/>
          <w:szCs w:val="20"/>
          <w:color w:val="auto"/>
        </w:rPr>
      </w:pPr>
      <w:r>
        <w:rPr>
          <w:rFonts w:ascii="Arial" w:cs="Arial" w:eastAsia="Arial" w:hAnsi="Arial"/>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w:t>
      </w: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exempt from certain corporate governance requirements since we are a “controlled company” within the meaning of the NASDAQ rules, and as a result our stockholders will not have the protections afforded by these corporate governance requirements.</w:t>
      </w:r>
    </w:p>
    <w:p>
      <w:pPr>
        <w:spacing w:after="0" w:line="62"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MacAndrews controls more than 50% of our combined voting power. As a result, we are considered a “controlled company” for the purposes of NASDAQ rules and corporate governance standards, and therefore are permitted to elect not to comply with certain NASDAQ corporate governance requirements, including those that would otherwise require our Board of Directors to have a majority of independent directors and require that we either establish compensation and nominating and corporate governance committees, each comprised entirely of independent directors, or otherwise ensure that the compensation of our executive officers and nominees for directors are determined or recommended to the Board of Directors by the independent members of the Board of Directors. Accordingly, holders of our Class A common stock do not have the same protections afforded to stockholders of companies that are subject to all of the NASDAQ rules and corporate governance standards, and the ability of our independent directors to influence our business policies and affairs may be reduced.</w:t>
      </w:r>
    </w:p>
    <w:p>
      <w:pPr>
        <w:spacing w:after="0" w:line="3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Provisions in our charter and bylaws and provisions of Delaware law may delay or prevent our acquisition by a third party, which might diminish the value of our common stock.</w:t>
      </w:r>
    </w:p>
    <w:p>
      <w:pPr>
        <w:spacing w:after="0" w:line="6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contain several provisions that may make it more difficult or expensive for a third party to acquire control of us without the approval of the Board of Directors. These provisions also may delay, prevent or deter a merger, acquisition, tender offer, proxy contest or other transaction that might otherwise result in our stockholders receiving a premium over the market price for their common stock. The provisions include, among others:</w:t>
      </w:r>
    </w:p>
    <w:p>
      <w:pPr>
        <w:spacing w:after="0" w:line="79"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prohibition on actions by written consent of the stockholders;</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authorized but unissued shares of common stock and preferred stock that will be available for future issuance;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of our Board of Directors to increase the size of the Board of Directors and fill vacancies without a stockholder vote;</w:t>
      </w:r>
    </w:p>
    <w:p>
      <w:pPr>
        <w:spacing w:after="0" w:line="117"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provisions that have the same effect as a modified version of Section 203 of the Delaware General Corporation Law, an antitakeover law (as further described below); and</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22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We have elected in our amended and restated certificate of incorporation not to be subject to Section 203 of the Delaware General Corporation Law. Nevertheless, the amended and restated certificate of incorporation contains provisions that have the same effect as Section 203 of the Delaware General Corporation Law, except that they provide that MacAndrews and its various successors and affiliates (and transferees of any of them) will not be deemed to be “interested stockholders,” regardless of the percentage of our stock owned by them, and accordingly will not be subject to such restrictions.</w:t>
      </w:r>
    </w:p>
    <w:p>
      <w:pPr>
        <w:spacing w:after="0" w:line="19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provisions of our amended and restated certificate of incorporation and amended and restated bylaws, the significant common stock ownership of MacAndrews and the ability of the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common stock.</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be required to pay M&amp;F TTP Holdings Two LLC (“M&amp;F”) for certain tax benefits we may claim. In certain circumstances, payments under the Tax Receivable Agreement may be accelerated and/or significantly exceed the actual tax benefits we realize.</w:t>
      </w:r>
    </w:p>
    <w:p>
      <w:pPr>
        <w:spacing w:after="0" w:line="62"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The only asset of the Company is its interest in vTv LLC. Class B common stock, together with the corresponding number of vTv Units, may be exchanged for shares of our Class A common stock, or for cash, at our option (as the managing member of vTv LLC). These exchanges of Class B common stock, together with the corresponding number of vTv LLC Units, may result in increases in the tax basis of the assets of vTv LLC that otherwise would not have been available. Such increases in tax basis are likely to increase (for tax purposes) depreciation and amortization deductions and therefore reduce the amount of income tax we would otherwise be required to pay in the future and may also decrease gain (or increase loss) on future dispositions of certain assets to the extent the increased tax basis is allocated to those assets. The IRS may challenge all or part of these tax basis increases and a court could sustain such a challenge.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9" w:name="page60"/>
    <w:bookmarkEnd w:id="59"/>
    <w:p>
      <w:pPr>
        <w:ind w:right="60" w:firstLine="509"/>
        <w:spacing w:after="0" w:line="270" w:lineRule="auto"/>
        <w:rPr>
          <w:sz w:val="20"/>
          <w:szCs w:val="20"/>
          <w:color w:val="auto"/>
        </w:rPr>
      </w:pPr>
      <w:r>
        <w:rPr>
          <w:rFonts w:ascii="Arial" w:cs="Arial" w:eastAsia="Arial" w:hAnsi="Arial"/>
          <w:sz w:val="17"/>
          <w:szCs w:val="17"/>
          <w:color w:val="auto"/>
        </w:rPr>
        <w:t>We have entered into a Tax Receivable Agreement with vTv Therapeutics Holdings (an entity which was dissolved in October 2015, but to which M&amp;F became a successor) that will provide for the payment by us to M&amp;F (or certain of its transferees or other assignees) of 85% of the amount of cash savings, if any, in U.S. federal, state and local income tax or franchise tax that we actually realize (or, in some circumstances, we are deemed to realize) as a result of (a) the exchange of Class B common stock, together with the corresponding number of vTv Units, for shares of our Class A common stock (or for cash), (b) tax benefits related to imputed interest deemed to be paid by us as a result of the Tax Receivable Agreement and (c) certain tax benefits attributable to payments under the Tax Receivable Agreement. Although the actual increase in tax basis and the amount and timing of any payments under the Tax Receivable Agreement will vary depending upon a number of factors, including the timing of exchanges, the price of shares of our Class A common stock at the time of the exchange, the nature of the assets, the extent to which such exchanges are taxable, the tax rates then applicable, and the amount and timing of our income, we expect that the payments that we may make to M&amp;F could be substantial.</w:t>
      </w:r>
    </w:p>
    <w:p>
      <w:pPr>
        <w:spacing w:after="0" w:line="182"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M&amp;F generally will not reimburse us for any payments that may previously have been made under the Tax Receivable Agreement even if the IRS subsequently disallows the tax basis increase or any other relevant tax item. Instead, any excess cash payments made by us to M&amp;F will be netted against any future cash payments that we might otherwise be required to make under the terms of the Tax Receivable Agreement. However, we might not determine that we have effectively made an excess cash payment to M&amp;F for a number of years following the initial time of such payment. As a result, in certain circumstances we could make payments to M&amp;F under the Tax Receivable Agreement in excess of our cash tax savings. Our ability to achieve benefits from any tax basis increase and the payments to be made under the Tax Receivable Agreement, will depend upon a number of factors, including the timing and amount of our future income and the nature of our assets.</w:t>
      </w:r>
    </w:p>
    <w:p>
      <w:pPr>
        <w:spacing w:after="0" w:line="178"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To the extent that we are unable to make payments under the Tax Receivable Agreement for any reason, such payments will be deferred and will accrue interest until paid. In addition, the Tax Receivable Agreement provides that, upon a merger, asset sale or other form of business combination or certain other changes of control or if, at any time, we elect an early termination of the Tax Receivable Agreement, our (or our successor’s) obligations under the Tax Receivable Agreement with respect to exchanged or acquired Class B common stock, together with the corresponding number of vTv Units (whether exchanged or acquired before or after such change of control or early termination), would be required to be paid significantly in advance of the actual realization, if any, of any future tax benefits and would be based on certain assumptions, including that we would have sufficient taxable income to fully utilize the deductions arising from the increased tax deductions and tax basis and other benefits related to entering into the Tax Receivable Agreement, and, in the case of certain early termination elections, that any Class B common stock, together with the corresponding number of vTv Units, that have not been exchanged will be deemed exchanged for the market value of the Class A common stock at the time of termination. Consequently, it is possible that the actual cash tax savings realized by us may be significantly less than the corresponding Tax Receivable Agreement payments.</w:t>
      </w:r>
    </w:p>
    <w:p>
      <w:pPr>
        <w:spacing w:after="0" w:line="277"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b w:val="1"/>
          <w:bCs w:val="1"/>
          <w:i w:val="1"/>
          <w:iCs w:val="1"/>
          <w:color w:val="auto"/>
        </w:rPr>
        <w:t>The only asset of the Company is its interest in vTv LLC, and accordingly it will depend on distributions from vTv LLC to pay taxes and expenses, including payments under the Tax Receivable Agreement. vTv LLC’s ability to make such distributions may be subject to various limitations and restrictions.</w:t>
      </w:r>
    </w:p>
    <w:p>
      <w:pPr>
        <w:spacing w:after="0" w:line="73"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The Company is a holding company, has no material assets other than its ownership of vTv Units and has no independent means of generating revenue or cash flow. vTv LLC is treated as a partnership for U.S. federal income tax purposes and, as such, is not subject to any entity-level U.S. federal income tax. Instead, taxable income will be allocated to holders of its common units, including us. As a result, we will incur U.S. federal, state and local income taxes on our allocable share of any net taxable income of vTv LLC. Under the terms of vTv LLC’s Amended and Restated LLC Agreement, vTv LLC will be obligated to make tax distributions to holders of its common units, including us. In addition to tax expenses, we will also incur expenses related to our operations, including expenses under the Tax Receivable Agreement, which could be significant. We intend, as its managing member, to cause vTv LLC to make distributions in an amount sufficient to allow us to pay our taxes and operating expenses, including any payments due under the Tax Receivable Agreement. However, vTv LLC’s ability to make such distributions may be subject to various limitations and restrictions including, but not limited to, restrictions on distributions that would either violate any contract or agreement to which vTv LLC is then a party, including the Loan Agreement or any other potential debt agreements, or any applicable law, or that would have the effect of rendering vTv LLC insolvent. If vTv LLC does not distribute sufficient funds for us to pay our taxes or other liabilities, we may have to borrow funds, which could adversely affect our liquidity and subject us to various restrictions imposed by any such lenders. To the extent that we are unable to make payments under the Tax Receivable Agreement for any reason, such payments will be deferred and will accrue interest until paid.</w:t>
      </w:r>
    </w:p>
    <w:p>
      <w:pPr>
        <w:spacing w:after="0" w:line="29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Our organizational structure confers certain benefits upon M&amp;F and certain of its successors and assigns that will not benefit Class A common stockholders to the same extent as it will benefit M&amp;F.</w:t>
      </w:r>
    </w:p>
    <w:p>
      <w:pPr>
        <w:spacing w:after="0" w:line="62"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8"/>
          <w:szCs w:val="18"/>
          <w:color w:val="auto"/>
        </w:rPr>
        <w:t>Our organizational structure, including the fact that M&amp;F owns more than 50% of the voting power of our outstanding voting stock and owns part of its economic interest in our business through vTv LLC, confers certain benefits upon M&amp;F that will not benefit the holders of our Class A common stock to the same extent as it will benefit M&amp;F. For example, the Tax Receivable Agreement will provide for the payment by us to M&amp;F (or certain of its transferees or other assignees) of 85% of the amount of cash savings, if any, in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0" w:name="page61"/>
    <w:bookmarkEnd w:id="60"/>
    <w:p>
      <w:pPr>
        <w:spacing w:after="0" w:line="287" w:lineRule="auto"/>
        <w:rPr>
          <w:sz w:val="20"/>
          <w:szCs w:val="20"/>
          <w:color w:val="auto"/>
        </w:rPr>
      </w:pPr>
      <w:r>
        <w:rPr>
          <w:rFonts w:ascii="Arial" w:cs="Arial" w:eastAsia="Arial" w:hAnsi="Arial"/>
          <w:sz w:val="16"/>
          <w:szCs w:val="16"/>
          <w:color w:val="auto"/>
        </w:rPr>
        <w:t>U.S. federal, state and local income tax or franchise tax that we actually realize (or, in some circumstances, we are deemed to realize) as a result of (a) the exchange of Class B common stock, together with the corresponding number of vTv Units, for shares of our Class A common stock (or for cash), (b) tax benefits related to imputed interest deemed to be paid by us as a result of the Tax Receivable Agreement and (c) certain tax benefits attributable to payments under the Tax Receivable Agreement. Although we will retain 15% of the amount of such tax benefits, it is possible that the interests of M&amp;F may in some circumstances conflict with our interests and the interests of our other stockholders. For example, M&amp;F may have different tax positions from us, especially in light of the Tax Receivable Agreement, that could influence their decisions regarding whether and when we should dispose of assets, whether and when we should incur new or refinance existing indebtedness, and whether and when we should terminate the Tax Receivable Agreement and accelerate our obligations thereunder. In addition, the determination of future tax reporting positions, the structuring of future transactions and the handling of any future challenges by any taxing authority to our tax reporting positions may take into consideration M&amp;F’s tax or other considerations, which may differ from the considerations of us or our other stockholders. To the extent that M&amp;F is dissolved or liquidated, MacAndrews and/or its affiliates will succeed to the rights and obligations of M&amp;F under the Tax Receivable Agreement, and the same considerations described above apply to any such successor parties.</w:t>
      </w:r>
    </w:p>
    <w:p>
      <w:pPr>
        <w:spacing w:after="0" w:line="2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Our corporate headquarters and lab facilities are located in High Point, North Carolina, where we lease 32,776 square feet of mixed laboratory and office space in the Mendenhall Oaks office park. The lease agreement for this space continues through December 2019.</w:t>
      </w:r>
    </w:p>
    <w:p>
      <w:pPr>
        <w:spacing w:after="0" w:line="62"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As a result of the Restructuring, we do not expect to require in-house laboratory space in future periods, and our expected need for office space has decreased. Since our current facility lease expires in December 2019, we expect to seek to negotiate new leases or look for alternate space for our operations. We believe that appropriate alternative space is readily available and expect that our facility costs will decrease as a result of the change.</w:t>
      </w:r>
    </w:p>
    <w:p>
      <w:pPr>
        <w:spacing w:after="0" w:line="27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1020" w:right="220" w:hanging="1012"/>
        <w:spacing w:after="0" w:line="282" w:lineRule="auto"/>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Class A common stock is listed on the NASDAQ Capital Market under the symbol “VTVT”.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509"/>
        <w:spacing w:after="0" w:line="264" w:lineRule="auto"/>
        <w:rPr>
          <w:sz w:val="20"/>
          <w:szCs w:val="20"/>
          <w:color w:val="auto"/>
        </w:rPr>
      </w:pPr>
      <w:r>
        <w:rPr>
          <w:rFonts w:ascii="Arial" w:cs="Arial" w:eastAsia="Arial" w:hAnsi="Arial"/>
          <w:sz w:val="18"/>
          <w:szCs w:val="18"/>
          <w:color w:val="auto"/>
        </w:rPr>
        <w:t>No cash dividends have ever been declared or paid on the common equity to date by the Company. Our ability to pay dividends is restricted by our Loan Agreement. See “Management’s Discussion and Analysis of Financial Conditions and Results of Operations – Liquidity and Capital Resources” in Item 7 of this Annual Report on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60" w:firstLine="509"/>
        <w:spacing w:after="0" w:line="264" w:lineRule="auto"/>
        <w:rPr>
          <w:sz w:val="20"/>
          <w:szCs w:val="20"/>
          <w:color w:val="auto"/>
        </w:rPr>
      </w:pPr>
      <w:r>
        <w:rPr>
          <w:rFonts w:ascii="Arial" w:cs="Arial" w:eastAsia="Arial" w:hAnsi="Arial"/>
          <w:sz w:val="18"/>
          <w:szCs w:val="18"/>
          <w:color w:val="auto"/>
        </w:rPr>
        <w:t>As of February 25, 2019, there were approximately 21 holders of record of our Class A common stock and 7 holders of record of our Class B common stock. Because almost all of the shares of our Class A common stock are held by brokers, nominees and other institutions on behalf of shareholders, we are unable to estimate the total number of shareholders represented by these record 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2018. The only awards that have been granted under the plan below are in the form of option and restricted stock unit awards related to our Class A common stock:</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 to be</w:t>
            </w:r>
          </w:p>
        </w:tc>
        <w:tc>
          <w:tcPr>
            <w:tcW w:w="200" w:type="dxa"/>
            <w:vAlign w:val="bottom"/>
          </w:tcPr>
          <w:p>
            <w:pPr>
              <w:spacing w:after="0"/>
              <w:rPr>
                <w:sz w:val="12"/>
                <w:szCs w:val="12"/>
                <w:color w:val="auto"/>
              </w:rPr>
            </w:pPr>
          </w:p>
        </w:tc>
        <w:tc>
          <w:tcPr>
            <w:tcW w:w="19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Weighted-average Exercise</w:t>
            </w: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 Exercise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Equity Compensation Plans</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Options, Warrants and</w:t>
            </w: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Rights</w:t>
            </w: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w:t>
            </w: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w:t>
            </w:r>
          </w:p>
        </w:tc>
        <w:tc>
          <w:tcPr>
            <w:tcW w:w="80" w:type="dxa"/>
            <w:vAlign w:val="bottom"/>
            <w:tcBorders>
              <w:top w:val="single" w:sz="8" w:color="CFF0FC"/>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1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240"/>
              <w:spacing w:after="0"/>
              <w:rPr>
                <w:sz w:val="20"/>
                <w:szCs w:val="20"/>
                <w:color w:val="auto"/>
              </w:rPr>
            </w:pPr>
            <w:r>
              <w:rPr>
                <w:rFonts w:ascii="Arial" w:cs="Arial" w:eastAsia="Arial" w:hAnsi="Arial"/>
                <w:sz w:val="18"/>
                <w:szCs w:val="18"/>
                <w:color w:val="auto"/>
              </w:rPr>
              <w:t>2015 Omnibus Equity Incentive Plan</w:t>
            </w:r>
          </w:p>
        </w:tc>
        <w:tc>
          <w:tcPr>
            <w:tcW w:w="1780" w:type="dxa"/>
            <w:vAlign w:val="bottom"/>
          </w:tcPr>
          <w:p>
            <w:pPr>
              <w:jc w:val="right"/>
              <w:spacing w:after="0"/>
              <w:rPr>
                <w:sz w:val="20"/>
                <w:szCs w:val="20"/>
                <w:color w:val="auto"/>
              </w:rPr>
            </w:pPr>
            <w:r>
              <w:rPr>
                <w:rFonts w:ascii="Arial" w:cs="Arial" w:eastAsia="Arial" w:hAnsi="Arial"/>
                <w:sz w:val="18"/>
                <w:szCs w:val="18"/>
                <w:color w:val="auto"/>
              </w:rPr>
              <w:t>1,790,836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8.57</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1,459,164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not approved by</w:t>
            </w:r>
          </w:p>
        </w:tc>
        <w:tc>
          <w:tcPr>
            <w:tcW w:w="1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17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1,790,836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repurchases of the Company’s common stock during the fourth fiscal quarter of fiscal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2" w:name="page63"/>
    <w:bookmarkEnd w:id="62"/>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The following selected financial data should be read together with the information under “Management’s Discussion and Analysis of Financial Condition and Results of Operations” and our financial statements and the notes to those financial statements included elsewhere in this Annual Report on Form 10-K. The selected statements of operations data for the years ended December 31, 2018, 2017 and 2016 and balance sheet data as of December 31, 2018 and 2017 set forth below have been derived from our audited financial statements included elsewhere in this Annual Report on Form 10-K. The selected statements of operations data for the year ended December 31, 2014 and the selected balance sheet data as of December 31, 2015 and 2014 set forth below has been derived from the audited financial statements for such year not included in this Annual Report on Form 10-K. The historical periods presented here are not necessarily indicative of future results.</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15"/>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for per share data)</w:t>
            </w: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980" w:type="dxa"/>
            <w:vAlign w:val="bottom"/>
            <w:tcBorders>
              <w:bottom w:val="single" w:sz="8" w:color="CFF0FC"/>
            </w:tcBorders>
            <w:vMerge w:val="continue"/>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Revenue</w:t>
            </w:r>
          </w:p>
        </w:tc>
        <w:tc>
          <w:tcPr>
            <w:tcW w:w="30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12,434</w:t>
            </w:r>
          </w:p>
        </w:tc>
        <w:tc>
          <w:tcPr>
            <w:tcW w:w="10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180" w:type="dxa"/>
            <w:vAlign w:val="bottom"/>
            <w:gridSpan w:val="3"/>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180" w:type="dxa"/>
            <w:vAlign w:val="bottom"/>
            <w:gridSpan w:val="3"/>
          </w:tcPr>
          <w:p>
            <w:pPr>
              <w:ind w:left="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23,035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39,640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45,748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9,223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11,333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9,906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32,258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50,973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55,654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38,661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(19,824)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(50,682)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(55,020)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(38,142)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(28,897)</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(3,821)</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(3,165)</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(2,965)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(7,204)</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noncontrolling interest</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(15,934)</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(38,503)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(39,001)</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(13,609)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Net loss attributable to vTv Therapeutics Inc.</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(7,911)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(16,144)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(16,352)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(27,498)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(36,101)</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w w:val="91"/>
              </w:rPr>
              <w:t>Net loss attributable to vTv Therapeutics Inc. common shareholders</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(8,650)</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(16,144)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(16,352)</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(27,498)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 xml:space="preserve">Net loss per share, basic and diluted </w:t>
            </w:r>
            <w:r>
              <w:rPr>
                <w:rFonts w:ascii="Arial" w:cs="Arial" w:eastAsia="Arial" w:hAnsi="Arial"/>
                <w:sz w:val="15"/>
                <w:szCs w:val="15"/>
                <w:color w:val="auto"/>
              </w:rPr>
              <w:t>(1)</w:t>
            </w:r>
          </w:p>
        </w:tc>
        <w:tc>
          <w:tcPr>
            <w:tcW w:w="30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(0.69)</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(1.67)</w:t>
            </w:r>
          </w:p>
        </w:tc>
        <w:tc>
          <w:tcPr>
            <w:tcW w:w="180" w:type="dxa"/>
            <w:vAlign w:val="bottom"/>
            <w:gridSpan w:val="3"/>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(1.71)</w:t>
            </w:r>
          </w:p>
        </w:tc>
        <w:tc>
          <w:tcPr>
            <w:tcW w:w="180" w:type="dxa"/>
            <w:vAlign w:val="bottom"/>
            <w:gridSpan w:val="3"/>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outstanding, basic</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diluted</w:t>
            </w:r>
          </w:p>
        </w:tc>
        <w:tc>
          <w:tcPr>
            <w:tcW w:w="102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12,449,236</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7"/>
              </w:rPr>
              <w:t>9,693,254</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9"/>
              </w:rPr>
              <w:t>9,545,527</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8,276,520</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9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Balance sheet data:</w:t>
            </w:r>
          </w:p>
        </w:tc>
        <w:tc>
          <w:tcPr>
            <w:tcW w:w="8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51,505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Working capital</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(15,364)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(6,567)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40,683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81,460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(5,253)</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8,559</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27,917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54,495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91,532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18,837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of current portion</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6,330</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 net of current portion</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Redeemable convertible preferred units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438,086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Redeemable noncontrolling interest</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62,482</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131,440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122,515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161,531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Total stockholders'/members’ deficit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(82,853)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(151,047)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(90,945)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(77,970)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(498,806)</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500" w:hanging="492"/>
        <w:spacing w:after="0" w:line="276"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Loss per share is not presented for the year ended December 31, 2014 as the Company did not have any economic interests prior to the date of the IPO and Reorganization Transactions through which it was given ownership in vTv LLC. Losses prior to the IPO and Reorganization Transactions would have been allocated to the original members of TTP and HPP. Loss per share for the year ended December 31, 2015 includes the 2015 losses recognized both prior and subsequent to the IPO and Reorganization Transactions. See “Management’s Discussion and Analysis of Financial Condition and Results of Operations” for additional information regarding the IPO and Refinancing Transactions.</w:t>
      </w:r>
    </w:p>
    <w:p>
      <w:pPr>
        <w:spacing w:after="0" w:line="2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“Selected Financial Data” and our consolidated financial statements and related notes included elsewhere in this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in Part I, Item 1A, “Risk Factors” in this Annual Report on Form 10-K. See the sections entitled “Risk Factors” and “Cautionary Note Regarding Forward-Looking Statements.”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 xml:space="preserve">We are a clinical-stage biopharmaceutical company engaged in the discovery and development of orally administered small molecule drug candidates to fill significant unmet medical needs. We have a powerful pipeline of clinical drug candidates, led by our programs for the treatment of mild Alzheimer’s disease (“AD”) and diabetes. Our drug candidate,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w:t>
      </w:r>
      <w:r>
        <w:rPr>
          <w:rFonts w:ascii="Arial" w:cs="Arial" w:eastAsia="Arial" w:hAnsi="Arial"/>
          <w:sz w:val="16"/>
          <w:szCs w:val="16"/>
          <w:i w:val="1"/>
          <w:iCs w:val="1"/>
          <w:color w:val="auto"/>
        </w:rPr>
        <w:t>TTP488</w:t>
      </w:r>
      <w:r>
        <w:rPr>
          <w:rFonts w:ascii="Arial" w:cs="Arial" w:eastAsia="Arial" w:hAnsi="Arial"/>
          <w:sz w:val="16"/>
          <w:szCs w:val="16"/>
          <w:color w:val="auto"/>
        </w:rPr>
        <w:t xml:space="preserve">), is an orally administered, small molecule antagonist targeting the receptor for advanced glycation endproducts (“RAGE”), for which we have initiated start-up activities for an adaptive Phase 2/3 trial to evaluate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as a potential treatment of mild-AD in patients with type 2 diabetes. We are currently finalizing a protocol for the study, negotiating with clinical research organizations to support study conduct activities for the trial and beginning the site selection process. We expect to initiate patient enrollment in this study in mid-2019.</w:t>
      </w:r>
    </w:p>
    <w:p>
      <w:pPr>
        <w:spacing w:after="0" w:line="57" w:lineRule="exact"/>
        <w:rPr>
          <w:sz w:val="20"/>
          <w:szCs w:val="20"/>
          <w:color w:val="auto"/>
        </w:rPr>
      </w:pPr>
    </w:p>
    <w:p>
      <w:pPr>
        <w:ind w:right="40" w:firstLine="509"/>
        <w:spacing w:after="0" w:line="312" w:lineRule="auto"/>
        <w:rPr>
          <w:sz w:val="20"/>
          <w:szCs w:val="20"/>
          <w:color w:val="auto"/>
        </w:rPr>
      </w:pPr>
      <w:r>
        <w:rPr>
          <w:rFonts w:ascii="Arial" w:cs="Arial" w:eastAsia="Arial" w:hAnsi="Arial"/>
          <w:sz w:val="16"/>
          <w:szCs w:val="16"/>
          <w:color w:val="auto"/>
        </w:rPr>
        <w:t xml:space="preserve">Our type 2 diabetes drug candidates include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 orally administered, liver-selective glucokinase activator (“GKA”), for which we successfully completed a Phase 2b clinical trial in type 2 diabetes (the “AGATA Study”), and </w:t>
      </w:r>
      <w:r>
        <w:rPr>
          <w:rFonts w:ascii="Arial" w:cs="Arial" w:eastAsia="Arial" w:hAnsi="Arial"/>
          <w:sz w:val="16"/>
          <w:szCs w:val="16"/>
          <w:i w:val="1"/>
          <w:iCs w:val="1"/>
          <w:color w:val="auto"/>
        </w:rPr>
        <w:t>TTP273</w:t>
      </w:r>
      <w:r>
        <w:rPr>
          <w:rFonts w:ascii="Arial" w:cs="Arial" w:eastAsia="Arial" w:hAnsi="Arial"/>
          <w:sz w:val="16"/>
          <w:szCs w:val="16"/>
          <w:color w:val="auto"/>
        </w:rPr>
        <w:t>, an orally administered, non-peptide agonist that targets the glucagon-like peptide-1 receptor (“GLP-1r”), for which we successfully completed a Phase 2 clinical trial in type 2 diabetes (the “LOGRA Study”).</w:t>
      </w:r>
    </w:p>
    <w:p>
      <w:pPr>
        <w:spacing w:after="0" w:line="39" w:lineRule="exact"/>
        <w:rPr>
          <w:sz w:val="20"/>
          <w:szCs w:val="20"/>
          <w:color w:val="auto"/>
        </w:rPr>
      </w:pPr>
    </w:p>
    <w:p>
      <w:pPr>
        <w:jc w:val="both"/>
        <w:ind w:right="40" w:firstLine="509"/>
        <w:spacing w:after="0" w:line="288" w:lineRule="auto"/>
        <w:rPr>
          <w:sz w:val="20"/>
          <w:szCs w:val="20"/>
          <w:color w:val="auto"/>
        </w:rPr>
      </w:pPr>
      <w:r>
        <w:rPr>
          <w:rFonts w:ascii="Arial" w:cs="Arial" w:eastAsia="Arial" w:hAnsi="Arial"/>
          <w:sz w:val="16"/>
          <w:szCs w:val="16"/>
          <w:color w:val="auto"/>
        </w:rPr>
        <w:t xml:space="preserve">We are also developing </w:t>
      </w:r>
      <w:r>
        <w:rPr>
          <w:rFonts w:ascii="Arial" w:cs="Arial" w:eastAsia="Arial" w:hAnsi="Arial"/>
          <w:sz w:val="16"/>
          <w:szCs w:val="16"/>
          <w:i w:val="1"/>
          <w:iCs w:val="1"/>
          <w:color w:val="auto"/>
        </w:rPr>
        <w:t>TTP399</w:t>
      </w:r>
      <w:r>
        <w:rPr>
          <w:rFonts w:ascii="Arial" w:cs="Arial" w:eastAsia="Arial" w:hAnsi="Arial"/>
          <w:sz w:val="16"/>
          <w:szCs w:val="16"/>
          <w:color w:val="auto"/>
        </w:rPr>
        <w:t xml:space="preserve"> for type 1 diabetes. In August 2017, we entered into a research, development and commercialization agreement with JDRF International (“JDRF”) (the “JDRF Agreement”) to support the funding of the simplici-T1 Study, an adaptive Phase 1b/2 study to explore the effects of </w:t>
      </w:r>
      <w:r>
        <w:rPr>
          <w:rFonts w:ascii="Arial" w:cs="Arial" w:eastAsia="Arial" w:hAnsi="Arial"/>
          <w:sz w:val="16"/>
          <w:szCs w:val="16"/>
          <w:i w:val="1"/>
          <w:iCs w:val="1"/>
          <w:color w:val="auto"/>
        </w:rPr>
        <w:t xml:space="preserve">TTP399 </w:t>
      </w:r>
      <w:r>
        <w:rPr>
          <w:rFonts w:ascii="Arial" w:cs="Arial" w:eastAsia="Arial" w:hAnsi="Arial"/>
          <w:sz w:val="16"/>
          <w:szCs w:val="16"/>
          <w:color w:val="auto"/>
        </w:rPr>
        <w:t>in type 1 diabetics. We have completed enrollment of the part 1 learning phase and expect to report results for this portion of the study in June</w:t>
      </w:r>
    </w:p>
    <w:p>
      <w:pPr>
        <w:ind w:right="100"/>
        <w:spacing w:after="0" w:line="281" w:lineRule="auto"/>
        <w:rPr>
          <w:sz w:val="20"/>
          <w:szCs w:val="20"/>
          <w:color w:val="auto"/>
        </w:rPr>
      </w:pPr>
      <w:r>
        <w:rPr>
          <w:rFonts w:ascii="Arial" w:cs="Arial" w:eastAsia="Arial" w:hAnsi="Arial"/>
          <w:sz w:val="16"/>
          <w:szCs w:val="16"/>
          <w:color w:val="auto"/>
        </w:rPr>
        <w:t>2019. We have begun the start-up activities for the part 2 confirming phase and expect to report results for this portion of the study in the latter part of the first quarter of 2020. According to the terms of the JDRF Agreement, JDRF will provide research funding of up to $3.0 million based on the achievement of research and development milestones, with the total funding provided by JDRF not to exceed approximately one-half of the total cost of the</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xml:space="preserve">project. Additionally, we have the obligation to make certain milestone payments to JDRF upon the commercialization, licensing, sale or transfer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treatment for type 1 diabetes.</w:t>
      </w:r>
    </w:p>
    <w:p>
      <w:pPr>
        <w:spacing w:after="0" w:line="76" w:lineRule="exact"/>
        <w:rPr>
          <w:sz w:val="20"/>
          <w:szCs w:val="20"/>
          <w:color w:val="auto"/>
        </w:rPr>
      </w:pPr>
    </w:p>
    <w:p>
      <w:pPr>
        <w:ind w:right="60" w:firstLine="468"/>
        <w:spacing w:after="0" w:line="269" w:lineRule="auto"/>
        <w:rPr>
          <w:sz w:val="20"/>
          <w:szCs w:val="20"/>
          <w:color w:val="auto"/>
        </w:rPr>
      </w:pPr>
      <w:r>
        <w:rPr>
          <w:rFonts w:ascii="Arial" w:cs="Arial" w:eastAsia="Arial" w:hAnsi="Arial"/>
          <w:sz w:val="17"/>
          <w:szCs w:val="17"/>
          <w:color w:val="auto"/>
        </w:rPr>
        <w:t xml:space="preserve">We have also entered into partnerships with other pharmaceutical companies to continue the development of our GLP-1r, PDE4, and PPAR-δ programs. In December 2017, we entered into a License Agreement with Hangzhou Zhongmei Huadong Pharmaceutical Co., Ltd. (“Huadong”) (the “Huadong License Agreement”), under which Huadong obtained an exclusive and sublicensable license to develop and commercialize our glucagon-like peptide-1 receptor agonist (“GLP-1r”) program, including the compound </w:t>
      </w:r>
      <w:r>
        <w:rPr>
          <w:rFonts w:ascii="Arial" w:cs="Arial" w:eastAsia="Arial" w:hAnsi="Arial"/>
          <w:sz w:val="17"/>
          <w:szCs w:val="17"/>
          <w:i w:val="1"/>
          <w:iCs w:val="1"/>
          <w:color w:val="auto"/>
        </w:rPr>
        <w:t>TTP273</w:t>
      </w:r>
      <w:r>
        <w:rPr>
          <w:rFonts w:ascii="Arial" w:cs="Arial" w:eastAsia="Arial" w:hAnsi="Arial"/>
          <w:sz w:val="17"/>
          <w:szCs w:val="17"/>
          <w:color w:val="auto"/>
        </w:rPr>
        <w:t xml:space="preserve">, in China and certain other Pacific Rim countries, including Australia and South Korea. We also entered into a License Agreement with Reneo Pharmaceuticals, Inc. (“Reneo”) (the “Reneo License Agreement”) in December 2017, under which Reneo obtained an exclusive, worldwide, sublicensable license to develop and commercialize our peroxisome proliferation activated receptor delta agonist program, including the compound HPP593. Finally, in May 2018, we entered into a License Agrement with Newsoara Biopharma Co., Ltd., (“Newsoara”) (the “Newsoara License Agreement”), under which Newsoara obtained an exclusive and sublicensable license to develop and commercialize our phosphodiesterase type 4 inhibitors (“PDE4”) program, including the compound </w:t>
      </w:r>
      <w:r>
        <w:rPr>
          <w:rFonts w:ascii="Arial" w:cs="Arial" w:eastAsia="Arial" w:hAnsi="Arial"/>
          <w:sz w:val="17"/>
          <w:szCs w:val="17"/>
          <w:i w:val="1"/>
          <w:iCs w:val="1"/>
          <w:color w:val="auto"/>
        </w:rPr>
        <w:t>HPP737</w:t>
      </w:r>
      <w:r>
        <w:rPr>
          <w:rFonts w:ascii="Arial" w:cs="Arial" w:eastAsia="Arial" w:hAnsi="Arial"/>
          <w:sz w:val="17"/>
          <w:szCs w:val="17"/>
          <w:color w:val="auto"/>
        </w:rPr>
        <w:t>, in China and other Pacific Rim countries. For more information regarding the JDRF Agreement, the Huadong License Agreement, Reneo License Agreement and the Newsoara License Agreement, see Part 1 – Item 1 – “Business – Intellectual Property – License and Research Agreements” of this Annual Report.</w:t>
      </w:r>
    </w:p>
    <w:p>
      <w:pPr>
        <w:spacing w:after="0" w:line="75" w:lineRule="exact"/>
        <w:rPr>
          <w:sz w:val="20"/>
          <w:szCs w:val="20"/>
          <w:color w:val="auto"/>
        </w:rPr>
      </w:pPr>
    </w:p>
    <w:p>
      <w:pPr>
        <w:ind w:right="760" w:firstLine="509"/>
        <w:spacing w:after="0" w:line="277" w:lineRule="auto"/>
        <w:rPr>
          <w:sz w:val="20"/>
          <w:szCs w:val="20"/>
          <w:color w:val="auto"/>
        </w:rPr>
      </w:pPr>
      <w:r>
        <w:rPr>
          <w:rFonts w:ascii="Arial" w:cs="Arial" w:eastAsia="Arial" w:hAnsi="Arial"/>
          <w:sz w:val="18"/>
          <w:szCs w:val="18"/>
          <w:color w:val="auto"/>
        </w:rPr>
        <w:t>In addition to the above, we continue to advance the nonclinical development of our NRF2 pathway program through industry and academic collaborations.</w:t>
      </w:r>
    </w:p>
    <w:p>
      <w:pPr>
        <w:spacing w:after="0" w:line="170"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vTv Therapeutics Inc. (the “Company”, the “Registrant”, “we” or “us”) is a holding company, and its principal asset is a controlling equity interest in vTv Therapeutics LLC (“vTv LLC”), the Company’s principal operating subsidiary. 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178"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To date, we have devoted substantially all of our resources to our research and development efforts relating to our investigational drug candidates, including conducting clinical trials with our drug candidates, providing general and administrative support for these operations and protecting our intellectual property. We do not have any products approved for sale and have not generated any revenue from drug sales. From our inception through December 31, 2018, we (including our predecessor companies) have funded our operations primarily through:</w:t>
      </w:r>
    </w:p>
    <w:p>
      <w:pPr>
        <w:spacing w:after="0" w:line="79" w:lineRule="exact"/>
        <w:rPr>
          <w:sz w:val="20"/>
          <w:szCs w:val="20"/>
          <w:color w:val="auto"/>
        </w:rPr>
      </w:pPr>
    </w:p>
    <w:p>
      <w:pPr>
        <w:ind w:left="1000" w:hanging="492"/>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series of private placements of preferred equity from 1999 through 2006 totaling $109.3 million;</w:t>
      </w:r>
    </w:p>
    <w:p>
      <w:pPr>
        <w:spacing w:after="0" w:line="117" w:lineRule="exact"/>
        <w:rPr>
          <w:rFonts w:ascii="Arial" w:cs="Arial" w:eastAsia="Arial" w:hAnsi="Arial"/>
          <w:sz w:val="18"/>
          <w:szCs w:val="18"/>
          <w:color w:val="auto"/>
        </w:rPr>
      </w:pPr>
    </w:p>
    <w:p>
      <w:pPr>
        <w:ind w:left="1000" w:right="200" w:hanging="492"/>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receipt of $23.4 million from completed research collaborations with Novo Nordisk, A/S Merck and Boehringher Ingelheim from 2001 to 2006;</w:t>
      </w:r>
    </w:p>
    <w:p>
      <w:pPr>
        <w:spacing w:after="0" w:line="62" w:lineRule="exact"/>
        <w:rPr>
          <w:rFonts w:ascii="Arial" w:cs="Arial" w:eastAsia="Arial" w:hAnsi="Arial"/>
          <w:sz w:val="18"/>
          <w:szCs w:val="18"/>
          <w:color w:val="auto"/>
        </w:rPr>
      </w:pPr>
    </w:p>
    <w:p>
      <w:pPr>
        <w:ind w:left="1000" w:right="240" w:hanging="492"/>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receipt of $169.2 million of upfront, milestone and research fees during 2006 to 2010 under a license and research agreement with Pfizer, Inc., which was terminated in 2011;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4" w:name="page65"/>
    <w:bookmarkEnd w:id="64"/>
    <w:p>
      <w:pPr>
        <w:ind w:left="1000" w:right="260" w:hanging="492"/>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receipt of $55.7 million of upfront, milestone and research expense reimbursements from 2010 to 2013 under a license agreement for our GKA programs with an affiliate of Forest Laboratories, Inc., which was terminated in 2013;</w:t>
      </w:r>
    </w:p>
    <w:p>
      <w:pPr>
        <w:spacing w:after="0" w:line="62" w:lineRule="exact"/>
        <w:rPr>
          <w:rFonts w:ascii="Arial" w:cs="Arial" w:eastAsia="Arial" w:hAnsi="Arial"/>
          <w:sz w:val="18"/>
          <w:szCs w:val="18"/>
          <w:color w:val="auto"/>
        </w:rPr>
      </w:pPr>
    </w:p>
    <w:p>
      <w:pPr>
        <w:ind w:left="1000" w:right="220" w:hanging="492"/>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various borrowings totaling $114.7 million from November 2011 through March 2014 from entities affiliated with MacAndrews, which were converted to Series F and Series B preferred units of TTP and HPP, our predecessors;</w:t>
      </w:r>
    </w:p>
    <w:p>
      <w:pPr>
        <w:spacing w:after="0" w:line="62" w:lineRule="exact"/>
        <w:rPr>
          <w:rFonts w:ascii="Arial" w:cs="Arial" w:eastAsia="Arial" w:hAnsi="Arial"/>
          <w:sz w:val="18"/>
          <w:szCs w:val="18"/>
          <w:color w:val="auto"/>
        </w:rPr>
      </w:pPr>
    </w:p>
    <w:p>
      <w:pPr>
        <w:ind w:left="1000" w:hanging="492"/>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borrowings of $46.6 million from April 2014 through June 2015 from entities affiliated with MacAndrews;</w:t>
      </w:r>
    </w:p>
    <w:p>
      <w:pPr>
        <w:spacing w:after="0" w:line="117" w:lineRule="exact"/>
        <w:rPr>
          <w:rFonts w:ascii="Arial" w:cs="Arial" w:eastAsia="Arial" w:hAnsi="Arial"/>
          <w:sz w:val="18"/>
          <w:szCs w:val="18"/>
          <w:color w:val="auto"/>
        </w:rPr>
      </w:pPr>
    </w:p>
    <w:p>
      <w:pPr>
        <w:ind w:left="1000" w:hanging="492"/>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completion of the IPO in August 2015, which raised proceeds of $104.4 million from the sale of our Class A common stock, par value $0.01 per share (the “Class A Common Stock”), net of offering costs;</w:t>
      </w:r>
    </w:p>
    <w:p>
      <w:pPr>
        <w:spacing w:after="0" w:line="62" w:lineRule="exact"/>
        <w:rPr>
          <w:rFonts w:ascii="Arial" w:cs="Arial" w:eastAsia="Arial" w:hAnsi="Arial"/>
          <w:sz w:val="18"/>
          <w:szCs w:val="18"/>
          <w:color w:val="auto"/>
        </w:rPr>
      </w:pPr>
    </w:p>
    <w:p>
      <w:pPr>
        <w:ind w:left="1000" w:right="480" w:hanging="492"/>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borrowings totaling $20.0 million from a venture loan and security agreement (the “Loan Agreement”) with Horizon Technology Finance Corporation and Silicon Valley Bank (together, the “Lenders”) in October 2016 and March 2017; and</w:t>
      </w:r>
    </w:p>
    <w:p>
      <w:pPr>
        <w:spacing w:after="0" w:line="62" w:lineRule="exact"/>
        <w:rPr>
          <w:rFonts w:ascii="Arial" w:cs="Arial" w:eastAsia="Arial" w:hAnsi="Arial"/>
          <w:sz w:val="18"/>
          <w:szCs w:val="18"/>
          <w:color w:val="auto"/>
        </w:rPr>
      </w:pPr>
    </w:p>
    <w:p>
      <w:pPr>
        <w:ind w:left="1000" w:right="80" w:hanging="492"/>
        <w:spacing w:after="0" w:line="302"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letter agreements (the “Prior Letter Agreements”) with M&amp;F Group in December 2017 and July 2018, under which we had the right to sell to M&amp;F Group shares of our Class A common stock at a price equal to $4.38 and $1.33 per share, respectively, and M&amp;F Group had the right (exercisable up to three times) to require us to sell to it shares of Class A common stock at the same price (subject to an aggregate maximum of $10.0 million worth of Class A common stock that may be sold under each Letter Agreement, whether at our option or M&amp;F Group’s); and</w:t>
      </w:r>
    </w:p>
    <w:p>
      <w:pPr>
        <w:spacing w:after="0" w:line="46" w:lineRule="exact"/>
        <w:rPr>
          <w:rFonts w:ascii="Arial" w:cs="Arial" w:eastAsia="Arial" w:hAnsi="Arial"/>
          <w:sz w:val="16"/>
          <w:szCs w:val="16"/>
          <w:color w:val="auto"/>
        </w:rPr>
      </w:pPr>
    </w:p>
    <w:p>
      <w:pPr>
        <w:ind w:left="1000" w:right="20" w:hanging="492"/>
        <w:spacing w:after="0" w:line="259"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and December 2018, under which, we had the right to sell to M&amp;F Group shares of our Class A common stock at a price equal to $1.84 per share, respectively, and M&amp;F Group has the right (exercisable up to three times) to require us to sell to it shares of Class A common stock at the same price (subject to an aggregate maximum of $10.0 million worth of Class A common stock that may be sold under each Letter Agreement, whether at our option or M&amp;F Group’s).</w:t>
      </w:r>
    </w:p>
    <w:p>
      <w:pPr>
        <w:spacing w:after="0" w:line="18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We anticipate that our expenses will increase substantially as we:</w:t>
      </w:r>
    </w:p>
    <w:p>
      <w:pPr>
        <w:spacing w:after="0" w:line="62" w:lineRule="exact"/>
        <w:rPr>
          <w:sz w:val="20"/>
          <w:szCs w:val="20"/>
          <w:color w:val="auto"/>
        </w:rPr>
      </w:pPr>
    </w:p>
    <w:p>
      <w:pPr>
        <w:ind w:left="1000" w:hanging="492"/>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continue the development of our lead drug candidates,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w:t>
      </w:r>
      <w:r>
        <w:rPr>
          <w:rFonts w:ascii="Arial" w:cs="Arial" w:eastAsia="Arial" w:hAnsi="Arial"/>
          <w:sz w:val="18"/>
          <w:szCs w:val="18"/>
          <w:i w:val="1"/>
          <w:iCs w:val="1"/>
          <w:color w:val="auto"/>
        </w:rPr>
        <w:t>TTP273</w:t>
      </w:r>
      <w:r>
        <w:rPr>
          <w:rFonts w:ascii="Arial" w:cs="Arial" w:eastAsia="Arial" w:hAnsi="Arial"/>
          <w:sz w:val="18"/>
          <w:szCs w:val="18"/>
          <w:color w:val="auto"/>
        </w:rPr>
        <w:t xml:space="preserve"> and </w:t>
      </w:r>
      <w:r>
        <w:rPr>
          <w:rFonts w:ascii="Arial" w:cs="Arial" w:eastAsia="Arial" w:hAnsi="Arial"/>
          <w:sz w:val="18"/>
          <w:szCs w:val="18"/>
          <w:i w:val="1"/>
          <w:iCs w:val="1"/>
          <w:color w:val="auto"/>
        </w:rPr>
        <w:t>TTP399</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seek to obtain regulatory approvals for our lead drug candidates;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prepare for the potential commercialization of our lead drug candidates;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expand our research and development activities and advance our clinical programs; and</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 xml:space="preserve">We do not expect to generate revenue from drug sales unless and until we successfully complete development and obtain marketing approval for one or more of our drug candidates, which we expect will take a number of years and will be subject to significant uncertainty. Accordingly, we will need to raise additional capital to fund continuing drug development prior to the commercialization of any of our drug candidates, including to finance the adaptive Phase 2/3 trial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for the treatment of mild-AD in patients with type 2 diabetes. Until such time that we can generate substantial revenue from product sales, we expect to finance our operating activities through a combination of equity offerings, debt financings, marketing and distribution arrangements and other collaborations, strategic alliances and licensing arrangements. We are evaluating several financing strategies to fund the proposed clinical trial of </w:t>
      </w:r>
      <w:r>
        <w:rPr>
          <w:rFonts w:ascii="Arial" w:cs="Arial" w:eastAsia="Arial" w:hAnsi="Arial"/>
          <w:sz w:val="16"/>
          <w:szCs w:val="16"/>
          <w:i w:val="1"/>
          <w:iCs w:val="1"/>
          <w:color w:val="auto"/>
        </w:rPr>
        <w:t xml:space="preserve">azeliragon </w:t>
      </w:r>
      <w:r>
        <w:rPr>
          <w:rFonts w:ascii="Arial" w:cs="Arial" w:eastAsia="Arial" w:hAnsi="Arial"/>
          <w:sz w:val="16"/>
          <w:szCs w:val="16"/>
          <w:color w:val="auto"/>
        </w:rPr>
        <w:t>for the treatment of mild-AD in patients with type 2 diabetes, including direct equity investments and future public offerings of our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Nevertheless, we may be unable to raise additional funds or enter into such other arrangements when needed, on favorable terms or at all, which would have a negative impact on our liquidity and financial condition and could force us to delay, reduce the scope or eliminate one or more of our research and development programs or commercialization efforts. Failure to receive additional funding could cause us to cease operations, in part or in full.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To date, we have not generated any revenue from drug sales. Our revenue has been primarily derived from up-front proceeds and research fees under collaboration and license agreements.</w:t>
      </w:r>
    </w:p>
    <w:p>
      <w:pPr>
        <w:spacing w:after="0" w:line="170" w:lineRule="exact"/>
        <w:rPr>
          <w:sz w:val="20"/>
          <w:szCs w:val="20"/>
          <w:color w:val="auto"/>
        </w:rPr>
      </w:pPr>
    </w:p>
    <w:p>
      <w:pPr>
        <w:ind w:right="20" w:firstLine="509"/>
        <w:spacing w:after="0" w:line="297" w:lineRule="auto"/>
        <w:rPr>
          <w:sz w:val="20"/>
          <w:szCs w:val="20"/>
          <w:color w:val="auto"/>
        </w:rPr>
      </w:pPr>
      <w:r>
        <w:rPr>
          <w:rFonts w:ascii="Arial" w:cs="Arial" w:eastAsia="Arial" w:hAnsi="Arial"/>
          <w:sz w:val="16"/>
          <w:szCs w:val="16"/>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salaries, benefits and related overhead expenses for personnel in research and development functions and depreciation of leasehold improvements, laboratory equipment and computers. Since we typically use our employee and infrastructure resources across multiple research and development programs such costs are not allocated to the individual projects.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From our inception through December 31, 2018, we have incurred approximately $564.9 million in research and development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research and development expenses by project for the years ended December 31, 2018, 2017 and 2016 were as follows (in thousands):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Years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740" w:type="dxa"/>
            <w:vAlign w:val="bottom"/>
            <w:tcBorders>
              <w:bottom w:val="single" w:sz="8" w:color="CFF0FC"/>
            </w:tcBorders>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w:t>
            </w:r>
          </w:p>
        </w:tc>
        <w:tc>
          <w:tcPr>
            <w:tcW w:w="6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120"/>
              <w:spacing w:after="0"/>
              <w:rPr>
                <w:sz w:val="20"/>
                <w:szCs w:val="20"/>
                <w:color w:val="auto"/>
              </w:rPr>
            </w:pPr>
            <w:r>
              <w:rPr>
                <w:rFonts w:ascii="Arial" w:cs="Arial" w:eastAsia="Arial" w:hAnsi="Arial"/>
                <w:sz w:val="18"/>
                <w:szCs w:val="18"/>
                <w:i w:val="1"/>
                <w:iCs w:val="1"/>
                <w:color w:val="auto"/>
              </w:rPr>
              <w:t>Azeliragon</w:t>
            </w:r>
          </w:p>
        </w:tc>
        <w:tc>
          <w:tcPr>
            <w:tcW w:w="146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13,507</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28,206</w:t>
            </w:r>
          </w:p>
        </w:tc>
        <w:tc>
          <w:tcPr>
            <w:tcW w:w="22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29,430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TTP399</w:t>
            </w:r>
          </w:p>
        </w:tc>
        <w:tc>
          <w:tcPr>
            <w:tcW w:w="6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120"/>
              <w:spacing w:after="0"/>
              <w:rPr>
                <w:sz w:val="20"/>
                <w:szCs w:val="20"/>
                <w:color w:val="auto"/>
              </w:rPr>
            </w:pPr>
            <w:r>
              <w:rPr>
                <w:rFonts w:ascii="Arial" w:cs="Arial" w:eastAsia="Arial" w:hAnsi="Arial"/>
                <w:sz w:val="18"/>
                <w:szCs w:val="18"/>
                <w:i w:val="1"/>
                <w:iCs w:val="1"/>
                <w:color w:val="auto"/>
              </w:rPr>
              <w:t>TTP273</w:t>
            </w: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projects</w:t>
            </w:r>
          </w:p>
        </w:tc>
        <w:tc>
          <w:tcPr>
            <w:tcW w:w="6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Indirect research and development expense</w:t>
            </w:r>
          </w:p>
        </w:tc>
        <w:tc>
          <w:tcPr>
            <w:tcW w:w="6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9,663</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6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23,035</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39,640</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45,748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09"/>
        <w:spacing w:after="0" w:line="276" w:lineRule="auto"/>
        <w:rPr>
          <w:sz w:val="20"/>
          <w:szCs w:val="20"/>
          <w:color w:val="auto"/>
        </w:rPr>
      </w:pPr>
      <w:r>
        <w:rPr>
          <w:rFonts w:ascii="Arial" w:cs="Arial" w:eastAsia="Arial" w:hAnsi="Arial"/>
          <w:sz w:val="17"/>
          <w:szCs w:val="17"/>
          <w:color w:val="auto"/>
        </w:rPr>
        <w:t xml:space="preserve">We plan to continue to incur significant research and development expenses for the foreseeable future as we continue the development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and further advance the development of our other drug candidates, subject to the availability of additional funding. In December 2018, we initiated a corporate restructuring to use external resources rather than internal resources in the development of our drug candidates. This restructuring includes a significant reduction in our workforce, which is expected to result in lower personnel costs in future periods, but some of these expected reductions may be offset by higher costs for outsourced services, severance payments and other related expenses.</w:t>
      </w:r>
    </w:p>
    <w:p>
      <w:pPr>
        <w:spacing w:after="0" w:line="173"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79" w:lineRule="exact"/>
        <w:rPr>
          <w:sz w:val="20"/>
          <w:szCs w:val="20"/>
          <w:color w:val="auto"/>
        </w:rPr>
      </w:pPr>
    </w:p>
    <w:p>
      <w:pPr>
        <w:ind w:left="1000" w:right="620" w:hanging="492"/>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uncertainty of the scope, rate of progress and expense of our ongoing, as well as any additional, clinical trials and other research and development activities;</w:t>
      </w:r>
    </w:p>
    <w:p>
      <w:pPr>
        <w:spacing w:after="0" w:line="62" w:lineRule="exact"/>
        <w:rPr>
          <w:rFonts w:ascii="Arial" w:cs="Arial" w:eastAsia="Arial" w:hAnsi="Arial"/>
          <w:sz w:val="18"/>
          <w:szCs w:val="18"/>
          <w:color w:val="auto"/>
        </w:rPr>
      </w:pPr>
    </w:p>
    <w:p>
      <w:pPr>
        <w:ind w:left="1000" w:hanging="492"/>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potential benefits of our candidates over other therapies;</w:t>
      </w:r>
    </w:p>
    <w:p>
      <w:pPr>
        <w:spacing w:after="0" w:line="117" w:lineRule="exact"/>
        <w:rPr>
          <w:rFonts w:ascii="Arial" w:cs="Arial" w:eastAsia="Arial" w:hAnsi="Arial"/>
          <w:sz w:val="18"/>
          <w:szCs w:val="18"/>
          <w:color w:val="auto"/>
        </w:rPr>
      </w:pPr>
    </w:p>
    <w:p>
      <w:pPr>
        <w:ind w:left="1000" w:right="260" w:hanging="492"/>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drug candidates that we are developing or may develop in the future;</w:t>
      </w:r>
    </w:p>
    <w:p>
      <w:pPr>
        <w:spacing w:after="0" w:line="62" w:lineRule="exact"/>
        <w:rPr>
          <w:rFonts w:ascii="Arial" w:cs="Arial" w:eastAsia="Arial" w:hAnsi="Arial"/>
          <w:sz w:val="18"/>
          <w:szCs w:val="18"/>
          <w:color w:val="auto"/>
        </w:rPr>
      </w:pPr>
    </w:p>
    <w:p>
      <w:pPr>
        <w:ind w:left="1000" w:hanging="492"/>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enroll patients in our clinical trials;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 and</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filing, prosecuting, defending and enforcing of patent claims and other intellectual property rights, and the expense of doing so.</w:t>
      </w:r>
    </w:p>
    <w:p>
      <w:pPr>
        <w:spacing w:after="0" w:line="22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20" w:firstLine="509"/>
        <w:spacing w:after="0" w:line="312" w:lineRule="auto"/>
        <w:rPr>
          <w:sz w:val="20"/>
          <w:szCs w:val="20"/>
          <w:color w:val="auto"/>
        </w:rPr>
      </w:pPr>
      <w:r>
        <w:rPr>
          <w:rFonts w:ascii="Arial" w:cs="Arial" w:eastAsia="Arial" w:hAnsi="Arial"/>
          <w:sz w:val="16"/>
          <w:szCs w:val="16"/>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147" w:lineRule="exact"/>
        <w:rPr>
          <w:sz w:val="20"/>
          <w:szCs w:val="20"/>
          <w:color w:val="auto"/>
        </w:rPr>
      </w:pPr>
    </w:p>
    <w:p>
      <w:pPr>
        <w:jc w:val="both"/>
        <w:ind w:right="120" w:firstLine="509"/>
        <w:spacing w:after="0" w:line="264" w:lineRule="auto"/>
        <w:rPr>
          <w:sz w:val="20"/>
          <w:szCs w:val="20"/>
          <w:color w:val="auto"/>
        </w:rPr>
      </w:pPr>
      <w:r>
        <w:rPr>
          <w:rFonts w:ascii="Arial" w:cs="Arial" w:eastAsia="Arial" w:hAnsi="Arial"/>
          <w:sz w:val="18"/>
          <w:szCs w:val="18"/>
          <w:color w:val="auto"/>
        </w:rPr>
        <w:t>Our general and administrative expenses have increased and will continue to increase as we operate as a public company and commercialize our drug candidates. Such increases have been driven by higher costs for director and officer liability insurance, costs related to the hiring of additional personnel and increased fees for outside consultants, lawyers and accountants.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Interest expense, net primarily consists of our cash and non-cash interest expense related to our Loan Agreement. Cash interest on the Loan Agreement is recognized at a floating interest rate equal to 10.5% plus the amount by which the one-month London Interbank Offer Rate (“LIBOR”) exceeds</w:t>
      </w:r>
    </w:p>
    <w:p>
      <w:pPr>
        <w:ind w:right="60"/>
        <w:spacing w:after="0" w:line="254" w:lineRule="auto"/>
        <w:rPr>
          <w:sz w:val="20"/>
          <w:szCs w:val="20"/>
          <w:color w:val="auto"/>
        </w:rPr>
      </w:pPr>
      <w:r>
        <w:rPr>
          <w:rFonts w:ascii="Arial" w:cs="Arial" w:eastAsia="Arial" w:hAnsi="Arial"/>
          <w:sz w:val="18"/>
          <w:szCs w:val="18"/>
          <w:color w:val="auto"/>
        </w:rPr>
        <w:t>0.5%. Non-cash interest expense represents the amortization of the costs incurred in connection with the Loan Agreement, the allocated fair value of the warrants to purchase shares of our Class A Common Stock issued in connection with the Loan Agreement (the “Warrants”) and the accretion of the final interest payment (which will be paid in cash upon loan maturity), all of which are recognized in our Consolidated Statement of Operations using the effective interest method.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Other income (expense), net primarily consists of gains and losses related to the adjustment of the fair value of the warrants issued to MacAndrews in connection with the Letter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2018 and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data:</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Revenue</w:t>
            </w:r>
          </w:p>
        </w:tc>
        <w:tc>
          <w:tcPr>
            <w:tcW w:w="60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(16,605)</w:t>
            </w: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(2,110)</w:t>
            </w: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32,258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(3,290)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(3,092)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(198)</w:t>
            </w: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Other expense, net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(53,847)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(54,647)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30,802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(15,934)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(38,503)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22,569</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509"/>
        <w:spacing w:after="0" w:line="297" w:lineRule="auto"/>
        <w:rPr>
          <w:sz w:val="20"/>
          <w:szCs w:val="20"/>
          <w:color w:val="auto"/>
        </w:rPr>
      </w:pPr>
      <w:r>
        <w:rPr>
          <w:rFonts w:ascii="Arial" w:cs="Arial" w:eastAsia="Arial" w:hAnsi="Arial"/>
          <w:sz w:val="16"/>
          <w:szCs w:val="16"/>
          <w:color w:val="auto"/>
        </w:rPr>
        <w:t>Revenues were $12.4 million and $0.3 million for the years ended December 31, 2018 and 2017, respectively. The revenue earned during each of these years relates to our license agreements. We recognize the portion of the consideration received allocated to the license deliverable for each of these agreements over the requisite knowledge transfer or research service periods which were completed during 2018 for both the Huadong and Newsoara License Agreements. The portion of revenue allocated to the other deliverables under the license agreements will be recognized as performance occurs. A minimal amount of revenue was recognized in 2017 for the Huadong and Reneo License Agreements as those agreements were entered into in December 2017.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Research and development expenses were $23.0 million and $39.6 million for the years ended December 31, 2018 and 2017, respectively. The decrease in research and development expenses during this period of $16.6 million, or 41.9%, was primarily due to:</w:t>
      </w:r>
    </w:p>
    <w:p>
      <w:pPr>
        <w:spacing w:after="0" w:line="62" w:lineRule="exact"/>
        <w:rPr>
          <w:sz w:val="20"/>
          <w:szCs w:val="20"/>
          <w:color w:val="auto"/>
        </w:rPr>
      </w:pPr>
    </w:p>
    <w:p>
      <w:pPr>
        <w:ind w:left="1000" w:right="120" w:hanging="492"/>
        <w:spacing w:after="0" w:line="25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 decrease in clinical trial costs of $14.7 million for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from 2017, which was mainly driven by decreases of $12.0 million related to the termination of our STEADFAST and OLE studies in early April 2018, decreases of $1.9 million related to the cost of other completed or discontinued adjunct studies for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and decreases in compound manufacturing costs of $1.4 million. These decreases were offset by increases of $0.6 million related to the cost of consultants used to provide analysis of the STEADFAST Study results and advice in advance of discussions with regulatory agencies;</w:t>
      </w:r>
    </w:p>
    <w:p>
      <w:pPr>
        <w:spacing w:after="0" w:line="80" w:lineRule="exact"/>
        <w:rPr>
          <w:rFonts w:ascii="Arial" w:cs="Arial" w:eastAsia="Arial" w:hAnsi="Arial"/>
          <w:sz w:val="18"/>
          <w:szCs w:val="18"/>
          <w:color w:val="auto"/>
        </w:rPr>
      </w:pPr>
    </w:p>
    <w:p>
      <w:pPr>
        <w:ind w:left="1000" w:right="260" w:hanging="492"/>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An increase in clinical trial costs of $0.5 million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from 2017, which was driven by higher spending on the simpliciT-1 trial which began in late 2017 and is currently enrolling patients; and</w:t>
      </w:r>
    </w:p>
    <w:p>
      <w:pPr>
        <w:spacing w:after="0" w:line="62" w:lineRule="exact"/>
        <w:rPr>
          <w:rFonts w:ascii="Arial" w:cs="Arial" w:eastAsia="Arial" w:hAnsi="Arial"/>
          <w:sz w:val="18"/>
          <w:szCs w:val="18"/>
          <w:color w:val="auto"/>
        </w:rPr>
      </w:pPr>
    </w:p>
    <w:p>
      <w:pPr>
        <w:ind w:left="1000" w:hanging="492"/>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decrease in other research and development costs of $1.7 million, primarily driven by a decrease in the expense related to share-based awards and incentive-based compensation costs expected to be paid to our employees.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 w:firstLine="509"/>
        <w:spacing w:after="0" w:line="264" w:lineRule="auto"/>
        <w:rPr>
          <w:sz w:val="20"/>
          <w:szCs w:val="20"/>
          <w:color w:val="auto"/>
        </w:rPr>
      </w:pPr>
      <w:r>
        <w:rPr>
          <w:rFonts w:ascii="Arial" w:cs="Arial" w:eastAsia="Arial" w:hAnsi="Arial"/>
          <w:sz w:val="18"/>
          <w:szCs w:val="18"/>
          <w:color w:val="auto"/>
        </w:rPr>
        <w:t>General and administrative expenses were $9.2 million and $11.3 million for the years ended December 31, 2018 and 2017, respectively. The decrease in general and administrative expenses during this period of $2.1 million, or 18.6%, was primarily due to decreases in expenses for share-based awards, incentive-based compensation and professional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400" w:firstLine="509"/>
        <w:spacing w:after="0" w:line="308" w:lineRule="auto"/>
        <w:rPr>
          <w:sz w:val="20"/>
          <w:szCs w:val="20"/>
          <w:color w:val="auto"/>
        </w:rPr>
      </w:pPr>
      <w:r>
        <w:rPr>
          <w:rFonts w:ascii="Arial" w:cs="Arial" w:eastAsia="Arial" w:hAnsi="Arial"/>
          <w:sz w:val="17"/>
          <w:szCs w:val="17"/>
          <w:color w:val="auto"/>
        </w:rPr>
        <w:t>Interest expense, net was $3.3 million and $3.1 million for the years ended December 31, 2018 and 2017, respectively. Interest expense primarily relates to our Loan Agreement which bears interest at 10.5% plus the amount by which the one-month LIBOR exceeds 0.5%.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Year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data:</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Revenue</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(6,108)</w:t>
            </w:r>
          </w:p>
        </w:tc>
      </w:tr>
      <w:tr>
        <w:trPr>
          <w:trHeight w:val="230"/>
        </w:trPr>
        <w:tc>
          <w:tcPr>
            <w:tcW w:w="20" w:type="dxa"/>
            <w:vAlign w:val="bottom"/>
          </w:tcPr>
          <w:p>
            <w:pPr>
              <w:spacing w:after="0"/>
              <w:rPr>
                <w:sz w:val="19"/>
                <w:szCs w:val="19"/>
                <w:color w:val="auto"/>
              </w:rPr>
            </w:pPr>
          </w:p>
        </w:tc>
        <w:tc>
          <w:tcPr>
            <w:tcW w:w="458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(4,681)</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4,338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(2,694)</w:t>
            </w: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net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w:t>
            </w: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Loss before income taxes</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(55,353)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(55,353)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(38,503)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(39,001)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509"/>
        <w:spacing w:after="0" w:line="297" w:lineRule="auto"/>
        <w:rPr>
          <w:sz w:val="20"/>
          <w:szCs w:val="20"/>
          <w:color w:val="auto"/>
        </w:rPr>
      </w:pPr>
      <w:r>
        <w:rPr>
          <w:rFonts w:ascii="Arial" w:cs="Arial" w:eastAsia="Arial" w:hAnsi="Arial"/>
          <w:sz w:val="16"/>
          <w:szCs w:val="16"/>
          <w:color w:val="auto"/>
        </w:rPr>
        <w:t>Revenues were $0.3 million and $0.6 million for the years ended December 31, 2017 and 2016, respectively. The revenue earned during the year ended December 31, 2017 primarily relates to the Huadong and Reneo License Agreements, which were entered into in December 2017. The revenue earned during the year ended December 31, 2016 was primarily attributable to our former license agreement with Calithera. We recognize the portion of the consideration received allocated to the license deliverable for each of these agreements over the requisite knowledge transfer or research service periods. The portion of revenue allocated to the other deliverables under the license agreements will be recognized as performance occurs.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Research and development expenses were $39.6 million and $45.7 million for the years ended December 31, 2017 and 2016, respectively. The decrease in research and development expenses during this period of $6.1 million, or 13.4%, was primarily due to:</w:t>
      </w:r>
    </w:p>
    <w:p>
      <w:pPr>
        <w:spacing w:after="0" w:line="62" w:lineRule="exact"/>
        <w:rPr>
          <w:sz w:val="20"/>
          <w:szCs w:val="20"/>
          <w:color w:val="auto"/>
        </w:rPr>
      </w:pPr>
    </w:p>
    <w:p>
      <w:pPr>
        <w:ind w:left="1000" w:right="100" w:hanging="492"/>
        <w:spacing w:after="0" w:line="293"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A decrease in clinical trial costs of $1.2 million for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from 2016, which was mainly driven by decreases of $2.6 million related to the timing of drug-drug interaction and other supporting studies. These studies were conducted primarily in 2016 and were completed in early 2017. Additionally, we saw decreases of $0.9 million in compound manufacturing costs for drug product from 2016 as drug product was manufactured in 2016 for the support of the STEADFAST Study and the open-label extension (“OLE”) trial. Such decreases were offset by an increase of $1.2 million in cost related to the OLE trial as patients completing the STEADFAST Study elect to continue in the OLE study and an increase of $0.9 million related to the cost of consultants engaged to assist primarily with the conduct of the STEADFAST Study;</w:t>
      </w:r>
    </w:p>
    <w:p>
      <w:pPr>
        <w:spacing w:after="0" w:line="56" w:lineRule="exact"/>
        <w:rPr>
          <w:rFonts w:ascii="Arial" w:cs="Arial" w:eastAsia="Arial" w:hAnsi="Arial"/>
          <w:sz w:val="16"/>
          <w:szCs w:val="16"/>
          <w:color w:val="auto"/>
        </w:rPr>
      </w:pPr>
    </w:p>
    <w:p>
      <w:pPr>
        <w:ind w:left="1000" w:right="200" w:hanging="492"/>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 decrease in clinical trial costs of $2.2 million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from 2016, which was mainly driven by lower costs for the AGATA Study due to its completion in August 2016, partially offset by spending on the simpliciT-1 trial, which began in late 2017;</w:t>
      </w:r>
    </w:p>
    <w:p>
      <w:pPr>
        <w:spacing w:after="0" w:line="62" w:lineRule="exact"/>
        <w:rPr>
          <w:rFonts w:ascii="Arial" w:cs="Arial" w:eastAsia="Arial" w:hAnsi="Arial"/>
          <w:sz w:val="18"/>
          <w:szCs w:val="18"/>
          <w:color w:val="auto"/>
        </w:rPr>
      </w:pPr>
    </w:p>
    <w:p>
      <w:pPr>
        <w:ind w:left="1000" w:hanging="492"/>
        <w:spacing w:after="0"/>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A decrease in clinical trial costs of $3.5 million for </w:t>
      </w:r>
      <w:r>
        <w:rPr>
          <w:rFonts w:ascii="Arial" w:cs="Arial" w:eastAsia="Arial" w:hAnsi="Arial"/>
          <w:sz w:val="17"/>
          <w:szCs w:val="17"/>
          <w:i w:val="1"/>
          <w:iCs w:val="1"/>
          <w:color w:val="auto"/>
        </w:rPr>
        <w:t>TTP273</w:t>
      </w:r>
      <w:r>
        <w:rPr>
          <w:rFonts w:ascii="Arial" w:cs="Arial" w:eastAsia="Arial" w:hAnsi="Arial"/>
          <w:sz w:val="17"/>
          <w:szCs w:val="17"/>
          <w:color w:val="auto"/>
        </w:rPr>
        <w:t xml:space="preserve"> from 2016, due to the completion of the LOGRA study in December 2016; and</w:t>
      </w:r>
    </w:p>
    <w:p>
      <w:pPr>
        <w:spacing w:after="0" w:line="128" w:lineRule="exact"/>
        <w:rPr>
          <w:rFonts w:ascii="Arial" w:cs="Arial" w:eastAsia="Arial" w:hAnsi="Arial"/>
          <w:sz w:val="17"/>
          <w:szCs w:val="17"/>
          <w:color w:val="auto"/>
        </w:rPr>
      </w:pPr>
    </w:p>
    <w:p>
      <w:pPr>
        <w:ind w:left="1000" w:right="460" w:hanging="492"/>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in other research and development costs of $1.1 million, primarily driven by an increase in the expense related to share-based awards and other compensation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General and administrative expenses were $11.3 million and $9.9 million for the years ended December 31, 2017 and 2016, respectively. The increase in general and administrative expenses during this period of $1.4 million, or 14.4%, was primarily due to increases in professional and legal fees of $0.3 million primarily related to the license agreements entered into in 2017 coupled with increases in compensation costs of approximately $0.9 million due to grants of additional share-based compensation awards as well as the impact of additional personnel hired in both years.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320" w:firstLine="509"/>
        <w:spacing w:after="0" w:line="279" w:lineRule="auto"/>
        <w:rPr>
          <w:sz w:val="20"/>
          <w:szCs w:val="20"/>
          <w:color w:val="auto"/>
        </w:rPr>
      </w:pPr>
      <w:r>
        <w:rPr>
          <w:rFonts w:ascii="Arial" w:cs="Arial" w:eastAsia="Arial" w:hAnsi="Arial"/>
          <w:sz w:val="17"/>
          <w:szCs w:val="17"/>
          <w:color w:val="auto"/>
        </w:rPr>
        <w:t>Interest expense, net was $3.1 million and $0.4 million for the years ended December 31, 2017 and 2016, respectively. Interest expense primarily relates to our Loan Agreement which was entered into in late October 2016 and which bears interest at 10.5% plus the amount by which the one-month LIBOR exceeds 0.5%. The increase in such interest expense for the year ended December 31, 2017 relates to both the borrowing of the second tranche in March 2017 as well as the period of time for which the loan was outstanding in each year.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Going Concern</w:t>
      </w:r>
    </w:p>
    <w:p>
      <w:pPr>
        <w:spacing w:after="0" w:line="225" w:lineRule="exact"/>
        <w:rPr>
          <w:sz w:val="20"/>
          <w:szCs w:val="20"/>
          <w:color w:val="auto"/>
        </w:rPr>
      </w:pPr>
    </w:p>
    <w:p>
      <w:pPr>
        <w:ind w:right="60" w:firstLine="838"/>
        <w:spacing w:after="0" w:line="288" w:lineRule="auto"/>
        <w:rPr>
          <w:sz w:val="20"/>
          <w:szCs w:val="20"/>
          <w:color w:val="auto"/>
        </w:rPr>
      </w:pPr>
      <w:r>
        <w:rPr>
          <w:rFonts w:ascii="Arial" w:cs="Arial" w:eastAsia="Arial" w:hAnsi="Arial"/>
          <w:sz w:val="16"/>
          <w:szCs w:val="16"/>
          <w:color w:val="auto"/>
        </w:rPr>
        <w:t xml:space="preserve">As of December 31, 2018, we had an accumulated deficit of $233.9 million. Since our inception, we have experienced a history of negative cash flows from operating activities. We anticipate that we will continue to incur losses for the foreseeable future as we continue our clinical trials. Further, we expect that we will need additional capital to continue to fund our operations. Our currently available sources of liquidity include our unrestricted balance of cash and cash equivalents of $1.7 million and the $8.5 million of remaining funds available under the Letter Agreements as of December 31, 2018. Based on our current operating plan, we believe that our current cash and cash equivalents will allow us to meet our liquidity requirements into March 2019. These factors raise substantial doubt regarding our ability to continue as a going concern. In addition to available cash and cash equivalents and available funds discussed above, we are seeking possible additional partnering opportunities for our GKA, GLP-1r and other drug candidates which we believe may provide additional cash for use in our operations and the continuation of the clinical trials for our drug candidates. We are evaluating several financing strategies to fund the proposed clinical trial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for the treatment of mild-AD in patients with type 2 diabetes, including direct equity investments and future public offerings of our common stock. The timing and availability of such financing are not yet known.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firstLine="468"/>
        <w:spacing w:after="0" w:line="264" w:lineRule="auto"/>
        <w:rPr>
          <w:sz w:val="20"/>
          <w:szCs w:val="20"/>
          <w:color w:val="auto"/>
        </w:rPr>
      </w:pPr>
      <w:r>
        <w:rPr>
          <w:rFonts w:ascii="Arial" w:cs="Arial" w:eastAsia="Arial" w:hAnsi="Arial"/>
          <w:sz w:val="18"/>
          <w:szCs w:val="18"/>
          <w:color w:val="auto"/>
        </w:rPr>
        <w:t>The Company has entered into the December Letter Agreement and the Prior Letter Agreements (collectively, the “Letter Agreements”) with M&amp;F Group. Under the terms of the Letter Agreements, the Company has or had the right to sell to M&amp;F Group shares of its Class A Common Stock at a specified price per share, and M&amp;F Group has or had the right (exercisable up to three times)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9" w:name="page70"/>
    <w:bookmarkEnd w:id="69"/>
    <w:p>
      <w:pPr>
        <w:ind w:right="20"/>
        <w:spacing w:after="0" w:line="255" w:lineRule="auto"/>
        <w:rPr>
          <w:sz w:val="20"/>
          <w:szCs w:val="20"/>
          <w:color w:val="auto"/>
        </w:rPr>
      </w:pPr>
      <w:r>
        <w:rPr>
          <w:rFonts w:ascii="Arial" w:cs="Arial" w:eastAsia="Arial" w:hAnsi="Arial"/>
          <w:sz w:val="18"/>
          <w:szCs w:val="18"/>
          <w:color w:val="auto"/>
        </w:rPr>
        <w:t>to require the Company to sell to it shares of Class A Common Stock at the same price. An aggregate of $20.0 million worth of Class A Common Stock were sold under the Prior Letter Agreements and a further $10.0 million worth of Class A Common Stock may be sold under the December Letter Agreement (whether at the Company’s or M&amp;F Group’s option). In addition, in connection with the entrance into these Letter Agreements, the Company also issued to M&amp;F Group warrants (the “Letter Agreement Warrants”) to purchase additional shares of the Company’s Class A Common Stock. On October 26, 2018, we entered into amendments with M&amp;F Group to the Letter Agreement Warrants associated with the Prior Letter Agreements, which removed certain anti-dilution provisions of those Letter Agreement Warrants.</w:t>
      </w:r>
    </w:p>
    <w:p>
      <w:pPr>
        <w:spacing w:after="0" w:line="8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terms of these Letter Agreements are set forth in the table below:</w:t>
      </w:r>
    </w:p>
    <w:p>
      <w:pPr>
        <w:sectPr>
          <w:pgSz w:w="11900" w:h="16838" w:orient="portrait"/>
          <w:cols w:equalWidth="0" w:num="1">
            <w:col w:w="11400"/>
          </w:cols>
          <w:pgMar w:left="240" w:top="233" w:right="2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Specified purchase price per share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Expiration date of letter agreement</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Shares available to be issued under related</w:t>
      </w:r>
    </w:p>
    <w:p>
      <w:pPr>
        <w:spacing w:after="0" w:line="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Exercise price of related warrants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Expiration date of related warrants</w:t>
      </w:r>
    </w:p>
    <w:p>
      <w:pPr>
        <w:spacing w:after="0" w:line="23" w:lineRule="exact"/>
        <w:rPr>
          <w:sz w:val="20"/>
          <w:szCs w:val="20"/>
          <w:color w:val="auto"/>
        </w:rPr>
      </w:pPr>
    </w:p>
    <w:p>
      <w:pPr>
        <w:ind w:left="580" w:right="740"/>
        <w:spacing w:after="0" w:line="281" w:lineRule="auto"/>
        <w:rPr>
          <w:sz w:val="20"/>
          <w:szCs w:val="20"/>
          <w:color w:val="auto"/>
        </w:rPr>
      </w:pPr>
      <w:r>
        <w:rPr>
          <w:rFonts w:ascii="Arial" w:cs="Arial" w:eastAsia="Arial" w:hAnsi="Arial"/>
          <w:sz w:val="17"/>
          <w:szCs w:val="17"/>
          <w:color w:val="auto"/>
        </w:rPr>
        <w:t>Total shares issued as of December 31, 2018 Remaining shares to be issued as of</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December 31, 2018</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5, 2017</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7"/>
              </w:rPr>
              <w:t>Letter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July 30, 2018 Letter</w:t>
            </w:r>
          </w:p>
        </w:tc>
        <w:tc>
          <w:tcPr>
            <w:tcW w:w="26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11, 2018 Letter</w:t>
            </w:r>
          </w:p>
        </w:tc>
      </w:tr>
      <w:tr>
        <w:trPr>
          <w:trHeight w:val="171"/>
        </w:trPr>
        <w:tc>
          <w:tcPr>
            <w:tcW w:w="2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Agreement</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Agreement</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Agreement</w:t>
            </w:r>
          </w:p>
        </w:tc>
      </w:tr>
      <w:tr>
        <w:trPr>
          <w:trHeight w:val="222"/>
        </w:trPr>
        <w:tc>
          <w:tcPr>
            <w:tcW w:w="20" w:type="dxa"/>
            <w:vAlign w:val="bottom"/>
          </w:tcPr>
          <w:p>
            <w:pPr>
              <w:spacing w:after="0"/>
              <w:rPr>
                <w:sz w:val="19"/>
                <w:szCs w:val="19"/>
                <w:color w:val="auto"/>
              </w:rPr>
            </w:pPr>
          </w:p>
        </w:tc>
        <w:tc>
          <w:tcPr>
            <w:tcW w:w="1160" w:type="dxa"/>
            <w:vAlign w:val="bottom"/>
          </w:tcPr>
          <w:p>
            <w:pPr>
              <w:jc w:val="right"/>
              <w:ind w:right="10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4.38</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2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December 5, 2018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July 30, 2019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92"/>
              </w:rPr>
              <w:t>December 11, 2019</w:t>
            </w:r>
          </w:p>
        </w:tc>
      </w:tr>
      <w:tr>
        <w:trPr>
          <w:trHeight w:val="338"/>
        </w:trPr>
        <w:tc>
          <w:tcPr>
            <w:tcW w:w="1660" w:type="dxa"/>
            <w:vAlign w:val="bottom"/>
            <w:gridSpan w:val="3"/>
          </w:tcPr>
          <w:p>
            <w:pPr>
              <w:jc w:val="right"/>
              <w:spacing w:after="0"/>
              <w:rPr>
                <w:sz w:val="20"/>
                <w:szCs w:val="20"/>
                <w:color w:val="auto"/>
              </w:rPr>
            </w:pPr>
            <w:r>
              <w:rPr>
                <w:rFonts w:ascii="Arial" w:cs="Arial" w:eastAsia="Arial" w:hAnsi="Arial"/>
                <w:sz w:val="18"/>
                <w:szCs w:val="18"/>
                <w:color w:val="auto"/>
              </w:rPr>
              <w:t>198,267</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518,654</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340,534</w:t>
            </w:r>
          </w:p>
        </w:tc>
      </w:tr>
      <w:tr>
        <w:trPr>
          <w:trHeight w:val="337"/>
        </w:trPr>
        <w:tc>
          <w:tcPr>
            <w:tcW w:w="1180" w:type="dxa"/>
            <w:vAlign w:val="bottom"/>
            <w:gridSpan w:val="2"/>
          </w:tcPr>
          <w:p>
            <w:pPr>
              <w:jc w:val="right"/>
              <w:ind w:right="10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1.53</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2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December 5, 2024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July 30, 2025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92"/>
              </w:rPr>
              <w:t>December 11, 2025</w:t>
            </w:r>
          </w:p>
        </w:tc>
      </w:tr>
      <w:tr>
        <w:trPr>
          <w:trHeight w:val="230"/>
        </w:trPr>
        <w:tc>
          <w:tcPr>
            <w:tcW w:w="1660" w:type="dxa"/>
            <w:vAlign w:val="bottom"/>
            <w:gridSpan w:val="3"/>
          </w:tcPr>
          <w:p>
            <w:pPr>
              <w:jc w:val="right"/>
              <w:spacing w:after="0"/>
              <w:rPr>
                <w:sz w:val="20"/>
                <w:szCs w:val="20"/>
                <w:color w:val="auto"/>
              </w:rPr>
            </w:pPr>
            <w:r>
              <w:rPr>
                <w:rFonts w:ascii="Arial" w:cs="Arial" w:eastAsia="Arial" w:hAnsi="Arial"/>
                <w:sz w:val="18"/>
                <w:szCs w:val="18"/>
                <w:color w:val="auto"/>
              </w:rPr>
              <w:t>2,283,105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7,518,797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815,217</w:t>
            </w:r>
          </w:p>
        </w:tc>
      </w:tr>
      <w:tr>
        <w:trPr>
          <w:trHeight w:val="33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4,619,566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-2952750</wp:posOffset>
            </wp:positionH>
            <wp:positionV relativeFrom="paragraph">
              <wp:posOffset>-1080135</wp:posOffset>
            </wp:positionV>
            <wp:extent cx="651764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-2952750</wp:posOffset>
            </wp:positionH>
            <wp:positionV relativeFrom="paragraph">
              <wp:posOffset>-650875</wp:posOffset>
            </wp:positionV>
            <wp:extent cx="651764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-2952750</wp:posOffset>
            </wp:positionH>
            <wp:positionV relativeFrom="paragraph">
              <wp:posOffset>-359410</wp:posOffset>
            </wp:positionV>
            <wp:extent cx="651764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4520" w:space="720"/>
            <w:col w:w="6160"/>
          </w:cols>
          <w:pgMar w:left="240" w:top="233" w:right="25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Transaction</w:t>
      </w:r>
    </w:p>
    <w:p>
      <w:pPr>
        <w:spacing w:after="0" w:line="225" w:lineRule="exact"/>
        <w:rPr>
          <w:sz w:val="20"/>
          <w:szCs w:val="20"/>
          <w:color w:val="auto"/>
        </w:rPr>
      </w:pPr>
    </w:p>
    <w:p>
      <w:pPr>
        <w:jc w:val="both"/>
        <w:ind w:right="340" w:firstLine="838"/>
        <w:spacing w:after="0" w:line="264" w:lineRule="auto"/>
        <w:rPr>
          <w:sz w:val="20"/>
          <w:szCs w:val="20"/>
          <w:color w:val="auto"/>
        </w:rPr>
      </w:pPr>
      <w:r>
        <w:rPr>
          <w:rFonts w:ascii="Arial" w:cs="Arial" w:eastAsia="Arial" w:hAnsi="Arial"/>
          <w:sz w:val="18"/>
          <w:szCs w:val="18"/>
          <w:color w:val="auto"/>
        </w:rPr>
        <w:t>In October 2016, we and vTv LLC entered into the Loan Agreement with Horizon Technology Finance Corporation and Silicon Valley Bank, under which we have borrowed $20.0 million. Each loan tranche bears interest at a floating rate equal to 10.5% plus the amount by which the one-month LIBOR exceeds 0.5%.</w:t>
      </w:r>
    </w:p>
    <w:p>
      <w:pPr>
        <w:spacing w:after="0" w:line="181" w:lineRule="exact"/>
        <w:rPr>
          <w:sz w:val="20"/>
          <w:szCs w:val="20"/>
          <w:color w:val="auto"/>
        </w:rPr>
      </w:pPr>
    </w:p>
    <w:p>
      <w:pPr>
        <w:ind w:right="200" w:firstLine="838"/>
        <w:spacing w:after="0" w:line="272" w:lineRule="auto"/>
        <w:rPr>
          <w:sz w:val="20"/>
          <w:szCs w:val="20"/>
          <w:color w:val="auto"/>
        </w:rPr>
      </w:pPr>
      <w:r>
        <w:rPr>
          <w:rFonts w:ascii="Arial" w:cs="Arial" w:eastAsia="Arial" w:hAnsi="Arial"/>
          <w:sz w:val="17"/>
          <w:szCs w:val="17"/>
          <w:color w:val="auto"/>
        </w:rPr>
        <w:t>We borrowed the first tranche of $12.5 million upon the close of the Loan Agreement in October 2016. The first tranche requires only monthly interest payments until May 1, 2018, followed by equal monthly payments of principal plus accrued interest through the scheduled maturity date on May 1, 2020. In addition, a final payment for the first tranche loan equal to $0.8 million will be due on May 1, 2020, or such earlier date specified in the Loan Agreement. We borrowed the second tranche of $7.5 million in March 2017. The second tranche requires only monthly interest payments until October 1, 2018, followed by equal monthly payments of principal plus accrued interest through the scheduled maturity date on October 1, 2020. In addition, a final payment for the second tranche loan equal to $0.5 million will be due on October 1, 2020, or such earlier date specified in the Loan Agreement. The availability of the third tranche of $5.0 million expired unused on June 30, 2017.</w:t>
      </w:r>
    </w:p>
    <w:p>
      <w:pPr>
        <w:spacing w:after="0" w:line="178" w:lineRule="exact"/>
        <w:rPr>
          <w:sz w:val="20"/>
          <w:szCs w:val="20"/>
          <w:color w:val="auto"/>
        </w:rPr>
      </w:pPr>
    </w:p>
    <w:p>
      <w:pPr>
        <w:ind w:firstLine="838"/>
        <w:spacing w:after="0" w:line="342" w:lineRule="auto"/>
        <w:rPr>
          <w:sz w:val="20"/>
          <w:szCs w:val="20"/>
          <w:color w:val="auto"/>
        </w:rPr>
      </w:pPr>
      <w:r>
        <w:rPr>
          <w:rFonts w:ascii="Arial" w:cs="Arial" w:eastAsia="Arial" w:hAnsi="Arial"/>
          <w:sz w:val="16"/>
          <w:szCs w:val="16"/>
          <w:color w:val="auto"/>
        </w:rPr>
        <w:t>If we repay all or a portion of the loan prior to the applicable maturity date, we will pay the Lenders a prepayment penalty fee, based on a percentage of the then outstanding principal balance equal to 4.0% during the first 18 months following the funding of the second tranche and 2.0% thereafter.</w:t>
      </w:r>
    </w:p>
    <w:p>
      <w:pPr>
        <w:spacing w:after="0" w:line="124" w:lineRule="exact"/>
        <w:rPr>
          <w:sz w:val="20"/>
          <w:szCs w:val="20"/>
          <w:color w:val="auto"/>
        </w:rPr>
      </w:pPr>
    </w:p>
    <w:p>
      <w:pPr>
        <w:ind w:right="180" w:firstLine="838"/>
        <w:spacing w:after="0" w:line="289" w:lineRule="auto"/>
        <w:rPr>
          <w:sz w:val="20"/>
          <w:szCs w:val="20"/>
          <w:color w:val="auto"/>
        </w:rPr>
      </w:pPr>
      <w:r>
        <w:rPr>
          <w:rFonts w:ascii="Arial" w:cs="Arial" w:eastAsia="Arial" w:hAnsi="Arial"/>
          <w:sz w:val="16"/>
          <w:szCs w:val="16"/>
          <w:color w:val="auto"/>
        </w:rPr>
        <w:t>In connection with the Loan Agreement, we have issued to the Lenders warrants to purchase shares of our Class A common stock (the “Warrants”). On October 28, 2016, we issued Warrants to purchase 152,580 shares of our Class A common stock at a per share exercise price of $6.39 per share, which aggregate exercise price represents 6.0% of the principal amount borrowed under the first tranche of the Loan Agreement and 3.0% of the amount available under the second tranche of the Loan Agreement. On March 24, 2017, in connection with the funding of the second tranche, we issued Warrants to purchase 38,006 shares of our Class A common stock at a per share exercise price of $5.92 per share, which aggregate exercise price represents 3.0% of the principal amount of the second tranche. In each instance, the Warrants have an exercise price equal to the lower of (a) the volume weighted average price per share of our Class A common stock, as reported on the principal stock exchange on which our Class A common stock is listed, for 10 trading days prior to the issuance of the applicable Warrants or (b) the closing price of a share of our Class A common stock on the trading day prior to the issuance of the applicable Warrants. The Warrants will expire seven years from their date of issuance.</w:t>
      </w:r>
    </w:p>
    <w:p>
      <w:pPr>
        <w:spacing w:after="0" w:line="167" w:lineRule="exact"/>
        <w:rPr>
          <w:sz w:val="20"/>
          <w:szCs w:val="20"/>
          <w:color w:val="auto"/>
        </w:rPr>
      </w:pPr>
    </w:p>
    <w:p>
      <w:pPr>
        <w:ind w:right="120" w:firstLine="838"/>
        <w:spacing w:after="0" w:line="291" w:lineRule="auto"/>
        <w:rPr>
          <w:sz w:val="20"/>
          <w:szCs w:val="20"/>
          <w:color w:val="auto"/>
        </w:rPr>
      </w:pPr>
      <w:r>
        <w:rPr>
          <w:rFonts w:ascii="Arial" w:cs="Arial" w:eastAsia="Arial" w:hAnsi="Arial"/>
          <w:sz w:val="16"/>
          <w:szCs w:val="16"/>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of not less than $2.5 million in a deposit account pledged to secure the Loan Agreement and subject to an account control agreement. The minimum cash balance covenant was included as part of an amendment to the Loan Agreement in connection with our entry into the Huadong License Agreement in December 2017. The Loan Agreement includes customary events of default, including payment defaults, covenant defaults and material adverse change default. Upon the occurrence of an event of default and following any applicable cure periods, a default interest rate of an additional 5% will be applied to the outstanding loan balances, and the Lenders may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70" w:name="page71"/>
    <w:bookmarkEnd w:id="70"/>
    <w:p>
      <w:pPr>
        <w:spacing w:after="0" w:line="342" w:lineRule="auto"/>
        <w:rPr>
          <w:sz w:val="20"/>
          <w:szCs w:val="20"/>
          <w:color w:val="auto"/>
        </w:rPr>
      </w:pPr>
      <w:r>
        <w:rPr>
          <w:rFonts w:ascii="Arial" w:cs="Arial" w:eastAsia="Arial" w:hAnsi="Arial"/>
          <w:sz w:val="16"/>
          <w:szCs w:val="16"/>
          <w:color w:val="auto"/>
        </w:rPr>
        <w:t>declare all outstanding obligations immediately due and payable and take such other actions as set forth in the Loan Agreement. As a result of the termination of the STEADFAST Study, we granted the Lenders a first priority security interest in all of our intellectual property, subject to certain limited exceptions.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(26,856)</w:t>
            </w:r>
          </w:p>
        </w:tc>
        <w:tc>
          <w:tcPr>
            <w:tcW w:w="3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(44,560)</w:t>
            </w: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40" w:firstLine="509"/>
        <w:spacing w:after="0" w:line="308" w:lineRule="auto"/>
        <w:rPr>
          <w:sz w:val="20"/>
          <w:szCs w:val="20"/>
          <w:color w:val="auto"/>
        </w:rPr>
      </w:pPr>
      <w:r>
        <w:rPr>
          <w:rFonts w:ascii="Arial" w:cs="Arial" w:eastAsia="Arial" w:hAnsi="Arial"/>
          <w:sz w:val="17"/>
          <w:szCs w:val="17"/>
          <w:color w:val="auto"/>
        </w:rPr>
        <w:t>For the year ended December 31, 2018, our net cash used in operating activities decreased $17.7 million from the prior year. The decrease in uses of cash was primarily driven by lower spending on our clinical trials during 2018 coupled with the impact of changes in working capital.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years ended December 31, 2018 and 2017, net cash used in investing activities was insignificant.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00" w:firstLine="509"/>
        <w:spacing w:after="0" w:line="264" w:lineRule="auto"/>
        <w:rPr>
          <w:sz w:val="20"/>
          <w:szCs w:val="20"/>
          <w:color w:val="auto"/>
        </w:rPr>
      </w:pPr>
      <w:r>
        <w:rPr>
          <w:rFonts w:ascii="Arial" w:cs="Arial" w:eastAsia="Arial" w:hAnsi="Arial"/>
          <w:sz w:val="18"/>
          <w:szCs w:val="18"/>
          <w:color w:val="auto"/>
        </w:rPr>
        <w:t>For the year ended December 31, 2018, net cash provided by financing activities was $16.6 million compared to net cash provided by financing activities of $7.5 million for the year ended December 31, 2017, resulting in an increase of $9.1 million. This increase was driven by the need for additional sources of financing in 2018 to support our ongoing operations and debt service requirements.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178"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 xml:space="preserve">Based on our current operating plan, we believe that our current cash and cash equivalents and other committed sources of funds under the Letter Agreements will allow us to meet our liquidity requirements into March 2019. In addition to the available cash and cash equivalents and other sources of liquidity, we are seeking possible additional partnering opportunities for our GKA, GLP-1r and other drug candidates which we believe may provide additional cash for use in our operations and the continuation of the clinical trials for our drug candidates. We are also evaluating several financing strategies to fund the proposed clinical trial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for the treatment of mild-AD in patients with type 2 diabetes, including direct equity investments and future public offerings of our common stock. The timing and availability of such financing are not yet known.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00" w:right="340" w:hanging="492"/>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progress, costs, results and timing of our planned adaptive Phase 2/3 trial to evaluate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as a potential treatment of mild-AD in patients with type 2 diabetes;</w:t>
      </w:r>
    </w:p>
    <w:p>
      <w:pPr>
        <w:spacing w:after="0" w:line="62" w:lineRule="exact"/>
        <w:rPr>
          <w:rFonts w:ascii="Arial" w:cs="Arial" w:eastAsia="Arial" w:hAnsi="Arial"/>
          <w:sz w:val="18"/>
          <w:szCs w:val="18"/>
          <w:color w:val="auto"/>
        </w:rPr>
      </w:pPr>
    </w:p>
    <w:p>
      <w:pPr>
        <w:ind w:left="1000" w:right="140" w:hanging="492"/>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willingness of the FDA to rely upon our completed and planned clinical and preclinical studies and other work, as the basis for review and approval of our drug candidates;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1" w:name="page72"/>
    <w:bookmarkEnd w:id="71"/>
    <w:p>
      <w:pPr>
        <w:ind w:left="1000" w:hanging="492"/>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and characteristics of drug candidates that we pursue, including our drug candidates in preclinical development;</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ind w:left="1000" w:right="20" w:hanging="492"/>
        <w:spacing w:after="0" w:line="264"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3" w:lineRule="exact"/>
        <w:rPr>
          <w:rFonts w:ascii="Arial" w:cs="Arial" w:eastAsia="Arial" w:hAnsi="Arial"/>
          <w:sz w:val="18"/>
          <w:szCs w:val="18"/>
          <w:color w:val="auto"/>
        </w:rPr>
      </w:pPr>
    </w:p>
    <w:p>
      <w:pPr>
        <w:ind w:left="1000" w:hanging="492"/>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and scientific and medical personnel;</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00" w:right="20" w:hanging="492"/>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 and</w:t>
      </w:r>
    </w:p>
    <w:p>
      <w:pPr>
        <w:spacing w:after="0" w:line="62" w:lineRule="exact"/>
        <w:rPr>
          <w:rFonts w:ascii="Arial" w:cs="Arial" w:eastAsia="Arial" w:hAnsi="Arial"/>
          <w:sz w:val="18"/>
          <w:szCs w:val="18"/>
          <w:color w:val="auto"/>
        </w:rPr>
      </w:pPr>
    </w:p>
    <w:p>
      <w:pPr>
        <w:ind w:left="1000" w:hanging="492"/>
        <w:spacing w:after="0"/>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amount of any payments we are required to make to M&amp;F TTP Holdings Two LLC in the future under the Tax Receivable Agreement.</w:t>
      </w:r>
    </w:p>
    <w:p>
      <w:pPr>
        <w:spacing w:after="0" w:line="237"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 xml:space="preserve">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through the Letter Agreements. However, we are evaluating several financing strategies to fund the proposed clinical trial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for the treatment of mild-AD in patients with type 2 diabetes, including direct equity investments and future public offerings of our common stock.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which could adversely affect our business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09"/>
        <w:spacing w:after="0" w:line="302" w:lineRule="auto"/>
        <w:rPr>
          <w:sz w:val="20"/>
          <w:szCs w:val="20"/>
          <w:color w:val="auto"/>
        </w:rPr>
      </w:pPr>
      <w:r>
        <w:rPr>
          <w:rFonts w:ascii="Arial" w:cs="Arial" w:eastAsia="Arial" w:hAnsi="Arial"/>
          <w:sz w:val="16"/>
          <w:szCs w:val="16"/>
          <w:color w:val="auto"/>
        </w:rPr>
        <w:t>We have entered into the December Letter Agreement with M&amp;F Group which, as of December 31, 2018, provide us the right to sell to M&amp;F Group an additional 4,619,566 shares of our Class A Common Stock at a price equal to $1.84 per share. Further, M&amp;F Group has the right (exercisable up to three times) to require us to sell to it shares of Class A Common Stock at the same price. As of December 31, 2018, we had received funding of $21.5 million under the Letter Agreements and, in exchange, had issued a total of 10,617,119 shares of our Class A Common Stock.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Critical Accounting Policies</w:t>
      </w:r>
    </w:p>
    <w:p>
      <w:pPr>
        <w:spacing w:after="0" w:line="121"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generally accepted accounting principles in the United States (“GAAP”). The preparation of our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While our significant accounting policies are more fully described in Note 2, “Summary of Significant Accounting Policies,” to our audited financial statements, we believe that the following accounting policies related to revenue recognition, research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2" w:name="page73"/>
    <w:bookmarkEnd w:id="72"/>
    <w:p>
      <w:pPr>
        <w:ind w:right="180"/>
        <w:spacing w:after="0" w:line="277" w:lineRule="auto"/>
        <w:rPr>
          <w:sz w:val="20"/>
          <w:szCs w:val="20"/>
          <w:color w:val="auto"/>
        </w:rPr>
      </w:pPr>
      <w:r>
        <w:rPr>
          <w:rFonts w:ascii="Arial" w:cs="Arial" w:eastAsia="Arial" w:hAnsi="Arial"/>
          <w:sz w:val="18"/>
          <w:szCs w:val="18"/>
          <w:color w:val="auto"/>
        </w:rPr>
        <w:t>development, income taxes, and share-based compensation are the most critical for fully understanding and evaluating our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509"/>
        <w:spacing w:after="0" w:line="276" w:lineRule="auto"/>
        <w:rPr>
          <w:sz w:val="20"/>
          <w:szCs w:val="20"/>
          <w:color w:val="auto"/>
        </w:rPr>
      </w:pPr>
      <w:r>
        <w:rPr>
          <w:rFonts w:ascii="Arial" w:cs="Arial" w:eastAsia="Arial" w:hAnsi="Arial"/>
          <w:sz w:val="17"/>
          <w:szCs w:val="17"/>
          <w:color w:val="auto"/>
        </w:rPr>
        <w:t>The Company is a holding company, and its principal asset is a controlling equity interest in vTv LLC, the Company’s principal operating subsidiary. The Company has determined that vTv LLC is a VIE for accounting purposes and that the Company is the primary beneficiary of vTv LLC because (through its managing member interest in vTv LLC and the fact that the senior management of the Company is also the senior management of vTv LLC) it has the power to direct all of the activities of vTv LLC, which include those that most significantly impact vTv LLC’s economic performance. The Company has therefore consolidated vTv LLC’s results under the VIE accounting model in its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380" w:firstLine="509"/>
        <w:spacing w:after="0" w:line="276" w:lineRule="auto"/>
        <w:rPr>
          <w:sz w:val="20"/>
          <w:szCs w:val="20"/>
          <w:color w:val="auto"/>
        </w:rPr>
      </w:pPr>
      <w:r>
        <w:rPr>
          <w:rFonts w:ascii="Arial" w:cs="Arial" w:eastAsia="Arial" w:hAnsi="Arial"/>
          <w:sz w:val="17"/>
          <w:szCs w:val="17"/>
          <w:color w:val="auto"/>
        </w:rPr>
        <w:t>The majority of our revenue results from its license and collaboration agreements associated with the development of investigational drug products. We account for a contract when it has approval and commitment from both parties, the rights of the parties are identified, payment terms are identified, the contract has commercial substance and collectability of consideration is probable. For each contract meeting these criteria, we identify the performance obligations included within the contract. A performance obligation is a promise in a contract to transfer a distinct good or service to the customer. We then recognize revenue under each contract as the related performance obligations are satisfied.</w:t>
      </w:r>
    </w:p>
    <w:p>
      <w:pPr>
        <w:spacing w:after="0" w:line="173"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The transaction price under the contract is determined based on the value of the consideration expected to be received in exchange for the transferred assets or services. Development, regulatory and sales milestones included in our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our best estimate of the standalone selling price of each distinct good or service in the contract. The primary method used to estimate standalone selling price is the expected cost plus margin approach. Revenue is recognized over the related period over which we expect the services to be provided using a proportional performance model or a straight-line method of recognition if there is no discernable pattern over which the services will be provided.</w:t>
      </w:r>
    </w:p>
    <w:p>
      <w:pPr>
        <w:spacing w:after="0" w:line="167" w:lineRule="exact"/>
        <w:rPr>
          <w:sz w:val="20"/>
          <w:szCs w:val="20"/>
          <w:color w:val="auto"/>
        </w:rPr>
      </w:pPr>
    </w:p>
    <w:p>
      <w:pPr>
        <w:ind w:right="260" w:firstLine="509"/>
        <w:spacing w:after="0" w:line="264" w:lineRule="auto"/>
        <w:rPr>
          <w:sz w:val="20"/>
          <w:szCs w:val="20"/>
          <w:color w:val="auto"/>
        </w:rPr>
      </w:pPr>
      <w:r>
        <w:rPr>
          <w:rFonts w:ascii="Arial" w:cs="Arial" w:eastAsia="Arial" w:hAnsi="Arial"/>
          <w:sz w:val="18"/>
          <w:szCs w:val="18"/>
          <w:color w:val="auto"/>
        </w:rPr>
        <w:t>See Note 2 “Summary of Significant Accounting Policies”, to the Consolidated Financial Statements in Item 15 of Part IV of this Annual Report on Form 10-K for further information regarding the adoption of ASC Topic 606, “Revenue From Contracts With Customers” and the related changes in the recognition of revenue that were adopted on January 1,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Major components of research and development costs include cash compensation,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our behalf. Costs incurred in research and development are expensed as incurred.</w:t>
      </w:r>
    </w:p>
    <w:p>
      <w:pPr>
        <w:spacing w:after="0" w:line="18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record accruals based on estimates of the services received, efforts expended and amounts owed pursuant to contracts with numerous contract research organizations. In the normal course of business, we contract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our accrual policy is to match the recording of expenses in our financial statements to the actual services received and efforts expended. As such, expense accruals related to clinical studies are recognized based on our estimate of the degree of completion of the event or events specified in the specific clinical study.</w:t>
      </w:r>
    </w:p>
    <w:p>
      <w:pPr>
        <w:spacing w:after="0" w:line="189"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We record nonrefundable advance payments we make for future research and development activities as prepaid expenses. Prepaid expenses are recognized as expense in the statements of operations as we receive the related goods or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09"/>
        <w:spacing w:after="0" w:line="264" w:lineRule="auto"/>
        <w:rPr>
          <w:sz w:val="20"/>
          <w:szCs w:val="20"/>
          <w:color w:val="auto"/>
        </w:rPr>
      </w:pPr>
      <w:r>
        <w:rPr>
          <w:rFonts w:ascii="Arial" w:cs="Arial" w:eastAsia="Arial" w:hAnsi="Arial"/>
          <w:sz w:val="18"/>
          <w:szCs w:val="18"/>
          <w:color w:val="auto"/>
        </w:rPr>
        <w:t>In connection with the IPO, vTv Therapeutics Inc. was formed. From August 1, 2015, vTv Therapeutics Inc. has been subject to corporate level income taxes. Prior to July 30, 2015, our predecessor entities were taxed as partnerships and all their income and deductions flowed through and were subject to tax at the partner level.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ind w:right="100" w:firstLine="509"/>
        <w:spacing w:after="0" w:line="277" w:lineRule="auto"/>
        <w:rPr>
          <w:sz w:val="20"/>
          <w:szCs w:val="20"/>
          <w:color w:val="auto"/>
        </w:rPr>
      </w:pPr>
      <w:r>
        <w:rPr>
          <w:rFonts w:ascii="Arial" w:cs="Arial" w:eastAsia="Arial" w:hAnsi="Arial"/>
          <w:sz w:val="18"/>
          <w:szCs w:val="18"/>
          <w:color w:val="auto"/>
        </w:rPr>
        <w:t>vTv Therapeutics Inc. holds vTv Units and is required to recognize deferred tax assets and liabilities for the difference between the financial reporting and tax basis of its investment in vTv LLC.</w:t>
      </w:r>
    </w:p>
    <w:p>
      <w:pPr>
        <w:spacing w:after="0" w:line="170" w:lineRule="exact"/>
        <w:rPr>
          <w:sz w:val="20"/>
          <w:szCs w:val="20"/>
          <w:color w:val="auto"/>
        </w:rPr>
      </w:pPr>
    </w:p>
    <w:p>
      <w:pPr>
        <w:jc w:val="both"/>
        <w:ind w:right="660" w:firstLine="509"/>
        <w:spacing w:after="0" w:line="264" w:lineRule="auto"/>
        <w:rPr>
          <w:sz w:val="20"/>
          <w:szCs w:val="20"/>
          <w:color w:val="auto"/>
        </w:rPr>
      </w:pPr>
      <w:r>
        <w:rPr>
          <w:rFonts w:ascii="Arial" w:cs="Arial" w:eastAsia="Arial" w:hAnsi="Arial"/>
          <w:sz w:val="18"/>
          <w:szCs w:val="18"/>
          <w:color w:val="auto"/>
        </w:rPr>
        <w:t>Our income tax expense, deferred tax assets and liabilities and reserves for unrecognized tax benefits reflect management’s best assessment of estimated future taxes to be paid. We are subject to income taxes in both the United States and various state jurisdictions. Significant judgments and estimates are required in determining the consolidated income tax expense.</w:t>
      </w:r>
    </w:p>
    <w:p>
      <w:pPr>
        <w:spacing w:after="0" w:line="181"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included in the financial statements. Under this method, we determine deferred tax assets and liabilities on the basis of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in which the enactment date occurs.</w:t>
      </w:r>
    </w:p>
    <w:p>
      <w:pPr>
        <w:spacing w:after="0" w:line="188" w:lineRule="exact"/>
        <w:rPr>
          <w:sz w:val="20"/>
          <w:szCs w:val="20"/>
          <w:color w:val="auto"/>
        </w:rPr>
      </w:pPr>
    </w:p>
    <w:p>
      <w:pPr>
        <w:ind w:firstLine="509"/>
        <w:spacing w:after="0" w:line="264" w:lineRule="auto"/>
        <w:rPr>
          <w:sz w:val="20"/>
          <w:szCs w:val="20"/>
          <w:color w:val="auto"/>
        </w:rPr>
      </w:pPr>
      <w:r>
        <w:rPr>
          <w:rFonts w:ascii="Arial" w:cs="Arial" w:eastAsia="Arial" w:hAnsi="Arial"/>
          <w:sz w:val="18"/>
          <w:szCs w:val="18"/>
          <w:color w:val="auto"/>
        </w:rPr>
        <w:t>We recognize deferred tax assets to the extent we believe these assets are more-likely-than-not to be realized. In making such a determination, we consider all available positive and negative evidence, including future reversals of existing taxable temporary differences, projected future taxable income, tax planning strategies and recent results of operations.</w:t>
      </w:r>
    </w:p>
    <w:p>
      <w:pPr>
        <w:spacing w:after="0" w:line="181" w:lineRule="exact"/>
        <w:rPr>
          <w:sz w:val="20"/>
          <w:szCs w:val="20"/>
          <w:color w:val="auto"/>
        </w:rPr>
      </w:pPr>
    </w:p>
    <w:p>
      <w:pPr>
        <w:jc w:val="both"/>
        <w:ind w:right="60" w:firstLine="509"/>
        <w:spacing w:after="0" w:line="312" w:lineRule="auto"/>
        <w:rPr>
          <w:sz w:val="20"/>
          <w:szCs w:val="20"/>
          <w:color w:val="auto"/>
        </w:rPr>
      </w:pPr>
      <w:r>
        <w:rPr>
          <w:rFonts w:ascii="Arial" w:cs="Arial" w:eastAsia="Arial" w:hAnsi="Arial"/>
          <w:sz w:val="16"/>
          <w:szCs w:val="16"/>
          <w:color w:val="auto"/>
        </w:rPr>
        <w:t>We record uncertain tax positions on the basis of a two-step process in which (1) we determine whether it is more-likely-than-not that the tax positions will be sustained on the basis of the technical merits of the position and (2) for those tax positions meeting the more-likely-than-not recognition threshold, we recognize the largest amount of tax benefit that is more than 50% likely to be realized upon ultimate settlement with the related tax authority.</w:t>
      </w:r>
    </w:p>
    <w:p>
      <w:pPr>
        <w:spacing w:after="0" w:line="147"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Interest and penalties related to income taxes are included in the benefit (provision) for income taxes in our Consolidated Statement of Operations. We have not incurred any significant interest or penalties related to income taxes in any of the periods presented.</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On December 22, 2017, the US government enacted comprehensive tax reform commonly referred to as the Tax Cuts and Jobs Act (“TCJA”). Under ASC 740, the effects of changes in tax rates and laws are recognized in the period which the new legislation is enacted. Among other things, the TCJA (1) reduced the US statutory corporate income tax rate from 35% to 21% effective January 1, 2018, (2) eliminated the corporate alternative minimum tax, (3) eliminated the Section 199 deduction, and (4) changed rules related to uses and limitations of net operating loss carryforwards beginning after December 31, 2017.</w:t>
      </w:r>
    </w:p>
    <w:p>
      <w:pPr>
        <w:spacing w:after="0" w:line="8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SEC staff issued Staff Accounting Bulletin No. 118 (“SAB 118”), which provides guidance on accounting for the tax effects of TCJA. The purpose of SAB 118 was to address any uncertainty or diversity of view in applying ASC 740 in the reporting period in which the TCJA was enacted. Additionally, SAB 118 provided a measurement period that should not extend beyond one year from the TCJA enactment date for companies to complete the accounting under ASC 740. Based on the reduced corporate tax rate of 21%, we recorded a provisional decrease in its deferred tax assets of $5.8 million with a corresponding adjustment to the valuation allowance during the year ended December 31, 2017. During 2018, we finalized the accounting for the tax effects of TCJA with no material changes to the provisional estimate recorded.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Compensation expense for share-based compensation awards issued is based on the fair value of the award at the date of grant, and compensation expense is recognized for those awards earned over the service period. The grant date fair value of stock option awards is estimated using the Black-Scholes option pricing formula. Due to the lack of sufficient historical trading information with respect to our own shares, we estimate expected volatility based on the historical volatility of our own stock coupled with a portfolio of selected stocks of companies believed to have market and economic characteristics similar to our own. The risk-free rate is based on the U.S. Treasury yield curve in effect at the time of grant. Due to a lack of historical exercise data, we estimate the expected life of our outstanding stock options using the simplified method specified under Staff Accounting Bulletin Topic 14.D.2. The fair value of restricted stock units (“RSU”) grants are based on the market value of our Class A Common Stock on the date of grant. We also estimate the amount of share-based awards that are expected to be forfeited based on historical employee turnover rates.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121"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See discussion of recent accounting pronouncements in Note 2, “Summary of Significant Accounting Policies”, to the Consolidated Financial Statements in Item 15 of Part IV of this Annual Report on Form 10-K.</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4" w:name="page75"/>
    <w:bookmarkEnd w:id="74"/>
    <w:p>
      <w:pPr>
        <w:ind w:firstLine="509"/>
        <w:spacing w:after="0" w:line="264" w:lineRule="auto"/>
        <w:rPr>
          <w:sz w:val="20"/>
          <w:szCs w:val="20"/>
          <w:color w:val="auto"/>
        </w:rPr>
      </w:pPr>
      <w:r>
        <w:rPr>
          <w:rFonts w:ascii="Arial" w:cs="Arial" w:eastAsia="Arial" w:hAnsi="Arial"/>
          <w:sz w:val="18"/>
          <w:szCs w:val="18"/>
          <w:color w:val="auto"/>
        </w:rPr>
        <w:t>Our Loan Agreement bears interest at a floating rate equal to 10.5% plus the amount by which the one-month London Interbank Offer Rate (“LIBOR”) exceeds 0.5%. A one percent increase in the variable rate of interest on the Loan Agreement would increase interest expense by approximately $0.2 million annually based on the amounts currently outstanding. We do not currently hedge our interest rate exposure.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Our exposure to market risk is limited to our cash, cash equivalents and marketable securities,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The securities in our investment portfolio are not leveraged, are classified as available for sale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material foreign currency exposure.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information required by this Item is included in our Financial Statements and Supplementary Data listed in Item 15 of Part IV of this Annual Report on Form 10-K.</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December 31, 2018. Based upon that evaluation, our Chief Executive Officer and Chief Financial Officer concluded that, as of December 31, 2018,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with SEC disclosure obligations.</w:t>
      </w:r>
    </w:p>
    <w:p>
      <w:pPr>
        <w:spacing w:after="0" w:line="193" w:lineRule="exact"/>
        <w:rPr>
          <w:sz w:val="20"/>
          <w:szCs w:val="20"/>
          <w:color w:val="auto"/>
        </w:rPr>
      </w:pPr>
    </w:p>
    <w:p>
      <w:pPr>
        <w:ind w:right="140" w:firstLine="509"/>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6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200" w:firstLine="509"/>
        <w:spacing w:after="0" w:line="264"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reporting purposes in accordance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with generally accepted accounting principles. Our internal control over financial reporting includes those written policies and procedures that:</w:t>
      </w:r>
    </w:p>
    <w:p>
      <w:pPr>
        <w:spacing w:after="0" w:line="117" w:lineRule="exact"/>
        <w:rPr>
          <w:sz w:val="20"/>
          <w:szCs w:val="20"/>
          <w:color w:val="auto"/>
        </w:rPr>
      </w:pPr>
    </w:p>
    <w:p>
      <w:pPr>
        <w:ind w:left="1000" w:hanging="492"/>
        <w:spacing w:after="0"/>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assets;</w:t>
      </w:r>
    </w:p>
    <w:p>
      <w:pPr>
        <w:spacing w:after="0" w:line="128" w:lineRule="exact"/>
        <w:rPr>
          <w:rFonts w:ascii="Arial" w:cs="Arial" w:eastAsia="Arial" w:hAnsi="Arial"/>
          <w:sz w:val="17"/>
          <w:szCs w:val="17"/>
          <w:color w:val="auto"/>
        </w:rPr>
      </w:pPr>
    </w:p>
    <w:p>
      <w:pPr>
        <w:ind w:left="1000" w:right="520" w:hanging="492"/>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spacing w:after="0" w:line="62" w:lineRule="exact"/>
        <w:rPr>
          <w:rFonts w:ascii="Arial" w:cs="Arial" w:eastAsia="Arial" w:hAnsi="Arial"/>
          <w:sz w:val="18"/>
          <w:szCs w:val="18"/>
          <w:color w:val="auto"/>
        </w:rPr>
      </w:pPr>
    </w:p>
    <w:p>
      <w:pPr>
        <w:ind w:left="1000" w:right="240" w:hanging="492"/>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management and director authorization; and</w:t>
      </w:r>
    </w:p>
    <w:p>
      <w:pPr>
        <w:spacing w:after="0" w:line="62" w:lineRule="exact"/>
        <w:rPr>
          <w:rFonts w:ascii="Arial" w:cs="Arial" w:eastAsia="Arial" w:hAnsi="Arial"/>
          <w:sz w:val="18"/>
          <w:szCs w:val="18"/>
          <w:color w:val="auto"/>
        </w:rPr>
      </w:pPr>
    </w:p>
    <w:p>
      <w:pPr>
        <w:ind w:left="1000" w:hanging="492"/>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62" w:lineRule="exact"/>
        <w:rPr>
          <w:sz w:val="20"/>
          <w:szCs w:val="20"/>
          <w:color w:val="auto"/>
        </w:rPr>
      </w:pPr>
    </w:p>
    <w:p>
      <w:pPr>
        <w:ind w:right="140" w:firstLine="509"/>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right="80" w:firstLine="509"/>
        <w:spacing w:after="0" w:line="312"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2018. Management based this assessment on criteria described in Internal Control - Integrated Framework (2013) issued by the Committee of Sponsoring Organizations of the Treadway Commission (COSO). Based on this assessment, management determined that as of December 31, 2018, we maintained effective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Reports and other Corporate Governance Information</w:t>
      </w:r>
    </w:p>
    <w:p>
      <w:pPr>
        <w:spacing w:after="0" w:line="121"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 xml:space="preserve">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The contents of our website are not made a part of this Annual Report on Form 10-K.</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2019 Annual Meeting of Stockholders to be filed with the SEC within 120 days of the fiscal year ended December 31, 2018.</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2019 Annual Meeting of Stockholders to be filed with the SEC within 120 days of the fiscal year ended December 31, 2018.</w:t>
      </w:r>
    </w:p>
    <w:p>
      <w:pPr>
        <w:spacing w:after="0" w:line="275" w:lineRule="exact"/>
        <w:rPr>
          <w:sz w:val="20"/>
          <w:szCs w:val="20"/>
          <w:color w:val="auto"/>
        </w:rPr>
      </w:pPr>
    </w:p>
    <w:p>
      <w:pPr>
        <w:ind w:left="1020" w:right="480" w:hanging="1012"/>
        <w:spacing w:after="0" w:line="282" w:lineRule="auto"/>
        <w:tabs>
          <w:tab w:leader="none" w:pos="10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2019 Annual Meeting of Stockholders to be filed with the SEC within 120 days of the fiscal year ended December 31, 2018.</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76" w:name="page77"/>
    <w:bookmarkEnd w:id="76"/>
    <w:p>
      <w:pPr>
        <w:spacing w:after="0"/>
        <w:tabs>
          <w:tab w:leader="none" w:pos="10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2019 Annual Meeting of Stockholders to be filed with the SEC within 120 days of the fiscal year ended December 31, 2018.</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2019 Annual Meeting of Stockholders to be filed with the SEC within 120 days of the fiscal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121" w:right="5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920" w:type="dxa"/>
            <w:vAlign w:val="bottom"/>
          </w:tcPr>
          <w:p>
            <w:pPr>
              <w:ind w:left="520"/>
              <w:spacing w:after="0"/>
              <w:rPr>
                <w:sz w:val="20"/>
                <w:szCs w:val="20"/>
                <w:color w:val="auto"/>
              </w:rPr>
            </w:pPr>
            <w:r>
              <w:rPr>
                <w:rFonts w:ascii="Arial" w:cs="Arial" w:eastAsia="Arial" w:hAnsi="Arial"/>
                <w:sz w:val="18"/>
                <w:szCs w:val="18"/>
                <w:color w:val="auto"/>
                <w:w w:val="93"/>
              </w:rPr>
              <w:t>The following documents are included on pages F-1 through F-27 attached hereto and are filed as part of this Annual Report on Form 10-K.</w:t>
            </w:r>
          </w:p>
        </w:tc>
        <w:tc>
          <w:tcPr>
            <w:tcW w:w="400" w:type="dxa"/>
            <w:vAlign w:val="bottom"/>
          </w:tcPr>
          <w:p>
            <w:pPr>
              <w:spacing w:after="0"/>
              <w:rPr>
                <w:sz w:val="20"/>
                <w:szCs w:val="20"/>
                <w:color w:val="auto"/>
              </w:rPr>
            </w:pPr>
          </w:p>
        </w:tc>
      </w:tr>
      <w:tr>
        <w:trPr>
          <w:trHeight w:val="620"/>
        </w:trPr>
        <w:tc>
          <w:tcPr>
            <w:tcW w:w="109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F-2</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rPr>
              <w:t>Consolidated Balance Sheets as of December 31, 2018 and 2017</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F-3</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2018, 2017 and 2016</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F-4</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w w:val="91"/>
              </w:rPr>
              <w:t>Consolidated Statements of Changes in Redeemable Noncontrolling Interest and Stockholders’ Deficit for the Years Ended December 31, 2018, 2017</w:t>
            </w:r>
          </w:p>
        </w:tc>
        <w:tc>
          <w:tcPr>
            <w:tcW w:w="400" w:type="dxa"/>
            <w:vAlign w:val="bottom"/>
          </w:tcPr>
          <w:p>
            <w:pPr>
              <w:spacing w:after="0"/>
              <w:rPr>
                <w:sz w:val="18"/>
                <w:szCs w:val="18"/>
                <w:color w:val="auto"/>
              </w:rPr>
            </w:pPr>
          </w:p>
        </w:tc>
      </w:tr>
      <w:tr>
        <w:trPr>
          <w:trHeight w:val="216"/>
        </w:trPr>
        <w:tc>
          <w:tcPr>
            <w:tcW w:w="10920" w:type="dxa"/>
            <w:vAlign w:val="bottom"/>
          </w:tcPr>
          <w:p>
            <w:pPr>
              <w:ind w:left="220"/>
              <w:spacing w:after="0"/>
              <w:rPr>
                <w:sz w:val="20"/>
                <w:szCs w:val="20"/>
                <w:color w:val="auto"/>
              </w:rPr>
            </w:pPr>
            <w:r>
              <w:rPr>
                <w:rFonts w:ascii="Arial" w:cs="Arial" w:eastAsia="Arial" w:hAnsi="Arial"/>
                <w:sz w:val="18"/>
                <w:szCs w:val="18"/>
                <w:color w:val="auto"/>
              </w:rPr>
              <w:t>and 2016</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F-5</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2018, 2017 and 2016</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F-6</w:t>
            </w:r>
          </w:p>
        </w:tc>
      </w:tr>
      <w:tr>
        <w:trPr>
          <w:trHeight w:val="230"/>
        </w:trPr>
        <w:tc>
          <w:tcPr>
            <w:tcW w:w="109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F-7</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(a)(3) List of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80" w:type="dxa"/>
            <w:vAlign w:val="bottom"/>
            <w:gridSpan w:val="19"/>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520" w:type="dxa"/>
            <w:vAlign w:val="bottom"/>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480" w:type="dxa"/>
            <w:vAlign w:val="bottom"/>
            <w:gridSpan w:val="1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10340" w:type="dxa"/>
            <w:vAlign w:val="bottom"/>
            <w:gridSpan w:val="27"/>
          </w:tcPr>
          <w:p>
            <w:pPr>
              <w:spacing w:after="0"/>
              <w:rPr>
                <w:rFonts w:ascii="Arial" w:cs="Arial" w:eastAsia="Arial" w:hAnsi="Arial"/>
                <w:sz w:val="18"/>
                <w:szCs w:val="18"/>
                <w:color w:val="0000EE"/>
                <w:w w:val="95"/>
              </w:rPr>
            </w:pPr>
            <w:hyperlink r:id="rId100">
              <w:r>
                <w:rPr>
                  <w:rFonts w:ascii="Arial" w:cs="Arial" w:eastAsia="Arial" w:hAnsi="Arial"/>
                  <w:sz w:val="18"/>
                  <w:szCs w:val="18"/>
                  <w:color w:val="0000EE"/>
                  <w:w w:val="95"/>
                </w:rPr>
                <w:t>Amended and Restated Certificate of Incorporation (incorporated by reference from Exhibit 3.1 to the Company’s Form 8-K, filed August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100">
              <w:r>
                <w:rPr>
                  <w:rFonts w:ascii="Arial" w:cs="Arial" w:eastAsia="Arial" w:hAnsi="Arial"/>
                  <w:sz w:val="18"/>
                  <w:szCs w:val="18"/>
                  <w:color w:val="0000EE"/>
                  <w:w w:val="93"/>
                </w:rPr>
                <w:t>4, 2015 (File No. 001-37524)).</w:t>
              </w:r>
            </w:hyperlink>
          </w:p>
        </w:tc>
        <w:tc>
          <w:tcPr>
            <w:tcW w:w="7900" w:type="dxa"/>
            <w:vAlign w:val="bottom"/>
            <w:tcBorders>
              <w:top w:val="single" w:sz="8" w:color="0000EE"/>
            </w:tcBorders>
            <w:gridSpan w:val="16"/>
          </w:tcPr>
          <w:p>
            <w:pPr>
              <w:spacing w:after="0"/>
              <w:rPr>
                <w:sz w:val="17"/>
                <w:szCs w:val="17"/>
                <w:color w:val="auto"/>
              </w:rPr>
            </w:pPr>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10340" w:type="dxa"/>
            <w:vAlign w:val="bottom"/>
            <w:gridSpan w:val="27"/>
          </w:tcPr>
          <w:p>
            <w:pPr>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Amended and Restated By-laws (incorporated by reference from Exhibit 3.2 to the Company’s Form 8-K, filed August 4, 2015 (File No. 001-</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37524)</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w:t>
              </w:r>
            </w:hyperlink>
          </w:p>
        </w:tc>
        <w:tc>
          <w:tcPr>
            <w:tcW w:w="32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10340" w:type="dxa"/>
            <w:vAlign w:val="bottom"/>
            <w:gridSpan w:val="27"/>
          </w:tcPr>
          <w:p>
            <w:pPr>
              <w:spacing w:after="0"/>
              <w:rPr>
                <w:rFonts w:ascii="Arial" w:cs="Arial" w:eastAsia="Arial" w:hAnsi="Arial"/>
                <w:sz w:val="18"/>
                <w:szCs w:val="18"/>
                <w:color w:val="0000EE"/>
                <w:w w:val="98"/>
              </w:rPr>
            </w:pPr>
            <w:hyperlink r:id="rId102">
              <w:r>
                <w:rPr>
                  <w:rFonts w:ascii="Arial" w:cs="Arial" w:eastAsia="Arial" w:hAnsi="Arial"/>
                  <w:sz w:val="18"/>
                  <w:szCs w:val="18"/>
                  <w:color w:val="0000EE"/>
                  <w:w w:val="98"/>
                </w:rPr>
                <w:t>Form of Warrant to Purchase Class A Common Stock (incorporated by reference from Exhibit 4.1 to the Company’s Form 10-K, filed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February 24, 2017 (File No. 001-37524)).</w:t>
              </w:r>
            </w:hyperlink>
          </w:p>
        </w:tc>
        <w:tc>
          <w:tcPr>
            <w:tcW w:w="6620" w:type="dxa"/>
            <w:vAlign w:val="bottom"/>
            <w:tcBorders>
              <w:top w:val="single" w:sz="8" w:color="0000EE"/>
            </w:tcBorders>
            <w:gridSpan w:val="9"/>
          </w:tcPr>
          <w:p>
            <w:pPr>
              <w:spacing w:after="0"/>
              <w:rPr>
                <w:sz w:val="17"/>
                <w:szCs w:val="17"/>
                <w:color w:val="auto"/>
              </w:rPr>
            </w:pPr>
          </w:p>
        </w:tc>
        <w:tc>
          <w:tcPr>
            <w:tcW w:w="7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10340" w:type="dxa"/>
            <w:vAlign w:val="bottom"/>
            <w:gridSpan w:val="27"/>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Common Stock Purchase Warrant (incorporated by reference from Exhibit 4.2 to the Company’s Form 10-K, filed February 27, 2018 (File No.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001-37524)).</w:t>
              </w:r>
            </w:hyperlink>
          </w:p>
        </w:tc>
        <w:tc>
          <w:tcPr>
            <w:tcW w:w="1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9920" w:type="dxa"/>
            <w:vAlign w:val="bottom"/>
            <w:tcBorders>
              <w:bottom w:val="single" w:sz="8" w:color="0000EE"/>
            </w:tcBorders>
            <w:gridSpan w:val="17"/>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Reimbursement of Fees and Expenses Letter Agreement, dated July 16, 2015, by and between vTv Therapeutics Inc. and MacAndrews &amp;</w:t>
              </w:r>
            </w:hyperlink>
          </w:p>
        </w:tc>
        <w:tc>
          <w:tcPr>
            <w:tcW w:w="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Forbes Group, LLC (incorporated by reference from Exhibit 10.6 to Amendment No. 5 to the Company’s Registration Statement on Form S-1,</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27"/>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filed July 23, 2015 (File No. 333-204951)).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9920" w:type="dxa"/>
            <w:vAlign w:val="bottom"/>
            <w:tcBorders>
              <w:bottom w:val="single" w:sz="8" w:color="0000EE"/>
            </w:tcBorders>
            <w:gridSpan w:val="17"/>
          </w:tcPr>
          <w:p>
            <w:pPr>
              <w:spacing w:after="0"/>
              <w:rPr>
                <w:rFonts w:ascii="Arial" w:cs="Arial" w:eastAsia="Arial" w:hAnsi="Arial"/>
                <w:sz w:val="18"/>
                <w:szCs w:val="18"/>
                <w:color w:val="0000EE"/>
                <w:w w:val="92"/>
              </w:rPr>
            </w:pPr>
            <w:hyperlink r:id="rId105">
              <w:r>
                <w:rPr>
                  <w:rFonts w:ascii="Arial" w:cs="Arial" w:eastAsia="Arial" w:hAnsi="Arial"/>
                  <w:sz w:val="18"/>
                  <w:szCs w:val="18"/>
                  <w:color w:val="0000EE"/>
                  <w:w w:val="92"/>
                </w:rPr>
                <w:t>Reorganization Agreement, dated as of July 29, 2015, among vTv Therapeutics Inc., vTv Therapeutics LLC, vTvx Holdings I LLC, vTvx</w:t>
              </w:r>
            </w:hyperlink>
          </w:p>
        </w:tc>
        <w:tc>
          <w:tcPr>
            <w:tcW w:w="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6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Holdings II LLC and vTv Therapeutics Holdings LLC (incorporated by reference from Exhibit 10.1 to the Company’s Form 8-K, filed August</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27"/>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4, 2015 (File 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4"/>
                <w:szCs w:val="24"/>
                <w:color w:val="auto"/>
              </w:rPr>
            </w:pPr>
          </w:p>
        </w:tc>
        <w:tc>
          <w:tcPr>
            <w:tcW w:w="10280" w:type="dxa"/>
            <w:vAlign w:val="bottom"/>
            <w:tcBorders>
              <w:bottom w:val="single" w:sz="8" w:color="0000EE"/>
            </w:tcBorders>
            <w:gridSpan w:val="24"/>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Amended and Restated Limited Liability Company Agreement of vTv Therapeutics LLC, dated July 29, 2015 (incorporated by reference from</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27"/>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Exhibit 10.2 to the Company’s Form 8-K, filed August 4, 2015 (File 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9440" w:type="dxa"/>
            <w:vAlign w:val="bottom"/>
            <w:tcBorders>
              <w:bottom w:val="single" w:sz="8" w:color="0000EE"/>
            </w:tcBorders>
            <w:gridSpan w:val="14"/>
          </w:tcPr>
          <w:p>
            <w:pPr>
              <w:spacing w:after="0"/>
              <w:rPr>
                <w:rFonts w:ascii="Arial" w:cs="Arial" w:eastAsia="Arial" w:hAnsi="Arial"/>
                <w:sz w:val="18"/>
                <w:szCs w:val="18"/>
                <w:color w:val="0000EE"/>
                <w:w w:val="93"/>
              </w:rPr>
            </w:pPr>
            <w:hyperlink r:id="rId107">
              <w:r>
                <w:rPr>
                  <w:rFonts w:ascii="Arial" w:cs="Arial" w:eastAsia="Arial" w:hAnsi="Arial"/>
                  <w:sz w:val="18"/>
                  <w:szCs w:val="18"/>
                  <w:color w:val="0000EE"/>
                  <w:w w:val="93"/>
                </w:rPr>
                <w:t>Investor Rights Agreement, dated as of July 29, 2015, among vTv Therapeutics Inc., vTv Therapeutics Holdings LLC and other</w:t>
              </w:r>
            </w:hyperlink>
          </w:p>
        </w:tc>
        <w:tc>
          <w:tcPr>
            <w:tcW w:w="9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27"/>
          </w:tcPr>
          <w:p>
            <w:pPr>
              <w:spacing w:after="0" w:line="196" w:lineRule="exact"/>
              <w:rPr>
                <w:rFonts w:ascii="Arial" w:cs="Arial" w:eastAsia="Arial" w:hAnsi="Arial"/>
                <w:sz w:val="18"/>
                <w:szCs w:val="18"/>
                <w:color w:val="0000EE"/>
                <w:w w:val="98"/>
              </w:rPr>
            </w:pPr>
            <w:hyperlink r:id="rId107">
              <w:r>
                <w:rPr>
                  <w:rFonts w:ascii="Arial" w:cs="Arial" w:eastAsia="Arial" w:hAnsi="Arial"/>
                  <w:sz w:val="18"/>
                  <w:szCs w:val="18"/>
                  <w:color w:val="0000EE"/>
                  <w:w w:val="98"/>
                </w:rPr>
                <w:t>stockholders party thereto from time to time (incorporated by reference from Exhibit 10.3 to the Company’s Form 8-K, filed August 4,</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r:id="rId107">
              <w:r>
                <w:rPr>
                  <w:rFonts w:ascii="Arial" w:cs="Arial" w:eastAsia="Arial" w:hAnsi="Arial"/>
                  <w:sz w:val="18"/>
                  <w:szCs w:val="18"/>
                  <w:color w:val="0000EE"/>
                  <w:w w:val="94"/>
                </w:rPr>
                <w:t>2015 (File No. 001-37524)).</w:t>
              </w:r>
            </w:hyperlink>
          </w:p>
        </w:tc>
        <w:tc>
          <w:tcPr>
            <w:tcW w:w="7840" w:type="dxa"/>
            <w:vAlign w:val="bottom"/>
            <w:tcBorders>
              <w:top w:val="single" w:sz="8" w:color="0000EE"/>
            </w:tcBorders>
            <w:gridSpan w:val="15"/>
          </w:tcPr>
          <w:p>
            <w:pPr>
              <w:spacing w:after="0"/>
              <w:rPr>
                <w:sz w:val="17"/>
                <w:szCs w:val="17"/>
                <w:color w:val="auto"/>
              </w:rPr>
            </w:pPr>
          </w:p>
        </w:tc>
        <w:tc>
          <w:tcPr>
            <w:tcW w:w="4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10100" w:type="dxa"/>
            <w:vAlign w:val="bottom"/>
            <w:tcBorders>
              <w:bottom w:val="single" w:sz="8" w:color="0000EE"/>
            </w:tcBorders>
            <w:gridSpan w:val="19"/>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Exchange Agreement, dated as of July 29, 2015, among vTv Therapeutics LLC, vTv Therapeutics Inc. and vTv Therapeutics Holdings LLC</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5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(incorporated by reference from Exhibit 10.4 to the Company’s Form 8-K, filed August 4, 2015 (File No. 001-37524)).</w:t>
              </w:r>
            </w:hyperlink>
          </w:p>
        </w:tc>
        <w:tc>
          <w:tcPr>
            <w:tcW w:w="17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4"/>
                <w:szCs w:val="24"/>
                <w:color w:val="auto"/>
              </w:rPr>
            </w:pPr>
          </w:p>
        </w:tc>
        <w:tc>
          <w:tcPr>
            <w:tcW w:w="10340" w:type="dxa"/>
            <w:vAlign w:val="bottom"/>
            <w:gridSpan w:val="27"/>
          </w:tcPr>
          <w:p>
            <w:pPr>
              <w:spacing w:after="0"/>
              <w:rPr>
                <w:rFonts w:ascii="Arial" w:cs="Arial" w:eastAsia="Arial" w:hAnsi="Arial"/>
                <w:sz w:val="18"/>
                <w:szCs w:val="18"/>
                <w:color w:val="0000EE"/>
                <w:w w:val="93"/>
              </w:rPr>
            </w:pPr>
            <w:hyperlink r:id="rId109">
              <w:r>
                <w:rPr>
                  <w:rFonts w:ascii="Arial" w:cs="Arial" w:eastAsia="Arial" w:hAnsi="Arial"/>
                  <w:sz w:val="18"/>
                  <w:szCs w:val="18"/>
                  <w:color w:val="0000EE"/>
                  <w:w w:val="93"/>
                </w:rPr>
                <w:t>Tax Receivable Agreement, dated as of July 29, 2015, among vTv Therapeutics Inc. and the other persons named therein (incorporated by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reference from Exhibit 10.5 to the Company’s Form 8-K, filed August 4, 2015 (File No. 001-37524)).</w:t>
              </w:r>
            </w:hyperlink>
          </w:p>
        </w:tc>
        <w:tc>
          <w:tcPr>
            <w:tcW w:w="2600" w:type="dxa"/>
            <w:vAlign w:val="bottom"/>
            <w:tcBorders>
              <w:top w:val="single" w:sz="8" w:color="0000EE"/>
            </w:tcBorders>
            <w:gridSpan w:val="6"/>
          </w:tcPr>
          <w:p>
            <w:pPr>
              <w:spacing w:after="0"/>
              <w:rPr>
                <w:sz w:val="17"/>
                <w:szCs w:val="17"/>
                <w:color w:val="auto"/>
              </w:rPr>
            </w:pPr>
          </w:p>
        </w:tc>
        <w:tc>
          <w:tcPr>
            <w:tcW w:w="4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4"/>
                <w:szCs w:val="24"/>
                <w:color w:val="auto"/>
              </w:rPr>
            </w:pPr>
          </w:p>
        </w:tc>
        <w:tc>
          <w:tcPr>
            <w:tcW w:w="9720" w:type="dxa"/>
            <w:vAlign w:val="bottom"/>
            <w:tcBorders>
              <w:bottom w:val="single" w:sz="8" w:color="0000EE"/>
            </w:tcBorders>
            <w:gridSpan w:val="16"/>
          </w:tcPr>
          <w:p>
            <w:pPr>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Form of Indemnification Agreement (incorporated by reference from Exhibit 10.7 to Amendment No. 4 to the Company’s Registration</w:t>
              </w:r>
            </w:hyperlink>
          </w:p>
        </w:tc>
        <w:tc>
          <w:tcPr>
            <w:tcW w:w="6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Statement on Form S-1, dated July 23, 2015 (File No. 333-204951)).</w:t>
              </w:r>
            </w:hyperlink>
          </w:p>
        </w:tc>
        <w:tc>
          <w:tcPr>
            <w:tcW w:w="53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10.8†</w:t>
            </w:r>
          </w:p>
        </w:tc>
        <w:tc>
          <w:tcPr>
            <w:tcW w:w="10340" w:type="dxa"/>
            <w:vAlign w:val="bottom"/>
            <w:gridSpan w:val="27"/>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Executive Chairman Agreement, dated as of July 16, 2015, by and between vTv Therapeutics Inc. and Jeff Kindler (incorporated by reference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20" w:type="dxa"/>
            <w:vAlign w:val="bottom"/>
            <w:tcBorders>
              <w:top w:val="single" w:sz="8" w:color="0000EE"/>
            </w:tcBorders>
            <w:gridSpan w:val="22"/>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from Exhibit 10.13 to Amendment No. 4 to the Company’s Registration Statement on Form S-1, filed July 20, 2015 (File No. 333-204951)).</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60" w:type="dxa"/>
            <w:vAlign w:val="bottom"/>
            <w:tcBorders>
              <w:top w:val="single" w:sz="8" w:color="0000EE"/>
            </w:tcBorders>
            <w:gridSpan w:val="8"/>
          </w:tcPr>
          <w:p>
            <w:pPr>
              <w:ind w:left="4520"/>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vMerge w:val="restart"/>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760" w:type="dxa"/>
            <w:vAlign w:val="bottom"/>
            <w:gridSpan w:val="8"/>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476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080" w:type="dxa"/>
            <w:vAlign w:val="bottom"/>
            <w:gridSpan w:val="2"/>
          </w:tcPr>
          <w:p>
            <w:pPr>
              <w:spacing w:after="0"/>
              <w:rPr>
                <w:sz w:val="20"/>
                <w:szCs w:val="20"/>
                <w:color w:val="auto"/>
              </w:rPr>
            </w:pPr>
            <w:r>
              <w:rPr>
                <w:rFonts w:ascii="Arial" w:cs="Arial" w:eastAsia="Arial" w:hAnsi="Arial"/>
                <w:sz w:val="18"/>
                <w:szCs w:val="18"/>
                <w:color w:val="auto"/>
              </w:rPr>
              <w:t>10.9†</w:t>
            </w:r>
          </w:p>
        </w:tc>
        <w:tc>
          <w:tcPr>
            <w:tcW w:w="10360" w:type="dxa"/>
            <w:vAlign w:val="bottom"/>
            <w:gridSpan w:val="13"/>
          </w:tcPr>
          <w:p>
            <w:pPr>
              <w:spacing w:after="0"/>
              <w:rPr>
                <w:rFonts w:ascii="Arial" w:cs="Arial" w:eastAsia="Arial" w:hAnsi="Arial"/>
                <w:sz w:val="18"/>
                <w:szCs w:val="18"/>
                <w:color w:val="0000EE"/>
                <w:w w:val="94"/>
              </w:rPr>
            </w:pPr>
            <w:hyperlink r:id="rId114">
              <w:r>
                <w:rPr>
                  <w:rFonts w:ascii="Arial" w:cs="Arial" w:eastAsia="Arial" w:hAnsi="Arial"/>
                  <w:sz w:val="18"/>
                  <w:szCs w:val="18"/>
                  <w:color w:val="0000EE"/>
                  <w:w w:val="94"/>
                </w:rPr>
                <w:t>Employment Agreement, dated as of July 16, 2015, by and between vTv Therapeutics LLC and Stephen Holcombe, and for certain limited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purposes specified therein, vTv Therapeutics Inc. (incorporated by reference from Exhibit 10.14 to Amendment No. 4 to the Company’s</w:t>
              </w:r>
            </w:hyperlink>
          </w:p>
        </w:tc>
        <w:tc>
          <w:tcPr>
            <w:tcW w:w="180" w:type="dxa"/>
            <w:vAlign w:val="bottom"/>
            <w:tcBorders>
              <w:top w:val="single" w:sz="8" w:color="0000EE"/>
            </w:tcBorders>
          </w:tcPr>
          <w:p>
            <w:pPr>
              <w:spacing w:after="0"/>
              <w:rPr>
                <w:sz w:val="17"/>
                <w:szCs w:val="17"/>
                <w:color w:val="auto"/>
              </w:rPr>
            </w:pPr>
          </w:p>
        </w:tc>
        <w:tc>
          <w:tcPr>
            <w:tcW w:w="3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60" w:type="dxa"/>
            <w:vAlign w:val="bottom"/>
            <w:gridSpan w:val="13"/>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Registration Statement on Form S-1, filed July 20, 2015 (File No. 333-204951)).</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10.10†</w:t>
            </w:r>
          </w:p>
        </w:tc>
        <w:tc>
          <w:tcPr>
            <w:tcW w:w="10340" w:type="dxa"/>
            <w:vAlign w:val="bottom"/>
            <w:tcBorders>
              <w:bottom w:val="single" w:sz="8" w:color="0000EE"/>
            </w:tcBorders>
            <w:gridSpan w:val="12"/>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Employment Agreement, dated as of July 16, 2015, by and between vTv Therapeutics LLC and Rudy Howard, and for certain limited purposes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specified therein, vTv Therapeutics Inc. (incorporated by reference from Exhibit 10.15 to Amendment No. 4 to the Company’s Registration</w:t>
              </w:r>
            </w:hyperlink>
          </w:p>
        </w:tc>
        <w:tc>
          <w:tcPr>
            <w:tcW w:w="3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9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Statement on Form S-1, filed July 20, 2015 (File No. 333-204951)).</w:t>
              </w:r>
            </w:hyperlink>
          </w:p>
        </w:tc>
        <w:tc>
          <w:tcPr>
            <w:tcW w:w="5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10.11†</w:t>
            </w:r>
          </w:p>
        </w:tc>
        <w:tc>
          <w:tcPr>
            <w:tcW w:w="10360" w:type="dxa"/>
            <w:vAlign w:val="bottom"/>
            <w:gridSpan w:val="13"/>
          </w:tcPr>
          <w:p>
            <w:pPr>
              <w:spacing w:after="0"/>
              <w:rPr>
                <w:rFonts w:ascii="Arial" w:cs="Arial" w:eastAsia="Arial" w:hAnsi="Arial"/>
                <w:sz w:val="18"/>
                <w:szCs w:val="18"/>
                <w:color w:val="0000EE"/>
                <w:w w:val="94"/>
              </w:rPr>
            </w:pPr>
            <w:hyperlink r:id="rId116">
              <w:r>
                <w:rPr>
                  <w:rFonts w:ascii="Arial" w:cs="Arial" w:eastAsia="Arial" w:hAnsi="Arial"/>
                  <w:sz w:val="18"/>
                  <w:szCs w:val="18"/>
                  <w:color w:val="0000EE"/>
                  <w:w w:val="94"/>
                </w:rPr>
                <w:t>vTv Therapeutics Inc. 2015 Omnibus Equity Incentive Plan (incorporated by reference from Exhibit 10.6 to the Company’s Form 8-K, filed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August 4, 2015 (File No. 001-37524)).</w:t>
              </w:r>
            </w:hyperlink>
          </w:p>
        </w:tc>
        <w:tc>
          <w:tcPr>
            <w:tcW w:w="7280" w:type="dxa"/>
            <w:vAlign w:val="bottom"/>
            <w:tcBorders>
              <w:top w:val="single" w:sz="8" w:color="0000EE"/>
            </w:tcBorders>
            <w:gridSpan w:val="9"/>
          </w:tcPr>
          <w:p>
            <w:pPr>
              <w:spacing w:after="0"/>
              <w:rPr>
                <w:sz w:val="17"/>
                <w:szCs w:val="17"/>
                <w:color w:val="auto"/>
              </w:rPr>
            </w:pPr>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10.12†</w:t>
            </w:r>
          </w:p>
        </w:tc>
        <w:tc>
          <w:tcPr>
            <w:tcW w:w="10160" w:type="dxa"/>
            <w:vAlign w:val="bottom"/>
            <w:tcBorders>
              <w:bottom w:val="single" w:sz="8" w:color="0000EE"/>
            </w:tcBorders>
            <w:gridSpan w:val="11"/>
          </w:tcPr>
          <w:p>
            <w:pPr>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vTv Therapeutics Inc. Form of Nonqualified Option Award Agreement (incorporated by reference from Exhibit 10.7 to the Company’s Form</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60" w:type="dxa"/>
            <w:vAlign w:val="bottom"/>
            <w:gridSpan w:val="13"/>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8-K, filed August 4, 2015 (File No. 001-37524)).</w:t>
              </w:r>
            </w:hyperlink>
          </w:p>
        </w:tc>
        <w:tc>
          <w:tcPr>
            <w:tcW w:w="0" w:type="dxa"/>
            <w:vAlign w:val="bottom"/>
          </w:tcPr>
          <w:p>
            <w:pPr>
              <w:spacing w:after="0"/>
              <w:rPr>
                <w:sz w:val="1"/>
                <w:szCs w:val="1"/>
                <w:color w:val="auto"/>
              </w:rPr>
            </w:pPr>
          </w:p>
        </w:tc>
      </w:tr>
      <w:tr>
        <w:trPr>
          <w:trHeight w:val="453"/>
        </w:trPr>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40" w:type="dxa"/>
            <w:vAlign w:val="bottom"/>
            <w:tcBorders>
              <w:top w:val="single" w:sz="8" w:color="0000EE"/>
            </w:tcBorders>
            <w:gridSpan w:val="2"/>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4" w:right="2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20" w:type="dxa"/>
            <w:vAlign w:val="bottom"/>
            <w:gridSpan w:val="2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520" w:type="dxa"/>
            <w:vAlign w:val="bottom"/>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20" w:type="dxa"/>
            <w:vAlign w:val="bottom"/>
            <w:gridSpan w:val="2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w w:val="90"/>
              </w:rPr>
              <w:t>10.13†</w:t>
            </w:r>
          </w:p>
        </w:tc>
        <w:tc>
          <w:tcPr>
            <w:tcW w:w="580" w:type="dxa"/>
            <w:vAlign w:val="bottom"/>
          </w:tcPr>
          <w:p>
            <w:pPr>
              <w:spacing w:after="0"/>
              <w:rPr>
                <w:sz w:val="24"/>
                <w:szCs w:val="24"/>
                <w:color w:val="auto"/>
              </w:rPr>
            </w:pPr>
          </w:p>
        </w:tc>
        <w:tc>
          <w:tcPr>
            <w:tcW w:w="10340" w:type="dxa"/>
            <w:vAlign w:val="bottom"/>
            <w:gridSpan w:val="37"/>
          </w:tcPr>
          <w:p>
            <w:pPr>
              <w:spacing w:after="0"/>
              <w:rPr>
                <w:rFonts w:ascii="Arial" w:cs="Arial" w:eastAsia="Arial" w:hAnsi="Arial"/>
                <w:sz w:val="18"/>
                <w:szCs w:val="18"/>
                <w:color w:val="0000EE"/>
                <w:w w:val="95"/>
              </w:rPr>
            </w:pPr>
            <w:hyperlink r:id="rId120">
              <w:r>
                <w:rPr>
                  <w:rFonts w:ascii="Arial" w:cs="Arial" w:eastAsia="Arial" w:hAnsi="Arial"/>
                  <w:sz w:val="18"/>
                  <w:szCs w:val="18"/>
                  <w:color w:val="0000EE"/>
                  <w:w w:val="95"/>
                </w:rPr>
                <w:t>Employment Agreement, dated as of December 1, 2015, by and between vTv Therapeutics LLC and Larry Altstiel, and for certain limited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2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purposes specified therein, vTv Therapeutics Inc. (incorporated by reference from Exhibit 10.13 to the Company’s Form 10-K, filed March 4,</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2016 (File No. 001-37524)).</w:t>
              </w:r>
            </w:hyperlink>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10.14††</w:t>
            </w:r>
          </w:p>
        </w:tc>
        <w:tc>
          <w:tcPr>
            <w:tcW w:w="9880" w:type="dxa"/>
            <w:vAlign w:val="bottom"/>
            <w:tcBorders>
              <w:bottom w:val="single" w:sz="8" w:color="0000EE"/>
            </w:tcBorders>
            <w:gridSpan w:val="21"/>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Agreement Concerning Glucokinase Activator Project, dated as of February 20, 2007, by and between Novo Nordisk A/S and TransTech</w:t>
              </w:r>
            </w:hyperlink>
          </w:p>
        </w:tc>
        <w:tc>
          <w:tcPr>
            <w:tcW w:w="4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Pharma, Inc. (incorporated by reference from Exhibit 10.8 to Amendment No. 1 to the Company’s Registration Statement on Form S-1, dated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June 19, 2015 (File No. 333-204951)).</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10.15††</w:t>
            </w:r>
          </w:p>
        </w:tc>
        <w:tc>
          <w:tcPr>
            <w:tcW w:w="10120" w:type="dxa"/>
            <w:vAlign w:val="bottom"/>
            <w:tcBorders>
              <w:bottom w:val="single" w:sz="8" w:color="0000EE"/>
            </w:tcBorders>
            <w:gridSpan w:val="29"/>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New Exclusive License Agreement, dated May 14, 2015, by and between The Trustees of Columbia University in the City of New York and</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0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TransTech Pharma, LLC (incorporated by reference from Exhibit 10.9 to Amendment No. 1 to the Company’s Registration Statement on Form</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S-1, dated July 23, 2015 (File No. 333-204951)).</w:t>
              </w:r>
            </w:hyperlink>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10.16††</w:t>
            </w:r>
          </w:p>
        </w:tc>
        <w:tc>
          <w:tcPr>
            <w:tcW w:w="10340" w:type="dxa"/>
            <w:vAlign w:val="bottom"/>
            <w:gridSpan w:val="37"/>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Venture Loan and Security Agreement dated as of October 28, 2016 by and among the Company, vTv Therapeutics LLC, Horizon Technology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2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Finance Corporation and Silicon Valley Bank (incorporated by reference from Exhibit 4.1 to the Company’s Form 10-K, filed February 24,</w:t>
              </w:r>
            </w:hyperlink>
          </w:p>
        </w:tc>
        <w:tc>
          <w:tcPr>
            <w:tcW w:w="240" w:type="dxa"/>
            <w:vAlign w:val="bottom"/>
            <w:tcBorders>
              <w:top w:val="single" w:sz="8" w:color="0000EE"/>
            </w:tcBorders>
            <w:gridSpan w:val="10"/>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2017 (File 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10.17</w:t>
            </w:r>
          </w:p>
        </w:tc>
        <w:tc>
          <w:tcPr>
            <w:tcW w:w="580" w:type="dxa"/>
            <w:vAlign w:val="bottom"/>
          </w:tcPr>
          <w:p>
            <w:pPr>
              <w:spacing w:after="0"/>
              <w:rPr>
                <w:sz w:val="24"/>
                <w:szCs w:val="24"/>
                <w:color w:val="auto"/>
              </w:rPr>
            </w:pPr>
          </w:p>
        </w:tc>
        <w:tc>
          <w:tcPr>
            <w:tcW w:w="10060" w:type="dxa"/>
            <w:vAlign w:val="bottom"/>
            <w:tcBorders>
              <w:bottom w:val="single" w:sz="8" w:color="0000EE"/>
            </w:tcBorders>
            <w:gridSpan w:val="26"/>
          </w:tcPr>
          <w:p>
            <w:pPr>
              <w:spacing w:after="0"/>
              <w:rPr>
                <w:rFonts w:ascii="Arial" w:cs="Arial" w:eastAsia="Arial" w:hAnsi="Arial"/>
                <w:sz w:val="18"/>
                <w:szCs w:val="18"/>
                <w:color w:val="0000EE"/>
                <w:w w:val="90"/>
              </w:rPr>
            </w:pPr>
            <w:hyperlink r:id="rId124">
              <w:r>
                <w:rPr>
                  <w:rFonts w:ascii="Arial" w:cs="Arial" w:eastAsia="Arial" w:hAnsi="Arial"/>
                  <w:sz w:val="18"/>
                  <w:szCs w:val="18"/>
                  <w:color w:val="0000EE"/>
                  <w:w w:val="90"/>
                </w:rPr>
                <w:t>First Amendment of Venture Loan and Security Agreement and Consent, dated as of December 20, 2017, by and among the Company, vTv</w:t>
              </w:r>
            </w:hyperlink>
          </w:p>
        </w:tc>
        <w:tc>
          <w:tcPr>
            <w:tcW w:w="2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40" w:type="dxa"/>
            <w:vAlign w:val="bottom"/>
            <w:tcBorders>
              <w:bottom w:val="single" w:sz="8" w:color="0000EE"/>
            </w:tcBorders>
            <w:gridSpan w:val="33"/>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Therapeutics LLC, Horizon Credit II LLC and Silicon Valley Bank (incorporated by reference from Exhibit 10.17 to the Company’s Form 10-</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K, filed February 27, 2018 (File 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10.18</w:t>
            </w:r>
          </w:p>
        </w:tc>
        <w:tc>
          <w:tcPr>
            <w:tcW w:w="580" w:type="dxa"/>
            <w:vAlign w:val="bottom"/>
          </w:tcPr>
          <w:p>
            <w:pPr>
              <w:spacing w:after="0"/>
              <w:rPr>
                <w:sz w:val="24"/>
                <w:szCs w:val="24"/>
                <w:color w:val="auto"/>
              </w:rPr>
            </w:pPr>
          </w:p>
        </w:tc>
        <w:tc>
          <w:tcPr>
            <w:tcW w:w="10320" w:type="dxa"/>
            <w:vAlign w:val="bottom"/>
            <w:tcBorders>
              <w:bottom w:val="single" w:sz="8" w:color="0000EE"/>
            </w:tcBorders>
            <w:gridSpan w:val="36"/>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Letter Agreement, dated as of December 5, 2017, by and between MacAndrews &amp; Forbes Group LLC and vTv Therapeutics Inc. (incorporated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96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by reference from Exhibit 10.18 to the Company’s Form 10-K, filed February 27, 2018 (File No. 001-37524)).</w:t>
              </w:r>
            </w:hyperlink>
          </w:p>
        </w:tc>
        <w:tc>
          <w:tcPr>
            <w:tcW w:w="23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10.19††</w:t>
            </w:r>
          </w:p>
        </w:tc>
        <w:tc>
          <w:tcPr>
            <w:tcW w:w="10100" w:type="dxa"/>
            <w:vAlign w:val="bottom"/>
            <w:tcBorders>
              <w:bottom w:val="single" w:sz="8" w:color="0000EE"/>
            </w:tcBorders>
            <w:gridSpan w:val="28"/>
          </w:tcPr>
          <w:p>
            <w:pPr>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License and Research Agreement, dated as of December 21, 2017, by and between Hangzhou Zhongmei Huadong Pharmaceutical Co., Ltd.</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w w:val="95"/>
              </w:rPr>
            </w:pPr>
            <w:hyperlink r:id="rId126">
              <w:r>
                <w:rPr>
                  <w:rFonts w:ascii="Arial" w:cs="Arial" w:eastAsia="Arial" w:hAnsi="Arial"/>
                  <w:sz w:val="18"/>
                  <w:szCs w:val="18"/>
                  <w:color w:val="0000EE"/>
                  <w:w w:val="95"/>
                </w:rPr>
                <w:t>And vTv Therapeutics LLC (incorporated by reference from Exhibit 10.19 to the Company’s Form 10-K, filed February 27, 2018 (File No.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001-37524)).</w:t>
              </w:r>
            </w:hyperlink>
          </w:p>
        </w:tc>
        <w:tc>
          <w:tcPr>
            <w:tcW w:w="4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10.20††</w:t>
            </w:r>
          </w:p>
        </w:tc>
        <w:tc>
          <w:tcPr>
            <w:tcW w:w="10060" w:type="dxa"/>
            <w:vAlign w:val="bottom"/>
            <w:tcBorders>
              <w:bottom w:val="single" w:sz="8" w:color="0000EE"/>
            </w:tcBorders>
            <w:gridSpan w:val="26"/>
          </w:tcPr>
          <w:p>
            <w:pPr>
              <w:spacing w:after="0"/>
              <w:rPr>
                <w:rFonts w:ascii="Arial" w:cs="Arial" w:eastAsia="Arial" w:hAnsi="Arial"/>
                <w:sz w:val="18"/>
                <w:szCs w:val="18"/>
                <w:color w:val="0000EE"/>
                <w:w w:val="89"/>
              </w:rPr>
            </w:pPr>
            <w:hyperlink r:id="rId127">
              <w:r>
                <w:rPr>
                  <w:rFonts w:ascii="Arial" w:cs="Arial" w:eastAsia="Arial" w:hAnsi="Arial"/>
                  <w:sz w:val="18"/>
                  <w:szCs w:val="18"/>
                  <w:color w:val="0000EE"/>
                  <w:w w:val="89"/>
                </w:rPr>
                <w:t>License and Research Agreement, dated as of December 21, 2017, by and between Reneo Pharmaceuticals, Inc. and vTv Therapeutics LLC</w:t>
              </w:r>
            </w:hyperlink>
          </w:p>
        </w:tc>
        <w:tc>
          <w:tcPr>
            <w:tcW w:w="2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9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(incorporated by reference from Exhibit 10.20 to the Company’s Form 10-K, filed February 27, 2018 (File No. 001-37524)).</w:t>
              </w:r>
            </w:hyperlink>
          </w:p>
        </w:tc>
        <w:tc>
          <w:tcPr>
            <w:tcW w:w="13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10.21††</w:t>
            </w:r>
          </w:p>
        </w:tc>
        <w:tc>
          <w:tcPr>
            <w:tcW w:w="10100" w:type="dxa"/>
            <w:vAlign w:val="bottom"/>
            <w:tcBorders>
              <w:bottom w:val="single" w:sz="8" w:color="0000EE"/>
            </w:tcBorders>
            <w:gridSpan w:val="28"/>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License Agreement, dated as of May 31, 2018, by and between Newsoara Biopharma Co., Ltd. and vTv Therapeutics LLC (incorporated by</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reference from Exhibit 10.1 to the Company’s Form 10-Q, filed August 3, 2018 (File 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10.22</w:t>
            </w:r>
          </w:p>
        </w:tc>
        <w:tc>
          <w:tcPr>
            <w:tcW w:w="580" w:type="dxa"/>
            <w:vAlign w:val="bottom"/>
          </w:tcPr>
          <w:p>
            <w:pPr>
              <w:spacing w:after="0"/>
              <w:rPr>
                <w:sz w:val="24"/>
                <w:szCs w:val="24"/>
                <w:color w:val="auto"/>
              </w:rPr>
            </w:pPr>
          </w:p>
        </w:tc>
        <w:tc>
          <w:tcPr>
            <w:tcW w:w="10220" w:type="dxa"/>
            <w:vAlign w:val="bottom"/>
            <w:tcBorders>
              <w:bottom w:val="single" w:sz="8" w:color="0000EE"/>
            </w:tcBorders>
            <w:gridSpan w:val="32"/>
          </w:tcPr>
          <w:p>
            <w:pPr>
              <w:spacing w:after="0"/>
              <w:rPr>
                <w:rFonts w:ascii="Arial" w:cs="Arial" w:eastAsia="Arial" w:hAnsi="Arial"/>
                <w:sz w:val="18"/>
                <w:szCs w:val="18"/>
                <w:color w:val="0000EE"/>
                <w:w w:val="89"/>
              </w:rPr>
            </w:pPr>
            <w:hyperlink r:id="rId129">
              <w:r>
                <w:rPr>
                  <w:rFonts w:ascii="Arial" w:cs="Arial" w:eastAsia="Arial" w:hAnsi="Arial"/>
                  <w:sz w:val="18"/>
                  <w:szCs w:val="18"/>
                  <w:color w:val="0000EE"/>
                  <w:w w:val="89"/>
                </w:rPr>
                <w:t>Form of Securities Purchase Agreement to Purchase Class A Common Stock, under the December 5, 2017 Letter Agreement, by and between</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8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MacAndrews &amp; Forbes Group LLC and vTv Therapeutics LLC (incorporated by reference from Exhibit 10.2 to the Company’s Form 10-Q,</w:t>
              </w:r>
            </w:hyperlink>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filed August 3, 2018 (File 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10.23</w:t>
            </w:r>
          </w:p>
        </w:tc>
        <w:tc>
          <w:tcPr>
            <w:tcW w:w="580" w:type="dxa"/>
            <w:vAlign w:val="bottom"/>
          </w:tcPr>
          <w:p>
            <w:pPr>
              <w:spacing w:after="0"/>
              <w:rPr>
                <w:sz w:val="24"/>
                <w:szCs w:val="24"/>
                <w:color w:val="auto"/>
              </w:rPr>
            </w:pPr>
          </w:p>
        </w:tc>
        <w:tc>
          <w:tcPr>
            <w:tcW w:w="10340" w:type="dxa"/>
            <w:vAlign w:val="bottom"/>
            <w:gridSpan w:val="37"/>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Letter Agreement, dated as of July 30, 2018, by and between MacAndrews &amp; Forbes Group LLC and vTv Therapeutics Inc. (incorporated by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1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reference from Exhibit 10.1 to the Company’s Form 10-Q, filed November 8, 2018 (File No. 001-37524)).</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10.22</w:t>
            </w:r>
          </w:p>
        </w:tc>
        <w:tc>
          <w:tcPr>
            <w:tcW w:w="580" w:type="dxa"/>
            <w:vAlign w:val="bottom"/>
          </w:tcPr>
          <w:p>
            <w:pPr>
              <w:spacing w:after="0"/>
              <w:rPr>
                <w:sz w:val="24"/>
                <w:szCs w:val="24"/>
                <w:color w:val="auto"/>
              </w:rPr>
            </w:pPr>
          </w:p>
        </w:tc>
        <w:tc>
          <w:tcPr>
            <w:tcW w:w="10340" w:type="dxa"/>
            <w:vAlign w:val="bottom"/>
            <w:gridSpan w:val="37"/>
          </w:tcPr>
          <w:p>
            <w:pPr>
              <w:spacing w:after="0"/>
              <w:rPr>
                <w:rFonts w:ascii="Arial" w:cs="Arial" w:eastAsia="Arial" w:hAnsi="Arial"/>
                <w:sz w:val="18"/>
                <w:szCs w:val="18"/>
                <w:color w:val="0000EE"/>
                <w:w w:val="94"/>
              </w:rPr>
            </w:pPr>
            <w:hyperlink r:id="rId131">
              <w:r>
                <w:rPr>
                  <w:rFonts w:ascii="Arial" w:cs="Arial" w:eastAsia="Arial" w:hAnsi="Arial"/>
                  <w:sz w:val="18"/>
                  <w:szCs w:val="18"/>
                  <w:color w:val="0000EE"/>
                  <w:w w:val="94"/>
                </w:rPr>
                <w:t>Form of Securities Purchase Agreement to Purchase Class A Common Stock, under the July 30, 2018 Letter Agreement, by and between</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2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w w:val="95"/>
              </w:rPr>
            </w:pPr>
            <w:hyperlink r:id="rId131">
              <w:r>
                <w:rPr>
                  <w:rFonts w:ascii="Arial" w:cs="Arial" w:eastAsia="Arial" w:hAnsi="Arial"/>
                  <w:sz w:val="18"/>
                  <w:szCs w:val="18"/>
                  <w:color w:val="0000EE"/>
                  <w:w w:val="95"/>
                </w:rPr>
                <w:t>MacAndrews &amp; Forbes Group LLC and vTv Therapeutics Inc. (incorporated by reference from Exhibit 10.2 to the Company’s Form 10-Q,</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filed November 8, 2018 (File No. 001-37524)).</w:t>
              </w:r>
            </w:hyperlink>
          </w:p>
        </w:tc>
        <w:tc>
          <w:tcPr>
            <w:tcW w:w="3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w w:val="95"/>
              </w:rPr>
              <w:t>10.24*</w:t>
            </w:r>
          </w:p>
        </w:tc>
        <w:tc>
          <w:tcPr>
            <w:tcW w:w="580" w:type="dxa"/>
            <w:vAlign w:val="bottom"/>
          </w:tcPr>
          <w:p>
            <w:pPr>
              <w:spacing w:after="0"/>
              <w:rPr>
                <w:sz w:val="24"/>
                <w:szCs w:val="24"/>
                <w:color w:val="auto"/>
              </w:rPr>
            </w:pPr>
          </w:p>
        </w:tc>
        <w:tc>
          <w:tcPr>
            <w:tcW w:w="93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11">
              <w:r>
                <w:rPr>
                  <w:rFonts w:ascii="Arial" w:cs="Arial" w:eastAsia="Arial" w:hAnsi="Arial"/>
                  <w:sz w:val="18"/>
                  <w:szCs w:val="18"/>
                  <w:color w:val="0000EE"/>
                  <w:w w:val="90"/>
                </w:rPr>
                <w:t>Letter Agreement, dated as of December 11, 2018, by and between MacAndrews &amp; Forbes Group LLC and vTv Therapeutics Inc.</w:t>
              </w:r>
            </w:hyperlink>
          </w:p>
        </w:tc>
        <w:tc>
          <w:tcPr>
            <w:tcW w:w="9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w w:val="95"/>
              </w:rPr>
              <w:t>10.25*</w:t>
            </w:r>
          </w:p>
        </w:tc>
        <w:tc>
          <w:tcPr>
            <w:tcW w:w="580" w:type="dxa"/>
            <w:vAlign w:val="bottom"/>
          </w:tcPr>
          <w:p>
            <w:pPr>
              <w:spacing w:after="0"/>
              <w:rPr>
                <w:sz w:val="24"/>
                <w:szCs w:val="24"/>
                <w:color w:val="auto"/>
              </w:rPr>
            </w:pPr>
          </w:p>
        </w:tc>
        <w:tc>
          <w:tcPr>
            <w:tcW w:w="10300" w:type="dxa"/>
            <w:vAlign w:val="bottom"/>
            <w:tcBorders>
              <w:bottom w:val="single" w:sz="8" w:color="0000EE"/>
            </w:tcBorders>
            <w:gridSpan w:val="35"/>
          </w:tcPr>
          <w:p>
            <w:pPr>
              <w:spacing w:after="0"/>
              <w:rPr>
                <w:rFonts w:ascii="Arial" w:cs="Arial" w:eastAsia="Arial" w:hAnsi="Arial"/>
                <w:sz w:val="18"/>
                <w:szCs w:val="18"/>
                <w:color w:val="0000EE"/>
                <w:w w:val="89"/>
              </w:rPr>
            </w:pPr>
            <w:hyperlink w:anchor="page116">
              <w:r>
                <w:rPr>
                  <w:rFonts w:ascii="Arial" w:cs="Arial" w:eastAsia="Arial" w:hAnsi="Arial"/>
                  <w:sz w:val="18"/>
                  <w:szCs w:val="18"/>
                  <w:color w:val="0000EE"/>
                  <w:w w:val="89"/>
                </w:rPr>
                <w:t>Form of Securities Purchase Agreement to Purchase Class A Common Stock, under the December 11, 2018 Letter Agreement, by and between</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5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MacAndrews &amp; Forbes Group LLC and vTv Therapeutics Inc.</w:t>
              </w:r>
            </w:hyperlink>
          </w:p>
        </w:tc>
        <w:tc>
          <w:tcPr>
            <w:tcW w:w="582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24"/>
                <w:szCs w:val="24"/>
                <w:color w:val="auto"/>
              </w:rPr>
            </w:pPr>
          </w:p>
        </w:tc>
        <w:tc>
          <w:tcPr>
            <w:tcW w:w="10340" w:type="dxa"/>
            <w:vAlign w:val="bottom"/>
            <w:gridSpan w:val="37"/>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Subsidiaries of vTv Therapeutics Inc.</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584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28">
              <w:r>
                <w:rPr>
                  <w:rFonts w:ascii="Arial" w:cs="Arial" w:eastAsia="Arial" w:hAnsi="Arial"/>
                  <w:sz w:val="18"/>
                  <w:szCs w:val="18"/>
                  <w:color w:val="0000EE"/>
                  <w:w w:val="91"/>
                </w:rPr>
                <w:t>Consent of Ernst &amp; Young LLP, Independent Registered Pubic Accounting Firm.</w:t>
              </w:r>
            </w:hyperlink>
          </w:p>
        </w:tc>
        <w:tc>
          <w:tcPr>
            <w:tcW w:w="450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1004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129">
              <w:r>
                <w:rPr>
                  <w:rFonts w:ascii="Arial" w:cs="Arial" w:eastAsia="Arial" w:hAnsi="Arial"/>
                  <w:sz w:val="18"/>
                  <w:szCs w:val="18"/>
                  <w:color w:val="0000EE"/>
                  <w:w w:val="91"/>
                </w:rPr>
                <w:t>Certification of President and Chief Executive Officer required by Rule 13a-14(a)/15d-14(a) under the Securities Exchange Act of 1934, as</w:t>
              </w:r>
            </w:hyperlink>
          </w:p>
        </w:tc>
        <w:tc>
          <w:tcPr>
            <w:tcW w:w="3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amended, 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520" w:type="dxa"/>
            <w:vAlign w:val="bottom"/>
            <w:tcBorders>
              <w:right w:val="single" w:sz="8" w:color="0000EE"/>
            </w:tcBorders>
            <w:gridSpan w:val="9"/>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3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994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130">
              <w:r>
                <w:rPr>
                  <w:rFonts w:ascii="Arial" w:cs="Arial" w:eastAsia="Arial" w:hAnsi="Arial"/>
                  <w:sz w:val="18"/>
                  <w:szCs w:val="18"/>
                  <w:color w:val="0000EE"/>
                  <w:w w:val="91"/>
                </w:rPr>
                <w:t>Certification of Chief Financial Officer required by Rule 13a-14(a)/15d-14(a) under the Securities Exchange Act of 1934, as amended, as</w:t>
              </w:r>
            </w:hyperlink>
          </w:p>
        </w:tc>
        <w:tc>
          <w:tcPr>
            <w:tcW w:w="4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520" w:type="dxa"/>
            <w:vAlign w:val="bottom"/>
            <w:tcBorders>
              <w:right w:val="single" w:sz="8" w:color="0000EE"/>
            </w:tcBorders>
            <w:gridSpan w:val="9"/>
            <w:shd w:val="clear" w:color="auto" w:fill="0000EE"/>
          </w:tcPr>
          <w:p>
            <w:pPr>
              <w:spacing w:after="0" w:line="20" w:lineRule="exact"/>
              <w:rPr>
                <w:sz w:val="1"/>
                <w:szCs w:val="1"/>
                <w:color w:val="auto"/>
              </w:rPr>
            </w:pPr>
          </w:p>
        </w:tc>
        <w:tc>
          <w:tcPr>
            <w:tcW w:w="5400" w:type="dxa"/>
            <w:vAlign w:val="bottom"/>
            <w:gridSpan w:val="2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10320" w:type="dxa"/>
            <w:vAlign w:val="bottom"/>
            <w:tcBorders>
              <w:bottom w:val="single" w:sz="8" w:color="0000EE"/>
            </w:tcBorders>
            <w:gridSpan w:val="36"/>
          </w:tcPr>
          <w:p>
            <w:pPr>
              <w:spacing w:after="0"/>
              <w:rPr>
                <w:rFonts w:ascii="Arial" w:cs="Arial" w:eastAsia="Arial" w:hAnsi="Arial"/>
                <w:sz w:val="18"/>
                <w:szCs w:val="18"/>
                <w:color w:val="0000EE"/>
                <w:w w:val="90"/>
              </w:rPr>
            </w:pPr>
            <w:hyperlink w:anchor="page131">
              <w:r>
                <w:rPr>
                  <w:rFonts w:ascii="Arial" w:cs="Arial" w:eastAsia="Arial" w:hAnsi="Arial"/>
                  <w:sz w:val="18"/>
                  <w:szCs w:val="18"/>
                  <w:color w:val="0000EE"/>
                  <w:w w:val="90"/>
                </w:rPr>
                <w:t>Certification of President and Chief Executive Officer pursuant to 18 U.S.C. Section 1350, as adopted pursuant to Section 906 of the Sarbanes-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31">
              <w:r>
                <w:rPr>
                  <w:rFonts w:ascii="Arial" w:cs="Arial" w:eastAsia="Arial" w:hAnsi="Arial"/>
                  <w:sz w:val="18"/>
                  <w:szCs w:val="18"/>
                  <w:color w:val="0000EE"/>
                  <w:w w:val="93"/>
                </w:rPr>
                <w:t>Oxley Act of 2002.</w:t>
              </w:r>
            </w:hyperlink>
          </w:p>
        </w:tc>
        <w:tc>
          <w:tcPr>
            <w:tcW w:w="894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20" w:type="dxa"/>
            <w:vAlign w:val="bottom"/>
            <w:gridSpan w:val="11"/>
          </w:tcPr>
          <w:p>
            <w:pPr>
              <w:ind w:left="4520"/>
              <w:spacing w:after="0"/>
              <w:rPr>
                <w:sz w:val="20"/>
                <w:szCs w:val="20"/>
                <w:color w:val="auto"/>
              </w:rPr>
            </w:pPr>
            <w:r>
              <w:rPr>
                <w:rFonts w:ascii="Arial" w:cs="Arial" w:eastAsia="Arial" w:hAnsi="Arial"/>
                <w:sz w:val="18"/>
                <w:szCs w:val="18"/>
                <w:color w:val="auto"/>
              </w:rPr>
              <w:t>80</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4" w:right="2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520" w:type="dxa"/>
            <w:vAlign w:val="bottom"/>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5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line="170" w:lineRule="exact"/>
              <w:rPr>
                <w:sz w:val="20"/>
                <w:szCs w:val="20"/>
                <w:color w:val="auto"/>
              </w:rPr>
            </w:pPr>
            <w:r>
              <w:rPr>
                <w:rFonts w:ascii="Arial" w:cs="Arial" w:eastAsia="Arial" w:hAnsi="Arial"/>
                <w:sz w:val="18"/>
                <w:szCs w:val="18"/>
                <w:color w:val="auto"/>
              </w:rPr>
              <w:t>32.2*</w:t>
            </w:r>
          </w:p>
        </w:tc>
        <w:tc>
          <w:tcPr>
            <w:tcW w:w="580" w:type="dxa"/>
            <w:vAlign w:val="bottom"/>
          </w:tcPr>
          <w:p>
            <w:pPr>
              <w:spacing w:after="0"/>
              <w:rPr>
                <w:sz w:val="14"/>
                <w:szCs w:val="14"/>
                <w:color w:val="auto"/>
              </w:rPr>
            </w:pPr>
          </w:p>
        </w:tc>
        <w:tc>
          <w:tcPr>
            <w:tcW w:w="10180" w:type="dxa"/>
            <w:vAlign w:val="bottom"/>
            <w:tcBorders>
              <w:bottom w:val="single" w:sz="8" w:color="0000EE"/>
            </w:tcBorders>
            <w:gridSpan w:val="4"/>
          </w:tcPr>
          <w:p>
            <w:pPr>
              <w:spacing w:after="0" w:line="170" w:lineRule="exact"/>
              <w:rPr>
                <w:rFonts w:ascii="Arial" w:cs="Arial" w:eastAsia="Arial" w:hAnsi="Arial"/>
                <w:sz w:val="18"/>
                <w:szCs w:val="18"/>
                <w:color w:val="0000EE"/>
                <w:w w:val="91"/>
              </w:rPr>
            </w:pPr>
            <w:hyperlink w:anchor="page132">
              <w:r>
                <w:rPr>
                  <w:rFonts w:ascii="Arial" w:cs="Arial" w:eastAsia="Arial" w:hAnsi="Arial"/>
                  <w:sz w:val="18"/>
                  <w:szCs w:val="18"/>
                  <w:color w:val="0000EE"/>
                  <w:w w:val="91"/>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32">
              <w:r>
                <w:rPr>
                  <w:rFonts w:ascii="Arial" w:cs="Arial" w:eastAsia="Arial" w:hAnsi="Arial"/>
                  <w:sz w:val="18"/>
                  <w:szCs w:val="18"/>
                  <w:color w:val="0000EE"/>
                  <w:w w:val="84"/>
                </w:rPr>
                <w:t>2002.</w:t>
              </w:r>
            </w:hyperlink>
          </w:p>
        </w:tc>
        <w:tc>
          <w:tcPr>
            <w:tcW w:w="4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8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4"/>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80" w:type="dxa"/>
            <w:vAlign w:val="bottom"/>
            <w:gridSpan w:val="4"/>
          </w:tcPr>
          <w:p>
            <w:pPr>
              <w:spacing w:after="0"/>
              <w:rPr>
                <w:sz w:val="20"/>
                <w:szCs w:val="20"/>
                <w:color w:val="auto"/>
              </w:rPr>
            </w:pPr>
            <w:r>
              <w:rPr>
                <w:rFonts w:ascii="Arial" w:cs="Arial" w:eastAsia="Arial" w:hAnsi="Arial"/>
                <w:sz w:val="18"/>
                <w:szCs w:val="18"/>
                <w:color w:val="auto"/>
              </w:rPr>
              <w:t>XBRL Taxonomy Extension Definition Document</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3036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Confidential treatment received with respect to portions of this exhibit.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04" w:right="379" w:bottom="1440" w:gutter="0" w:footer="0" w:header="0"/>
        </w:sectPr>
      </w:pPr>
    </w:p>
    <w:bookmarkStart w:id="81" w:name="page82"/>
    <w:bookmarkEnd w:id="81"/>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22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VTV THERAPEUTICS INC.</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280"/>
        <w:spacing w:after="0"/>
        <w:tabs>
          <w:tab w:leader="none" w:pos="6780" w:val="left"/>
        </w:tabs>
        <w:rPr>
          <w:sz w:val="20"/>
          <w:szCs w:val="20"/>
          <w:color w:val="auto"/>
        </w:rPr>
      </w:pPr>
      <w:r>
        <w:rPr>
          <w:rFonts w:ascii="Arial" w:cs="Arial" w:eastAsia="Arial" w:hAnsi="Arial"/>
          <w:sz w:val="18"/>
          <w:szCs w:val="18"/>
          <w:color w:val="auto"/>
        </w:rPr>
        <w:t>By:</w:t>
        <w:tab/>
        <w:t>/s/ Stephen L. Holcombe</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-130810</wp:posOffset>
            </wp:positionV>
            <wp:extent cx="29330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280"/>
        <w:spacing w:after="0"/>
        <w:tabs>
          <w:tab w:leader="none" w:pos="6780" w:val="left"/>
        </w:tabs>
        <w:rPr>
          <w:sz w:val="20"/>
          <w:szCs w:val="20"/>
          <w:color w:val="auto"/>
        </w:rPr>
      </w:pPr>
      <w:r>
        <w:rPr>
          <w:rFonts w:ascii="Arial" w:cs="Arial" w:eastAsia="Arial" w:hAnsi="Arial"/>
          <w:sz w:val="18"/>
          <w:szCs w:val="18"/>
          <w:color w:val="auto"/>
        </w:rPr>
        <w:t>By:</w:t>
        <w:tab/>
        <w:t>/s/ Rudy C. Howard</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-130810</wp:posOffset>
            </wp:positionV>
            <wp:extent cx="29330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82" w:name="page83"/>
    <w:bookmarkEnd w:id="82"/>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Jeffrey B. Kindler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Jeffrey B. Kindler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780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13" w:lineRule="exact"/>
        <w:rPr>
          <w:sz w:val="20"/>
          <w:szCs w:val="20"/>
          <w:color w:val="auto"/>
        </w:rPr>
      </w:pPr>
    </w:p>
    <w:p>
      <w:pPr>
        <w:ind w:right="1040"/>
        <w:spacing w:after="0" w:line="395" w:lineRule="auto"/>
        <w:rPr>
          <w:sz w:val="20"/>
          <w:szCs w:val="20"/>
          <w:color w:val="auto"/>
        </w:rPr>
      </w:pPr>
      <w:r>
        <w:rPr>
          <w:rFonts w:ascii="Arial" w:cs="Arial" w:eastAsia="Arial" w:hAnsi="Arial"/>
          <w:sz w:val="16"/>
          <w:szCs w:val="16"/>
          <w:color w:val="auto"/>
        </w:rPr>
        <w:t>/s/ Stephen L. Holcombe 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21780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Rudy C. Howard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Steven M.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Steven M. Cohen</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A.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80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A. Fry</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Craig C.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80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Craig C. Parker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G. Savas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80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G. Savas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Noel J.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80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Noel J. Spiegel</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Howard L.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80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Howard L. Weiner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2019</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2019</w:t>
      </w:r>
    </w:p>
    <w:p>
      <w:pPr>
        <w:spacing w:after="0" w:line="506" w:lineRule="exact"/>
        <w:rPr>
          <w:sz w:val="20"/>
          <w:szCs w:val="20"/>
          <w:color w:val="auto"/>
        </w:rPr>
      </w:pPr>
    </w:p>
    <w:p>
      <w:pPr>
        <w:sectPr>
          <w:pgSz w:w="11900" w:h="16838" w:orient="portrait"/>
          <w:cols w:equalWidth="0" w:num="3">
            <w:col w:w="2840" w:space="720"/>
            <w:col w:w="5820" w:space="720"/>
            <w:col w:w="13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7"/>
              </w:rPr>
              <w:t>Page</w:t>
            </w:r>
          </w:p>
        </w:tc>
      </w:tr>
      <w:tr>
        <w:trPr>
          <w:trHeight w:val="385"/>
        </w:trPr>
        <w:tc>
          <w:tcPr>
            <w:tcW w:w="4520" w:type="dxa"/>
            <w:vAlign w:val="bottom"/>
            <w:tcBorders>
              <w:bottom w:val="single" w:sz="8" w:color="0000EE"/>
            </w:tcBorders>
            <w:gridSpan w:val="5"/>
          </w:tcPr>
          <w:p>
            <w:pPr>
              <w:spacing w:after="0"/>
              <w:rPr>
                <w:rFonts w:ascii="Arial" w:cs="Arial" w:eastAsia="Arial" w:hAnsi="Arial"/>
                <w:sz w:val="18"/>
                <w:szCs w:val="18"/>
                <w:b w:val="1"/>
                <w:bCs w:val="1"/>
                <w:color w:val="0000EE"/>
                <w:w w:val="90"/>
              </w:rPr>
            </w:pPr>
            <w:hyperlink w:anchor="page85">
              <w:r>
                <w:rPr>
                  <w:rFonts w:ascii="Arial" w:cs="Arial" w:eastAsia="Arial" w:hAnsi="Arial"/>
                  <w:sz w:val="18"/>
                  <w:szCs w:val="18"/>
                  <w:b w:val="1"/>
                  <w:bCs w:val="1"/>
                  <w:color w:val="0000EE"/>
                  <w:w w:val="90"/>
                </w:rPr>
                <w:t>Report of Independent Registered Public Accounting Firm</w:t>
              </w:r>
            </w:hyperlink>
          </w:p>
        </w:tc>
        <w:tc>
          <w:tcPr>
            <w:tcW w:w="6500" w:type="dxa"/>
            <w:vAlign w:val="bottom"/>
            <w:gridSpan w:val="5"/>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w w:val="81"/>
              </w:rPr>
              <w:t>F-2</w:t>
            </w:r>
          </w:p>
        </w:tc>
      </w:tr>
      <w:tr>
        <w:trPr>
          <w:trHeight w:val="438"/>
        </w:trPr>
        <w:tc>
          <w:tcPr>
            <w:tcW w:w="1102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r>
      <w:tr>
        <w:trPr>
          <w:trHeight w:val="190"/>
        </w:trPr>
        <w:tc>
          <w:tcPr>
            <w:tcW w:w="460" w:type="dxa"/>
            <w:vAlign w:val="bottom"/>
          </w:tcPr>
          <w:p>
            <w:pPr>
              <w:spacing w:after="0"/>
              <w:rPr>
                <w:sz w:val="16"/>
                <w:szCs w:val="16"/>
                <w:color w:val="auto"/>
              </w:rPr>
            </w:pPr>
          </w:p>
        </w:tc>
        <w:tc>
          <w:tcPr>
            <w:tcW w:w="10560" w:type="dxa"/>
            <w:vAlign w:val="bottom"/>
            <w:gridSpan w:val="9"/>
          </w:tcPr>
          <w:p>
            <w:pPr>
              <w:spacing w:after="0" w:line="190" w:lineRule="exact"/>
              <w:rPr>
                <w:rFonts w:ascii="Arial" w:cs="Arial" w:eastAsia="Arial" w:hAnsi="Arial"/>
                <w:sz w:val="18"/>
                <w:szCs w:val="18"/>
                <w:color w:val="0000EE"/>
              </w:rPr>
            </w:pPr>
            <w:hyperlink w:anchor="page86">
              <w:r>
                <w:rPr>
                  <w:rFonts w:ascii="Arial" w:cs="Arial" w:eastAsia="Arial" w:hAnsi="Arial"/>
                  <w:sz w:val="18"/>
                  <w:szCs w:val="18"/>
                  <w:color w:val="0000EE"/>
                </w:rPr>
                <w:t>Consolidated Balance Sheets as of December 31, 2018 and 2017</w:t>
              </w:r>
            </w:hyperlink>
          </w:p>
        </w:tc>
        <w:tc>
          <w:tcPr>
            <w:tcW w:w="300" w:type="dxa"/>
            <w:vAlign w:val="bottom"/>
          </w:tcPr>
          <w:p>
            <w:pPr>
              <w:ind w:left="60"/>
              <w:spacing w:after="0" w:line="190" w:lineRule="exact"/>
              <w:rPr>
                <w:sz w:val="20"/>
                <w:szCs w:val="20"/>
                <w:color w:val="auto"/>
              </w:rPr>
            </w:pPr>
            <w:r>
              <w:rPr>
                <w:rFonts w:ascii="Arial" w:cs="Arial" w:eastAsia="Arial" w:hAnsi="Arial"/>
                <w:sz w:val="18"/>
                <w:szCs w:val="18"/>
                <w:color w:val="auto"/>
                <w:w w:val="81"/>
              </w:rPr>
              <w:t>F-3</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60" w:type="dxa"/>
            <w:vAlign w:val="bottom"/>
            <w:gridSpan w:val="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Consolidated Statements of Operations for the Years Ended December 31, 2018, 2017 and 2016</w:t>
              </w:r>
            </w:hyperlink>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60" w:type="dxa"/>
            <w:vAlign w:val="bottom"/>
            <w:gridSpan w:val="9"/>
          </w:tcPr>
          <w:p>
            <w:pPr>
              <w:spacing w:after="0" w:line="196" w:lineRule="exact"/>
              <w:rPr>
                <w:rFonts w:ascii="Arial" w:cs="Arial" w:eastAsia="Arial" w:hAnsi="Arial"/>
                <w:sz w:val="18"/>
                <w:szCs w:val="18"/>
                <w:color w:val="0000EE"/>
                <w:w w:val="93"/>
              </w:rPr>
            </w:pPr>
            <w:hyperlink w:anchor="page88">
              <w:r>
                <w:rPr>
                  <w:rFonts w:ascii="Arial" w:cs="Arial" w:eastAsia="Arial" w:hAnsi="Arial"/>
                  <w:sz w:val="18"/>
                  <w:szCs w:val="18"/>
                  <w:color w:val="0000EE"/>
                  <w:w w:val="93"/>
                </w:rPr>
                <w:t>Consolidated Statements of Redeemable Noncontrolling Interest and Stockholders’ Deficit for the Years Ended December 31, 2018, 2017 and</w:t>
              </w:r>
            </w:hyperlink>
          </w:p>
        </w:tc>
        <w:tc>
          <w:tcPr>
            <w:tcW w:w="30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6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2016</w:t>
              </w:r>
            </w:hyperlink>
          </w:p>
        </w:tc>
        <w:tc>
          <w:tcPr>
            <w:tcW w:w="232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6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F-5</w:t>
            </w: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60" w:type="dxa"/>
            <w:vAlign w:val="bottom"/>
            <w:gridSpan w:val="9"/>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Consolidated Statements of Cash Flows for the Years Ended December 31, 2018, 2017 and 2016</w:t>
              </w:r>
            </w:hyperlink>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F-6</w:t>
            </w:r>
          </w:p>
        </w:tc>
      </w:tr>
      <w:tr>
        <w:trPr>
          <w:trHeight w:val="20"/>
        </w:trPr>
        <w:tc>
          <w:tcPr>
            <w:tcW w:w="46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4060" w:type="dxa"/>
            <w:vAlign w:val="bottom"/>
            <w:gridSpan w:val="4"/>
            <w:shd w:val="clear" w:color="auto" w:fill="0000EE"/>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11020" w:type="dxa"/>
            <w:vAlign w:val="bottom"/>
            <w:gridSpan w:val="10"/>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Notes to Consolidated Financial Statements</w:t>
              </w:r>
            </w:hyperlink>
          </w:p>
        </w:tc>
        <w:tc>
          <w:tcPr>
            <w:tcW w:w="300" w:type="dxa"/>
            <w:vAlign w:val="bottom"/>
          </w:tcPr>
          <w:p>
            <w:pPr>
              <w:ind w:left="60"/>
              <w:spacing w:after="0"/>
              <w:rPr>
                <w:sz w:val="20"/>
                <w:szCs w:val="20"/>
                <w:color w:val="auto"/>
              </w:rPr>
            </w:pPr>
            <w:r>
              <w:rPr>
                <w:rFonts w:ascii="Arial" w:cs="Arial" w:eastAsia="Arial" w:hAnsi="Arial"/>
                <w:sz w:val="18"/>
                <w:szCs w:val="18"/>
                <w:color w:val="auto"/>
                <w:w w:val="81"/>
              </w:rPr>
              <w:t>F-7</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Annual Report on Form 10-K to the “Company”, “we”, “us” and “our” refer to vTv Therapeutics Inc. and its consolidated subsidiaries.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4" w:name="page85"/>
    <w:bookmarkEnd w:id="84"/>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vTv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audited the accompanying consolidated balance sheets of vTv Therapeutics Inc. (the Company) as of December 31, 2018 and 2017, the related consolidated statements of operations, changes in redeemable noncontrolling interest and stockholders’ deficit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consolidated results of its operations and its cash flows for each of the three years in the period ended December 31, 2018, in conformity with U.S. generally accepted accounting principles.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financial statements, to date, the Company has not generated any product revenue, has not achieved profitable operations, has insufficient liquidity to sustain operations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and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260" w:type="dxa"/>
            <w:vAlign w:val="bottom"/>
            <w:tcBorders>
              <w:bottom w:val="single" w:sz="8" w:color="CFF0FC"/>
            </w:tcBorders>
          </w:tcPr>
          <w:p>
            <w:pPr>
              <w:spacing w:after="0"/>
              <w:rPr>
                <w:sz w:val="16"/>
                <w:szCs w:val="16"/>
                <w:color w:val="auto"/>
              </w:rPr>
            </w:pPr>
          </w:p>
        </w:tc>
        <w:tc>
          <w:tcPr>
            <w:tcW w:w="7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60"/>
              <w:spacing w:after="0"/>
              <w:rPr>
                <w:sz w:val="20"/>
                <w:szCs w:val="20"/>
                <w:color w:val="auto"/>
              </w:rPr>
            </w:pPr>
            <w:r>
              <w:rPr>
                <w:rFonts w:ascii="Arial" w:cs="Arial" w:eastAsia="Arial" w:hAnsi="Arial"/>
                <w:sz w:val="18"/>
                <w:szCs w:val="18"/>
                <w:color w:val="auto"/>
              </w:rPr>
              <w:t>Restricted cash and cash equivalents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deposits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Total current assets</w:t>
            </w: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and cash equivalents, long-term</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deposits</w:t>
            </w:r>
          </w:p>
        </w:tc>
        <w:tc>
          <w:tcPr>
            <w:tcW w:w="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8,559</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Deficit</w:t>
            </w: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7,702</w:t>
            </w:r>
          </w:p>
        </w:tc>
        <w:tc>
          <w:tcPr>
            <w:tcW w:w="180" w:type="dxa"/>
            <w:vAlign w:val="bottom"/>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deferred revenue</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notes payable</w:t>
            </w:r>
          </w:p>
        </w:tc>
        <w:tc>
          <w:tcPr>
            <w:tcW w:w="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Notes payable, net of current portion</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 portion</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Warrant liability, related party</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Total liabilities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47,524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62,482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60" w:type="dxa"/>
            <w:vAlign w:val="bottom"/>
          </w:tcPr>
          <w:p>
            <w:pPr>
              <w:ind w:left="260"/>
              <w:spacing w:after="0"/>
              <w:rPr>
                <w:sz w:val="20"/>
                <w:szCs w:val="20"/>
                <w:color w:val="auto"/>
              </w:rPr>
            </w:pPr>
            <w:r>
              <w:rPr>
                <w:rFonts w:ascii="Arial" w:cs="Arial" w:eastAsia="Arial" w:hAnsi="Arial"/>
                <w:sz w:val="18"/>
                <w:szCs w:val="18"/>
                <w:color w:val="auto"/>
              </w:rPr>
              <w:t>Class A Common Stock, $0.01 par value; 100,000,000 shares authorized, 20,347,065</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80"/>
              <w:spacing w:after="0"/>
              <w:rPr>
                <w:sz w:val="20"/>
                <w:szCs w:val="20"/>
                <w:color w:val="auto"/>
              </w:rPr>
            </w:pPr>
            <w:r>
              <w:rPr>
                <w:rFonts w:ascii="Arial" w:cs="Arial" w:eastAsia="Arial" w:hAnsi="Arial"/>
                <w:sz w:val="18"/>
                <w:szCs w:val="18"/>
                <w:color w:val="auto"/>
              </w:rPr>
              <w:t>and 9,693,254 shares outstanding as of December 31, 2018 and December 31, 2017,</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B Common Stock, $0.01 par value; 100,000,000 shares authorized, 23,094,221</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and 23,119,246 shares outstanding as of December 31, 2018 and December 31, 2017,</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150,595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127,682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(233,883)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(279,058)</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deficit attributable to vTv Therapeutics Inc.</w:t>
            </w:r>
          </w:p>
        </w:tc>
        <w:tc>
          <w:tcPr>
            <w:tcW w:w="7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(82,853)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redeemable noncontrolling interest and stockholders’ deficit</w:t>
            </w:r>
          </w:p>
        </w:tc>
        <w:tc>
          <w:tcPr>
            <w:tcW w:w="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8,559</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3"/>
              </w:rPr>
              <w:t>Years Ending December 31,</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6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23,035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39,640</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500"/>
              <w:spacing w:after="0"/>
              <w:rPr>
                <w:sz w:val="20"/>
                <w:szCs w:val="20"/>
                <w:color w:val="auto"/>
              </w:rPr>
            </w:pPr>
            <w:r>
              <w:rPr>
                <w:rFonts w:ascii="Arial" w:cs="Arial" w:eastAsia="Arial" w:hAnsi="Arial"/>
                <w:sz w:val="18"/>
                <w:szCs w:val="18"/>
                <w:color w:val="auto"/>
              </w:rPr>
              <w:t>Research and development – related party</w:t>
            </w: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11,333</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32,258</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50,973</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(50,682)</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Other income (loss)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 related party</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(3,290)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(3,092)</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Loss before income taxes and noncontrolling interest</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(53,847)</w:t>
            </w: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Net loss before noncontrolling interest</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(54,647)</w:t>
            </w: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(15,934)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(38,503)</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(39,001)</w:t>
            </w:r>
          </w:p>
        </w:tc>
        <w:tc>
          <w:tcPr>
            <w:tcW w:w="0" w:type="dxa"/>
            <w:vAlign w:val="bottom"/>
          </w:tcPr>
          <w:p>
            <w:pPr>
              <w:spacing w:after="0"/>
              <w:rPr>
                <w:sz w:val="1"/>
                <w:szCs w:val="1"/>
                <w:color w:val="auto"/>
              </w:rPr>
            </w:pPr>
          </w:p>
        </w:tc>
      </w:tr>
      <w:tr>
        <w:trPr>
          <w:trHeight w:val="263"/>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vTv Therapeutics Inc.</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(7,911)</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(16,144)</w:t>
            </w:r>
          </w:p>
        </w:tc>
        <w:tc>
          <w:tcPr>
            <w:tcW w:w="3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 common shareholders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(8,650)</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(16,144)</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260"/>
              <w:spacing w:after="0"/>
              <w:rPr>
                <w:sz w:val="20"/>
                <w:szCs w:val="20"/>
                <w:color w:val="auto"/>
              </w:rPr>
            </w:pPr>
            <w:r>
              <w:rPr>
                <w:rFonts w:ascii="Arial" w:cs="Arial" w:eastAsia="Arial" w:hAnsi="Arial"/>
                <w:sz w:val="18"/>
                <w:szCs w:val="18"/>
                <w:color w:val="auto"/>
              </w:rPr>
              <w:t>Net loss per share of vTv Therapeutics Inc. Class A Common Stock,</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(0.69)</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(1.67)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96"/>
        </w:trPr>
        <w:tc>
          <w:tcPr>
            <w:tcW w:w="6660" w:type="dxa"/>
            <w:vAlign w:val="bottom"/>
            <w:tcBorders>
              <w:top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Weighted-average number of vTv Therapeutics Inc. Class A Common</w:t>
            </w: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Stock, basic and diluted</w:t>
            </w: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12,449,236</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9,693,254</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9,545,527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Redeemable Noncontrolling Interest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Pr>
          <w:p>
            <w:pPr>
              <w:spacing w:after="0"/>
              <w:rPr>
                <w:sz w:val="13"/>
                <w:szCs w:val="13"/>
                <w:color w:val="auto"/>
              </w:rPr>
            </w:pPr>
          </w:p>
        </w:tc>
        <w:tc>
          <w:tcPr>
            <w:tcW w:w="2080" w:type="dxa"/>
            <w:vAlign w:val="bottom"/>
            <w:gridSpan w:val="5"/>
          </w:tcPr>
          <w:p>
            <w:pPr>
              <w:ind w:left="260"/>
              <w:spacing w:after="0"/>
              <w:rPr>
                <w:sz w:val="20"/>
                <w:szCs w:val="20"/>
                <w:color w:val="auto"/>
              </w:rPr>
            </w:pPr>
            <w:r>
              <w:rPr>
                <w:rFonts w:ascii="Arial" w:cs="Arial" w:eastAsia="Arial" w:hAnsi="Arial"/>
                <w:sz w:val="13"/>
                <w:szCs w:val="13"/>
                <w:b w:val="1"/>
                <w:bCs w:val="1"/>
                <w:color w:val="auto"/>
              </w:rPr>
              <w:t>Class A Common Stock</w:t>
            </w:r>
          </w:p>
        </w:tc>
        <w:tc>
          <w:tcPr>
            <w:tcW w:w="1980" w:type="dxa"/>
            <w:vAlign w:val="bottom"/>
            <w:gridSpan w:val="6"/>
          </w:tcPr>
          <w:p>
            <w:pPr>
              <w:jc w:val="right"/>
              <w:ind w:right="440"/>
              <w:spacing w:after="0"/>
              <w:rPr>
                <w:sz w:val="20"/>
                <w:szCs w:val="20"/>
                <w:color w:val="auto"/>
              </w:rPr>
            </w:pPr>
            <w:r>
              <w:rPr>
                <w:rFonts w:ascii="Arial" w:cs="Arial" w:eastAsia="Arial" w:hAnsi="Arial"/>
                <w:sz w:val="13"/>
                <w:szCs w:val="13"/>
                <w:b w:val="1"/>
                <w:bCs w:val="1"/>
                <w:color w:val="auto"/>
              </w:rPr>
              <w:t>Class B Common 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4"/>
        </w:trPr>
        <w:tc>
          <w:tcPr>
            <w:tcW w:w="2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1"/>
                <w:szCs w:val="11"/>
                <w:color w:val="auto"/>
              </w:rPr>
            </w:pPr>
          </w:p>
        </w:tc>
        <w:tc>
          <w:tcPr>
            <w:tcW w:w="110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2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3"/>
                <w:szCs w:val="13"/>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6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December 31, 2015</w:t>
            </w: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161,531</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9,156,686</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92</w:t>
            </w: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23,655,814</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237</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117,686</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(195,985)</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(77,970)</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(39,001)</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(16,352)</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(16,352)</w:t>
            </w: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0" w:type="dxa"/>
            <w:vAlign w:val="bottom"/>
          </w:tcPr>
          <w:p>
            <w:pPr>
              <w:ind w:left="260"/>
              <w:spacing w:after="0" w:line="134" w:lineRule="exact"/>
              <w:rPr>
                <w:sz w:val="20"/>
                <w:szCs w:val="20"/>
                <w:color w:val="auto"/>
              </w:rPr>
            </w:pPr>
            <w:r>
              <w:rPr>
                <w:rFonts w:ascii="Arial" w:cs="Arial" w:eastAsia="Arial" w:hAnsi="Arial"/>
                <w:sz w:val="13"/>
                <w:szCs w:val="13"/>
                <w:color w:val="auto"/>
              </w:rPr>
              <w:t>Issuance of warrants to purchase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340"/>
              <w:spacing w:after="0"/>
              <w:rPr>
                <w:sz w:val="20"/>
                <w:szCs w:val="20"/>
                <w:color w:val="auto"/>
              </w:rPr>
            </w:pPr>
            <w:r>
              <w:rPr>
                <w:rFonts w:ascii="Arial" w:cs="Arial" w:eastAsia="Arial" w:hAnsi="Arial"/>
                <w:sz w:val="13"/>
                <w:szCs w:val="13"/>
                <w:color w:val="auto"/>
              </w:rPr>
              <w:t>Class A Common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Exchange of Class B Common Stock</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for Class A Common Stock</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(3,164)</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536,568</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(536,568)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3,149</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(3,149)</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(3,149)</w:t>
            </w:r>
          </w:p>
        </w:tc>
        <w:tc>
          <w:tcPr>
            <w:tcW w:w="0" w:type="dxa"/>
            <w:vAlign w:val="bottom"/>
          </w:tcPr>
          <w:p>
            <w:pPr>
              <w:spacing w:after="0"/>
              <w:rPr>
                <w:sz w:val="1"/>
                <w:szCs w:val="1"/>
                <w:color w:val="auto"/>
              </w:rPr>
            </w:pPr>
          </w:p>
        </w:tc>
      </w:tr>
      <w:tr>
        <w:trPr>
          <w:trHeight w:val="142"/>
        </w:trPr>
        <w:tc>
          <w:tcPr>
            <w:tcW w:w="26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December 31, 2016</w:t>
            </w: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122,515</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9,693,254</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97</w:t>
            </w: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23,119,246</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124,212</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(215,486)</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(90,945)</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tcPr>
          <w:p>
            <w:pPr>
              <w:ind w:left="260"/>
              <w:spacing w:after="0" w:line="143" w:lineRule="exact"/>
              <w:rPr>
                <w:sz w:val="20"/>
                <w:szCs w:val="20"/>
                <w:color w:val="auto"/>
              </w:rPr>
            </w:pPr>
            <w:r>
              <w:rPr>
                <w:rFonts w:ascii="Arial" w:cs="Arial" w:eastAsia="Arial" w:hAnsi="Arial"/>
                <w:sz w:val="13"/>
                <w:szCs w:val="13"/>
                <w:color w:val="auto"/>
              </w:rPr>
              <w:t>Net 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Arial" w:cs="Arial" w:eastAsia="Arial" w:hAnsi="Arial"/>
                <w:sz w:val="13"/>
                <w:szCs w:val="13"/>
                <w:color w:val="auto"/>
              </w:rPr>
              <w:t>(38,503)</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Arial" w:cs="Arial" w:eastAsia="Arial" w:hAnsi="Arial"/>
                <w:sz w:val="13"/>
                <w:szCs w:val="13"/>
                <w:color w:val="auto"/>
              </w:rPr>
              <w:t>(16,144)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Arial" w:cs="Arial" w:eastAsia="Arial" w:hAnsi="Arial"/>
                <w:sz w:val="13"/>
                <w:szCs w:val="13"/>
                <w:color w:val="auto"/>
              </w:rPr>
              <w:t>(16,144)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3,645</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0" w:type="dxa"/>
            <w:vAlign w:val="bottom"/>
          </w:tcPr>
          <w:p>
            <w:pPr>
              <w:ind w:left="260"/>
              <w:spacing w:after="0" w:line="134" w:lineRule="exact"/>
              <w:rPr>
                <w:sz w:val="20"/>
                <w:szCs w:val="20"/>
                <w:color w:val="auto"/>
              </w:rPr>
            </w:pPr>
            <w:r>
              <w:rPr>
                <w:rFonts w:ascii="Arial" w:cs="Arial" w:eastAsia="Arial" w:hAnsi="Arial"/>
                <w:sz w:val="13"/>
                <w:szCs w:val="13"/>
                <w:color w:val="auto"/>
              </w:rPr>
              <w:t>Issuance of warrants to purchase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340"/>
              <w:spacing w:after="0"/>
              <w:rPr>
                <w:sz w:val="20"/>
                <w:szCs w:val="20"/>
                <w:color w:val="auto"/>
              </w:rPr>
            </w:pPr>
            <w:r>
              <w:rPr>
                <w:rFonts w:ascii="Arial" w:cs="Arial" w:eastAsia="Arial" w:hAnsi="Arial"/>
                <w:sz w:val="13"/>
                <w:szCs w:val="13"/>
                <w:color w:val="auto"/>
              </w:rPr>
              <w:t>Class A Common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87"/>
              </w:rPr>
              <w:t>Issuance of Letter Agreement and warrants to</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w w:val="91"/>
              </w:rPr>
              <w:t>purchase Class A Common Stock - related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party</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(342)</w:t>
            </w: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134"/>
        </w:trPr>
        <w:tc>
          <w:tcPr>
            <w:tcW w:w="260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47,428</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(47,428)</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(47,428)</w:t>
            </w:r>
          </w:p>
        </w:tc>
        <w:tc>
          <w:tcPr>
            <w:tcW w:w="0" w:type="dxa"/>
            <w:vAlign w:val="bottom"/>
          </w:tcPr>
          <w:p>
            <w:pPr>
              <w:spacing w:after="0"/>
              <w:rPr>
                <w:sz w:val="1"/>
                <w:szCs w:val="1"/>
                <w:color w:val="auto"/>
              </w:rPr>
            </w:pPr>
          </w:p>
        </w:tc>
      </w:tr>
      <w:tr>
        <w:trPr>
          <w:trHeight w:val="142"/>
        </w:trPr>
        <w:tc>
          <w:tcPr>
            <w:tcW w:w="26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December 31, 2017</w:t>
            </w: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131,440</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9,693,254</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97</w:t>
            </w: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23,119,246</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127,682</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(279,058)</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(151,047)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(15,934)</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(7,911)</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(7,911)</w:t>
            </w:r>
          </w:p>
        </w:tc>
        <w:tc>
          <w:tcPr>
            <w:tcW w:w="0" w:type="dxa"/>
            <w:vAlign w:val="bottom"/>
          </w:tcPr>
          <w:p>
            <w:pPr>
              <w:spacing w:after="0"/>
              <w:rPr>
                <w:sz w:val="1"/>
                <w:szCs w:val="1"/>
                <w:color w:val="auto"/>
              </w:rPr>
            </w:pPr>
          </w:p>
        </w:tc>
      </w:tr>
      <w:tr>
        <w:trPr>
          <w:trHeight w:val="134"/>
        </w:trPr>
        <w:tc>
          <w:tcPr>
            <w:tcW w:w="26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Cumulative effect of accounting</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change</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260"/>
              <w:spacing w:after="0"/>
              <w:rPr>
                <w:sz w:val="20"/>
                <w:szCs w:val="20"/>
                <w:color w:val="auto"/>
              </w:rPr>
            </w:pPr>
            <w:r>
              <w:rPr>
                <w:rFonts w:ascii="Arial" w:cs="Arial" w:eastAsia="Arial" w:hAnsi="Arial"/>
                <w:sz w:val="13"/>
                <w:szCs w:val="13"/>
                <w:color w:val="auto"/>
              </w:rPr>
              <w:t>Share-based compensation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2,676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Exchange of Class B Common Stock</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for Class A Common Stock</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25,025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(25,025)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340"/>
              <w:spacing w:after="0" w:line="135" w:lineRule="exact"/>
              <w:rPr>
                <w:sz w:val="20"/>
                <w:szCs w:val="20"/>
                <w:color w:val="auto"/>
              </w:rPr>
            </w:pPr>
            <w:r>
              <w:rPr>
                <w:rFonts w:ascii="Arial" w:cs="Arial" w:eastAsia="Arial" w:hAnsi="Arial"/>
                <w:sz w:val="13"/>
                <w:szCs w:val="13"/>
                <w:color w:val="auto"/>
              </w:rPr>
              <w:t>to a related party under the Letter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340"/>
              <w:spacing w:after="0"/>
              <w:rPr>
                <w:sz w:val="20"/>
                <w:szCs w:val="20"/>
                <w:color w:val="auto"/>
              </w:rPr>
            </w:pPr>
            <w:r>
              <w:rPr>
                <w:rFonts w:ascii="Arial" w:cs="Arial" w:eastAsia="Arial" w:hAnsi="Arial"/>
                <w:sz w:val="13"/>
                <w:szCs w:val="13"/>
                <w:color w:val="auto"/>
              </w:rPr>
              <w:t>Agreements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10,617,119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106</w:t>
            </w:r>
          </w:p>
        </w:tc>
        <w:tc>
          <w:tcPr>
            <w:tcW w:w="2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21,394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Letter Agreement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and warrants to purchase Class</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 Common Stock - related party</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(1,308)</w:t>
            </w: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(1,308)</w:t>
            </w:r>
          </w:p>
        </w:tc>
        <w:tc>
          <w:tcPr>
            <w:tcW w:w="0" w:type="dxa"/>
            <w:vAlign w:val="bottom"/>
          </w:tcPr>
          <w:p>
            <w:pPr>
              <w:spacing w:after="0"/>
              <w:rPr>
                <w:sz w:val="1"/>
                <w:szCs w:val="1"/>
                <w:color w:val="auto"/>
              </w:rPr>
            </w:pPr>
          </w:p>
        </w:tc>
      </w:tr>
      <w:tr>
        <w:trPr>
          <w:trHeight w:val="149"/>
        </w:trPr>
        <w:tc>
          <w:tcPr>
            <w:tcW w:w="2600" w:type="dxa"/>
            <w:vAlign w:val="bottom"/>
          </w:tcPr>
          <w:p>
            <w:pPr>
              <w:ind w:left="260"/>
              <w:spacing w:after="0"/>
              <w:rPr>
                <w:sz w:val="20"/>
                <w:szCs w:val="20"/>
                <w:color w:val="auto"/>
              </w:rPr>
            </w:pPr>
            <w:r>
              <w:rPr>
                <w:rFonts w:ascii="Arial" w:cs="Arial" w:eastAsia="Arial" w:hAnsi="Arial"/>
                <w:sz w:val="13"/>
                <w:szCs w:val="13"/>
                <w:color w:val="auto"/>
              </w:rPr>
              <w:t>Vesting of restricted stock units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11,667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6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(52,873)</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52,873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52,873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line="143" w:lineRule="exact"/>
              <w:rPr>
                <w:sz w:val="20"/>
                <w:szCs w:val="20"/>
                <w:color w:val="auto"/>
              </w:rPr>
            </w:pPr>
            <w:r>
              <w:rPr>
                <w:rFonts w:ascii="Arial" w:cs="Arial" w:eastAsia="Arial" w:hAnsi="Arial"/>
                <w:sz w:val="13"/>
                <w:szCs w:val="13"/>
                <w:b w:val="1"/>
                <w:bCs w:val="1"/>
                <w:color w:val="auto"/>
              </w:rPr>
              <w:t>Balances at December 31, 2018</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62,482</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20,347,065</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203</w:t>
            </w:r>
          </w:p>
        </w:tc>
        <w:tc>
          <w:tcPr>
            <w:tcW w:w="2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150,595</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(233,883)</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(82,853)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7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Net loss before noncontrolling interest</w:t>
            </w:r>
          </w:p>
        </w:tc>
        <w:tc>
          <w:tcPr>
            <w:tcW w:w="1580" w:type="dxa"/>
            <w:vAlign w:val="bottom"/>
            <w:gridSpan w:val="2"/>
          </w:tcPr>
          <w:p>
            <w:pPr>
              <w:jc w:val="right"/>
              <w:ind w:right="70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(23,845)</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(54,647)</w:t>
            </w:r>
          </w:p>
        </w:tc>
        <w:tc>
          <w:tcPr>
            <w:tcW w:w="38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(55,353)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Adjustments to reconcile net loss before noncontrolling interest to net cash used in operating</w:t>
            </w:r>
          </w:p>
        </w:tc>
        <w:tc>
          <w:tcPr>
            <w:tcW w:w="7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activities:</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Gain on disposal of property and equipment, net</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Depreciation expense</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Share-based compensation expense</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2,676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3,645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Change in fair value of warrants, related party</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Amortization of debt discount</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Changes in assets and liabilities:</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Accounts receivable</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(8,000)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Prepaid expenses and other assets</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(1,135)</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Employee loans receivable – related party</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Long-term deposits</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Accounts payable and accrued expenses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(6,199)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2,448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Accounts payable and accrued expenses – related party</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Deferred revenue</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(10,435)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10,753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Other liabilities</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6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7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(26,856)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(44,560)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(48,209)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Proceeds from sale of assets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Purchases of property and equipment</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56"/>
        </w:trPr>
        <w:tc>
          <w:tcPr>
            <w:tcW w:w="606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7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Issuance of Class A Common Stock to a related party under the Letter Agreements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21,500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Proceeds from debt issuance</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Debt issuance costs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Repayment of notes payable</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(5,388)</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6"/>
        </w:trPr>
        <w:tc>
          <w:tcPr>
            <w:tcW w:w="606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7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16,612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11,794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Net decrease in cash, cash equivalents and restricted cash and cash equivalents</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99"/>
              </w:rPr>
              <w:t>(10,237)</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(37,085)</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(36,498)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Total cash, cash equivalents and restricted cash and cash equivalents, beginning of year</w:t>
            </w:r>
          </w:p>
        </w:tc>
        <w:tc>
          <w:tcPr>
            <w:tcW w:w="7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14,420</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51,505</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88,003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cash, cash equivalents and restricted cash and cash equivalents, end of year</w:t>
            </w:r>
          </w:p>
        </w:tc>
        <w:tc>
          <w:tcPr>
            <w:tcW w:w="7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4,183</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14,420</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51,505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4"/>
                <w:szCs w:val="14"/>
                <w:color w:val="auto"/>
              </w:rPr>
              <w:t>Supplemental cash flow information:</w:t>
            </w:r>
          </w:p>
        </w:tc>
        <w:tc>
          <w:tcPr>
            <w:tcW w:w="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Cash paid for interest</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2,064</w:t>
            </w:r>
          </w:p>
        </w:tc>
        <w:tc>
          <w:tcPr>
            <w:tcW w:w="1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4"/>
                <w:szCs w:val="14"/>
                <w:color w:val="auto"/>
              </w:rPr>
              <w:t>Cash paid for income taxes</w:t>
            </w:r>
          </w:p>
        </w:tc>
        <w:tc>
          <w:tcPr>
            <w:tcW w:w="7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40" w:type="dxa"/>
            <w:vAlign w:val="bottom"/>
            <w:tcBorders>
              <w:bottom w:val="single" w:sz="8" w:color="CFF0FC"/>
            </w:tcBorders>
            <w:vMerge w:val="continue"/>
          </w:tcPr>
          <w:p>
            <w:pPr>
              <w:spacing w:after="0"/>
              <w:rPr>
                <w:sz w:val="15"/>
                <w:szCs w:val="15"/>
                <w:color w:val="auto"/>
              </w:rPr>
            </w:pPr>
          </w:p>
        </w:tc>
        <w:tc>
          <w:tcPr>
            <w:tcW w:w="72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right"/>
              <w:ind w:right="708"/>
              <w:spacing w:after="0" w:line="143"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1,000</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0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Non-cash activities: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Receipt of investment as partial consideration for license agreement</w:t>
            </w:r>
          </w:p>
        </w:tc>
        <w:tc>
          <w:tcPr>
            <w:tcW w:w="1580" w:type="dxa"/>
            <w:vAlign w:val="bottom"/>
            <w:gridSpan w:val="2"/>
            <w:shd w:val="clear" w:color="auto" w:fill="CFF0FC"/>
          </w:tcPr>
          <w:p>
            <w:pPr>
              <w:jc w:val="right"/>
              <w:ind w:right="70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2,480</w:t>
            </w:r>
          </w:p>
        </w:tc>
        <w:tc>
          <w:tcPr>
            <w:tcW w:w="1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Change in redemption value of noncontrolling interest</w:t>
            </w:r>
          </w:p>
        </w:tc>
        <w:tc>
          <w:tcPr>
            <w:tcW w:w="1580" w:type="dxa"/>
            <w:vAlign w:val="bottom"/>
            <w:gridSpan w:val="2"/>
          </w:tcPr>
          <w:p>
            <w:pPr>
              <w:jc w:val="right"/>
              <w:ind w:right="70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(52,873)</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47,428</w:t>
            </w:r>
          </w:p>
        </w:tc>
        <w:tc>
          <w:tcPr>
            <w:tcW w:w="160" w:type="dxa"/>
            <w:vAlign w:val="bottom"/>
          </w:tcPr>
          <w:p>
            <w:pPr>
              <w:spacing w:after="0"/>
              <w:rPr>
                <w:sz w:val="14"/>
                <w:szCs w:val="14"/>
                <w:color w:val="auto"/>
              </w:rPr>
            </w:pPr>
          </w:p>
        </w:tc>
        <w:tc>
          <w:tcPr>
            <w:tcW w:w="38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3,149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Exchange of vTv Therapeutics Inc. Class B Common Stock and vTv Therapeutics, LLC</w:t>
            </w:r>
          </w:p>
        </w:tc>
        <w:tc>
          <w:tcPr>
            <w:tcW w:w="7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member units for vTv Therapeutics Inc. Class A Common Stock</w:t>
            </w:r>
          </w:p>
        </w:tc>
        <w:tc>
          <w:tcPr>
            <w:tcW w:w="1580" w:type="dxa"/>
            <w:vAlign w:val="bottom"/>
            <w:gridSpan w:val="2"/>
            <w:shd w:val="clear" w:color="auto" w:fill="CFF0FC"/>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FF0FC"/>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tcPr>
          <w:p>
            <w:pPr>
              <w:ind w:left="240"/>
              <w:spacing w:after="0" w:line="143" w:lineRule="exact"/>
              <w:rPr>
                <w:sz w:val="20"/>
                <w:szCs w:val="20"/>
                <w:color w:val="auto"/>
              </w:rPr>
            </w:pPr>
            <w:r>
              <w:rPr>
                <w:rFonts w:ascii="Arial" w:cs="Arial" w:eastAsia="Arial" w:hAnsi="Arial"/>
                <w:sz w:val="14"/>
                <w:szCs w:val="14"/>
                <w:color w:val="auto"/>
              </w:rPr>
              <w:t>Issuance of Letter Agreements and warrants to purchase vTv Therapeutics Inc. Class A</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ind w:left="380"/>
              <w:spacing w:after="0"/>
              <w:rPr>
                <w:sz w:val="20"/>
                <w:szCs w:val="20"/>
                <w:color w:val="auto"/>
              </w:rPr>
            </w:pPr>
            <w:r>
              <w:rPr>
                <w:rFonts w:ascii="Arial" w:cs="Arial" w:eastAsia="Arial" w:hAnsi="Arial"/>
                <w:sz w:val="14"/>
                <w:szCs w:val="14"/>
                <w:color w:val="auto"/>
              </w:rPr>
              <w:t>Common Stock to a related party</w:t>
            </w:r>
          </w:p>
        </w:tc>
        <w:tc>
          <w:tcPr>
            <w:tcW w:w="1580" w:type="dxa"/>
            <w:vAlign w:val="bottom"/>
            <w:gridSpan w:val="2"/>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1,308</w:t>
            </w:r>
          </w:p>
        </w:tc>
        <w:tc>
          <w:tcPr>
            <w:tcW w:w="160" w:type="dxa"/>
            <w:vAlign w:val="bottom"/>
          </w:tcPr>
          <w:p>
            <w:pPr>
              <w:spacing w:after="0"/>
              <w:rPr>
                <w:sz w:val="14"/>
                <w:szCs w:val="14"/>
                <w:color w:val="auto"/>
              </w:rPr>
            </w:pP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302</w:t>
            </w:r>
          </w:p>
        </w:tc>
        <w:tc>
          <w:tcPr>
            <w:tcW w:w="160" w:type="dxa"/>
            <w:vAlign w:val="bottom"/>
          </w:tcPr>
          <w:p>
            <w:pPr>
              <w:spacing w:after="0"/>
              <w:rPr>
                <w:sz w:val="14"/>
                <w:szCs w:val="14"/>
                <w:color w:val="auto"/>
              </w:rPr>
            </w:pPr>
          </w:p>
        </w:tc>
        <w:tc>
          <w:tcPr>
            <w:tcW w:w="38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Issuance of warrants to purchase vTv Therapeutics Inc. Class A Common Stock</w:t>
            </w:r>
          </w:p>
        </w:tc>
        <w:tc>
          <w:tcPr>
            <w:tcW w:w="1580" w:type="dxa"/>
            <w:vAlign w:val="bottom"/>
            <w:gridSpan w:val="2"/>
            <w:shd w:val="clear" w:color="auto" w:fill="CFF0FC"/>
          </w:tcPr>
          <w:p>
            <w:pPr>
              <w:jc w:val="right"/>
              <w:ind w:right="70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FF0FC"/>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are in thousands, unless otherwise noted)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vTv Therapeutics Inc. (the “Company,” the “Registrant,” “we” or “us”), was incorporated in the state of Delaware in April 2015. The Company was formed to discover and develop orally administered small molecule drug candidates to fill significant unmet medical needs.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right="700" w:firstLine="518"/>
        <w:spacing w:after="0" w:line="264"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Company’s principal operating subsidiary, which is a clinical-stage biopharmaceutical company engaged in the discovery and development of orally administered small molecule drug candidates to fill significant unmet medical needs.</w:t>
      </w:r>
    </w:p>
    <w:p>
      <w:pPr>
        <w:spacing w:after="0" w:line="73"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Consolidated Financial Statements. Various holders own non-voting interests in vTv LLC, representing a 53.2% economic interest in vTv LLC, effectively restricting vTv Therapeutics Inc.’s interest to 46.8% of vTv LLC’s economic results, subject to increase in the future, should vTv Therapeutics Inc. purchase additional nonvoting common units (“vTv Units”) of vTv LLC or should the holders of vTv Units decide to exchange such units (together with shares of the Company’s Class B common stock, par value $0.01 (“Class B Common Stock”)) for shares of Class A Common Stock (or cash) pursuant to the Exchange Agreement among the Company, vTv LLC and the holders of vTv Units party thereto (the “Exchange Agreement”). vTv Therapeutics Inc. has provided financial and other support to vTv LLC in the form of its purchase of vTv Units with the net proceeds of the IPO in 2015, its agreeing to be a co-borrower under the Venture Loan and Security Agreement (the “Loan Agreement”) with Horizon Technology Finance Corporation and Silicon Valley Bank (together, the “Lenders”) which was entered into in 2016 and its entrance into the letter agreements with MacAndrews and Forbes Group LLC (“M&amp;F Group”), a related party and an affiliate of MacAndrews &amp; Forbes Incorporated (together with its affiliates “MacAndrews”), in December 2017, July 2018 and December 2018 (the “Letter Agreements”). vTv Therapeutics Inc. will not be required to provide financial or other support for vTv LLC outside of its obligations pertaining to the Loan Agreement as a co-borrower. However, vTv Therapeutics Inc. will control its business and other activities through its managing member interest in vTv LLC, and its management is the management of vTv LLC. The creditors of vTv LLC do not have any recourse to the general credit of vTv Therapeutics Inc. except as allowed under the provisions of the Loan Agreement. Nevertheless, because vTv Therapeutics Inc. will have no material assets other than its interests in vTv LLC, any financial difficulties at vTv LLC could result in vTv Therapeutics Inc. recognizing a loss.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To date, the Company has not generated any product revenue and has not achieved profitable operations. The continuing development 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Company’s drug candidates will require additional financing. From its inception through December 31, 2018, the Company has funded its operations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primarily through a combination of debt and equity financings, research collaboration agreements, upfront and milestone payments for license agreements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private placements of preferred equity. As of December 31, 2018, the Company had an accumulated deficit of $233.9 million and has generated net losses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each year of its existence. The Company’s currently available sources of liquidity include the Company’s cash and cash equivalents balance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of $1.7 million and the $8.5 million of remaining funds available under the Letter Agreements, which management believes will allow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to continue its operations and activities for a period of less than twelve months from the issuance of these Consolidated Financial Statements.</w:t>
      </w:r>
    </w:p>
    <w:p>
      <w:pPr>
        <w:spacing w:after="0" w:line="22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 xml:space="preserve">Based on the Company’s current operating plan, management believes that the current cash and cash equivalents and remaining funds under the Letter Agreements will allow the Company to meet its liquidity requirements into March 2019. These conditions raise substantial doubt about the Company’s ability to continue as a going concern. While both studies within the Phase 3 STEADFAST study failed to meet their co-primary endpoints, we have initiated start-up activities for an adaptive Phase 2/3 trial to evaluate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as a potential treatment of mild-AD in patients with type 2 diabetes. The Company is evaluating several financing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ind w:right="120"/>
        <w:spacing w:after="0" w:line="277" w:lineRule="auto"/>
        <w:rPr>
          <w:sz w:val="20"/>
          <w:szCs w:val="20"/>
          <w:color w:val="auto"/>
        </w:rPr>
      </w:pPr>
      <w:r>
        <w:rPr>
          <w:rFonts w:ascii="Arial" w:cs="Arial" w:eastAsia="Arial" w:hAnsi="Arial"/>
          <w:sz w:val="18"/>
          <w:szCs w:val="18"/>
          <w:color w:val="auto"/>
        </w:rPr>
        <w:t>strategies to fund this clinical trial, including direct equity investments and future public offerings of our common stock. The timing and availability of such financing are not yet known.</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On an ongoing basis, the Company evaluates its estimates, including those related to the grant date fair value of equity awards, the fair value of warrants to purchase shares of its Class A Common Stock, the fair value of its Class B Common Stock, the useful lives of property and equipment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To facilitate comparison of information across periods, certain reclassifications have been made to prior period amounts to conform to the current period’s presentation.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multiple financial institutions. The balances of these cash accounts frequently exceed insured limits.</w:t>
      </w:r>
    </w:p>
    <w:p>
      <w:pPr>
        <w:spacing w:after="0" w:line="62"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Accounts receivable as of December 31, 2017, consisted entirely of the upfront payment due in connection with the License Agreement with Hangzhou Zhongmei Huadong Pharmaceutical Co., Ltd. (“Huadong”) (the “Huadong License Agreement”) which was fully received in January 2018. There were no accounts receivable at December 31, 2018 and 2016.</w:t>
      </w:r>
    </w:p>
    <w:p>
      <w:pPr>
        <w:spacing w:after="0" w:line="73"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Three customers represented 100% of the revenue earned during the year ended December 31, 2018. Four customers represented 100% of the revenue earned during the year ended December 31, 2017. Two customers represented 100% of the revenue earned during the year ended December 31, 2016.</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any highly liquid investments with an original maturity of three months or less to be cash and cash equivalents.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Restricted cash and cash equivalents relate to cash that has been received through a research, development and commercialization agreement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JDRF International (“JDRF”) (the “JDRF Agreement”) but has not yet been utilized to fund the development activities required under the JDRF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Agreement. Restricted cash and cash equivalents, long-term relates to the minimum balance that the Company must maintain in a deposit account pledged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secure the Loan Agreement and subject to an account control agreement pursuant to the Loan Agreement, as amended.</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2018 and 2017 that sum to the total of the same such amounts shown in the Consolidated Statements of Cash Flows (in thousands):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1" w:name="page92"/>
    <w:bookmarkEnd w:id="91"/>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spacing w:after="0"/>
              <w:rPr>
                <w:sz w:val="19"/>
                <w:szCs w:val="19"/>
                <w:color w:val="auto"/>
              </w:rPr>
            </w:pPr>
          </w:p>
        </w:tc>
        <w:tc>
          <w:tcPr>
            <w:tcW w:w="940" w:type="dxa"/>
            <w:vAlign w:val="bottom"/>
            <w:tcBorders>
              <w:top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1,683</w:t>
            </w:r>
          </w:p>
        </w:tc>
        <w:tc>
          <w:tcPr>
            <w:tcW w:w="26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11,758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and cash equivalents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and cash equivalents, long-term</w:t>
            </w:r>
          </w:p>
        </w:tc>
        <w:tc>
          <w:tcPr>
            <w:tcW w:w="9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2,500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Borders>
              <w:bottom w:val="single" w:sz="8" w:color="CFF0FC"/>
            </w:tcBorders>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 and cash</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equivalents shown in the consolidated statement of</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flows</w:t>
            </w:r>
          </w:p>
        </w:tc>
        <w:tc>
          <w:tcPr>
            <w:tcW w:w="1880" w:type="dxa"/>
            <w:vAlign w:val="bottom"/>
            <w:gridSpan w:val="2"/>
            <w:shd w:val="clear" w:color="auto" w:fill="CFF0FC"/>
          </w:tcPr>
          <w:p>
            <w:pPr>
              <w:jc w:val="right"/>
              <w:ind w:right="785"/>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4,183</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14,420</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 and Accounts Receivable</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majority of the Company’s collaboration revenue and accounts receivable relates to its agreements to license certain of its potential drug products for development. See Note 3 for further discussion of the Company’s collaboration agreements.</w:t>
      </w:r>
    </w:p>
    <w:p>
      <w:pPr>
        <w:spacing w:after="0" w:line="6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Accounts receivable are stated at net realizable value. On a periodic basis, the Company evaluates its accounts receivable and establishes an allowance based on its history of collections and write-offs and the current status of all receivables.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and other Long-lived Assets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records property and equipment at cost less accumulated depreciation. Costs of renewals and improvements that extend the useful lives of the assets are capitalized. Maintenance and repairs are expensed as incurred. Depreciation is determined on a straight-line basis over the estimated useful lives of the assets, which generally range from three to ten years. Leasehold improvements are depreciated over the shorter of the useful life of the asset or the term of the related lease. Upon retirement or disposition of assets, the costs and related accumulated depreciation are removed from the accounts with the resulting gains or losses, if any, reflected in results of operations.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useful lives of property and equipment are as follows: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85"/>
        </w:trPr>
        <w:tc>
          <w:tcPr>
            <w:tcW w:w="2960" w:type="dxa"/>
            <w:vAlign w:val="bottom"/>
          </w:tcPr>
          <w:p>
            <w:pPr>
              <w:ind w:left="1300"/>
              <w:spacing w:after="0"/>
              <w:rPr>
                <w:sz w:val="20"/>
                <w:szCs w:val="20"/>
                <w:color w:val="auto"/>
              </w:rPr>
            </w:pPr>
            <w:r>
              <w:rPr>
                <w:rFonts w:ascii="Arial" w:cs="Arial" w:eastAsia="Arial" w:hAnsi="Arial"/>
                <w:sz w:val="14"/>
                <w:szCs w:val="14"/>
                <w:b w:val="1"/>
                <w:bCs w:val="1"/>
                <w:color w:val="auto"/>
              </w:rPr>
              <w:t>Asset Category</w:t>
            </w:r>
          </w:p>
        </w:tc>
        <w:tc>
          <w:tcPr>
            <w:tcW w:w="3880" w:type="dxa"/>
            <w:vAlign w:val="bottom"/>
          </w:tcPr>
          <w:p>
            <w:pPr>
              <w:jc w:val="center"/>
              <w:ind w:left="573"/>
              <w:spacing w:after="0"/>
              <w:rPr>
                <w:sz w:val="20"/>
                <w:szCs w:val="20"/>
                <w:color w:val="auto"/>
              </w:rPr>
            </w:pPr>
            <w:r>
              <w:rPr>
                <w:rFonts w:ascii="Arial" w:cs="Arial" w:eastAsia="Arial" w:hAnsi="Arial"/>
                <w:sz w:val="14"/>
                <w:szCs w:val="14"/>
                <w:b w:val="1"/>
                <w:bCs w:val="1"/>
                <w:color w:val="auto"/>
                <w:w w:val="94"/>
              </w:rPr>
              <w:t>Useful Life (in years)</w:t>
            </w:r>
          </w:p>
        </w:tc>
      </w:tr>
      <w:tr>
        <w:trPr>
          <w:trHeight w:val="243"/>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3880" w:type="dxa"/>
            <w:vAlign w:val="bottom"/>
            <w:shd w:val="clear" w:color="auto" w:fill="CFF0FC"/>
          </w:tcPr>
          <w:p>
            <w:pPr>
              <w:jc w:val="center"/>
              <w:ind w:left="553"/>
              <w:spacing w:after="0"/>
              <w:rPr>
                <w:sz w:val="20"/>
                <w:szCs w:val="20"/>
                <w:color w:val="auto"/>
              </w:rPr>
            </w:pPr>
            <w:r>
              <w:rPr>
                <w:rFonts w:ascii="Arial" w:cs="Arial" w:eastAsia="Arial" w:hAnsi="Arial"/>
                <w:sz w:val="18"/>
                <w:szCs w:val="18"/>
                <w:color w:val="auto"/>
                <w:w w:val="79"/>
              </w:rPr>
              <w:t>7</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Computers and hardware</w:t>
            </w:r>
          </w:p>
        </w:tc>
        <w:tc>
          <w:tcPr>
            <w:tcW w:w="3880" w:type="dxa"/>
            <w:vAlign w:val="bottom"/>
          </w:tcPr>
          <w:p>
            <w:pPr>
              <w:jc w:val="center"/>
              <w:ind w:left="553"/>
              <w:spacing w:after="0"/>
              <w:rPr>
                <w:sz w:val="20"/>
                <w:szCs w:val="20"/>
                <w:color w:val="auto"/>
              </w:rPr>
            </w:pPr>
            <w:r>
              <w:rPr>
                <w:rFonts w:ascii="Arial" w:cs="Arial" w:eastAsia="Arial" w:hAnsi="Arial"/>
                <w:sz w:val="18"/>
                <w:szCs w:val="18"/>
                <w:color w:val="auto"/>
                <w:w w:val="92"/>
              </w:rPr>
              <w:t>3-5</w:t>
            </w:r>
          </w:p>
        </w:tc>
      </w:tr>
      <w:tr>
        <w:trPr>
          <w:trHeight w:val="256"/>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office equipment</w:t>
            </w:r>
          </w:p>
        </w:tc>
        <w:tc>
          <w:tcPr>
            <w:tcW w:w="3880" w:type="dxa"/>
            <w:vAlign w:val="bottom"/>
            <w:shd w:val="clear" w:color="auto" w:fill="CFF0FC"/>
          </w:tcPr>
          <w:p>
            <w:pPr>
              <w:jc w:val="center"/>
              <w:ind w:left="553"/>
              <w:spacing w:after="0"/>
              <w:rPr>
                <w:sz w:val="20"/>
                <w:szCs w:val="20"/>
                <w:color w:val="auto"/>
              </w:rPr>
            </w:pPr>
            <w:r>
              <w:rPr>
                <w:rFonts w:ascii="Arial" w:cs="Arial" w:eastAsia="Arial" w:hAnsi="Arial"/>
                <w:sz w:val="18"/>
                <w:szCs w:val="18"/>
                <w:color w:val="auto"/>
                <w:w w:val="92"/>
              </w:rPr>
              <w:t>3-7</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Software</w:t>
            </w:r>
          </w:p>
        </w:tc>
        <w:tc>
          <w:tcPr>
            <w:tcW w:w="3880" w:type="dxa"/>
            <w:vAlign w:val="bottom"/>
          </w:tcPr>
          <w:p>
            <w:pPr>
              <w:jc w:val="center"/>
              <w:ind w:left="553"/>
              <w:spacing w:after="0"/>
              <w:rPr>
                <w:sz w:val="20"/>
                <w:szCs w:val="20"/>
                <w:color w:val="auto"/>
              </w:rPr>
            </w:pPr>
            <w:r>
              <w:rPr>
                <w:rFonts w:ascii="Arial" w:cs="Arial" w:eastAsia="Arial" w:hAnsi="Arial"/>
                <w:sz w:val="18"/>
                <w:szCs w:val="18"/>
                <w:color w:val="auto"/>
                <w:w w:val="79"/>
              </w:rPr>
              <w:t>3</w:t>
            </w:r>
          </w:p>
        </w:tc>
      </w:tr>
      <w:tr>
        <w:trPr>
          <w:trHeight w:val="228"/>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880" w:type="dxa"/>
            <w:vAlign w:val="bottom"/>
            <w:shd w:val="clear" w:color="auto" w:fill="CFF0FC"/>
          </w:tcPr>
          <w:p>
            <w:pPr>
              <w:jc w:val="center"/>
              <w:ind w:left="553"/>
              <w:spacing w:after="0"/>
              <w:rPr>
                <w:sz w:val="20"/>
                <w:szCs w:val="20"/>
                <w:color w:val="auto"/>
              </w:rPr>
            </w:pPr>
            <w:r>
              <w:rPr>
                <w:rFonts w:ascii="Arial" w:cs="Arial" w:eastAsia="Arial" w:hAnsi="Arial"/>
                <w:sz w:val="18"/>
                <w:szCs w:val="18"/>
                <w:color w:val="auto"/>
                <w:w w:val="93"/>
              </w:rPr>
              <w:t>Shorter of useful life or remaining term of</w:t>
            </w:r>
          </w:p>
        </w:tc>
      </w:tr>
      <w:tr>
        <w:trPr>
          <w:trHeight w:val="244"/>
        </w:trPr>
        <w:tc>
          <w:tcPr>
            <w:tcW w:w="2960" w:type="dxa"/>
            <w:vAlign w:val="bottom"/>
            <w:shd w:val="clear" w:color="auto" w:fill="CFF0FC"/>
          </w:tcPr>
          <w:p>
            <w:pPr>
              <w:spacing w:after="0"/>
              <w:rPr>
                <w:sz w:val="21"/>
                <w:szCs w:val="21"/>
                <w:color w:val="auto"/>
              </w:rPr>
            </w:pPr>
          </w:p>
        </w:tc>
        <w:tc>
          <w:tcPr>
            <w:tcW w:w="3880" w:type="dxa"/>
            <w:vAlign w:val="bottom"/>
            <w:shd w:val="clear" w:color="auto" w:fill="CFF0FC"/>
          </w:tcPr>
          <w:p>
            <w:pPr>
              <w:jc w:val="center"/>
              <w:ind w:left="553"/>
              <w:spacing w:after="0"/>
              <w:rPr>
                <w:sz w:val="20"/>
                <w:szCs w:val="20"/>
                <w:color w:val="auto"/>
              </w:rPr>
            </w:pPr>
            <w:r>
              <w:rPr>
                <w:rFonts w:ascii="Arial" w:cs="Arial" w:eastAsia="Arial" w:hAnsi="Arial"/>
                <w:sz w:val="18"/>
                <w:szCs w:val="18"/>
                <w:color w:val="auto"/>
                <w:w w:val="83"/>
              </w:rPr>
              <w:t>lease</w:t>
            </w:r>
          </w:p>
        </w:tc>
      </w:tr>
    </w:tbl>
    <w:p>
      <w:pPr>
        <w:spacing w:after="0" w:line="202" w:lineRule="exact"/>
        <w:rPr>
          <w:sz w:val="20"/>
          <w:szCs w:val="20"/>
          <w:color w:val="auto"/>
        </w:rPr>
      </w:pPr>
    </w:p>
    <w:p>
      <w:pPr>
        <w:ind w:right="140" w:firstLine="560"/>
        <w:spacing w:after="0" w:line="286" w:lineRule="auto"/>
        <w:rPr>
          <w:sz w:val="20"/>
          <w:szCs w:val="20"/>
          <w:color w:val="auto"/>
        </w:rPr>
      </w:pPr>
      <w:r>
        <w:rPr>
          <w:rFonts w:ascii="Arial" w:cs="Arial" w:eastAsia="Arial" w:hAnsi="Arial"/>
          <w:sz w:val="17"/>
          <w:szCs w:val="17"/>
          <w:color w:val="auto"/>
        </w:rPr>
        <w:t>The Company periodically assesses it property and equipment and other long-lived assets for impairment in accordance with the relevant accounting guidance and recorded an impairment charge of $0.1 million during the year ended December 31, 2018. No such charges were recognized during the years ended December 31, 2017 and 2016. There were no assets held for sale at December 31, 2018 or 2017.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60" w:firstLine="571"/>
        <w:spacing w:after="0" w:line="302" w:lineRule="auto"/>
        <w:rPr>
          <w:sz w:val="20"/>
          <w:szCs w:val="20"/>
          <w:color w:val="auto"/>
        </w:rPr>
      </w:pPr>
      <w:r>
        <w:rPr>
          <w:rFonts w:ascii="Arial" w:cs="Arial" w:eastAsia="Arial" w:hAnsi="Arial"/>
          <w:sz w:val="16"/>
          <w:szCs w:val="16"/>
          <w:color w:val="auto"/>
        </w:rPr>
        <w:t>In connection with the Reneo License Agreement, the Company received common stock and certain participation rights representing a minority equity interest in Reneo that is classified as a long-term investment in the Company’s Consolidated Balance Sheet as of December 31, 2017. Upon acquisition, on December 21, 2017, this investment was recognized at its fair value of $2.5 million. This investment is accounted for under the cost method because the Company owns less than 20% of the voting equity and does not have the ability to exercise significant influence over Reneo.</w:t>
      </w:r>
    </w:p>
    <w:p>
      <w:pPr>
        <w:spacing w:after="0" w:line="46" w:lineRule="exact"/>
        <w:rPr>
          <w:sz w:val="20"/>
          <w:szCs w:val="20"/>
          <w:color w:val="auto"/>
        </w:rPr>
      </w:pPr>
    </w:p>
    <w:p>
      <w:pPr>
        <w:ind w:right="260" w:firstLine="571"/>
        <w:spacing w:after="0" w:line="279" w:lineRule="auto"/>
        <w:rPr>
          <w:sz w:val="20"/>
          <w:szCs w:val="20"/>
          <w:color w:val="auto"/>
        </w:rPr>
      </w:pPr>
      <w:r>
        <w:rPr>
          <w:rFonts w:ascii="Arial" w:cs="Arial" w:eastAsia="Arial" w:hAnsi="Arial"/>
          <w:sz w:val="17"/>
          <w:szCs w:val="17"/>
          <w:color w:val="auto"/>
        </w:rPr>
        <w:t>On January 1, 2018, the Company adopted ASU No. 2016-01, “Recognition and Measurement of Financial Assets and Financial Liabilities”. This guidance requires equity investments to be measured at fair value with changes in fair value recognized in net income. Since it does not have a readily determinable market value, the Company has elected to measure its investment in Reneo at cost minus impairment, if any, plus or minus changes resulting from observable price changes in orderly transactions for the identical or similar investment.</w:t>
      </w:r>
    </w:p>
    <w:p>
      <w:pPr>
        <w:spacing w:after="0" w:line="63" w:lineRule="exact"/>
        <w:rPr>
          <w:sz w:val="20"/>
          <w:szCs w:val="20"/>
          <w:color w:val="auto"/>
        </w:rPr>
      </w:pPr>
    </w:p>
    <w:p>
      <w:pPr>
        <w:ind w:right="600" w:firstLine="571"/>
        <w:spacing w:after="0" w:line="277" w:lineRule="auto"/>
        <w:rPr>
          <w:sz w:val="20"/>
          <w:szCs w:val="20"/>
          <w:color w:val="auto"/>
        </w:rPr>
      </w:pPr>
      <w:r>
        <w:rPr>
          <w:rFonts w:ascii="Arial" w:cs="Arial" w:eastAsia="Arial" w:hAnsi="Arial"/>
          <w:sz w:val="18"/>
          <w:szCs w:val="18"/>
          <w:color w:val="auto"/>
        </w:rPr>
        <w:t>No adjustments have been made to the value of the Company’s investment in Reneo since its acquisition either due to impairment or based on observable price changes.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5" w:right="2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On January 1, 2018, the Company adopted ASC Topic 606, “Revenue From Contracts With Customers” (“ASC Topic 606”), using the modified retrospective method applied to those contracts which were not completed as of the adoption date. Results for reporting periods beginning after January 1, 2018 are presented under ASC Topic 606, while prior period amounts are not adjusted and continue to be reported in accordance with the Company’s historic accounting under ASC Topic 605.</w:t>
      </w:r>
    </w:p>
    <w:p>
      <w:pPr>
        <w:spacing w:after="0" w:line="79" w:lineRule="exact"/>
        <w:rPr>
          <w:sz w:val="20"/>
          <w:szCs w:val="20"/>
          <w:color w:val="auto"/>
        </w:rPr>
      </w:pPr>
    </w:p>
    <w:p>
      <w:pPr>
        <w:ind w:right="540" w:firstLine="518"/>
        <w:spacing w:after="0" w:line="308" w:lineRule="auto"/>
        <w:rPr>
          <w:sz w:val="20"/>
          <w:szCs w:val="20"/>
          <w:color w:val="auto"/>
        </w:rPr>
      </w:pPr>
      <w:r>
        <w:rPr>
          <w:rFonts w:ascii="Arial" w:cs="Arial" w:eastAsia="Arial" w:hAnsi="Arial"/>
          <w:sz w:val="17"/>
          <w:szCs w:val="17"/>
          <w:color w:val="auto"/>
        </w:rPr>
        <w:t>The Company recorded a net reduction to its opening accumulated deficit of $0.2 million as of January 1, 2018 due to the cumulative impact of adopting ASC Topic 606. This impact related to the recognition of an asset for the incremental costs of obtaining contracts.</w:t>
      </w:r>
    </w:p>
    <w:p>
      <w:pPr>
        <w:spacing w:after="0" w:line="38"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50"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discernable pattern over which the services will be provided.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79" w:lineRule="exact"/>
        <w:rPr>
          <w:sz w:val="20"/>
          <w:szCs w:val="20"/>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1—Observable inputs that reflect quoted market prices (unadjusted) for identical assets or liabilities in active markets;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 active markets that are observable either directly or indirectly in the marketplace for identical or similar assets and liabilities;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data, which require the Company to develop its own assumptions.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Major components of research and development costs include cash compensation, depreciation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Research and development costs are expensed as incurred.</w:t>
      </w:r>
    </w:p>
    <w:p>
      <w:pPr>
        <w:spacing w:after="0" w:line="79"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records accruals based on estimates of the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3" w:name="page94"/>
    <w:bookmarkEnd w:id="93"/>
    <w:p>
      <w:pPr>
        <w:ind w:firstLine="518"/>
        <w:spacing w:after="0" w:line="308" w:lineRule="auto"/>
        <w:rPr>
          <w:sz w:val="20"/>
          <w:szCs w:val="20"/>
          <w:color w:val="auto"/>
        </w:rPr>
      </w:pPr>
      <w:r>
        <w:rPr>
          <w:rFonts w:ascii="Arial" w:cs="Arial" w:eastAsia="Arial" w:hAnsi="Arial"/>
          <w:sz w:val="17"/>
          <w:szCs w:val="17"/>
          <w:color w:val="auto"/>
        </w:rPr>
        <w:t>The Company records nonrefundable advance payments it makes for future research and development activities as prepaid expenses. Prepaid expenses are recognized as expense in the Consolidated Statements of Operations as the Company receives the related goods or services.</w:t>
      </w:r>
    </w:p>
    <w:p>
      <w:pPr>
        <w:spacing w:after="0" w:line="38"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Research and development costs that are reimbursed under a cost-sharing arrangement are reflected as a reduction of research and development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Patent costs, including related legal costs, are expensed as incurred and recorded within general and administrative operating expenses on the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From its formation on August 1, 2015, vTv Therapeutics Inc. has been subject to corporate level income taxes. Prior to July 30, 2015, the Company’s predecessor entities were taxed as partnerships and all their income and deductions flowed through and were subject to tax at the partner level.</w:t>
      </w:r>
    </w:p>
    <w:p>
      <w:pPr>
        <w:spacing w:after="0" w:line="16"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vTv Therapeutics Inc. is required to recognize deferred tax assets and liabilities for the difference between the financial reporting and tax basis of its investment in vTv LLC.</w:t>
      </w:r>
    </w:p>
    <w:p>
      <w:pPr>
        <w:spacing w:after="0" w:line="6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Company’s income tax expense, deferred tax assets and liabilities and reserves for unrecognized tax benefits reflect management’s best assessment of estimated future taxes to be paid. The Company is subject to income taxes in both the United States and various state jurisdictions. Significant judgments and estimates are required in determining the consolidated income tax expense.</w:t>
      </w:r>
    </w:p>
    <w:p>
      <w:pPr>
        <w:spacing w:after="0" w:line="7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included in the financial statements. Under this method, the Company determines deferred tax assets and liabilities on the basis of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in which the enactment date occurs.</w:t>
      </w:r>
    </w:p>
    <w:p>
      <w:pPr>
        <w:spacing w:after="0" w:line="80"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The Company recognizes deferred tax assets to the extent it believes these assets are more-likely-than-not to be realized. In making such a determination, the Company considers all available positive and negative evidence, including future reversals of existing taxable temporary differences, projected future taxable income, tax planning strategies and recent results of operations.</w:t>
      </w:r>
    </w:p>
    <w:p>
      <w:pPr>
        <w:spacing w:after="0" w:line="73"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The Company records uncertain tax positions on the basis of a two-step process in which (1) it determines whether it is more-likely-than-not that the tax positions will be sustained on the basis of the technical merits of the position and (2) for those tax positions meeting the more-likely-than-not recognition threshold, it recognizes the largest amount of tax benefit that is more than 50% likely to be realized upon ultimate settlement with the related tax authority.</w:t>
      </w:r>
    </w:p>
    <w:p>
      <w:pPr>
        <w:spacing w:after="0" w:line="39"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Interest and penalties related to income taxes are included in the benefit (provision) for income taxes in the Company’s Consolidated Statements of Operations. The Company has not incurred any significant interest or penalties related to income taxes in any of the periods presented.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17"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The Company records the redeemable noncontrolling interest represented by the vTv Units and the Class B Common stock at the higher of (1) its initial fair value plus accumulated earnings/losses associated with the noncontrolling interest or (2) the redemption value as of the balance sheet date. See discussion and additional detail of the redeemable noncontrolling interest at Note 11.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Operating segments are defined as an enterprise’s components (business activities from which it earns revenue and incurs expenses) for which discrete financial information is (1) available; and (2) is regularly reviewed by the chief operating decision maker (“CODM”) in deciding how to allocate resources and in assessing performance. The Company’s CODM is its President and Chief Executive Officer. The Company’s business operates in one reportable segment comprised of one operating segment.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Compensation expense for share-based compensation awards issued is based on the fair value of the award at the date of grant, and compensation expense is recognized for those awards earned over the service period. The grant date fair value of stock option awards is estimated using the Black-Scholes option pricing formula. Due to the lack of sufficient historical trading information with</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94" w:name="page95"/>
    <w:bookmarkEnd w:id="94"/>
    <w:p>
      <w:pPr>
        <w:spacing w:after="0" w:line="255" w:lineRule="auto"/>
        <w:rPr>
          <w:sz w:val="20"/>
          <w:szCs w:val="20"/>
          <w:color w:val="auto"/>
        </w:rPr>
      </w:pPr>
      <w:r>
        <w:rPr>
          <w:rFonts w:ascii="Arial" w:cs="Arial" w:eastAsia="Arial" w:hAnsi="Arial"/>
          <w:sz w:val="18"/>
          <w:szCs w:val="18"/>
          <w:color w:val="auto"/>
        </w:rPr>
        <w:t>respect to its own shares, the Company estimates expected volatility based on the historical volatility of its own stock as well as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 The fair value of restricted stock units (“RSU”) grants are based on the market value of the Class A Common Stock on the date of grant. The Company also estimates the amount of share-based awards that are expected to be forfeited based on historical employee turnover rates.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Company does not have any components of other comprehensive income recorded within its Consolidated Financial Statements, and, therefore, does not separately present a statement of comprehensive income in its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that outlines a single comprehensive model for entities to use in accounting for revenue arising from contracts with customers and supersedes most current revenue recognition guidance, including industry-specific guidance. The Company adopted this guidance as of January 1, 2018 using the modified retrospective transition method. See Note 2 – “Revenue Recognition” for further details.</w:t>
      </w:r>
    </w:p>
    <w:p>
      <w:pPr>
        <w:spacing w:after="0" w:line="63"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January 2016, the FASB issued ASU No. 2016-01, “Recognition and Measurement of Financial Assets and Financial Liabilities”, which amends ASC 825-10, “Financial Instruments – Overall”. This ASU amends various aspects of the recognition, measurement, presentation and disclosure of financial instruments. This ASU is effective for fiscal years beginning after December 15, 2017, including interim periods within those fiscal years. The Company adopted this guidance in the first quarter of fiscal 2018. The Company has elected to use the measurement alternative, defined as cost, less impairments, adjusted by observable price changes. The adoption of this guidance did not have a material impact on the Company’s Consolidated Financial Statements. See Note 2 – “Investments” for further details.</w:t>
      </w:r>
    </w:p>
    <w:p>
      <w:pPr>
        <w:spacing w:after="0" w:line="85"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May 2017, the FASB issued ASU No. 2017-09, “Compensation-Stock Compensation (Topic 718): Scope of Modification Accounting” (“ASU 2017-09”), which clarifies the changes to terms or conditions of a share-based payment award that require an entity to apply modification accounting. ASU 2017-09 is effective for annual reporting periods, and interim periods therein, beginning after December 15, 2017. The Company adopted this guidance in the first quarter of fiscal 2018. The adoption of this guidance did not have a material impact on the Company's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February 2016, the FASB issued ASU No. 2016-02, “Leases (Topic 842)” (“ASU 2016-02”), which increases transparency and comparability among companies accounting for lease transactions. The most significant change of this update will require the recognition by a lessee of lease assets and liabilities on its balance sheet for operating lease arrangements with lease terms greater than 12 months. This update will require a modified retrospective application which includes a number of optional practical expedients related to the identification and classification of leases commenced before the effective date. This ASU is effective for fiscal years and interim periods within those fiscal years, beginning after December 15, 2018. The adoption of this guidance will result in the recognition of additional assets and liabilities of approximately $0.3 million related to the Company’s operating leases within its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Reneo License Agreement</w:t>
      </w:r>
    </w:p>
    <w:p>
      <w:pPr>
        <w:spacing w:after="0" w:line="117" w:lineRule="exact"/>
        <w:rPr>
          <w:sz w:val="20"/>
          <w:szCs w:val="20"/>
          <w:color w:val="auto"/>
        </w:rPr>
      </w:pPr>
    </w:p>
    <w:p>
      <w:pPr>
        <w:ind w:firstLine="476"/>
        <w:spacing w:after="0" w:line="271" w:lineRule="auto"/>
        <w:rPr>
          <w:sz w:val="20"/>
          <w:szCs w:val="20"/>
          <w:color w:val="auto"/>
        </w:rPr>
      </w:pPr>
      <w:r>
        <w:rPr>
          <w:rFonts w:ascii="Arial" w:cs="Arial" w:eastAsia="Arial" w:hAnsi="Arial"/>
          <w:sz w:val="17"/>
          <w:szCs w:val="17"/>
          <w:color w:val="auto"/>
        </w:rPr>
        <w:t xml:space="preserve">On December 21, 2017, the Company entered into the Reneo License Agreement, under which Reneo obtained an exclusive, worldwide, sublicensable license to develop and commercialize the Company’s peroxisome proliferation activated receptor delta (PPAR-δ) agonist program, including the compound </w:t>
      </w:r>
      <w:r>
        <w:rPr>
          <w:rFonts w:ascii="Arial" w:cs="Arial" w:eastAsia="Arial" w:hAnsi="Arial"/>
          <w:sz w:val="17"/>
          <w:szCs w:val="17"/>
          <w:i w:val="1"/>
          <w:iCs w:val="1"/>
          <w:color w:val="auto"/>
        </w:rPr>
        <w:t>HPP593</w:t>
      </w:r>
      <w:r>
        <w:rPr>
          <w:rFonts w:ascii="Arial" w:cs="Arial" w:eastAsia="Arial" w:hAnsi="Arial"/>
          <w:sz w:val="17"/>
          <w:szCs w:val="17"/>
          <w:color w:val="auto"/>
        </w:rPr>
        <w:t>, for therapeutic, prophylactic or diagnostic application in humans. Under the terms of the Reneo License Agreement, Reneo paid the Company an</w:t>
      </w:r>
      <w:r>
        <w:rPr>
          <w:rFonts w:ascii="Arial" w:cs="Arial" w:eastAsia="Arial" w:hAnsi="Arial"/>
          <w:sz w:val="17"/>
          <w:szCs w:val="17"/>
          <w:i w:val="1"/>
          <w:iCs w:val="1"/>
          <w:color w:val="auto"/>
        </w:rPr>
        <w:t xml:space="preserve"> </w:t>
      </w:r>
      <w:r>
        <w:rPr>
          <w:rFonts w:ascii="Arial" w:cs="Arial" w:eastAsia="Arial" w:hAnsi="Arial"/>
          <w:sz w:val="17"/>
          <w:szCs w:val="17"/>
          <w:color w:val="auto"/>
        </w:rPr>
        <w:t>upfront cash payment of $3.0 million. The Company is eligible to receive additional potential development, regulatory and sales-based milestone payments totaling up to $94.5 million. In addition, Reneo is obligated to pay the Company royalty payments at mid-single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As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95" w:name="page96"/>
    <w:bookmarkEnd w:id="95"/>
    <w:p>
      <w:pPr>
        <w:spacing w:after="0"/>
        <w:rPr>
          <w:sz w:val="20"/>
          <w:szCs w:val="20"/>
          <w:color w:val="auto"/>
        </w:rPr>
      </w:pPr>
      <w:r>
        <w:rPr>
          <w:rFonts w:ascii="Arial" w:cs="Arial" w:eastAsia="Arial" w:hAnsi="Arial"/>
          <w:sz w:val="17"/>
          <w:szCs w:val="17"/>
          <w:color w:val="auto"/>
        </w:rPr>
        <w:t>additional consideration, the Company has also received common stock and certain participation rights representing a minority equity interest in Reneo.</w:t>
      </w:r>
    </w:p>
    <w:p>
      <w:pPr>
        <w:spacing w:after="0" w:line="129" w:lineRule="exact"/>
        <w:rPr>
          <w:sz w:val="20"/>
          <w:szCs w:val="20"/>
          <w:color w:val="auto"/>
        </w:rPr>
      </w:pPr>
    </w:p>
    <w:p>
      <w:pPr>
        <w:ind w:right="20" w:firstLine="476"/>
        <w:spacing w:after="0" w:line="272" w:lineRule="auto"/>
        <w:rPr>
          <w:sz w:val="20"/>
          <w:szCs w:val="20"/>
          <w:color w:val="auto"/>
        </w:rPr>
      </w:pPr>
      <w:r>
        <w:rPr>
          <w:rFonts w:ascii="Arial" w:cs="Arial" w:eastAsia="Arial" w:hAnsi="Arial"/>
          <w:sz w:val="17"/>
          <w:szCs w:val="17"/>
          <w:color w:val="auto"/>
        </w:rPr>
        <w:t>Pursuant to the terms of the Reneo License Agreement, the Company is required to provide technology transfer services for a defined period after the effective date. In accordance with ASC Topic 606, the Company identified all of the performance obligations at the inception of the Reneo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The remaining milestone payments that the Company is eligible to receive have not been included in the transaction price as of December 31, 2018, as it is not considered probable that such payments will be received. The unrecognized amount of the transaction price allocated to this performance obligation as of December 31, 2018 was $1.7 million.</w:t>
      </w:r>
    </w:p>
    <w:p>
      <w:pPr>
        <w:spacing w:after="0" w:line="70" w:lineRule="exact"/>
        <w:rPr>
          <w:sz w:val="20"/>
          <w:szCs w:val="20"/>
          <w:color w:val="auto"/>
        </w:rPr>
      </w:pPr>
    </w:p>
    <w:p>
      <w:pPr>
        <w:ind w:right="140" w:firstLine="476"/>
        <w:spacing w:after="0" w:line="257" w:lineRule="auto"/>
        <w:rPr>
          <w:sz w:val="20"/>
          <w:szCs w:val="20"/>
          <w:color w:val="auto"/>
        </w:rPr>
      </w:pPr>
      <w:r>
        <w:rPr>
          <w:rFonts w:ascii="Arial" w:cs="Arial" w:eastAsia="Arial" w:hAnsi="Arial"/>
          <w:sz w:val="18"/>
          <w:szCs w:val="18"/>
          <w:color w:val="auto"/>
        </w:rPr>
        <w:t>The Company determined that there was no discernable pattern in which the technology services would be provided during the transfer services period. As such, the Company determined that the straight-line method would be used to recognize revenue over the transfer service period. The remainder of this performance obligation will be recognized over approximately 5.5 months. For the years ended December 31, 2018 and 2017, $3.7 million and $0.1 million of revenue has been recognized related to this combined performance obligation, respectively. No such amounts were recognized for the year ended December 31,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Huadong License Agreement</w:t>
      </w:r>
    </w:p>
    <w:p>
      <w:pPr>
        <w:spacing w:after="0" w:line="117" w:lineRule="exact"/>
        <w:rPr>
          <w:sz w:val="20"/>
          <w:szCs w:val="20"/>
          <w:color w:val="auto"/>
        </w:rPr>
      </w:pPr>
    </w:p>
    <w:p>
      <w:pPr>
        <w:ind w:right="80" w:firstLine="476"/>
        <w:spacing w:after="0" w:line="270" w:lineRule="auto"/>
        <w:rPr>
          <w:sz w:val="20"/>
          <w:szCs w:val="20"/>
          <w:color w:val="auto"/>
        </w:rPr>
      </w:pPr>
      <w:r>
        <w:rPr>
          <w:rFonts w:ascii="Arial" w:cs="Arial" w:eastAsia="Arial" w:hAnsi="Arial"/>
          <w:sz w:val="17"/>
          <w:szCs w:val="17"/>
          <w:color w:val="auto"/>
        </w:rPr>
        <w:t xml:space="preserve">On December 21, 2017, the Company entered into a License Agreement with Huadong (the “Huadong License Agreement”), under which Huadong obtained an exclusive and sublicensable license to develop and commercialize the Company’s glucagon-like peptide-1 receptor agonist (“GLP-1r”) program, including the compound </w:t>
      </w:r>
      <w:r>
        <w:rPr>
          <w:rFonts w:ascii="Arial" w:cs="Arial" w:eastAsia="Arial" w:hAnsi="Arial"/>
          <w:sz w:val="17"/>
          <w:szCs w:val="17"/>
          <w:i w:val="1"/>
          <w:iCs w:val="1"/>
          <w:color w:val="auto"/>
        </w:rPr>
        <w:t>TTP273</w:t>
      </w:r>
      <w:r>
        <w:rPr>
          <w:rFonts w:ascii="Arial" w:cs="Arial" w:eastAsia="Arial" w:hAnsi="Arial"/>
          <w:sz w:val="17"/>
          <w:szCs w:val="17"/>
          <w:color w:val="auto"/>
        </w:rPr>
        <w:t>,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 Under the terms of the Huadong License Agreement, Huadong paid the Company an initial license fee of $8.0 million and is obligated to pay potential development and regulatory milestone payments totaling up to $25.0 million, with an additional potential regulatory milestone of $20.0 million if Huadong receives regulatory approval for a central nervous system indication. In addition, the Company is eligible for an additional $50.0 million in potential sales-based milestones, as well as royalty payments ranging from low-single to low-double digit rates, based on tiered sales of licensed products.</w:t>
      </w:r>
    </w:p>
    <w:p>
      <w:pPr>
        <w:spacing w:after="0" w:line="70" w:lineRule="exact"/>
        <w:rPr>
          <w:sz w:val="20"/>
          <w:szCs w:val="20"/>
          <w:color w:val="auto"/>
        </w:rPr>
      </w:pPr>
    </w:p>
    <w:p>
      <w:pPr>
        <w:ind w:right="60" w:firstLine="476"/>
        <w:spacing w:after="0" w:line="302" w:lineRule="auto"/>
        <w:rPr>
          <w:sz w:val="20"/>
          <w:szCs w:val="20"/>
          <w:color w:val="auto"/>
        </w:rPr>
      </w:pPr>
      <w:r>
        <w:rPr>
          <w:rFonts w:ascii="Arial" w:cs="Arial" w:eastAsia="Arial" w:hAnsi="Arial"/>
          <w:sz w:val="16"/>
          <w:szCs w:val="16"/>
          <w:color w:val="auto"/>
        </w:rPr>
        <w:t xml:space="preserve">Under the Huadong License Agreement, the Company is also responsible for conducting a Phase 2 multi-region clinical trial (the “Phase 2 MRCT”) including sites in both the United States and Huadong License Territory for the purpose of assessing the safety and efficacy of </w:t>
      </w:r>
      <w:r>
        <w:rPr>
          <w:rFonts w:ascii="Arial" w:cs="Arial" w:eastAsia="Arial" w:hAnsi="Arial"/>
          <w:sz w:val="16"/>
          <w:szCs w:val="16"/>
          <w:i w:val="1"/>
          <w:iCs w:val="1"/>
          <w:color w:val="auto"/>
        </w:rPr>
        <w:t>TTP273</w:t>
      </w:r>
      <w:r>
        <w:rPr>
          <w:rFonts w:ascii="Arial" w:cs="Arial" w:eastAsia="Arial" w:hAnsi="Arial"/>
          <w:sz w:val="16"/>
          <w:szCs w:val="16"/>
          <w:color w:val="auto"/>
        </w:rPr>
        <w:t xml:space="preserve"> in patients with type 2 diabetes. The Phase 2 MRCT will be designed to satisfy the requirements of the China Food and Drug Administration necessary in order for Huadong to begin a Phase 3 clinical trial in China. The Company will be responsible for contributing up to $3.0 million in connection with the Phase 2 MRCT.</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accordance with ASC Topic 606, the Company identified all of the performance obligations at the inception of the Huadong License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Agreement. The significant performance obligations were determined to be (i) the exclusive license to develop and commercialize the Company’s GLP-1r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program, (ii) technology transfer services related to the chemistry and manufacturing know-how for a defined period after the effective date (iii)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obligation to sponsor and conduct the Phase 2 MRCT, (iv) the Company’s obligation to participate on a joint development committee, and (v)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obligations considered to be de minimis in nature.</w:t>
      </w:r>
    </w:p>
    <w:p>
      <w:pPr>
        <w:spacing w:after="0" w:line="103" w:lineRule="exact"/>
        <w:rPr>
          <w:sz w:val="20"/>
          <w:szCs w:val="20"/>
          <w:color w:val="auto"/>
        </w:rPr>
      </w:pPr>
    </w:p>
    <w:p>
      <w:pPr>
        <w:jc w:val="both"/>
        <w:ind w:right="80" w:firstLine="476"/>
        <w:spacing w:after="0" w:line="264" w:lineRule="auto"/>
        <w:rPr>
          <w:sz w:val="20"/>
          <w:szCs w:val="20"/>
          <w:color w:val="auto"/>
        </w:rPr>
      </w:pPr>
      <w:r>
        <w:rPr>
          <w:rFonts w:ascii="Arial" w:cs="Arial" w:eastAsia="Arial" w:hAnsi="Arial"/>
          <w:sz w:val="18"/>
          <w:szCs w:val="18"/>
          <w:color w:val="auto"/>
        </w:rPr>
        <w:t>The transaction price has been allocated to these performance obligations based on their relative standalone selling prices, which were estimated using an expected cost plus margin approach. The remaining milestone payments that the Company is eligible to receive have not been included in the transaction price as of December 31, 2018, as it is not considered probable that such payments will be received.</w:t>
      </w:r>
    </w:p>
    <w:p>
      <w:pPr>
        <w:spacing w:after="0" w:line="73" w:lineRule="exact"/>
        <w:rPr>
          <w:sz w:val="20"/>
          <w:szCs w:val="20"/>
          <w:color w:val="auto"/>
        </w:rPr>
      </w:pPr>
    </w:p>
    <w:p>
      <w:pPr>
        <w:ind w:firstLine="476"/>
        <w:spacing w:after="0" w:line="271" w:lineRule="auto"/>
        <w:rPr>
          <w:sz w:val="20"/>
          <w:szCs w:val="20"/>
          <w:color w:val="auto"/>
        </w:rPr>
      </w:pPr>
      <w:r>
        <w:rPr>
          <w:rFonts w:ascii="Arial" w:cs="Arial" w:eastAsia="Arial" w:hAnsi="Arial"/>
          <w:sz w:val="17"/>
          <w:szCs w:val="17"/>
          <w:color w:val="auto"/>
        </w:rPr>
        <w:t>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discernable pattern in which the technology transfer services would be provided during the transfer service period. As such, the Company determined that the straight-line method would be used to recognize revenue for this performance obligation over the transfer service period. In November 2018, the Company received notification from Huadong that the Company had satisfied its obligations related to the technology transfer services. As such, this performance obligation is considered complete as of December 31, 2018 and all of revenue associated with it has been recognized. For the years ended December 31, 2018 and 2017, $6.8 million and $0.1 million of revenue has been recognized related to this combined performance obligation, respectively. No such revenue was recognized for the year ended December 31, 2016.</w:t>
      </w:r>
    </w:p>
    <w:p>
      <w:pPr>
        <w:spacing w:after="0" w:line="71" w:lineRule="exact"/>
        <w:rPr>
          <w:sz w:val="20"/>
          <w:szCs w:val="20"/>
          <w:color w:val="auto"/>
        </w:rPr>
      </w:pPr>
    </w:p>
    <w:p>
      <w:pPr>
        <w:ind w:right="140" w:firstLine="476"/>
        <w:spacing w:after="0" w:line="277" w:lineRule="auto"/>
        <w:rPr>
          <w:sz w:val="20"/>
          <w:szCs w:val="20"/>
          <w:color w:val="auto"/>
        </w:rPr>
      </w:pPr>
      <w:r>
        <w:rPr>
          <w:rFonts w:ascii="Arial" w:cs="Arial" w:eastAsia="Arial" w:hAnsi="Arial"/>
          <w:sz w:val="18"/>
          <w:szCs w:val="18"/>
          <w:color w:val="auto"/>
        </w:rPr>
        <w:t>The Company also determined that the obligation to sponsor and conduct a portion of the Phase 2 MRCT should be treated as a separate performance obligation. A portion of the total consideration received under the Huadong License Agreement was allocated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96" w:name="page97"/>
    <w:bookmarkEnd w:id="96"/>
    <w:p>
      <w:pPr>
        <w:ind w:right="200"/>
        <w:spacing w:after="0" w:line="279" w:lineRule="auto"/>
        <w:rPr>
          <w:sz w:val="20"/>
          <w:szCs w:val="20"/>
          <w:color w:val="auto"/>
        </w:rPr>
      </w:pPr>
      <w:r>
        <w:rPr>
          <w:rFonts w:ascii="Arial" w:cs="Arial" w:eastAsia="Arial" w:hAnsi="Arial"/>
          <w:sz w:val="17"/>
          <w:szCs w:val="17"/>
          <w:color w:val="auto"/>
        </w:rPr>
        <w:t>to this performance obligation based on its estimated standalone selling price. Since the Company has not yet begun the Phase 2 MRCT trial, the entire amount remains deferred as of December 31, 2018 and revenue will be recognized using the proportional performance model over the period during which the Company conducts the Phase 2 MRCT trial. The unrecognized amount of the transaction price allocated to this performance obligation as of December 31, 2018 was $1.0 million. No revenue for this performance obligation has been recognized as of December 31, 2018.</w:t>
      </w:r>
    </w:p>
    <w:p>
      <w:pPr>
        <w:spacing w:after="0" w:line="63" w:lineRule="exact"/>
        <w:rPr>
          <w:sz w:val="20"/>
          <w:szCs w:val="20"/>
          <w:color w:val="auto"/>
        </w:rPr>
      </w:pPr>
    </w:p>
    <w:p>
      <w:pPr>
        <w:ind w:right="40" w:firstLine="476"/>
        <w:spacing w:after="0" w:line="272" w:lineRule="auto"/>
        <w:rPr>
          <w:sz w:val="20"/>
          <w:szCs w:val="20"/>
          <w:color w:val="auto"/>
        </w:rPr>
      </w:pPr>
      <w:r>
        <w:rPr>
          <w:rFonts w:ascii="Arial" w:cs="Arial" w:eastAsia="Arial" w:hAnsi="Arial"/>
          <w:sz w:val="17"/>
          <w:szCs w:val="17"/>
          <w:color w:val="auto"/>
        </w:rPr>
        <w:t>The Company also determined that the obligation to participate in the joint development committee (the “JDC”) to oversee the development of products and the Phase 2 MRCT in accordance with the development plan should be treated as a separate performance obligation. A portion of the total consideration received under the Huadong License Agreement was allocated to this performance obligation based on its estimated standalone selling price. A portion of this amount remains deferred as of December 31, 2018 and revenue will be recognized using the proportional performance model over the period of the Company’s participation on the JDC. An immaterial amount of revenue for this performance obligation has been recognized during the year ended December 31, 2018. The unrecognized amount of the transaction price allocated to this performance obligation as of December 31, 2018 was $0.1 million. No revenue was recognized for this performance obligation for the years ended December 31, 2017 and 2016.</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Newsoara License Agreement</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May 31, 2018, the Company entered into a license agreement with Newsoara Biopharma Co., Ltd., (“Newsoara”) (the “Newsoara License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under which Newsoara obtained an exclusive and sublicensable license to develop and commercialize the Company’s phosphodiesterase type 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inhibitors (“PDE4”) program, including the compound </w:t>
      </w:r>
      <w:r>
        <w:rPr>
          <w:rFonts w:ascii="Arial" w:cs="Arial" w:eastAsia="Arial" w:hAnsi="Arial"/>
          <w:sz w:val="18"/>
          <w:szCs w:val="18"/>
          <w:i w:val="1"/>
          <w:iCs w:val="1"/>
          <w:color w:val="auto"/>
        </w:rPr>
        <w:t>HPP737</w:t>
      </w:r>
      <w:r>
        <w:rPr>
          <w:rFonts w:ascii="Arial" w:cs="Arial" w:eastAsia="Arial" w:hAnsi="Arial"/>
          <w:sz w:val="18"/>
          <w:szCs w:val="18"/>
          <w:color w:val="auto"/>
        </w:rPr>
        <w:t>, in China and other Pacific Rim countries (collectively, the “Newsoara License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Territory”). Additionally, under the Newsoara License Agreement, the Company obtained a non-exclusive, sublicensable, royalty-free license to develop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commercialize certain Newsoara patent rights and know-how related to the Company’s PDE4 program for therapeutic uses in humans outside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Newsoara License Territory. Under the terms of the Newsoara License Agreement, Newsoara paid the Company an upfront cash payment of $2.0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eligible to receive additional potential development, regulatory and sales-based milestone payments totaling up to $63.0 million.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Newsoara is obligated to pay the Company royalty payments at high-single to low-double digit rates, based on tiers of annual net sales of licensed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products. Such royalties will be payable on a licensed product-by-licensed product and country-by-country basis until the latest of expiration of the licensed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patents covering a licensed product in a country, expiration of data exclusivity rights for a licensed product in a country or a specified number of years after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first commercial sale of a licensed product in a country.</w:t>
      </w:r>
    </w:p>
    <w:p>
      <w:pPr>
        <w:spacing w:after="0" w:line="103" w:lineRule="exact"/>
        <w:rPr>
          <w:sz w:val="20"/>
          <w:szCs w:val="20"/>
          <w:color w:val="auto"/>
        </w:rPr>
      </w:pPr>
    </w:p>
    <w:p>
      <w:pPr>
        <w:ind w:right="40" w:firstLine="476"/>
        <w:spacing w:after="0" w:line="293" w:lineRule="auto"/>
        <w:rPr>
          <w:sz w:val="20"/>
          <w:szCs w:val="20"/>
          <w:color w:val="auto"/>
        </w:rPr>
      </w:pPr>
      <w:r>
        <w:rPr>
          <w:rFonts w:ascii="Arial" w:cs="Arial" w:eastAsia="Arial" w:hAnsi="Arial"/>
          <w:sz w:val="16"/>
          <w:szCs w:val="16"/>
          <w:color w:val="auto"/>
        </w:rPr>
        <w:t>Pursuant to the terms of the Newsoara License Agreement, the Company is required to provide technology transfer services for a defined period after the effective date. In accordance with ASC Topic 606, the Company identified all of the performance obligations at the inception of the Newsoara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The remaining milestone payments that the Company is eligible to receive have not been included in the transaction price as of December 31, 2018, as it is not considered probable that such payments will be received.</w:t>
      </w:r>
    </w:p>
    <w:p>
      <w:pPr>
        <w:spacing w:after="0" w:line="57" w:lineRule="exact"/>
        <w:rPr>
          <w:sz w:val="20"/>
          <w:szCs w:val="20"/>
          <w:color w:val="auto"/>
        </w:rPr>
      </w:pPr>
    </w:p>
    <w:p>
      <w:pPr>
        <w:ind w:right="220" w:firstLine="476"/>
        <w:spacing w:after="0" w:line="259" w:lineRule="auto"/>
        <w:rPr>
          <w:sz w:val="20"/>
          <w:szCs w:val="20"/>
          <w:color w:val="auto"/>
        </w:rPr>
      </w:pPr>
      <w:r>
        <w:rPr>
          <w:rFonts w:ascii="Arial" w:cs="Arial" w:eastAsia="Arial" w:hAnsi="Arial"/>
          <w:sz w:val="18"/>
          <w:szCs w:val="18"/>
          <w:color w:val="auto"/>
        </w:rPr>
        <w:t>The Company determined that there was no discernable pattern in which the technology services would be provided during the transfer services period. As such, the Company determined that the straight-line method would be used to recognize revenue over the transfer service period. The total $2.0 million of the transaction price allocated to this performance obligation was recognized during the year ended December 31, 2018. No revenue was recognized for this performance obligation for the years ended December 31, 2017 and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JDRF Agreement</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 xml:space="preserve">In August 2017, the Company entered into the JDRF Agreement to support the funding of the simplici-T1 Study, an adaptive Phase 1b/2 study to explore the effects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type 1 diabetics. We initiated this study in the fourth quarter of 2017. According to the terms of the JDRF Agreement, JDRF will provide research funding of up to $3.0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treatment for type 1 diabetes.</w:t>
      </w:r>
    </w:p>
    <w:p>
      <w:pPr>
        <w:spacing w:after="0" w:line="64"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Payments that the Company receives from JDRF under this agreement are recorded as restricted cash and current liabilities and recognized as an offset to research and development expense, based on the progress of the project, and only to the extent that the restricted cash is utilized to fund such development activities. As of December 31, 2018, the Company had received funding under this agreement of $0.8 million, and research and development costs were offset by $0.8 million.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color w:val="auto"/>
        </w:rPr>
        <w:t>Calithera License Agreement</w:t>
      </w:r>
    </w:p>
    <w:p>
      <w:pPr>
        <w:spacing w:after="0" w:line="117" w:lineRule="exact"/>
        <w:rPr>
          <w:sz w:val="20"/>
          <w:szCs w:val="20"/>
          <w:color w:val="auto"/>
        </w:rPr>
      </w:pPr>
    </w:p>
    <w:p>
      <w:pPr>
        <w:ind w:right="20" w:firstLine="476"/>
        <w:spacing w:after="0" w:line="257" w:lineRule="auto"/>
        <w:rPr>
          <w:sz w:val="20"/>
          <w:szCs w:val="20"/>
          <w:color w:val="auto"/>
        </w:rPr>
      </w:pPr>
      <w:r>
        <w:rPr>
          <w:rFonts w:ascii="Arial" w:cs="Arial" w:eastAsia="Arial" w:hAnsi="Arial"/>
          <w:sz w:val="18"/>
          <w:szCs w:val="18"/>
          <w:color w:val="auto"/>
        </w:rPr>
        <w:t>In March 2015, the Company entered into the Calithera License Agreement under which Calithera obtained an exclusive, worldwide sublicenseable license to develop and commercialize certain of our hexokinase II inhibitors for any therapeutic, prophylactic, preventative or diagnostic use. Under the terms of the Calithera License Agreement, Calithera paid the Company an initial license fee of $0.6 million and a total of $0.3 million for employees of the Company to assist with the development of additional hexokinase inhibitors. This agreement was terminated, at the option of Calithera, effective December 21,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liabilities related to the Company’s collaboration agreements consisted of the following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deferred revenue</w:t>
            </w:r>
          </w:p>
        </w:tc>
        <w:tc>
          <w:tcPr>
            <w:tcW w:w="9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revenue, net of current portion</w:t>
            </w:r>
          </w:p>
        </w:tc>
        <w:tc>
          <w:tcPr>
            <w:tcW w:w="9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contract liabilities</w:t>
            </w:r>
          </w:p>
        </w:tc>
        <w:tc>
          <w:tcPr>
            <w:tcW w:w="9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Revenue recognized in the period from:</w:t>
            </w: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Amounts included in contract liability at the beginning of</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the period</w:t>
            </w:r>
          </w:p>
        </w:tc>
        <w:tc>
          <w:tcPr>
            <w:tcW w:w="11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10,434</w:t>
            </w:r>
          </w:p>
        </w:tc>
        <w:tc>
          <w:tcPr>
            <w:tcW w:w="4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changes in the estimated transaction prices for the related contracts during the year ended December 31, 2018.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Share-Based Compensation</w:t>
      </w:r>
    </w:p>
    <w:p>
      <w:pPr>
        <w:spacing w:after="0" w:line="12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In conjunction with the Company’s initial public offering (“IPO”), the board of directors of vTv Therapeutics Inc. (the “Board of Directors”) and sole stockholder adopted a long-term equity incentive plan, the vTv Therapeutics Inc. 2015 Omnibus Equity Incentive Plan (the “Plan”). The Plan provides for the grant of stock options, restricted stock, restricted stock units and other awards based on our Class A Common Stock to management, other key employees, consultants and non-employee directors on terms and subject to conditions as established by our Compensation Committee. In settlement of its obligations under this plan, the Company will issue new shares of Class A Common Stock. The maximum number of shares of the Company’s Class A Common Stock that has been approved and may be subject to awards under the Plan is 3.25 million, subject to adjustment in accordance with terms of the Plan.</w:t>
      </w:r>
    </w:p>
    <w:p>
      <w:pPr>
        <w:spacing w:after="0" w:line="57"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The Company has issued non-qualified stock option awards and restricted stock units to certain employees, consultants and non-employee directors of the Company. These awards generally vest ratably over a three-year period and the option awards expire after a term of ten years from the date of grant. For the years ended December 31, 2018, 2017 and 2016, the Company recognized $2.7 million, $3.6 million and $2.6 million of compensation expense related to share-based awards, respectively. Given that the Company has established a full valuation allowance against its deferred tax assets, the Company has recognized no tax benefit related to these awards. As of December 31, 2018, the Company had total unrecognized stock-based compensation expense of approximately $1.3 million, which is expected to be recognized on a straight-line basis over a weighted average period of 1.3 years. The weighted average grant date fair value for all option grants during the years ended December 31, 2018, 2017 and 2016 was $2.28, $4.15 and $4.05 per option, respectively.</w:t>
      </w:r>
    </w:p>
    <w:p>
      <w:pPr>
        <w:spacing w:after="0" w:line="59"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The aggregate intrinsic value of the in-the-money awards outstanding as of December 31, 2018 was $0.1 million, of which an immaterial amount related to vested stock options and $0.1 million related to unvested stock options.</w:t>
      </w:r>
    </w:p>
    <w:p>
      <w:pPr>
        <w:spacing w:after="0" w:line="62"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granted. The fair value of stock options granted was estimated using the following assumptions during the years ended December 31, 2018,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0" w:type="dxa"/>
            <w:vAlign w:val="bottom"/>
            <w:gridSpan w:val="6"/>
          </w:tcPr>
          <w:p>
            <w:pPr>
              <w:ind w:left="560"/>
              <w:spacing w:after="0"/>
              <w:rPr>
                <w:sz w:val="20"/>
                <w:szCs w:val="20"/>
                <w:color w:val="auto"/>
              </w:rPr>
            </w:pPr>
            <w:r>
              <w:rPr>
                <w:rFonts w:ascii="Arial" w:cs="Arial" w:eastAsia="Arial" w:hAnsi="Arial"/>
                <w:sz w:val="18"/>
                <w:szCs w:val="18"/>
                <w:b w:val="1"/>
                <w:bCs w:val="1"/>
                <w:color w:val="auto"/>
              </w:rPr>
              <w:t>For the Year Ended December 31,</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1160" w:type="dxa"/>
            <w:vAlign w:val="bottom"/>
          </w:tcPr>
          <w:p>
            <w:pPr>
              <w:spacing w:after="0"/>
              <w:rPr>
                <w:sz w:val="20"/>
                <w:szCs w:val="20"/>
                <w:color w:val="auto"/>
              </w:rPr>
            </w:pPr>
          </w:p>
        </w:tc>
        <w:tc>
          <w:tcPr>
            <w:tcW w:w="3840" w:type="dxa"/>
            <w:vAlign w:val="bottom"/>
            <w:tcBorders>
              <w:bottom w:val="single" w:sz="8" w:color="CFF0FC"/>
            </w:tcBorders>
          </w:tcPr>
          <w:p>
            <w:pPr>
              <w:spacing w:after="0"/>
              <w:rPr>
                <w:sz w:val="20"/>
                <w:szCs w:val="20"/>
                <w:color w:val="auto"/>
              </w:rPr>
            </w:pPr>
          </w:p>
        </w:tc>
        <w:tc>
          <w:tcPr>
            <w:tcW w:w="158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FF0FC"/>
            </w:tcBorders>
          </w:tcPr>
          <w:p>
            <w:pPr>
              <w:spacing w:after="0"/>
              <w:rPr>
                <w:sz w:val="20"/>
                <w:szCs w:val="20"/>
                <w:color w:val="auto"/>
              </w:rPr>
            </w:pPr>
          </w:p>
        </w:tc>
        <w:tc>
          <w:tcPr>
            <w:tcW w:w="162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FF0FC"/>
            </w:tcBorders>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71.15%</w:t>
            </w:r>
          </w:p>
        </w:tc>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- 99.23%</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68.72%</w:t>
            </w:r>
          </w:p>
        </w:tc>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- 85.93%</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81.57%</w:t>
            </w:r>
          </w:p>
        </w:tc>
        <w:tc>
          <w:tcPr>
            <w:tcW w:w="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- 87.23%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860" w:type="dxa"/>
            <w:vAlign w:val="bottom"/>
          </w:tcPr>
          <w:p>
            <w:pPr>
              <w:ind w:left="20"/>
              <w:spacing w:after="0"/>
              <w:rPr>
                <w:sz w:val="20"/>
                <w:szCs w:val="20"/>
                <w:color w:val="auto"/>
              </w:rPr>
            </w:pPr>
            <w:r>
              <w:rPr>
                <w:rFonts w:ascii="Arial" w:cs="Arial" w:eastAsia="Arial" w:hAnsi="Arial"/>
                <w:sz w:val="18"/>
                <w:szCs w:val="18"/>
                <w:color w:val="auto"/>
              </w:rPr>
              <w:t>- 6.0</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860" w:type="dxa"/>
            <w:vAlign w:val="bottom"/>
          </w:tcPr>
          <w:p>
            <w:pPr>
              <w:ind w:left="20"/>
              <w:spacing w:after="0"/>
              <w:rPr>
                <w:sz w:val="20"/>
                <w:szCs w:val="20"/>
                <w:color w:val="auto"/>
              </w:rPr>
            </w:pPr>
            <w:r>
              <w:rPr>
                <w:rFonts w:ascii="Arial" w:cs="Arial" w:eastAsia="Arial" w:hAnsi="Arial"/>
                <w:sz w:val="18"/>
                <w:szCs w:val="18"/>
                <w:color w:val="auto"/>
              </w:rPr>
              <w:t>- 6.0</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880" w:type="dxa"/>
            <w:vAlign w:val="bottom"/>
          </w:tcPr>
          <w:p>
            <w:pPr>
              <w:ind w:left="20"/>
              <w:spacing w:after="0"/>
              <w:rPr>
                <w:sz w:val="20"/>
                <w:szCs w:val="20"/>
                <w:color w:val="auto"/>
              </w:rPr>
            </w:pPr>
            <w:r>
              <w:rPr>
                <w:rFonts w:ascii="Arial" w:cs="Arial" w:eastAsia="Arial" w:hAnsi="Arial"/>
                <w:sz w:val="18"/>
                <w:szCs w:val="18"/>
                <w:color w:val="auto"/>
              </w:rPr>
              <w:t>- 6.0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- 2.84%</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- 2.24%</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- 1.45%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gridSpan w:val="2"/>
          </w:tcPr>
          <w:p>
            <w:pPr>
              <w:jc w:val="right"/>
              <w:ind w:right="49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20"/>
                <w:szCs w:val="20"/>
                <w:color w:val="auto"/>
              </w:rPr>
            </w:pPr>
          </w:p>
        </w:tc>
        <w:tc>
          <w:tcPr>
            <w:tcW w:w="1600" w:type="dxa"/>
            <w:vAlign w:val="bottom"/>
            <w:gridSpan w:val="2"/>
          </w:tcPr>
          <w:p>
            <w:pPr>
              <w:jc w:val="right"/>
              <w:ind w:right="49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20"/>
                <w:szCs w:val="20"/>
                <w:color w:val="auto"/>
              </w:rPr>
            </w:pPr>
          </w:p>
        </w:tc>
        <w:tc>
          <w:tcPr>
            <w:tcW w:w="1620" w:type="dxa"/>
            <w:vAlign w:val="bottom"/>
            <w:gridSpan w:val="2"/>
          </w:tcPr>
          <w:p>
            <w:pPr>
              <w:jc w:val="right"/>
              <w:ind w:right="51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647"/>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80" w:type="dxa"/>
            <w:vAlign w:val="bottom"/>
            <w:gridSpan w:val="3"/>
          </w:tcPr>
          <w:p>
            <w:pPr>
              <w:ind w:left="540"/>
              <w:spacing w:after="0"/>
              <w:rPr>
                <w:sz w:val="20"/>
                <w:szCs w:val="20"/>
                <w:color w:val="auto"/>
              </w:rPr>
            </w:pPr>
            <w:r>
              <w:rPr>
                <w:rFonts w:ascii="Arial" w:cs="Arial" w:eastAsia="Arial" w:hAnsi="Arial"/>
                <w:sz w:val="18"/>
                <w:szCs w:val="18"/>
                <w:color w:val="auto"/>
              </w:rPr>
              <w:t>F-15</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47"/>
        </w:trPr>
        <w:tc>
          <w:tcPr>
            <w:tcW w:w="11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98" w:name="page99"/>
    <w:bookmarkEnd w:id="98"/>
    <w:p>
      <w:pPr>
        <w:ind w:right="200" w:firstLine="518"/>
        <w:spacing w:after="0" w:line="277" w:lineRule="auto"/>
        <w:rPr>
          <w:sz w:val="20"/>
          <w:szCs w:val="20"/>
          <w:color w:val="auto"/>
        </w:rPr>
      </w:pPr>
      <w:r>
        <w:rPr>
          <w:rFonts w:ascii="Arial" w:cs="Arial" w:eastAsia="Arial" w:hAnsi="Arial"/>
          <w:sz w:val="18"/>
          <w:szCs w:val="18"/>
          <w:color w:val="auto"/>
        </w:rPr>
        <w:t>The following table summarizes the activity related to the stock option awards for the year ended December 31, 2018 (in thousands, except per share amounts):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 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2017</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1,960,732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102,750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2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(295,979)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Awards outstanding at December 31, 2018</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1,767,503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at December 31, 2018</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1,180,735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7.1 Years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Options vested and expected to vest at December 31, 2018</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1,737,666</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7.5 Years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awards of RSUs for the year ended December 31, 2018:</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Average Grant Date 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2017</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Vested</w:t>
            </w: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(11,667)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2018</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RSUs expected to vest at December 31, 2018</w:t>
            </w: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gridSpan w:val="2"/>
            <w:vMerge w:val="continue"/>
          </w:tcPr>
          <w:p>
            <w:pPr>
              <w:spacing w:after="0"/>
              <w:rPr>
                <w:sz w:val="18"/>
                <w:szCs w:val="18"/>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As of December 31, 2018, the Company had total unrecognized stock-based compensation expense for its outstanding RSU awards of approximately $0.1 million, which is expected to be recognized over a weighted-average period of 1.2 years.</w:t>
      </w:r>
    </w:p>
    <w:p>
      <w:pPr>
        <w:spacing w:after="0" w:line="170"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Compensation expense related to the grants of stock options is included in research and development and general and administrative expense as follows (in thousands):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8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6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1,682</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6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share-based compensation expense</w:t>
            </w:r>
          </w:p>
        </w:tc>
        <w:tc>
          <w:tcPr>
            <w:tcW w:w="720" w:type="dxa"/>
            <w:vAlign w:val="bottom"/>
            <w:tcBorders>
              <w:bottom w:val="single" w:sz="8" w:color="auto"/>
            </w:tcBorders>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2,676</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3,645</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Prepaid Expenses and Other Current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8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8"/>
        </w:trPr>
        <w:tc>
          <w:tcPr>
            <w:tcW w:w="17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740" w:type="dxa"/>
            <w:vAlign w:val="bottom"/>
          </w:tcPr>
          <w:p>
            <w:pPr>
              <w:spacing w:after="0"/>
              <w:rPr>
                <w:sz w:val="16"/>
                <w:szCs w:val="16"/>
                <w:color w:val="auto"/>
              </w:rPr>
            </w:pPr>
          </w:p>
        </w:tc>
      </w:tr>
      <w:tr>
        <w:trPr>
          <w:trHeight w:val="223"/>
        </w:trPr>
        <w:tc>
          <w:tcPr>
            <w:tcW w:w="1720" w:type="dxa"/>
            <w:vAlign w:val="bottom"/>
          </w:tcPr>
          <w:p>
            <w:pPr>
              <w:spacing w:after="0"/>
              <w:rPr>
                <w:sz w:val="19"/>
                <w:szCs w:val="19"/>
                <w:color w:val="auto"/>
              </w:rPr>
            </w:pPr>
          </w:p>
        </w:tc>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28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 other</w:t>
            </w:r>
          </w:p>
        </w:tc>
        <w:tc>
          <w:tcPr>
            <w:tcW w:w="28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2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8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40" w:type="dxa"/>
            <w:vAlign w:val="bottom"/>
            <w:gridSpan w:val="2"/>
          </w:tcPr>
          <w:p>
            <w:pPr>
              <w:jc w:val="right"/>
              <w:ind w:right="1965"/>
              <w:spacing w:after="0"/>
              <w:rPr>
                <w:sz w:val="20"/>
                <w:szCs w:val="20"/>
                <w:color w:val="auto"/>
              </w:rPr>
            </w:pPr>
            <w:r>
              <w:rPr>
                <w:rFonts w:ascii="Arial" w:cs="Arial" w:eastAsia="Arial" w:hAnsi="Arial"/>
                <w:sz w:val="18"/>
                <w:szCs w:val="18"/>
                <w:color w:val="auto"/>
              </w:rPr>
              <w:t>F-16</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547"/>
        </w:trPr>
        <w:tc>
          <w:tcPr>
            <w:tcW w:w="17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4460" w:type="dxa"/>
            <w:vAlign w:val="bottom"/>
            <w:tcBorders>
              <w:bottom w:val="single" w:sz="8" w:color="CFF0FC"/>
            </w:tcBorders>
          </w:tcPr>
          <w:p>
            <w:pPr>
              <w:spacing w:after="0"/>
              <w:rPr>
                <w:sz w:val="16"/>
                <w:szCs w:val="16"/>
                <w:color w:val="auto"/>
              </w:rPr>
            </w:pPr>
          </w:p>
        </w:tc>
        <w:tc>
          <w:tcPr>
            <w:tcW w:w="9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6"/>
                <w:szCs w:val="16"/>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6,275</w:t>
            </w:r>
          </w:p>
        </w:tc>
        <w:tc>
          <w:tcPr>
            <w:tcW w:w="80" w:type="dxa"/>
            <w:vAlign w:val="bottom"/>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1,679</w:t>
            </w:r>
          </w:p>
        </w:tc>
        <w:tc>
          <w:tcPr>
            <w:tcW w:w="8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Computers and hardware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Software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office equipment</w:t>
            </w:r>
          </w:p>
        </w:tc>
        <w:tc>
          <w:tcPr>
            <w:tcW w:w="9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FF0FC"/>
          </w:tcPr>
          <w:p>
            <w:pPr>
              <w:spacing w:after="0"/>
              <w:rPr>
                <w:sz w:val="19"/>
                <w:szCs w:val="19"/>
                <w:color w:val="auto"/>
              </w:rPr>
            </w:pP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Total property and equipment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9,399</w:t>
            </w:r>
          </w:p>
        </w:tc>
        <w:tc>
          <w:tcPr>
            <w:tcW w:w="8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(8,431)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(9,116)</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Depreciation expense, including amounts pertaining to assets held under capital leases, was $0.2 million, $0.2 million and $0.3 million for the years ended December 31, 2018, 2017 and 2016,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Accounts Payable and Accrued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 and accrued expenses consist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4400" w:type="dxa"/>
            <w:vAlign w:val="bottom"/>
            <w:tcBorders>
              <w:bottom w:val="single" w:sz="8" w:color="CFF0FC"/>
            </w:tcBorders>
          </w:tcPr>
          <w:p>
            <w:pPr>
              <w:spacing w:after="0"/>
              <w:rPr>
                <w:sz w:val="16"/>
                <w:szCs w:val="16"/>
                <w:color w:val="auto"/>
              </w:rPr>
            </w:pPr>
          </w:p>
        </w:tc>
        <w:tc>
          <w:tcPr>
            <w:tcW w:w="104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15"/>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4"/>
              </w:rPr>
              <w:t>2,899</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Accrued development costs</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3,835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related costs</w:t>
            </w: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1,990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10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1,056</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15"/>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4"/>
              </w:rPr>
              <w:t>7,702</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13,901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Notes Payable</w:t>
            </w:r>
          </w:p>
        </w:tc>
        <w:tc>
          <w:tcPr>
            <w:tcW w:w="1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12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20" w:type="dxa"/>
            <w:vAlign w:val="bottom"/>
            <w:gridSpan w:val="2"/>
          </w:tcPr>
          <w:p>
            <w:pPr>
              <w:ind w:left="760"/>
              <w:spacing w:after="0"/>
              <w:rPr>
                <w:sz w:val="20"/>
                <w:szCs w:val="20"/>
                <w:color w:val="auto"/>
              </w:rPr>
            </w:pPr>
            <w:r>
              <w:rPr>
                <w:rFonts w:ascii="Arial" w:cs="Arial" w:eastAsia="Arial" w:hAnsi="Arial"/>
                <w:sz w:val="18"/>
                <w:szCs w:val="18"/>
                <w:color w:val="auto"/>
              </w:rPr>
              <w:t>Notes payable consist of the following (in thousands):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7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December 31, 2018</w:t>
            </w:r>
          </w:p>
        </w:tc>
        <w:tc>
          <w:tcPr>
            <w:tcW w:w="120" w:type="dxa"/>
            <w:vAlign w:val="bottom"/>
          </w:tcPr>
          <w:p>
            <w:pPr>
              <w:spacing w:after="0"/>
              <w:rPr>
                <w:sz w:val="24"/>
                <w:szCs w:val="24"/>
                <w:color w:val="auto"/>
              </w:rPr>
            </w:pPr>
          </w:p>
        </w:tc>
        <w:tc>
          <w:tcPr>
            <w:tcW w:w="170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Notes payable under the Loan Agreement</w:t>
            </w: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14,897</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Short-term financing</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Accreted final payment (unamortized debt</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discount)</w:t>
            </w:r>
          </w:p>
        </w:tc>
        <w:tc>
          <w:tcPr>
            <w:tcW w:w="10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Total notes payable</w:t>
            </w:r>
          </w:p>
        </w:tc>
        <w:tc>
          <w:tcPr>
            <w:tcW w:w="10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(9,383)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23"/>
        </w:trPr>
        <w:tc>
          <w:tcPr>
            <w:tcW w:w="6120" w:type="dxa"/>
            <w:vAlign w:val="bottom"/>
            <w:gridSpan w:val="2"/>
          </w:tcPr>
          <w:p>
            <w:pPr>
              <w:ind w:left="1720"/>
              <w:spacing w:after="0"/>
              <w:rPr>
                <w:sz w:val="20"/>
                <w:szCs w:val="20"/>
                <w:color w:val="auto"/>
              </w:rPr>
            </w:pPr>
            <w:r>
              <w:rPr>
                <w:rFonts w:ascii="Arial" w:cs="Arial" w:eastAsia="Arial" w:hAnsi="Arial"/>
                <w:sz w:val="18"/>
                <w:szCs w:val="18"/>
                <w:color w:val="auto"/>
              </w:rPr>
              <w:t>Total notes payable, net of current portion</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761"/>
        <w:spacing w:after="0" w:line="277" w:lineRule="auto"/>
        <w:rPr>
          <w:sz w:val="20"/>
          <w:szCs w:val="20"/>
          <w:color w:val="auto"/>
        </w:rPr>
      </w:pPr>
      <w:r>
        <w:rPr>
          <w:rFonts w:ascii="Arial" w:cs="Arial" w:eastAsia="Arial" w:hAnsi="Arial"/>
          <w:sz w:val="18"/>
          <w:szCs w:val="18"/>
          <w:color w:val="auto"/>
        </w:rPr>
        <w:t>In October 2016, the Company entered into the Loan Agreement with Horizon Technology Finance Corporation and Silicon Valley Bank, under which the Company and vTv LLC borrowed $20.0 million.</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loan tranche bears interest at a floating rate equal to 10.5% plus the amount by which the one-month LIBOR exceeds 0.5%.</w:t>
      </w:r>
    </w:p>
    <w:p>
      <w:pPr>
        <w:spacing w:after="0" w:line="117" w:lineRule="exact"/>
        <w:rPr>
          <w:sz w:val="20"/>
          <w:szCs w:val="20"/>
          <w:color w:val="auto"/>
        </w:rPr>
      </w:pPr>
    </w:p>
    <w:p>
      <w:pPr>
        <w:ind w:firstLine="761"/>
        <w:spacing w:after="0" w:line="255" w:lineRule="auto"/>
        <w:rPr>
          <w:sz w:val="20"/>
          <w:szCs w:val="20"/>
          <w:color w:val="auto"/>
        </w:rPr>
      </w:pPr>
      <w:r>
        <w:rPr>
          <w:rFonts w:ascii="Arial" w:cs="Arial" w:eastAsia="Arial" w:hAnsi="Arial"/>
          <w:sz w:val="18"/>
          <w:szCs w:val="18"/>
          <w:color w:val="auto"/>
        </w:rPr>
        <w:t>The Company borrowed the first tranche of $12.5 million upon close of the Loan Agreement in October 2016. The first tranche required only monthly interest payments until May 1, 2018 followed by equal monthly payments of principal plus accrued interest through the scheduled maturity date on May 1, 2020. In addition, a final payment for the first tranche loan equal to $0.8 million will be due on May 1, 2020, or such earlier date specified in the Loan Agreement. The Company borrowed the second tranche of $7.5 million in March 2017. The second tranche requires only monthly interest payments until October 1, 2018, followed by equal monthly payments of principal plus accrued interest through the scheduled maturity date on October 1, 2020. In addition, a final</w:t>
      </w:r>
    </w:p>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553" w:right="419" w:bottom="1440" w:gutter="0" w:footer="0" w:header="0"/>
        </w:sectPr>
      </w:pPr>
    </w:p>
    <w:bookmarkStart w:id="100" w:name="page101"/>
    <w:bookmarkEnd w:id="100"/>
    <w:p>
      <w:pPr>
        <w:ind w:right="720"/>
        <w:spacing w:after="0" w:line="277" w:lineRule="auto"/>
        <w:rPr>
          <w:sz w:val="20"/>
          <w:szCs w:val="20"/>
          <w:color w:val="auto"/>
        </w:rPr>
      </w:pPr>
      <w:r>
        <w:rPr>
          <w:rFonts w:ascii="Arial" w:cs="Arial" w:eastAsia="Arial" w:hAnsi="Arial"/>
          <w:sz w:val="18"/>
          <w:szCs w:val="18"/>
          <w:color w:val="auto"/>
        </w:rPr>
        <w:t>payment for the second tranche loan equal to $0.5 million will be due on October 1, 2020, or such earlier date specified in the Loan Agreement. The availability of the third tranche of $5.0 million expired unused on June 30, 2017.</w:t>
      </w:r>
    </w:p>
    <w:p>
      <w:pPr>
        <w:spacing w:after="0" w:line="62" w:lineRule="exact"/>
        <w:rPr>
          <w:sz w:val="20"/>
          <w:szCs w:val="20"/>
          <w:color w:val="auto"/>
        </w:rPr>
      </w:pPr>
    </w:p>
    <w:p>
      <w:pPr>
        <w:jc w:val="both"/>
        <w:ind w:firstLine="761"/>
        <w:spacing w:after="0" w:line="342" w:lineRule="auto"/>
        <w:rPr>
          <w:sz w:val="20"/>
          <w:szCs w:val="20"/>
          <w:color w:val="auto"/>
        </w:rPr>
      </w:pPr>
      <w:r>
        <w:rPr>
          <w:rFonts w:ascii="Arial" w:cs="Arial" w:eastAsia="Arial" w:hAnsi="Arial"/>
          <w:sz w:val="16"/>
          <w:szCs w:val="16"/>
          <w:color w:val="auto"/>
        </w:rPr>
        <w:t>If the Company repays all or a portion of the loan prior to the applicable maturity date, it will pay the Lenders a prepayment penalty fee, based on a percentage of the then outstanding principal balance equal to 4.0% during the first 18 months following the funding of the second tranche and 2.0% thereafter.</w:t>
      </w:r>
    </w:p>
    <w:p>
      <w:pPr>
        <w:spacing w:after="0" w:line="16" w:lineRule="exact"/>
        <w:rPr>
          <w:sz w:val="20"/>
          <w:szCs w:val="20"/>
          <w:color w:val="auto"/>
        </w:rPr>
      </w:pPr>
    </w:p>
    <w:p>
      <w:pPr>
        <w:ind w:right="40" w:firstLine="761"/>
        <w:spacing w:after="0" w:line="270" w:lineRule="auto"/>
        <w:rPr>
          <w:sz w:val="20"/>
          <w:szCs w:val="20"/>
          <w:color w:val="auto"/>
        </w:rPr>
      </w:pPr>
      <w:r>
        <w:rPr>
          <w:rFonts w:ascii="Arial" w:cs="Arial" w:eastAsia="Arial" w:hAnsi="Arial"/>
          <w:sz w:val="17"/>
          <w:szCs w:val="17"/>
          <w:color w:val="auto"/>
        </w:rPr>
        <w:t>In connection with the Loan Agreement, the Company has issued to the Lenders warrants to purchase shares of the Company’s Class A Common Stock (the “Warrants”). On October 28, 2016, the Company issued Warrants to purchase 152,580 shares of its Class A Common Stock at a per share exercise price of $6.39 per share, which aggregate exercise price represents 6.0% of the principal amount borrowed under the first tranche of the Loan Agreement and 3.0% of the principal amount available under the second tranche of the Loan Agreement. On March 24, 2017, in connection with the funding of the second tranche, the Company issued Warrants to purchase 38,006 shares of its Class A Common Stock at a per share exercise price of $5.92 per share, which aggregate exercise price represents 3.0% of the principal amount of the second tranche of the Loan Agreement. In each instance, the Warrants have an exercise price equal to the lower of (a) the volume weighted average price per share of the Company’s Class A Common Stock, as reported on the principal stock exchange on which the Company’s Class A Common Stock is listed, for 10 trading days prior to the issuance of the applicable Warrants or (b) the closing price of a share of the Company’s Class A Common Stock on the trading day prior to the issuance of the applicable Warrants. The Warrants will expire seven years from their date of issuance.</w:t>
      </w:r>
    </w:p>
    <w:p>
      <w:pPr>
        <w:spacing w:after="0" w:line="70" w:lineRule="exact"/>
        <w:rPr>
          <w:sz w:val="20"/>
          <w:szCs w:val="20"/>
          <w:color w:val="auto"/>
        </w:rPr>
      </w:pPr>
    </w:p>
    <w:p>
      <w:pPr>
        <w:ind w:right="20" w:firstLine="761"/>
        <w:spacing w:after="0" w:line="259" w:lineRule="auto"/>
        <w:rPr>
          <w:sz w:val="20"/>
          <w:szCs w:val="20"/>
          <w:color w:val="auto"/>
        </w:rPr>
      </w:pPr>
      <w:r>
        <w:rPr>
          <w:rFonts w:ascii="Arial" w:cs="Arial" w:eastAsia="Arial" w:hAnsi="Arial"/>
          <w:sz w:val="18"/>
          <w:szCs w:val="18"/>
          <w:color w:val="auto"/>
        </w:rPr>
        <w:t>The Company’s obligations under the Loan Agreement are secured by a first priority security interest in substantially all of its assets. As a result of the termination of the STEADFAST Study, the Company granted the Lenders a first priority security interest in all of the Company’s intellectual property, subject to certain limited exceptions. The Company has agreed not to pledge or otherwise encumber its intellectual property assets, subject to certain exceptions.</w:t>
      </w:r>
    </w:p>
    <w:p>
      <w:pPr>
        <w:spacing w:after="0" w:line="79" w:lineRule="exact"/>
        <w:rPr>
          <w:sz w:val="20"/>
          <w:szCs w:val="20"/>
          <w:color w:val="auto"/>
        </w:rPr>
      </w:pPr>
    </w:p>
    <w:p>
      <w:pPr>
        <w:ind w:right="100" w:firstLine="761"/>
        <w:spacing w:after="0" w:line="290" w:lineRule="auto"/>
        <w:rPr>
          <w:sz w:val="20"/>
          <w:szCs w:val="20"/>
          <w:color w:val="auto"/>
        </w:rPr>
      </w:pPr>
      <w:r>
        <w:rPr>
          <w:rFonts w:ascii="Arial" w:cs="Arial" w:eastAsia="Arial" w:hAnsi="Arial"/>
          <w:sz w:val="16"/>
          <w:szCs w:val="16"/>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of not less than $2.5 million in a deposit account pledged to secure the Loan Agreement and subject to an account control agreement. The minimum cash balance covenant was included as part of an amendment to the Loan Agreement in connection with our entry into the Huadong License Agreement in December 2017. The Loan Agreement includes customary events of default, including payment defaults, covenant defaults, and material adverse change default. Upon the occurrence of an event of default and following any applicable cure periods, a default interest rate of an additional 5% will be applied to the outstanding loan balances, and the Lenders may declare all outstanding obligations immediately due and payable and take such other actions as set forth in the Loan Agreement.</w:t>
      </w:r>
    </w:p>
    <w:p>
      <w:pPr>
        <w:spacing w:after="0" w:line="58" w:lineRule="exact"/>
        <w:rPr>
          <w:sz w:val="20"/>
          <w:szCs w:val="20"/>
          <w:color w:val="auto"/>
        </w:rPr>
      </w:pPr>
    </w:p>
    <w:p>
      <w:pPr>
        <w:ind w:right="40" w:firstLine="761"/>
        <w:spacing w:after="0" w:line="276" w:lineRule="auto"/>
        <w:rPr>
          <w:sz w:val="20"/>
          <w:szCs w:val="20"/>
          <w:color w:val="auto"/>
        </w:rPr>
      </w:pPr>
      <w:r>
        <w:rPr>
          <w:rFonts w:ascii="Arial" w:cs="Arial" w:eastAsia="Arial" w:hAnsi="Arial"/>
          <w:sz w:val="17"/>
          <w:szCs w:val="17"/>
          <w:color w:val="auto"/>
        </w:rPr>
        <w:t>The Company incurred $0.7 million of costs in connection with the Loan Agreement in the year ended December 31, 2016. These costs, along with the allocated fair value of the Warrants issued of $0.9 million, were treated as a debt discount, and are offset against the carrying value of the notes payable in the Company’s Consolidated Balance Sheets as of December 31, 2018 and 2017. These costs will be recognized as interest expense over the term of the first tranche using the effective interest method. The final payment for the first and second loan tranches of $0.8 million and $0.5 million, respectively, will be accrued as additional interest expense, using the effective interest method, over the term of the relevant tranche.</w:t>
      </w:r>
    </w:p>
    <w:p>
      <w:pPr>
        <w:spacing w:after="0" w:line="64" w:lineRule="exact"/>
        <w:rPr>
          <w:sz w:val="20"/>
          <w:szCs w:val="20"/>
          <w:color w:val="auto"/>
        </w:rPr>
      </w:pPr>
    </w:p>
    <w:p>
      <w:pPr>
        <w:ind w:right="80" w:firstLine="761"/>
        <w:spacing w:after="0" w:line="264" w:lineRule="auto"/>
        <w:rPr>
          <w:sz w:val="20"/>
          <w:szCs w:val="20"/>
          <w:color w:val="auto"/>
        </w:rPr>
      </w:pPr>
      <w:r>
        <w:rPr>
          <w:rFonts w:ascii="Arial" w:cs="Arial" w:eastAsia="Arial" w:hAnsi="Arial"/>
          <w:sz w:val="18"/>
          <w:szCs w:val="18"/>
          <w:color w:val="auto"/>
        </w:rPr>
        <w:t>The Company recorded interest expense related to the Loan Agreement of $3.1 million, $3.1 million and $0.4 million for the years ended December 31, 2018, 2017 and 2016, respectively. The annual effective interest rate on the note payable, including the amortization of the debt discounts and accretion of the final payments, is 17.7%.</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Principal payments due under the terms of the Loan Agreement are as follows (in thousands):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2019</w:t>
            </w:r>
          </w:p>
        </w:tc>
        <w:tc>
          <w:tcPr>
            <w:tcW w:w="35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9,383</w:t>
            </w:r>
          </w:p>
        </w:tc>
        <w:tc>
          <w:tcPr>
            <w:tcW w:w="60" w:type="dxa"/>
            <w:vAlign w:val="bottom"/>
          </w:tcPr>
          <w:p>
            <w:pPr>
              <w:spacing w:after="0"/>
              <w:rPr>
                <w:sz w:val="20"/>
                <w:szCs w:val="20"/>
                <w:color w:val="auto"/>
              </w:rPr>
            </w:pP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4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5,730</w:t>
            </w:r>
          </w:p>
        </w:tc>
        <w:tc>
          <w:tcPr>
            <w:tcW w:w="60" w:type="dxa"/>
            <w:vAlign w:val="bottom"/>
            <w:shd w:val="clear" w:color="auto" w:fill="CFF0FC"/>
          </w:tcPr>
          <w:p>
            <w:pPr>
              <w:spacing w:after="0"/>
              <w:rPr>
                <w:sz w:val="19"/>
                <w:szCs w:val="19"/>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2021</w:t>
            </w:r>
          </w:p>
        </w:tc>
        <w:tc>
          <w:tcPr>
            <w:tcW w:w="2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4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2023</w:t>
            </w:r>
          </w:p>
        </w:tc>
        <w:tc>
          <w:tcPr>
            <w:tcW w:w="2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9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Columbia University Agreement</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In May 2015, the Company entered into a worldwide exclusive agreement with Columbia University (“Columbia”) to license certain intellectual property from Columbia. Under the agreement, the Company is obligated to pay to Columbia (1) an annual fee of $0.1 million from 2015 through 2021, (2) a potential regulatory milestone payment of $0.8 million and (3) potential royalty payments at a single digit royalty rate based on net sales of licensed products as defined in the agreement. In December 2018, the Company notified Columbia of its intent to terminate this license agreement.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Novo Nordisk</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 xml:space="preserve">In February 2007, the Company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Arial" w:cs="Arial" w:eastAsia="Arial" w:hAnsi="Arial"/>
          <w:sz w:val="18"/>
          <w:szCs w:val="18"/>
          <w:i w:val="1"/>
          <w:iCs w:val="1"/>
          <w:color w:val="auto"/>
        </w:rPr>
        <w:t>TTP399</w:t>
      </w:r>
      <w:r>
        <w:rPr>
          <w:rFonts w:ascii="Arial" w:cs="Arial" w:eastAsia="Arial" w:hAnsi="Arial"/>
          <w:sz w:val="18"/>
          <w:szCs w:val="18"/>
          <w:color w:val="auto"/>
        </w:rPr>
        <w:t>. Under the terms of the Novo License Agreement, the Company has additional potential developmental and regulatory milestone payments totaling up to $115.0 million for approval of a product. The Company may also be obligated to pay an additional $75.0 million in potential sales-based milestones, as well as royalty payments, at mid-single digit royalty rates, based on tiered sales of commercialized licensed products.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 xml:space="preserve">Under the terms of the Huadong License Agreement, vTv LLC is responsible for sponsoring the Phase 2 MRCT including sites in both US and the Huadong License Territory for the purpose of assessing the safety and efficacy of </w:t>
      </w:r>
      <w:r>
        <w:rPr>
          <w:rFonts w:ascii="Arial" w:cs="Arial" w:eastAsia="Arial" w:hAnsi="Arial"/>
          <w:sz w:val="17"/>
          <w:szCs w:val="17"/>
          <w:i w:val="1"/>
          <w:iCs w:val="1"/>
          <w:color w:val="auto"/>
        </w:rPr>
        <w:t>TTP273</w:t>
      </w:r>
      <w:r>
        <w:rPr>
          <w:rFonts w:ascii="Arial" w:cs="Arial" w:eastAsia="Arial" w:hAnsi="Arial"/>
          <w:sz w:val="17"/>
          <w:szCs w:val="17"/>
          <w:color w:val="auto"/>
        </w:rPr>
        <w:t xml:space="preserve"> in patients with type 2 diabetes. The Phase 2 MRCT will be designed to satisfy the requirements of the China Food and Drug Administration necessary in order for Huadong to begin a Phase 3 clinical trial in China. vTv LLC will be responsible for contributing up to $3.0 million in connection with the Phase 2 MRCT.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17" w:lineRule="exact"/>
        <w:rPr>
          <w:sz w:val="20"/>
          <w:szCs w:val="20"/>
          <w:color w:val="auto"/>
        </w:rPr>
      </w:pPr>
    </w:p>
    <w:p>
      <w:pPr>
        <w:ind w:right="40" w:firstLine="518"/>
        <w:spacing w:after="0" w:line="308" w:lineRule="auto"/>
        <w:rPr>
          <w:sz w:val="20"/>
          <w:szCs w:val="20"/>
          <w:color w:val="auto"/>
        </w:rPr>
      </w:pPr>
      <w:r>
        <w:rPr>
          <w:rFonts w:ascii="Arial" w:cs="Arial" w:eastAsia="Arial" w:hAnsi="Arial"/>
          <w:sz w:val="17"/>
          <w:szCs w:val="17"/>
          <w:color w:val="auto"/>
        </w:rPr>
        <w:t>The Company leases various equipment and facilities under operating leases expiring at various dates through 2019. Rent expense for non-cancelable operating leases was $0.5 million, $0.5 million and $0.6 million for the years ended December 31, 2018, 2017 and 2016, respectively.</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under non-cancelable operating leases as of December 31, 2018 were as follows (in thousands):</w:t>
      </w:r>
    </w:p>
    <w:p>
      <w:pPr>
        <w:spacing w:after="0" w:line="218"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636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71"/>
        </w:trPr>
        <w:tc>
          <w:tcPr>
            <w:tcW w:w="63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2023 and thereafter</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Company has recognized an asset retirement obligation for an obligation in its facility lease that requires the Company to return the property to the same or similar condition at the end of the lease as existed when the Company began using the facility. Asset retirement obligations recorded as a component of other noncurrent liabilities in the Consolidated Balance Sheets were $0.2 million at both December 31, 2018 and 2017. An immaterial amount of accretion and depreciation expense was recognized in the years ended December 31, 2018, 2017 and 2016.</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Note 10: Stockholders’ Equity</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On July 29, 2015, the Company amended and restated its certificate of incorporation to authorize 100,000,000 shares of Class A Common Stock, 100,000,000 shares of Class B Common Stock and 50,000,000 shares of preferred stock, par value $0.01 per share.</w:t>
      </w:r>
    </w:p>
    <w:p>
      <w:pPr>
        <w:spacing w:after="0" w:line="6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Holders of Class A Common Stock and Class B Common Stock will be entitled to one vote for each share held on all matters submitted to stockholders for their vote or approval. The holders of Class A Common Stock and Class B Common Stock will vote together as a single class on all matters submitted to stockholders for their vote or approval, except with respect to the amendment of certain provisions of the Company’s amended and restated certificate of incorporation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 The voting power of the outstanding Class B Common Stock (expressed as a percentage of the total voting power of all common stock) will be equal to the percentage of vTv Units not held by the Company. Holders of Class B Common Stock are not entitled to receive dividends and will not be entitled to receive any distributions upon the liquidation, dissolution or winding up of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 Warrants</w:t>
      </w:r>
    </w:p>
    <w:p>
      <w:pPr>
        <w:spacing w:after="0" w:line="117" w:lineRule="exact"/>
        <w:rPr>
          <w:sz w:val="20"/>
          <w:szCs w:val="20"/>
          <w:color w:val="auto"/>
        </w:rPr>
      </w:pPr>
    </w:p>
    <w:p>
      <w:pPr>
        <w:ind w:firstLine="476"/>
        <w:spacing w:after="0" w:line="290" w:lineRule="auto"/>
        <w:rPr>
          <w:sz w:val="20"/>
          <w:szCs w:val="20"/>
          <w:color w:val="auto"/>
        </w:rPr>
      </w:pPr>
      <w:r>
        <w:rPr>
          <w:rFonts w:ascii="Arial" w:cs="Arial" w:eastAsia="Arial" w:hAnsi="Arial"/>
          <w:sz w:val="16"/>
          <w:szCs w:val="16"/>
          <w:color w:val="auto"/>
        </w:rPr>
        <w:t>The Company has entered into the letter agreement between vTv and M&amp;F Group dated as of December 11, 2018 (the “December Letter Agreement”) and the letter agreements (the “Prior Letter Agreements”) with M&amp;F Group in December 2017 and July 2018 (collectively, the “Letter Agreements”). Under the terms of the Letter Agreements, the Company has or had the right to sell to M&amp;F Group shares of its Class A Common Stock at a specified price per share, and M&amp;F Group has or had the right (exercisable up to three times) to require the Company to sell to it shares of Class A Common Stock at the same price. An aggregate of $20.0 million worth of Class A Common Stock were sold under the Prior Letter Agreements and a further $10.0 million worth of Class A Common Stock may be sold under the December Letter Agreement (whether at the Company’s or M&amp;F Group’s option). In addition, in connection with the entrance into these Letter Agreements, the Company also issued to M&amp;F Group warrants (the “Letter Agreement Warrants”) to purchase additional shares of the Company’s Class A Common Stock. Certain terms of each of these Letter Agreements are set forth in Note 12.</w:t>
      </w:r>
    </w:p>
    <w:p>
      <w:pPr>
        <w:spacing w:after="0" w:line="58" w:lineRule="exact"/>
        <w:rPr>
          <w:sz w:val="20"/>
          <w:szCs w:val="20"/>
          <w:color w:val="auto"/>
        </w:rPr>
      </w:pPr>
    </w:p>
    <w:p>
      <w:pPr>
        <w:ind w:firstLine="476"/>
        <w:spacing w:after="0" w:line="276" w:lineRule="auto"/>
        <w:rPr>
          <w:sz w:val="20"/>
          <w:szCs w:val="20"/>
          <w:color w:val="auto"/>
        </w:rPr>
      </w:pPr>
      <w:r>
        <w:rPr>
          <w:rFonts w:ascii="Arial" w:cs="Arial" w:eastAsia="Arial" w:hAnsi="Arial"/>
          <w:sz w:val="17"/>
          <w:szCs w:val="17"/>
          <w:color w:val="auto"/>
        </w:rPr>
        <w:t>The Letter Agreement Warrants were recorded as warrant liability, related party within the Company’s Consolidated Balance Sheets based on their fair value. The issuance of the Letter Agreement Warrants was considered to be a cost of equity recorded as a reduction to additional paid-in capital. During the years ended December 31, 2018 and 2017 the Company recognized an expense of $0.6 million and $0.2 million, respectively, related to the change in fair value of the Letter Agreement Warrants. This expense was recognized as a component of other expense, related party in the Consolidated Statements of Operations. No such expense was recognized for the year ended December 31, 2016.</w:t>
      </w:r>
    </w:p>
    <w:p>
      <w:pPr>
        <w:spacing w:after="0" w:line="64"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Fair value of the Letter Agreement Warrants was calculated as of their issuance date using the methods described in Note 18 using the following assumptions:</w:t>
      </w:r>
    </w:p>
    <w:p>
      <w:pPr>
        <w:spacing w:after="0" w:line="95"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66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5, 2017</w:t>
            </w:r>
          </w:p>
        </w:tc>
        <w:tc>
          <w:tcPr>
            <w:tcW w:w="1640" w:type="dxa"/>
            <w:vAlign w:val="bottom"/>
            <w:gridSpan w:val="2"/>
          </w:tcPr>
          <w:p>
            <w:pPr>
              <w:ind w:left="380"/>
              <w:spacing w:after="0"/>
              <w:rPr>
                <w:sz w:val="20"/>
                <w:szCs w:val="20"/>
                <w:color w:val="auto"/>
              </w:rPr>
            </w:pPr>
            <w:r>
              <w:rPr>
                <w:rFonts w:ascii="Arial" w:cs="Arial" w:eastAsia="Arial" w:hAnsi="Arial"/>
                <w:sz w:val="14"/>
                <w:szCs w:val="14"/>
                <w:b w:val="1"/>
                <w:bCs w:val="1"/>
                <w:color w:val="auto"/>
              </w:rPr>
              <w:t>July 30, 2018</w:t>
            </w: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11, 2018</w:t>
            </w:r>
          </w:p>
        </w:tc>
      </w:tr>
      <w:tr>
        <w:trPr>
          <w:trHeight w:val="26"/>
        </w:trPr>
        <w:tc>
          <w:tcPr>
            <w:tcW w:w="3080" w:type="dxa"/>
            <w:vAlign w:val="bottom"/>
            <w:tcBorders>
              <w:bottom w:val="single" w:sz="8" w:color="CFF0F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r>
      <w:tr>
        <w:trPr>
          <w:trHeight w:val="223"/>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90.0%</w:t>
            </w:r>
          </w:p>
        </w:tc>
        <w:tc>
          <w:tcPr>
            <w:tcW w:w="80" w:type="dxa"/>
            <w:vAlign w:val="bottom"/>
            <w:shd w:val="clear" w:color="auto" w:fill="CFF0FC"/>
          </w:tcPr>
          <w:p>
            <w:pPr>
              <w:spacing w:after="0"/>
              <w:rPr>
                <w:sz w:val="19"/>
                <w:szCs w:val="19"/>
                <w:color w:val="auto"/>
              </w:rPr>
            </w:pP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95.29%</w:t>
            </w:r>
          </w:p>
        </w:tc>
        <w:tc>
          <w:tcPr>
            <w:tcW w:w="6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104.46%</w:t>
            </w:r>
          </w:p>
        </w:tc>
        <w:tc>
          <w:tcPr>
            <w:tcW w:w="6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1580" w:type="dxa"/>
            <w:vAlign w:val="bottom"/>
          </w:tcPr>
          <w:p>
            <w:pPr>
              <w:jc w:val="right"/>
              <w:ind w:right="554"/>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1580" w:type="dxa"/>
            <w:vAlign w:val="bottom"/>
          </w:tcPr>
          <w:p>
            <w:pPr>
              <w:jc w:val="right"/>
              <w:ind w:right="574"/>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1540" w:type="dxa"/>
            <w:vAlign w:val="bottom"/>
          </w:tcPr>
          <w:p>
            <w:pPr>
              <w:jc w:val="right"/>
              <w:ind w:right="554"/>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2.8%</w:t>
            </w:r>
          </w:p>
        </w:tc>
        <w:tc>
          <w:tcPr>
            <w:tcW w:w="80" w:type="dxa"/>
            <w:vAlign w:val="bottom"/>
            <w:shd w:val="clear" w:color="auto" w:fill="CFF0FC"/>
          </w:tcPr>
          <w:p>
            <w:pPr>
              <w:spacing w:after="0"/>
              <w:rPr>
                <w:sz w:val="19"/>
                <w:szCs w:val="19"/>
                <w:color w:val="auto"/>
              </w:rPr>
            </w:pP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2.94%</w:t>
            </w:r>
          </w:p>
        </w:tc>
        <w:tc>
          <w:tcPr>
            <w:tcW w:w="6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2.77%</w:t>
            </w:r>
          </w:p>
        </w:tc>
        <w:tc>
          <w:tcPr>
            <w:tcW w:w="6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0.00%</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 Warrants</w:t>
      </w:r>
    </w:p>
    <w:p>
      <w:pPr>
        <w:spacing w:after="0" w:line="117"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On October 28, 2016, the Company entered into the Loan Agreement as discussed in Note 8. In connection with the Loan Agreement, the Company issued to the Lenders Warrants to purchase a total of 152,580 shares of the Company’s Class A Common Stock at an exercise price of $6.39 per</w:t>
      </w:r>
    </w:p>
    <w:p>
      <w:pPr>
        <w:spacing w:after="0" w:line="270" w:lineRule="auto"/>
        <w:rPr>
          <w:sz w:val="20"/>
          <w:szCs w:val="20"/>
          <w:color w:val="auto"/>
        </w:rPr>
      </w:pPr>
      <w:r>
        <w:rPr>
          <w:rFonts w:ascii="Arial" w:cs="Arial" w:eastAsia="Arial" w:hAnsi="Arial"/>
          <w:sz w:val="17"/>
          <w:szCs w:val="17"/>
          <w:color w:val="auto"/>
        </w:rPr>
        <w:t>share. Additionally, upon funding of the second tranche on March 24, 2017, the Company issued Warrants to purchase 38,006 shares of its Class A Common Stock at a per share exercise price of $5.92 per share, which aggregate exercise price represents 3.0% of the amount available under the second tranche of the Loan Agreement. In each instance, the Warrants have an exercise price equal to the lower of (a) the volume weighted average price per share of the Company’s Class A Common Stock, as reported on the principal stock exchange on which the Company’s Class A Common Stock is listed, for 10 trading days prior to the issuance of the applicable Warrants or (b) the closing price of a share of the Company’s Class A Common Stock on the trading day prior to the issuance of the applicable Warrants. The Warrants will expire seven years from their date of issuance.</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26" w:right="319" w:bottom="1440" w:gutter="0" w:footer="0" w:header="0"/>
        </w:sectPr>
      </w:pPr>
    </w:p>
    <w:bookmarkStart w:id="103" w:name="page104"/>
    <w:bookmarkEnd w:id="103"/>
    <w:p>
      <w:pPr>
        <w:ind w:firstLine="518"/>
        <w:spacing w:after="0" w:line="273" w:lineRule="auto"/>
        <w:rPr>
          <w:sz w:val="20"/>
          <w:szCs w:val="20"/>
          <w:color w:val="auto"/>
        </w:rPr>
      </w:pPr>
      <w:r>
        <w:rPr>
          <w:rFonts w:ascii="Arial" w:cs="Arial" w:eastAsia="Arial" w:hAnsi="Arial"/>
          <w:sz w:val="17"/>
          <w:szCs w:val="17"/>
          <w:color w:val="auto"/>
        </w:rPr>
        <w:t>The Warrants issued with a determinable number of shares and exercise price were recorded as a component of additional paid-in capital within the Company’s Consolidated Balance Sheet as of December 31, 2016 based on their relative fair value. The Warrants issued for a variable number of shares were recorded as a component of other liabilities within the Consolidated Balance Sheet as of December 31, 2016. This related liability was adjusted to its fair value on a periodic basis until the associated warrants qualified for equity classification upon the funding of the second tranche of the Loan Agreement on March 24, 2017. For the years ended December 31, 2017 and 2016, the Company recognized additional interest expense within the Consolidated Statements of Operations of a de minimis amount related to the adjustment of the Warrants to their fair value.</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Fair value of the Warrants was calculated as of October 28, 2016 using the methods described in Note 18 using the following assumptions:</w:t>
      </w:r>
    </w:p>
    <w:p>
      <w:pPr>
        <w:spacing w:after="0" w:line="143"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660" w:type="dxa"/>
            <w:vAlign w:val="bottom"/>
            <w:shd w:val="clear" w:color="auto" w:fill="CFF0FC"/>
          </w:tcPr>
          <w:p>
            <w:pPr>
              <w:jc w:val="center"/>
              <w:ind w:left="850"/>
              <w:spacing w:after="0"/>
              <w:rPr>
                <w:sz w:val="20"/>
                <w:szCs w:val="20"/>
                <w:color w:val="auto"/>
              </w:rPr>
            </w:pPr>
            <w:r>
              <w:rPr>
                <w:rFonts w:ascii="Arial" w:cs="Arial" w:eastAsia="Arial" w:hAnsi="Arial"/>
                <w:sz w:val="18"/>
                <w:szCs w:val="18"/>
                <w:color w:val="auto"/>
                <w:w w:val="91"/>
              </w:rPr>
              <w:t>82.54%</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3660" w:type="dxa"/>
            <w:vAlign w:val="bottom"/>
          </w:tcPr>
          <w:p>
            <w:pPr>
              <w:jc w:val="right"/>
              <w:ind w:right="1110"/>
              <w:spacing w:after="0"/>
              <w:rPr>
                <w:sz w:val="20"/>
                <w:szCs w:val="20"/>
                <w:color w:val="auto"/>
              </w:rPr>
            </w:pPr>
            <w:r>
              <w:rPr>
                <w:rFonts w:ascii="Arial" w:cs="Arial" w:eastAsia="Arial" w:hAnsi="Arial"/>
                <w:sz w:val="18"/>
                <w:szCs w:val="18"/>
                <w:color w:val="auto"/>
              </w:rPr>
              <w:t>7.0</w:t>
            </w: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660" w:type="dxa"/>
            <w:vAlign w:val="bottom"/>
            <w:shd w:val="clear" w:color="auto" w:fill="CFF0FC"/>
          </w:tcPr>
          <w:p>
            <w:pPr>
              <w:jc w:val="center"/>
              <w:ind w:left="830"/>
              <w:spacing w:after="0"/>
              <w:rPr>
                <w:sz w:val="20"/>
                <w:szCs w:val="20"/>
                <w:color w:val="auto"/>
              </w:rPr>
            </w:pPr>
            <w:r>
              <w:rPr>
                <w:rFonts w:ascii="Arial" w:cs="Arial" w:eastAsia="Arial" w:hAnsi="Arial"/>
                <w:sz w:val="18"/>
                <w:szCs w:val="18"/>
                <w:color w:val="auto"/>
                <w:w w:val="90"/>
              </w:rPr>
              <w:t>1.63%</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660" w:type="dxa"/>
            <w:vAlign w:val="bottom"/>
          </w:tcPr>
          <w:p>
            <w:pPr>
              <w:jc w:val="center"/>
              <w:ind w:left="830"/>
              <w:spacing w:after="0"/>
              <w:rPr>
                <w:sz w:val="20"/>
                <w:szCs w:val="20"/>
                <w:color w:val="auto"/>
              </w:rPr>
            </w:pPr>
            <w:r>
              <w:rPr>
                <w:rFonts w:ascii="Arial" w:cs="Arial" w:eastAsia="Arial" w:hAnsi="Arial"/>
                <w:sz w:val="18"/>
                <w:szCs w:val="18"/>
                <w:color w:val="auto"/>
                <w:w w:val="90"/>
              </w:rPr>
              <w:t>0.00%</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Redeemable Noncontrolling Interest</w:t>
      </w:r>
    </w:p>
    <w:p>
      <w:pPr>
        <w:spacing w:after="0" w:line="121"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The Company is subject to the Exchange Agreement with respect to the vTv Units representing the outstanding 53.2% noncontrolling interest in vTv LLC (see Note 1).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 day volume weighted average price of the Class A Common Stock as defined in the Exchange Agreement, subject to customary conversion rate adjustments for stock splits, stock dividends and reclassifications.</w:t>
      </w:r>
    </w:p>
    <w:p>
      <w:pPr>
        <w:spacing w:after="0" w:line="57"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The redeemable noncontrolling interest is recognized at the higher of (1) its initial fair value plus accumulated earnings/losses associated with the noncontrolling interest or (2) the redemption value as of the balance sheet date. At December 31, 2018 and 2017, the redeemable noncontrolling interest was recorded based on the redemption value as of the balance sheet date of $62.5 million and $131.4 million, respectively.</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MacAndrews &amp; Forbes Incorporated</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MacAndrews directly or indirectly controls 23,084,267 shares of Class B Common Stock. Further, as of December 31, 2018, MacAndrews directly or indirectly holds 13,232,785 shares of the Company’s Class A Common Stock. As a result, MacAndrews’ holdings represent approximately 83.6% of the combined voting power of the Company’s outstanding common stock.</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several agreements with MacAndrews or its affiliates as further detailed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20" w:firstLine="476"/>
        <w:spacing w:after="0" w:line="293" w:lineRule="auto"/>
        <w:rPr>
          <w:sz w:val="20"/>
          <w:szCs w:val="20"/>
          <w:color w:val="auto"/>
        </w:rPr>
      </w:pPr>
      <w:r>
        <w:rPr>
          <w:rFonts w:ascii="Arial" w:cs="Arial" w:eastAsia="Arial" w:hAnsi="Arial"/>
          <w:sz w:val="16"/>
          <w:szCs w:val="16"/>
          <w:color w:val="auto"/>
        </w:rPr>
        <w:t>The Company has entered into the Letter Agreements with M&amp;F Group. Under the terms of the Letter Agreements, the Company has or had the right to sell to M&amp;F Group shares of its Class A Common Stock at a specified price per share, and M&amp;F Group has or had the right (exercisable up to three times) to require the Company to sell to it shares of Class A Common Stock at the same price. An aggregate of $20.0 million worth of Class A Common Stock were sold under the Prior Letter Agreements and a further $10.0 million worth of Class A Common Stock may be sold under the December Letter Agreement (whether at the Company’s or M&amp;F Group’s option). In addition, in connection with the entrance into these Letter Agreements, the Company also issued to M&amp;F Group the Letter Agreement Warrants to purchase additional shares of the Company’s Class A Common Stock.</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04" w:name="page105"/>
    <w:bookmarkEnd w:id="104"/>
    <w:p>
      <w:pPr>
        <w:ind w:left="480"/>
        <w:spacing w:after="0"/>
        <w:rPr>
          <w:sz w:val="20"/>
          <w:szCs w:val="20"/>
          <w:color w:val="auto"/>
        </w:rPr>
      </w:pPr>
      <w:r>
        <w:rPr>
          <w:rFonts w:ascii="Arial" w:cs="Arial" w:eastAsia="Arial" w:hAnsi="Arial"/>
          <w:sz w:val="16"/>
          <w:szCs w:val="16"/>
          <w:color w:val="auto"/>
        </w:rPr>
        <w:t>Certain terms of these Letter Agreements are set forth in the table below:</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Specified purchase price per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of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Shares available to be issued under related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of related warrants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of related warrants</w:t>
      </w:r>
    </w:p>
    <w:p>
      <w:pPr>
        <w:spacing w:after="0" w:line="23" w:lineRule="exact"/>
        <w:rPr>
          <w:sz w:val="20"/>
          <w:szCs w:val="20"/>
          <w:color w:val="auto"/>
        </w:rPr>
      </w:pPr>
    </w:p>
    <w:p>
      <w:pPr>
        <w:ind w:right="1280"/>
        <w:spacing w:after="0" w:line="281" w:lineRule="auto"/>
        <w:rPr>
          <w:sz w:val="20"/>
          <w:szCs w:val="20"/>
          <w:color w:val="auto"/>
        </w:rPr>
      </w:pPr>
      <w:r>
        <w:rPr>
          <w:rFonts w:ascii="Arial" w:cs="Arial" w:eastAsia="Arial" w:hAnsi="Arial"/>
          <w:sz w:val="17"/>
          <w:szCs w:val="17"/>
          <w:color w:val="auto"/>
        </w:rPr>
        <w:t>Total shares issued as of December 31, 2018 Remaining shares to be issued as of</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December 31, 2018</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ind w:right="74"/>
              <w:spacing w:after="0"/>
              <w:rPr>
                <w:sz w:val="20"/>
                <w:szCs w:val="20"/>
                <w:color w:val="auto"/>
              </w:rPr>
            </w:pPr>
            <w:r>
              <w:rPr>
                <w:rFonts w:ascii="Arial" w:cs="Arial" w:eastAsia="Arial" w:hAnsi="Arial"/>
                <w:sz w:val="14"/>
                <w:szCs w:val="14"/>
                <w:b w:val="1"/>
                <w:bCs w:val="1"/>
                <w:color w:val="auto"/>
                <w:w w:val="94"/>
              </w:rPr>
              <w:t>December 5, 2017 Letter</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July 30, 2018 Letter</w:t>
            </w:r>
          </w:p>
        </w:tc>
        <w:tc>
          <w:tcPr>
            <w:tcW w:w="120" w:type="dxa"/>
            <w:vAlign w:val="bottom"/>
          </w:tcPr>
          <w:p>
            <w:pPr>
              <w:spacing w:after="0"/>
              <w:rPr>
                <w:sz w:val="14"/>
                <w:szCs w:val="14"/>
                <w:color w:val="auto"/>
              </w:rPr>
            </w:pPr>
          </w:p>
        </w:tc>
        <w:tc>
          <w:tcPr>
            <w:tcW w:w="172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December 11, 2018 Letter</w:t>
            </w: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ind w:right="494"/>
              <w:spacing w:after="0"/>
              <w:rPr>
                <w:sz w:val="20"/>
                <w:szCs w:val="20"/>
                <w:color w:val="auto"/>
              </w:rPr>
            </w:pPr>
            <w:r>
              <w:rPr>
                <w:rFonts w:ascii="Arial" w:cs="Arial" w:eastAsia="Arial" w:hAnsi="Arial"/>
                <w:sz w:val="14"/>
                <w:szCs w:val="14"/>
                <w:b w:val="1"/>
                <w:bCs w:val="1"/>
                <w:color w:val="auto"/>
              </w:rPr>
              <w:t>Agreement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Agreement</w:t>
            </w:r>
          </w:p>
        </w:tc>
        <w:tc>
          <w:tcPr>
            <w:tcW w:w="120" w:type="dxa"/>
            <w:vAlign w:val="bottom"/>
          </w:tcPr>
          <w:p>
            <w:pPr>
              <w:spacing w:after="0"/>
              <w:rPr>
                <w:sz w:val="14"/>
                <w:szCs w:val="14"/>
                <w:color w:val="auto"/>
              </w:rPr>
            </w:pPr>
          </w:p>
        </w:tc>
        <w:tc>
          <w:tcPr>
            <w:tcW w:w="1720" w:type="dxa"/>
            <w:vAlign w:val="bottom"/>
          </w:tcPr>
          <w:p>
            <w:pPr>
              <w:jc w:val="right"/>
              <w:ind w:right="494"/>
              <w:spacing w:after="0"/>
              <w:rPr>
                <w:sz w:val="20"/>
                <w:szCs w:val="20"/>
                <w:color w:val="auto"/>
              </w:rPr>
            </w:pPr>
            <w:r>
              <w:rPr>
                <w:rFonts w:ascii="Arial" w:cs="Arial" w:eastAsia="Arial" w:hAnsi="Arial"/>
                <w:sz w:val="14"/>
                <w:szCs w:val="14"/>
                <w:b w:val="1"/>
                <w:bCs w:val="1"/>
                <w:color w:val="auto"/>
              </w:rPr>
              <w:t>Agreement</w:t>
            </w:r>
          </w:p>
        </w:tc>
      </w:tr>
      <w:tr>
        <w:trPr>
          <w:trHeight w:val="222"/>
        </w:trPr>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3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December 5, 2018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640"/>
              <w:spacing w:after="0"/>
              <w:rPr>
                <w:sz w:val="20"/>
                <w:szCs w:val="20"/>
                <w:color w:val="auto"/>
              </w:rPr>
            </w:pPr>
            <w:r>
              <w:rPr>
                <w:rFonts w:ascii="Arial" w:cs="Arial" w:eastAsia="Arial" w:hAnsi="Arial"/>
                <w:sz w:val="18"/>
                <w:szCs w:val="18"/>
                <w:color w:val="auto"/>
              </w:rPr>
              <w:t>July 30, 2019</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December 11, 2019</w:t>
            </w:r>
          </w:p>
        </w:tc>
      </w:tr>
      <w:tr>
        <w:trPr>
          <w:trHeight w:val="33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198,267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518,654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340,534</w:t>
            </w:r>
          </w:p>
        </w:tc>
      </w:tr>
      <w:tr>
        <w:trPr>
          <w:trHeight w:val="337"/>
        </w:trPr>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5.04</w:t>
            </w:r>
          </w:p>
        </w:tc>
        <w:tc>
          <w:tcPr>
            <w:tcW w:w="5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December 5, 2024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ind w:left="640"/>
              <w:spacing w:after="0"/>
              <w:rPr>
                <w:sz w:val="20"/>
                <w:szCs w:val="20"/>
                <w:color w:val="auto"/>
              </w:rPr>
            </w:pPr>
            <w:r>
              <w:rPr>
                <w:rFonts w:ascii="Arial" w:cs="Arial" w:eastAsia="Arial" w:hAnsi="Arial"/>
                <w:sz w:val="18"/>
                <w:szCs w:val="18"/>
                <w:color w:val="auto"/>
              </w:rPr>
              <w:t>July 30, 2025</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December 11, 2025</w:t>
            </w: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2,283,105</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7,518,797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815,217</w:t>
            </w:r>
          </w:p>
        </w:tc>
      </w:tr>
      <w:tr>
        <w:trPr>
          <w:trHeight w:val="33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4,619,566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-1080135</wp:posOffset>
            </wp:positionV>
            <wp:extent cx="724662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-650875</wp:posOffset>
            </wp:positionV>
            <wp:extent cx="724662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-359410</wp:posOffset>
            </wp:positionV>
            <wp:extent cx="724662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4500" w:space="720"/>
            <w:col w:w="6200"/>
          </w:cols>
          <w:pgMar w:left="240" w:top="233" w:right="239" w:bottom="1440" w:gutter="0" w:footer="0" w:header="0"/>
          <w:type w:val="continuous"/>
        </w:sectPr>
      </w:pPr>
    </w:p>
    <w:p>
      <w:pPr>
        <w:ind w:right="160" w:firstLine="476"/>
        <w:spacing w:after="0" w:line="257" w:lineRule="auto"/>
        <w:rPr>
          <w:sz w:val="20"/>
          <w:szCs w:val="20"/>
          <w:color w:val="auto"/>
        </w:rPr>
      </w:pPr>
      <w:r>
        <w:rPr>
          <w:rFonts w:ascii="Arial" w:cs="Arial" w:eastAsia="Arial" w:hAnsi="Arial"/>
          <w:sz w:val="18"/>
          <w:szCs w:val="18"/>
          <w:color w:val="auto"/>
        </w:rPr>
        <w:t>Each of the December 5, 2017 and July 30, 2018 Letter Agreements resulted in a deemed capital contribution to the Company as the fair value of the financial instrument received by the Company exceeded the fair value of those financial instruments issued to MacAndrews. The December 11, 2018 Letter Agreement resulted in a deemed distribution to MacAndrews as the fair value of the financial instruments issued to MacAndrews exceeded the fair value of the financial instrument received by the Company. This deemed distribution has been reflected as a reduction to the net loss attributable to common shareholders of vTv Therapeutics Inc. for computing net loss per share.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Pursuant to the terms of the Exchange Agreement, but subject to the Amended and Restated LLC Agreement of vTv Therapeutics LLC, the vTv Units (along with a corresponding number of shares of the Class B Common Stock) are exchangeable for (i) shares of the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 for stock splits, stock dividends and reclassifications. Any decision to require an exchange for cash rather than shares of Class A Common Stock will ultimately be determined by the entire Board of Directors. As of December 31, 2018, MacAndrews has not exchanged any shares under the provisions of this agreement.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Tax Receivable Agreement among the Company, M&amp;F TTP Holdings Two LLC, as successor in interest to vTv Therapeutics Holdings (“M&amp;F”) and M&amp;F TTP Holdings LLC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 As no shares have been exchanged by MacAndrews pursuant to the Exchange Agreement (discussed above), the Company has not recognized any liability nor has it made any payments pursuant to the Tax Receivable Agreement as of December 31, 2018.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PharmaCore, Inc.</w:t>
      </w:r>
    </w:p>
    <w:p>
      <w:pPr>
        <w:spacing w:after="0" w:line="117"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Prior to its acquisition by Cambrex Corporation in October 2016, certain controlling shareholders of the Company also controlled PharmaCore, Inc. (“PharmaCore”) and PharmaCore was therefore considered to be a related party. The Company purchased chemistry and Good Manufacturing Practices manufacturing services from PharmaCore. Total purchases from PharmaCore, while it was considered to be a related party were $0.8 million for the year ended December 31, 2016.</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Note 13: Employee Benefit Plan</w:t>
      </w:r>
    </w:p>
    <w:p>
      <w:pPr>
        <w:spacing w:after="0" w:line="12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Company has a 401(k) retirement plan in which all of its full-time employees are eligible to participate. The plan provides for the Company to make discretionary 50% matching contributions up to a maximum of 6% of employees’ eligible compensation. The Company contributed $0.2 million, $0.1 million and $0.2 million to the plan for the years ended December 31, 2018, 2017 and 2016, respectively.</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From August 1, 2015, vTv Therapeutics Inc. has been subject to U.S. federal income taxes as well as state taxes. The Company recorded an income tax provision of $0.2 million and $0.8 million for the years ended December 31, 2018 and December 31, 2017, respectively, representing foreign withholding taxes incurred in connection with payments received under license agreements with foreign entities. The Company did not record an income tax provision for the year ended December 31, 2016.</w:t>
      </w:r>
    </w:p>
    <w:p>
      <w:pPr>
        <w:spacing w:after="0" w:line="79"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As discussed in Note 12,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December 31, 2018.</w:t>
      </w:r>
    </w:p>
    <w:p>
      <w:pPr>
        <w:spacing w:after="0" w:line="80"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On December 22, 2017, the US government enacted comprehensive tax reform commonly referred to as the Tax Cuts and Jobs Act (“TCJA”). Under ASC 740, the effects of changes in tax rates and laws are recognized in the period which the new legislation is enacted. Among other things, the TCJA (1) reduced the US statutory corporate income tax rate from 35% to 21% effective January 1, 2018, (2) eliminated the corporate alternative minimum tax, (3) eliminated the Section 199 deduction, and (4) changed rules related to uses and limitations of net operating loss carryforwards beginning after December 31, 2017.</w:t>
      </w:r>
    </w:p>
    <w:p>
      <w:pPr>
        <w:spacing w:after="0" w:line="80" w:lineRule="exact"/>
        <w:rPr>
          <w:sz w:val="20"/>
          <w:szCs w:val="20"/>
          <w:color w:val="auto"/>
        </w:rPr>
      </w:pPr>
    </w:p>
    <w:p>
      <w:pPr>
        <w:jc w:val="both"/>
        <w:ind w:right="20" w:firstLine="518"/>
        <w:spacing w:after="0" w:line="273" w:lineRule="auto"/>
        <w:rPr>
          <w:sz w:val="20"/>
          <w:szCs w:val="20"/>
          <w:color w:val="auto"/>
        </w:rPr>
      </w:pPr>
      <w:r>
        <w:rPr>
          <w:rFonts w:ascii="Arial" w:cs="Arial" w:eastAsia="Arial" w:hAnsi="Arial"/>
          <w:sz w:val="17"/>
          <w:szCs w:val="17"/>
          <w:color w:val="auto"/>
        </w:rPr>
        <w:t>The SEC staff issued Staff Accounting Bulletin No. 118 (“SAB 118”), which provides guidance on accounting for the tax effects of TCJA. The purpose of SAB 118 was to address any uncertainty or diversity of view in applying ASC 740 in the reporting period in which the TCJA was enacted. Additionally, SAB 118 provided a measurement period that should not extend beyond one year from the TCJA enactment date for companies to complete the accounting under ASC 740. Based on the reduced corporate tax rate of 21%, the Company recorded a provisional decrease in its deferred tax assets of $5.8 million with a corresponding adjustment to the valuation allowance for the year ended December 31, 2017. During 2018, the Company finalized the accounting for the tax effects of TCJA with no material changes to the provisional estimate recorded.</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U.S. statutory income tax rate to the Company’s effective tax rate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5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U.S. statutory tax benefit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(19,374)</w:t>
            </w:r>
          </w:p>
        </w:tc>
        <w:tc>
          <w:tcPr>
            <w:tcW w:w="1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Partnership income (federal) not subject to tax to the Company</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13,475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13,651</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Foreign withholding tax</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Impact of the Tax Act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5,723</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ind w:left="1720"/>
              <w:spacing w:after="0"/>
              <w:rPr>
                <w:sz w:val="20"/>
                <w:szCs w:val="20"/>
                <w:color w:val="auto"/>
              </w:rPr>
            </w:pPr>
            <w:r>
              <w:rPr>
                <w:rFonts w:ascii="Arial" w:cs="Arial" w:eastAsia="Arial" w:hAnsi="Arial"/>
                <w:sz w:val="18"/>
                <w:szCs w:val="18"/>
                <w:color w:val="auto"/>
              </w:rPr>
              <w:t>Effective income tax rate</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7"/>
        </w:trPr>
        <w:tc>
          <w:tcPr>
            <w:tcW w:w="1720" w:type="dxa"/>
            <w:vAlign w:val="bottom"/>
          </w:tcPr>
          <w:p>
            <w:pPr>
              <w:spacing w:after="0"/>
              <w:rPr>
                <w:sz w:val="24"/>
                <w:szCs w:val="24"/>
                <w:color w:val="auto"/>
              </w:rPr>
            </w:pPr>
          </w:p>
        </w:tc>
        <w:tc>
          <w:tcPr>
            <w:tcW w:w="4580" w:type="dxa"/>
            <w:vAlign w:val="bottom"/>
          </w:tcPr>
          <w:p>
            <w:pPr>
              <w:ind w:left="3820"/>
              <w:spacing w:after="0"/>
              <w:rPr>
                <w:sz w:val="20"/>
                <w:szCs w:val="20"/>
                <w:color w:val="auto"/>
              </w:rPr>
            </w:pPr>
            <w:r>
              <w:rPr>
                <w:rFonts w:ascii="Arial" w:cs="Arial" w:eastAsia="Arial" w:hAnsi="Arial"/>
                <w:sz w:val="18"/>
                <w:szCs w:val="18"/>
                <w:color w:val="auto"/>
              </w:rPr>
              <w:t>F-23</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72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6" w:name="page107"/>
    <w:bookmarkEnd w:id="106"/>
    <w:p>
      <w:pPr>
        <w:ind w:left="520"/>
        <w:spacing w:after="0"/>
        <w:rPr>
          <w:sz w:val="20"/>
          <w:szCs w:val="20"/>
          <w:color w:val="auto"/>
        </w:rPr>
      </w:pPr>
      <w:r>
        <w:rPr>
          <w:rFonts w:ascii="Arial" w:cs="Arial" w:eastAsia="Arial" w:hAnsi="Arial"/>
          <w:sz w:val="18"/>
          <w:szCs w:val="18"/>
          <w:color w:val="auto"/>
        </w:rPr>
        <w:t>Significant components of our net deferred tax assets/(liabilities) are as follows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5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CFF0FC"/>
            </w:tcBorders>
          </w:tcPr>
          <w:p>
            <w:pPr>
              <w:spacing w:after="0"/>
              <w:rPr>
                <w:sz w:val="19"/>
                <w:szCs w:val="19"/>
                <w:color w:val="auto"/>
              </w:rPr>
            </w:pPr>
          </w:p>
        </w:tc>
      </w:tr>
      <w:tr>
        <w:trPr>
          <w:trHeight w:val="22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640" w:type="dxa"/>
            <w:vAlign w:val="bottom"/>
          </w:tcPr>
          <w:p>
            <w:pPr>
              <w:ind w:left="12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12,749</w:t>
            </w:r>
          </w:p>
        </w:tc>
        <w:tc>
          <w:tcPr>
            <w:tcW w:w="140" w:type="dxa"/>
            <w:vAlign w:val="bottom"/>
          </w:tcPr>
          <w:p>
            <w:pPr>
              <w:spacing w:after="0"/>
              <w:rPr>
                <w:sz w:val="19"/>
                <w:szCs w:val="19"/>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9,023</w:t>
            </w:r>
          </w:p>
        </w:tc>
        <w:tc>
          <w:tcPr>
            <w:tcW w:w="80" w:type="dxa"/>
            <w:vAlign w:val="bottom"/>
          </w:tcPr>
          <w:p>
            <w:pPr>
              <w:spacing w:after="0"/>
              <w:rPr>
                <w:sz w:val="19"/>
                <w:szCs w:val="19"/>
                <w:color w:val="auto"/>
              </w:rPr>
            </w:pPr>
          </w:p>
        </w:tc>
      </w:tr>
      <w:tr>
        <w:trPr>
          <w:trHeight w:val="230"/>
        </w:trPr>
        <w:tc>
          <w:tcPr>
            <w:tcW w:w="5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Investment in partnerships</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FF0FC"/>
          </w:tcPr>
          <w:p>
            <w:pPr>
              <w:spacing w:after="0"/>
              <w:rPr>
                <w:sz w:val="19"/>
                <w:szCs w:val="19"/>
                <w:color w:val="auto"/>
              </w:rPr>
            </w:pPr>
          </w:p>
        </w:tc>
      </w:tr>
      <w:tr>
        <w:trPr>
          <w:trHeight w:val="230"/>
        </w:trPr>
        <w:tc>
          <w:tcPr>
            <w:tcW w:w="56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Charitable contributions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FF0FC"/>
            </w:tcBorders>
          </w:tcPr>
          <w:p>
            <w:pPr>
              <w:spacing w:after="0"/>
              <w:rPr>
                <w:sz w:val="19"/>
                <w:szCs w:val="19"/>
                <w:color w:val="auto"/>
              </w:rPr>
            </w:pPr>
          </w:p>
        </w:tc>
      </w:tr>
      <w:tr>
        <w:trPr>
          <w:trHeight w:val="223"/>
        </w:trPr>
        <w:tc>
          <w:tcPr>
            <w:tcW w:w="5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deferred tax assets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9,504</w:t>
            </w:r>
          </w:p>
        </w:tc>
        <w:tc>
          <w:tcPr>
            <w:tcW w:w="80" w:type="dxa"/>
            <w:vAlign w:val="bottom"/>
            <w:shd w:val="clear" w:color="auto" w:fill="CFF0FC"/>
          </w:tcPr>
          <w:p>
            <w:pPr>
              <w:spacing w:after="0"/>
              <w:rPr>
                <w:sz w:val="19"/>
                <w:szCs w:val="19"/>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(12,638)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(9,504)</w:t>
            </w:r>
          </w:p>
        </w:tc>
      </w:tr>
      <w:tr>
        <w:trPr>
          <w:trHeight w:val="223"/>
        </w:trPr>
        <w:tc>
          <w:tcPr>
            <w:tcW w:w="5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assesses the available positive evidence and negative evidence to estimate whether sufficient future taxable income will be generated to permit use of existing deferred tax assets. A significant piece of objective negative evidence evaluated was the Company’s recent operating losses. Such objective evidence limits the ability to consider other subjective evidence, such as forecasts of profitability. On the basis of this evaluation, the Company concluded that its deferred tax assets were not realizable on a more-likely-than-not basis and recorded a full valuation allowance. During the year ended December 31, 2018, the Company’s valuation allowance increased by $3.1 million.</w:t>
      </w:r>
    </w:p>
    <w:p>
      <w:pPr>
        <w:spacing w:after="0" w:line="80" w:lineRule="exact"/>
        <w:rPr>
          <w:sz w:val="20"/>
          <w:szCs w:val="20"/>
          <w:color w:val="auto"/>
        </w:rPr>
      </w:pPr>
    </w:p>
    <w:p>
      <w:pPr>
        <w:jc w:val="both"/>
        <w:ind w:right="360" w:firstLine="518"/>
        <w:spacing w:after="0" w:line="312" w:lineRule="auto"/>
        <w:rPr>
          <w:sz w:val="20"/>
          <w:szCs w:val="20"/>
          <w:color w:val="auto"/>
        </w:rPr>
      </w:pPr>
      <w:r>
        <w:rPr>
          <w:rFonts w:ascii="Arial" w:cs="Arial" w:eastAsia="Arial" w:hAnsi="Arial"/>
          <w:sz w:val="16"/>
          <w:szCs w:val="16"/>
          <w:color w:val="auto"/>
        </w:rPr>
        <w:t>The Company has federal net operating loss carryforwards of $50.5 million that will be available to offset future taxable income. Approximately, $40.0 million of these carryforwards expire in varying amounts starting in 2035 to 2037, if not utilized and are available to offset 100% of future taxable income. The remaining $10.5 million may be carried forward indefinitely but are only available to offset 80% of future taxable income</w:t>
      </w:r>
    </w:p>
    <w:p>
      <w:pPr>
        <w:spacing w:after="0" w:line="39"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Company applies applicable authoritative guidance which prescribes a comprehensive model for the manner in which a company should recognize, measure, present and disclose in its financial statements all material uncertain tax positions that the Company has taken or expects to take on a tax return. As of December 31, 2018, the Company had no uncertain tax positions. There are no uncertain tax positions for which it is reasonably possible that the total amount of unrecognized tax benefits will significantly increase or decrease within twelve months of December 31, 2018.</w:t>
      </w:r>
    </w:p>
    <w:p>
      <w:pPr>
        <w:spacing w:after="0" w:line="63"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Company files U.S. federal, Connecticut, New York, North Carolina and Virginia tax returns. The earliest open tax years that are still subject to examination by the IRS and the aforementioned state tax authorities are 2015 to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Restructuring</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December 2018, the Company initiated a corporate restructuring to align with a strategic decision to continue the development of its drug candidates using external resources rather than internal resources. The restructuring will allow the Company to reduce costs while continuing to conduct clinical trials, to support existing partnerships that are advancing development of additional assets, and to pursue new licensing and partnership opportunities. This restructuring included a significant reduction in its workforce. The Company expects to complete the reductions in headcount, including the payment of employee severance and benefits, in the second quarter of 2019. The Company expects these actions to result in cash charges of approximately $0.8 million for employee severance and related costs.</w:t>
      </w:r>
    </w:p>
    <w:p>
      <w:pPr>
        <w:spacing w:after="0" w:line="8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As of and during the year ended December 31, 2018, the Company had recognized an accrual and related expense of $0.3 million related to these severance benefits. The related expense has been recognized as a component of research and development and general and administrative expense within the Consolidated Statements of Operations based on the responsibilities of the impacted employees. The related accrual is recorded as a component of accounts payable and accrued expenses within the Consolidated Balance Sheets.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Net Loss per Share</w:t>
      </w:r>
    </w:p>
    <w:p>
      <w:pPr>
        <w:spacing w:after="0" w:line="121"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Basic loss per share is computed by dividing net loss attributable to vTv Therapeutics Inc. by the weighted-average number of shares of Class A Common Stock outstanding during the period. Diluted loss per share is computed giving effect to all potentially dilutive shares. Diluted loss per share for the years ended December 31, 2018, 2017 and 2016 is the same as basic loss per share as the inclusion of potentially issuable shares would be antidilutive.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07" w:name="page108"/>
    <w:bookmarkEnd w:id="107"/>
    <w:p>
      <w:pPr>
        <w:ind w:right="440" w:firstLine="51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Class A Common Stock is as follows (amounts in thousands, except per share amounts):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4"/>
              </w:rPr>
              <w:t>Year Ended December 31,</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68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(23,845)</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(54,647)</w:t>
            </w:r>
          </w:p>
        </w:tc>
        <w:tc>
          <w:tcPr>
            <w:tcW w:w="300" w:type="dxa"/>
            <w:vAlign w:val="bottom"/>
            <w:gridSpan w:val="2"/>
          </w:tcPr>
          <w:p>
            <w:pPr>
              <w:jc w:val="right"/>
              <w:ind w:right="105"/>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(55,353)</w:t>
            </w:r>
          </w:p>
        </w:tc>
      </w:tr>
      <w:tr>
        <w:trPr>
          <w:trHeight w:val="230"/>
        </w:trPr>
        <w:tc>
          <w:tcPr>
            <w:tcW w:w="5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Less: Net loss attributable to noncontrolling interests</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(15,934)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(38,503)</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(39,001)</w:t>
            </w:r>
          </w:p>
        </w:tc>
      </w:tr>
      <w:tr>
        <w:trPr>
          <w:trHeight w:val="223"/>
        </w:trPr>
        <w:tc>
          <w:tcPr>
            <w:tcW w:w="5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3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(16,144)</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(16,352)</w:t>
            </w:r>
          </w:p>
        </w:tc>
        <w:tc>
          <w:tcPr>
            <w:tcW w:w="100" w:type="dxa"/>
            <w:vAlign w:val="bottom"/>
            <w:tcBorders>
              <w:bottom w:val="single" w:sz="8" w:color="CFF0FC"/>
            </w:tcBorders>
          </w:tcPr>
          <w:p>
            <w:pPr>
              <w:spacing w:after="0"/>
              <w:rPr>
                <w:sz w:val="19"/>
                <w:szCs w:val="19"/>
                <w:color w:val="auto"/>
              </w:rPr>
            </w:pPr>
          </w:p>
        </w:tc>
      </w:tr>
      <w:tr>
        <w:trPr>
          <w:trHeight w:val="223"/>
        </w:trPr>
        <w:tc>
          <w:tcPr>
            <w:tcW w:w="5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Less: Deemed distribution to related party (Note 12)</w:t>
            </w:r>
          </w:p>
        </w:tc>
        <w:tc>
          <w:tcPr>
            <w:tcW w:w="3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w w:val="96"/>
              </w:rPr>
              <w:t>Net loss attributable to common shareholders of vTv Therapeutics Inc.</w:t>
            </w:r>
          </w:p>
        </w:tc>
        <w:tc>
          <w:tcPr>
            <w:tcW w:w="3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(16,144)</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(16,352)</w:t>
            </w:r>
          </w:p>
        </w:tc>
        <w:tc>
          <w:tcPr>
            <w:tcW w:w="100" w:type="dxa"/>
            <w:vAlign w:val="bottom"/>
            <w:tcBorders>
              <w:bottom w:val="single" w:sz="8" w:color="CFF0FC"/>
            </w:tcBorders>
          </w:tcPr>
          <w:p>
            <w:pPr>
              <w:spacing w:after="0"/>
              <w:rPr>
                <w:sz w:val="19"/>
                <w:szCs w:val="19"/>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680" w:type="dxa"/>
            <w:vAlign w:val="bottom"/>
          </w:tcPr>
          <w:p>
            <w:pPr>
              <w:ind w:left="240"/>
              <w:spacing w:after="0"/>
              <w:rPr>
                <w:sz w:val="20"/>
                <w:szCs w:val="20"/>
                <w:color w:val="auto"/>
              </w:rPr>
            </w:pPr>
            <w:r>
              <w:rPr>
                <w:rFonts w:ascii="Arial" w:cs="Arial" w:eastAsia="Arial" w:hAnsi="Arial"/>
                <w:sz w:val="18"/>
                <w:szCs w:val="18"/>
                <w:color w:val="auto"/>
              </w:rPr>
              <w:t>Weighted-average vTv Therapeutics Inc. Class A Common</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Stock, basic and diluted</w:t>
            </w:r>
          </w:p>
        </w:tc>
        <w:tc>
          <w:tcPr>
            <w:tcW w:w="3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12,449,236</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9,693,254</w:t>
            </w:r>
          </w:p>
        </w:tc>
        <w:tc>
          <w:tcPr>
            <w:tcW w:w="20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9,545,527</w:t>
            </w:r>
          </w:p>
        </w:tc>
        <w:tc>
          <w:tcPr>
            <w:tcW w:w="100" w:type="dxa"/>
            <w:vAlign w:val="bottom"/>
            <w:tcBorders>
              <w:bottom w:val="single" w:sz="8" w:color="CFF0FC"/>
            </w:tcBorders>
          </w:tcPr>
          <w:p>
            <w:pPr>
              <w:spacing w:after="0"/>
              <w:rPr>
                <w:sz w:val="20"/>
                <w:szCs w:val="20"/>
                <w:color w:val="auto"/>
              </w:rPr>
            </w:pPr>
          </w:p>
        </w:tc>
      </w:tr>
      <w:tr>
        <w:trPr>
          <w:trHeight w:val="209"/>
        </w:trPr>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 per share of vTv Therapeutics Inc. Class A</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5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(0.69)</w:t>
            </w: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(1.67)</w:t>
            </w:r>
          </w:p>
        </w:tc>
        <w:tc>
          <w:tcPr>
            <w:tcW w:w="3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(1.71)</w:t>
            </w:r>
          </w:p>
        </w:tc>
      </w:tr>
      <w:tr>
        <w:trPr>
          <w:trHeight w:val="20"/>
        </w:trPr>
        <w:tc>
          <w:tcPr>
            <w:tcW w:w="56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Potentially dilutive securities not included in the calculation of dilutive net loss per share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22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2018</w:t>
            </w:r>
          </w:p>
        </w:tc>
        <w:tc>
          <w:tcPr>
            <w:tcW w:w="1460" w:type="dxa"/>
            <w:vAlign w:val="bottom"/>
            <w:gridSpan w:val="2"/>
          </w:tcPr>
          <w:p>
            <w:pPr>
              <w:jc w:val="right"/>
              <w:ind w:right="39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24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6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Class B Common Stock </w:t>
            </w:r>
            <w:r>
              <w:rPr>
                <w:rFonts w:ascii="Arial" w:cs="Arial" w:eastAsia="Arial" w:hAnsi="Arial"/>
                <w:sz w:val="15"/>
                <w:szCs w:val="15"/>
                <w:color w:val="auto"/>
              </w:rPr>
              <w:t>(1)</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23,094,221</w:t>
            </w: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23,119,246</w:t>
            </w:r>
          </w:p>
        </w:tc>
        <w:tc>
          <w:tcPr>
            <w:tcW w:w="2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23,119,246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Plan</w:t>
            </w:r>
          </w:p>
        </w:tc>
        <w:tc>
          <w:tcPr>
            <w:tcW w:w="1220" w:type="dxa"/>
            <w:vAlign w:val="bottom"/>
          </w:tcPr>
          <w:p>
            <w:pPr>
              <w:jc w:val="right"/>
              <w:spacing w:after="0"/>
              <w:rPr>
                <w:sz w:val="20"/>
                <w:szCs w:val="20"/>
                <w:color w:val="auto"/>
              </w:rPr>
            </w:pPr>
            <w:r>
              <w:rPr>
                <w:rFonts w:ascii="Arial" w:cs="Arial" w:eastAsia="Arial" w:hAnsi="Arial"/>
                <w:sz w:val="18"/>
                <w:szCs w:val="18"/>
                <w:color w:val="auto"/>
              </w:rPr>
              <w:t>1,767,503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1,960,732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1,096,101</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23,333</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Letter Agreement</w:t>
            </w:r>
          </w:p>
        </w:tc>
        <w:tc>
          <w:tcPr>
            <w:tcW w:w="1220" w:type="dxa"/>
            <w:vAlign w:val="bottom"/>
          </w:tcPr>
          <w:p>
            <w:pPr>
              <w:jc w:val="right"/>
              <w:spacing w:after="0"/>
              <w:rPr>
                <w:sz w:val="20"/>
                <w:szCs w:val="20"/>
                <w:color w:val="auto"/>
              </w:rPr>
            </w:pPr>
            <w:r>
              <w:rPr>
                <w:rFonts w:ascii="Arial" w:cs="Arial" w:eastAsia="Arial" w:hAnsi="Arial"/>
                <w:sz w:val="18"/>
                <w:szCs w:val="18"/>
                <w:color w:val="auto"/>
              </w:rPr>
              <w:t>4,619,566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2,283,105</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6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1,248,041</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388,853</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152,580</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30,752,664</w:t>
            </w:r>
          </w:p>
        </w:tc>
        <w:tc>
          <w:tcPr>
            <w:tcW w:w="2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27,786,936</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24,367,927</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5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4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310" w:lineRule="exact"/>
        <w:rPr>
          <w:sz w:val="20"/>
          <w:szCs w:val="20"/>
          <w:color w:val="auto"/>
        </w:rPr>
      </w:pPr>
    </w:p>
    <w:p>
      <w:pPr>
        <w:ind w:left="900" w:hanging="379"/>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17: Quarterly Financial Data (Unaudited)</w:t>
      </w:r>
    </w:p>
    <w:p>
      <w:pPr>
        <w:spacing w:after="0" w:line="12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following interim financial information presents our 2018 and 2017 results of operations on a quarterly basis (in thousands, except per share amounts):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Operating loss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(9,134)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(8,858)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noncontrolling interest</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(9,960)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(9,596)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(1,961)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Net loss attributable to vTv Therapeutics Inc.</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5"/>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(2,952)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(3,072)</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w w:val="99"/>
              </w:rPr>
              <w:t>Net loss per share of vTv Therapeutics Inc. Class A Common</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Stock, basic and diluted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(0.30)</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(0.31)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392"/>
        </w:trPr>
        <w:tc>
          <w:tcPr>
            <w:tcW w:w="4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2017</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(13,754)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(12,615)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(11,541)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Net loss before noncontrolling interest</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(14,286)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(13,414)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(12,355)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(14,592)</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(4,220)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(3,963)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(3,650)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Net loss attributable to vTv Therapeutics Inc.</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common shareholders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15"/>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w w:val="99"/>
              </w:rPr>
              <w:t>Net loss per share of vTv Therapeutics Inc. Class A Common</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basic and diluted</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(0.44)</w:t>
            </w: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Fair Value of Financial Instruments</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carrying amount of certain of the Company’s financial instruments, including cash and cash equivalents, net accounts receivable, accounts payable and other accrued liabilities approximate fair value due to their short-term nature.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fair value of the Company’s Loan Agreement is considered to approximate its carrying value because it bears interest at a variable interest rate.</w:t>
      </w:r>
    </w:p>
    <w:p>
      <w:pPr>
        <w:spacing w:after="0" w:line="140"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Company measures the value of its investment in Reneo at cost minus impairment, if any, plus or minus changes resulting from observable price changes in orderly transactions for the identical or similar investment. Since acquiring the Reneo investment in December 2017, there have been no observable price changes in identical or similar investments, nor were there any indications of impairment. As such, the value of the Company’s investment in Reneo has not been remeasured.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December 31, 2018, 2017 and 2016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00" w:type="dxa"/>
            <w:vAlign w:val="bottom"/>
            <w:vMerge w:val="restart"/>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Borders>
              <w:bottom w:val="single" w:sz="8" w:color="CFF0FC"/>
            </w:tcBorders>
            <w:vMerge w:val="continue"/>
          </w:tcPr>
          <w:p>
            <w:pPr>
              <w:spacing w:after="0"/>
              <w:rPr>
                <w:sz w:val="19"/>
                <w:szCs w:val="19"/>
                <w:color w:val="auto"/>
              </w:rPr>
            </w:pPr>
          </w:p>
        </w:tc>
        <w:tc>
          <w:tcPr>
            <w:tcW w:w="14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F-26</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9" w:name="page110"/>
    <w:bookmarkEnd w:id="109"/>
    <w:tbl>
      <w:tblPr>
        <w:tblLayout w:type="fixed"/>
        <w:tblInd w:w="5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960" w:type="dxa"/>
            <w:vAlign w:val="bottom"/>
            <w:vMerge w:val="restart"/>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(2)</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FF0FC"/>
            </w:tcBorders>
            <w:vMerge w:val="continue"/>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right="300" w:hanging="512"/>
        <w:spacing w:after="0" w:line="250"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Fair value determined using the Black-Scholes option pricing model. Expected volatility is based on a portfolio of selected stocks of companies believed to have market and economic characteristics similar to its own. The risk-free rate is based on the U.S. Treasury yield curve in effect at the time of valuation.</w:t>
      </w:r>
    </w:p>
    <w:p>
      <w:pPr>
        <w:spacing w:after="0" w:line="1" w:lineRule="exact"/>
        <w:rPr>
          <w:rFonts w:ascii="Arial" w:cs="Arial" w:eastAsia="Arial" w:hAnsi="Arial"/>
          <w:sz w:val="18"/>
          <w:szCs w:val="18"/>
          <w:color w:val="auto"/>
        </w:rPr>
      </w:pPr>
    </w:p>
    <w:p>
      <w:pPr>
        <w:ind w:left="520" w:right="160" w:hanging="512"/>
        <w:spacing w:after="0" w:line="255"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Fair value determined using an option pricing model based on the Company’s current capitalization. Expected volatility is based on a portfolio of selected stocks of companies believed to have market and economic characteristics similar to its own. The risk-free rate is based on the yield of U.S. government securities with the same term as the option as of the valuation date.</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80" w:type="dxa"/>
            <w:vAlign w:val="bottom"/>
            <w:gridSpan w:val="14"/>
          </w:tcPr>
          <w:p>
            <w:pPr>
              <w:jc w:val="center"/>
              <w:ind w:right="280"/>
              <w:spacing w:after="0"/>
              <w:rPr>
                <w:sz w:val="20"/>
                <w:szCs w:val="20"/>
                <w:color w:val="auto"/>
              </w:rPr>
            </w:pPr>
            <w:r>
              <w:rPr>
                <w:rFonts w:ascii="Arial" w:cs="Arial" w:eastAsia="Arial" w:hAnsi="Arial"/>
                <w:sz w:val="14"/>
                <w:szCs w:val="14"/>
                <w:b w:val="1"/>
                <w:bCs w:val="1"/>
                <w:color w:val="auto"/>
                <w:w w:val="92"/>
              </w:rPr>
              <w:t>Changes in Level 3 Instruments for the years ended December 31, 2018, 2017 and 2016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1"/>
              </w:rPr>
              <w:t>Net Change in</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fair value</w:t>
            </w:r>
          </w:p>
        </w:tc>
        <w:tc>
          <w:tcPr>
            <w:tcW w:w="120" w:type="dxa"/>
            <w:vAlign w:val="bottom"/>
          </w:tcPr>
          <w:p>
            <w:pPr>
              <w:spacing w:after="0"/>
              <w:rPr>
                <w:sz w:val="12"/>
                <w:szCs w:val="12"/>
                <w:color w:val="auto"/>
              </w:rPr>
            </w:pPr>
          </w:p>
        </w:tc>
        <w:tc>
          <w:tcPr>
            <w:tcW w:w="92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89"/>
              </w:rPr>
              <w:t>Purchases /</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Sales /</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included in</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earnings</w:t>
            </w:r>
          </w:p>
        </w:tc>
        <w:tc>
          <w:tcPr>
            <w:tcW w:w="120" w:type="dxa"/>
            <w:vAlign w:val="bottom"/>
          </w:tcPr>
          <w:p>
            <w:pPr>
              <w:spacing w:after="0"/>
              <w:rPr>
                <w:sz w:val="14"/>
                <w:szCs w:val="14"/>
                <w:color w:val="auto"/>
              </w:rPr>
            </w:pPr>
          </w:p>
        </w:tc>
        <w:tc>
          <w:tcPr>
            <w:tcW w:w="920" w:type="dxa"/>
            <w:vAlign w:val="bottom"/>
          </w:tcPr>
          <w:p>
            <w:pPr>
              <w:jc w:val="center"/>
              <w:ind w:right="54"/>
              <w:spacing w:after="0"/>
              <w:rPr>
                <w:sz w:val="20"/>
                <w:szCs w:val="20"/>
                <w:color w:val="auto"/>
              </w:rPr>
            </w:pPr>
            <w:r>
              <w:rPr>
                <w:rFonts w:ascii="Arial" w:cs="Arial" w:eastAsia="Arial" w:hAnsi="Arial"/>
                <w:sz w:val="14"/>
                <w:szCs w:val="14"/>
                <w:b w:val="1"/>
                <w:bCs w:val="1"/>
                <w:color w:val="auto"/>
                <w:w w:val="90"/>
              </w:rPr>
              <w:t>Issuance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Repurchases</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Warrant liability, related party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2017</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Warrant liability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Warrant liability, related party</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8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Warrant liability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4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There were no transfers into or out of level 3 instruments and/or between level 1 and level 2 instruments during the years ended December 31, 2018, 2017 and 2016.</w:t>
      </w:r>
    </w:p>
    <w:p>
      <w:pPr>
        <w:spacing w:after="0" w:line="62" w:lineRule="exact"/>
        <w:rPr>
          <w:sz w:val="20"/>
          <w:szCs w:val="20"/>
          <w:color w:val="auto"/>
        </w:rPr>
      </w:pPr>
    </w:p>
    <w:p>
      <w:pPr>
        <w:ind w:right="180" w:firstLine="476"/>
        <w:spacing w:after="0" w:line="259" w:lineRule="auto"/>
        <w:rPr>
          <w:sz w:val="20"/>
          <w:szCs w:val="20"/>
          <w:color w:val="auto"/>
        </w:rPr>
      </w:pPr>
      <w:r>
        <w:rPr>
          <w:rFonts w:ascii="Arial" w:cs="Arial" w:eastAsia="Arial" w:hAnsi="Arial"/>
          <w:sz w:val="18"/>
          <w:szCs w:val="18"/>
          <w:color w:val="auto"/>
        </w:rPr>
        <w:t>The fair value of the Letter Agreement Warrants was determined using the Black-Scholes option pricing model or option pricing models based on the Company’s current capitalization. Expected volatility is based on a portfolio of selected stocks of companies believed to have market and economic characteristics similar to its own. The risk-free rate is based on the U.S. Treasury yield curve in effect at the time of valuation. Significant inputs utilized in the valuation of the Letter Agreement Warrants were:</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700" w:type="dxa"/>
            <w:vAlign w:val="bottom"/>
            <w:gridSpan w:val="2"/>
          </w:tcPr>
          <w:p>
            <w:pPr>
              <w:ind w:left="740"/>
              <w:spacing w:after="0"/>
              <w:rPr>
                <w:sz w:val="20"/>
                <w:szCs w:val="20"/>
                <w:color w:val="auto"/>
              </w:rPr>
            </w:pPr>
            <w:r>
              <w:rPr>
                <w:rFonts w:ascii="Arial" w:cs="Arial" w:eastAsia="Arial" w:hAnsi="Arial"/>
                <w:sz w:val="14"/>
                <w:szCs w:val="14"/>
                <w:b w:val="1"/>
                <w:bCs w:val="1"/>
                <w:color w:val="auto"/>
              </w:rPr>
              <w:t>December 31, 2018</w:t>
            </w:r>
          </w:p>
        </w:tc>
        <w:tc>
          <w:tcPr>
            <w:tcW w:w="2660" w:type="dxa"/>
            <w:vAlign w:val="bottom"/>
            <w:gridSpan w:val="2"/>
          </w:tcPr>
          <w:p>
            <w:pPr>
              <w:ind w:left="660"/>
              <w:spacing w:after="0"/>
              <w:rPr>
                <w:sz w:val="20"/>
                <w:szCs w:val="20"/>
                <w:color w:val="auto"/>
              </w:rPr>
            </w:pPr>
            <w:r>
              <w:rPr>
                <w:rFonts w:ascii="Arial" w:cs="Arial" w:eastAsia="Arial" w:hAnsi="Arial"/>
                <w:sz w:val="14"/>
                <w:szCs w:val="14"/>
                <w:b w:val="1"/>
                <w:bCs w:val="1"/>
                <w:color w:val="auto"/>
              </w:rPr>
              <w:t>December 31, 2017</w:t>
            </w:r>
          </w:p>
        </w:tc>
      </w:tr>
      <w:tr>
        <w:trPr>
          <w:trHeight w:val="26"/>
        </w:trPr>
        <w:tc>
          <w:tcPr>
            <w:tcW w:w="492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108.53%</w:t>
            </w:r>
          </w:p>
        </w:tc>
        <w:tc>
          <w:tcPr>
            <w:tcW w:w="1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- 115.04%</w:t>
            </w:r>
          </w:p>
        </w:tc>
        <w:tc>
          <w:tcPr>
            <w:tcW w:w="2540" w:type="dxa"/>
            <w:vAlign w:val="bottom"/>
            <w:shd w:val="clear" w:color="auto" w:fill="CFF0FC"/>
          </w:tcPr>
          <w:p>
            <w:pPr>
              <w:jc w:val="right"/>
              <w:ind w:right="936"/>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tcPr>
          <w:p>
            <w:pPr>
              <w:jc w:val="right"/>
              <w:spacing w:after="0"/>
              <w:rPr>
                <w:sz w:val="20"/>
                <w:szCs w:val="20"/>
                <w:color w:val="auto"/>
              </w:rPr>
            </w:pPr>
            <w:r>
              <w:rPr>
                <w:rFonts w:ascii="Arial" w:cs="Arial" w:eastAsia="Arial" w:hAnsi="Arial"/>
                <w:sz w:val="18"/>
                <w:szCs w:val="18"/>
                <w:color w:val="auto"/>
              </w:rPr>
              <w:t>2.59%</w:t>
            </w:r>
          </w:p>
        </w:tc>
        <w:tc>
          <w:tcPr>
            <w:tcW w:w="1420" w:type="dxa"/>
            <w:vAlign w:val="bottom"/>
          </w:tcPr>
          <w:p>
            <w:pPr>
              <w:ind w:left="20"/>
              <w:spacing w:after="0"/>
              <w:rPr>
                <w:sz w:val="20"/>
                <w:szCs w:val="20"/>
                <w:color w:val="auto"/>
              </w:rPr>
            </w:pPr>
            <w:r>
              <w:rPr>
                <w:rFonts w:ascii="Arial" w:cs="Arial" w:eastAsia="Arial" w:hAnsi="Arial"/>
                <w:sz w:val="18"/>
                <w:szCs w:val="18"/>
                <w:color w:val="auto"/>
              </w:rPr>
              <w:t>- 2.69%</w:t>
            </w:r>
          </w:p>
        </w:tc>
        <w:tc>
          <w:tcPr>
            <w:tcW w:w="2540" w:type="dxa"/>
            <w:vAlign w:val="bottom"/>
          </w:tcPr>
          <w:p>
            <w:pPr>
              <w:jc w:val="right"/>
              <w:ind w:right="976"/>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r>
    </w:tbl>
    <w:p>
      <w:pPr>
        <w:spacing w:after="0" w:line="93"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Changes in the unobservable inputs noted above would impact the amount of the liability for the Letter Agreement Warrants. For the Company’s warrants, increases (decreases) in the estimates of the Company’s annual volatility would increase (decrease) the liability and an increase (decrease) in the annual risk-free rate would increase (decrease) the liability.</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121" w:lineRule="exact"/>
        <w:rPr>
          <w:sz w:val="20"/>
          <w:szCs w:val="20"/>
          <w:color w:val="auto"/>
        </w:rPr>
      </w:pPr>
    </w:p>
    <w:p>
      <w:pPr>
        <w:ind w:right="120" w:firstLine="571"/>
        <w:spacing w:after="0" w:line="342" w:lineRule="auto"/>
        <w:rPr>
          <w:sz w:val="20"/>
          <w:szCs w:val="20"/>
          <w:color w:val="auto"/>
        </w:rPr>
      </w:pPr>
      <w:r>
        <w:rPr>
          <w:rFonts w:ascii="Arial" w:cs="Arial" w:eastAsia="Arial" w:hAnsi="Arial"/>
          <w:sz w:val="16"/>
          <w:szCs w:val="16"/>
          <w:color w:val="auto"/>
        </w:rPr>
        <w:t>Subsequent to December 31, 2018, the Company exercised its right to cause MacAndrews &amp; Forbes Group LLC to purchase an additional 2,445,651 shares of its Class A Common Stock at a per share price of $1.84 pursuant to the terms of the December Letter Agreement for $4.5 million in cash.</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33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MacAndrews &amp; Forbes Group LLC</w:t>
      </w:r>
    </w:p>
    <w:p>
      <w:pPr>
        <w:jc w:val="center"/>
        <w:spacing w:after="0" w:line="228" w:lineRule="auto"/>
        <w:rPr>
          <w:sz w:val="20"/>
          <w:szCs w:val="20"/>
          <w:color w:val="auto"/>
        </w:rPr>
      </w:pPr>
      <w:r>
        <w:rPr>
          <w:rFonts w:ascii="Arial" w:cs="Arial" w:eastAsia="Arial" w:hAnsi="Arial"/>
          <w:sz w:val="18"/>
          <w:szCs w:val="18"/>
          <w:b w:val="1"/>
          <w:bCs w:val="1"/>
          <w:i w:val="1"/>
          <w:iCs w:val="1"/>
          <w:color w:val="auto"/>
        </w:rPr>
        <w:t>35 East 62</w:t>
      </w:r>
      <w:r>
        <w:rPr>
          <w:rFonts w:ascii="Arial" w:cs="Arial" w:eastAsia="Arial" w:hAnsi="Arial"/>
          <w:sz w:val="22"/>
          <w:szCs w:val="22"/>
          <w:b w:val="1"/>
          <w:bCs w:val="1"/>
          <w:i w:val="1"/>
          <w:iCs w:val="1"/>
          <w:color w:val="auto"/>
          <w:vertAlign w:val="superscript"/>
        </w:rPr>
        <w:t>nd</w:t>
      </w:r>
      <w:r>
        <w:rPr>
          <w:rFonts w:ascii="Arial" w:cs="Arial" w:eastAsia="Arial" w:hAnsi="Arial"/>
          <w:sz w:val="18"/>
          <w:szCs w:val="18"/>
          <w:b w:val="1"/>
          <w:bCs w:val="1"/>
          <w:i w:val="1"/>
          <w:iCs w:val="1"/>
          <w:color w:val="auto"/>
        </w:rPr>
        <w:t xml:space="preserve"> Street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New York, New York 10065</w:t>
      </w: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December 11, 2018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vTv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4170 Mendenhall Oaks Pkwy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Point, NC 27265</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Attn: Stephen L. Holcombe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Rudy C. Howard</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39" w:lineRule="exact"/>
        <w:rPr>
          <w:sz w:val="20"/>
          <w:szCs w:val="20"/>
          <w:color w:val="auto"/>
        </w:rPr>
      </w:pPr>
    </w:p>
    <w:p>
      <w:pPr>
        <w:ind w:right="920" w:firstLine="815"/>
        <w:spacing w:after="0" w:line="312" w:lineRule="auto"/>
        <w:rPr>
          <w:sz w:val="20"/>
          <w:szCs w:val="20"/>
          <w:color w:val="auto"/>
        </w:rPr>
      </w:pPr>
      <w:r>
        <w:rPr>
          <w:rFonts w:ascii="Arial" w:cs="Arial" w:eastAsia="Arial" w:hAnsi="Arial"/>
          <w:sz w:val="16"/>
          <w:szCs w:val="16"/>
          <w:color w:val="auto"/>
        </w:rPr>
        <w:t>You have indicated an interest in an additional investment by MacAndrews &amp; Forbes Group LLC or one of its affiliates (collectively, “MacAndrews”) in Class A common stock, par value $0.01 (“Common Stock”), of vTv Therapeutics Inc. (the “Company”) in an amount of up to $10,000,000. I am pleased to present, for your board’s consideration, the terms on which we would agree to make such an additional investment.</w:t>
      </w:r>
    </w:p>
    <w:p>
      <w:pPr>
        <w:spacing w:after="0" w:line="160" w:lineRule="exact"/>
        <w:rPr>
          <w:sz w:val="20"/>
          <w:szCs w:val="20"/>
          <w:color w:val="auto"/>
        </w:rPr>
      </w:pPr>
    </w:p>
    <w:p>
      <w:pPr>
        <w:ind w:right="40" w:firstLine="815"/>
        <w:spacing w:after="0" w:line="257" w:lineRule="auto"/>
        <w:rPr>
          <w:sz w:val="20"/>
          <w:szCs w:val="20"/>
          <w:color w:val="auto"/>
        </w:rPr>
      </w:pPr>
      <w:r>
        <w:rPr>
          <w:rFonts w:ascii="Arial" w:cs="Arial" w:eastAsia="Arial" w:hAnsi="Arial"/>
          <w:sz w:val="18"/>
          <w:szCs w:val="18"/>
          <w:color w:val="auto"/>
        </w:rPr>
        <w:t>As set forth in more detail in the term sheet attached to this letter (collectively, the term sheet and this letter are referred to as this “Letter”) we agree to invest up to $10,000,000 in the Company, with such commitment remaining available to the Company, at its option, for a period of one year from the date of this Letter (the “Commitment Period”). In exchange, the definitive agreement will provide that the Company will issue to us on each funding date (the “Company Option”) Common Stock at a per share purchase price equal to $1.84 (the “Per Share Price”), which is equal to the closing price of the Common Stock for trading day prior to the date of this Letter.</w:t>
      </w:r>
    </w:p>
    <w:p>
      <w:pPr>
        <w:spacing w:after="0" w:line="202" w:lineRule="exact"/>
        <w:rPr>
          <w:sz w:val="20"/>
          <w:szCs w:val="20"/>
          <w:color w:val="auto"/>
        </w:rPr>
      </w:pPr>
    </w:p>
    <w:p>
      <w:pPr>
        <w:ind w:right="40" w:firstLine="815"/>
        <w:spacing w:after="0" w:line="288" w:lineRule="auto"/>
        <w:rPr>
          <w:sz w:val="20"/>
          <w:szCs w:val="20"/>
          <w:color w:val="auto"/>
        </w:rPr>
      </w:pPr>
      <w:r>
        <w:rPr>
          <w:rFonts w:ascii="Arial" w:cs="Arial" w:eastAsia="Arial" w:hAnsi="Arial"/>
          <w:sz w:val="16"/>
          <w:szCs w:val="16"/>
          <w:color w:val="auto"/>
        </w:rPr>
        <w:t>In consideration for our binding commitment, upon the execution of this Letter, the Company will issue us warrants to acquire 340,534 shares of Common Stock, exercisable at an initial exercise price of $2.12 per share of Common Stock, subject to customary proportional adjustments for stock splits, stock dividends, combinations and similar transactions. The warrants shall be exercisable for a period of seven years commencing on the date of this Letter. We shall also have the option, during the Commitment Period, to invest in the Company by purchasing up to $10,000,000 of shares of Common Stock at the Per Share Price (the “MacAndrews Option”). Notwithstanding anything to the contrary in this Letter, the total value of Common Stock that may be purchased pursuant to the Company Option and the MacAndrews Option shall not exceed $10,000,000 in the aggregate. The Company Option may be exercised by you, and the MacAndrews Option may be exercised by us, in each case, by the exercising party delivering a notice (a “Funding Notice”) to the other party, which notice shall specify the aggregate value and number of shares of Common Stock to be purchased by us. Funding Notices from the Company shall be made in writing by the Chief Executive Officer or Chief Financial Officer of the Company. MacAndrews shall be limited to three Funding Notices during the Commitment Period; the number of Funding Notices from the Company shall not be limited.</w:t>
      </w:r>
    </w:p>
    <w:p>
      <w:pPr>
        <w:spacing w:after="0" w:line="183" w:lineRule="exact"/>
        <w:rPr>
          <w:sz w:val="20"/>
          <w:szCs w:val="20"/>
          <w:color w:val="auto"/>
        </w:rPr>
      </w:pPr>
    </w:p>
    <w:p>
      <w:pPr>
        <w:ind w:right="200" w:firstLine="815"/>
        <w:spacing w:after="0" w:line="277" w:lineRule="auto"/>
        <w:rPr>
          <w:sz w:val="20"/>
          <w:szCs w:val="20"/>
          <w:color w:val="auto"/>
        </w:rPr>
      </w:pPr>
      <w:r>
        <w:rPr>
          <w:rFonts w:ascii="Arial" w:cs="Arial" w:eastAsia="Arial" w:hAnsi="Arial"/>
          <w:sz w:val="18"/>
          <w:szCs w:val="18"/>
          <w:color w:val="auto"/>
        </w:rPr>
        <w:t>The Company would use the proceeds of any such investment to fund research and development, to pursue growth opportunities and for general corporate purposes.</w:t>
      </w:r>
    </w:p>
    <w:p>
      <w:pPr>
        <w:spacing w:after="0" w:line="184" w:lineRule="exact"/>
        <w:rPr>
          <w:sz w:val="20"/>
          <w:szCs w:val="20"/>
          <w:color w:val="auto"/>
        </w:rPr>
      </w:pPr>
    </w:p>
    <w:p>
      <w:pPr>
        <w:ind w:right="60" w:firstLine="815"/>
        <w:spacing w:after="0" w:line="264" w:lineRule="auto"/>
        <w:rPr>
          <w:sz w:val="20"/>
          <w:szCs w:val="20"/>
          <w:color w:val="auto"/>
        </w:rPr>
      </w:pPr>
      <w:r>
        <w:rPr>
          <w:rFonts w:ascii="Arial" w:cs="Arial" w:eastAsia="Arial" w:hAnsi="Arial"/>
          <w:sz w:val="18"/>
          <w:szCs w:val="18"/>
          <w:color w:val="auto"/>
        </w:rPr>
        <w:t>Our obligation to fund the purchase price and the Company’s obligation to issue shares of Common Stock on the terms set forth in this Letter with respect to each investment contemplated by this Letter are subject to the negotiation and execution of a mutually acceptable securities purchase agreement with respect to each such investment.</w:t>
      </w:r>
    </w:p>
    <w:p>
      <w:pPr>
        <w:spacing w:after="0" w:line="195" w:lineRule="exact"/>
        <w:rPr>
          <w:sz w:val="20"/>
          <w:szCs w:val="20"/>
          <w:color w:val="auto"/>
        </w:rPr>
      </w:pPr>
    </w:p>
    <w:p>
      <w:pPr>
        <w:ind w:right="80" w:firstLine="815"/>
        <w:spacing w:after="0" w:line="302" w:lineRule="auto"/>
        <w:rPr>
          <w:sz w:val="20"/>
          <w:szCs w:val="20"/>
          <w:color w:val="auto"/>
        </w:rPr>
      </w:pPr>
      <w:r>
        <w:rPr>
          <w:rFonts w:ascii="Arial" w:cs="Arial" w:eastAsia="Arial" w:hAnsi="Arial"/>
          <w:sz w:val="16"/>
          <w:szCs w:val="16"/>
          <w:color w:val="auto"/>
        </w:rPr>
        <w:t>This Letter shall, upon execution, be binding on the parties hereto. All obligations under this Letter shall remain in full force and effect until the one-year anniversary of this Letter. The completion of the transactions contemplated by this Letter are subject, among other things, to the negotiation and execution of a definitive agreement acceptable to each of us. The parties hereto agree that, upon delivery of a Funding Notice in accordance with the terms of this Letter by either party, the parties shall, as promptly as practicable, (i) enter into a securities purchase agreement with respect to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11" w:name="page112"/>
    <w:bookmarkEnd w:id="111"/>
    <w:p>
      <w:pPr>
        <w:ind w:right="280"/>
        <w:spacing w:after="0" w:line="259" w:lineRule="auto"/>
        <w:rPr>
          <w:sz w:val="20"/>
          <w:szCs w:val="20"/>
          <w:color w:val="auto"/>
        </w:rPr>
      </w:pPr>
      <w:r>
        <w:rPr>
          <w:rFonts w:ascii="Arial" w:cs="Arial" w:eastAsia="Arial" w:hAnsi="Arial"/>
          <w:sz w:val="18"/>
          <w:szCs w:val="18"/>
          <w:color w:val="auto"/>
        </w:rPr>
        <w:t>contemplated by the Funding Notice, (ii) take all actions and further steps as may be reasonably necessary to complete such investment, and (ii) complete such investment. Notwithstanding anything to the contrary in this Letter, failure by either party to comply with the foregoing sentence shall constitute a material breach under this Letter, entitling the non-breaching party to specific performance (it being understood that money damages would not be an adequate remedy for any such breach).</w:t>
      </w:r>
    </w:p>
    <w:p>
      <w:pPr>
        <w:spacing w:after="0" w:line="200" w:lineRule="exact"/>
        <w:rPr>
          <w:sz w:val="20"/>
          <w:szCs w:val="20"/>
          <w:color w:val="auto"/>
        </w:rPr>
      </w:pPr>
    </w:p>
    <w:p>
      <w:pPr>
        <w:ind w:right="140" w:firstLine="815"/>
        <w:spacing w:after="0" w:line="257" w:lineRule="auto"/>
        <w:rPr>
          <w:sz w:val="20"/>
          <w:szCs w:val="20"/>
          <w:color w:val="auto"/>
        </w:rPr>
      </w:pPr>
      <w:r>
        <w:rPr>
          <w:rFonts w:ascii="Arial" w:cs="Arial" w:eastAsia="Arial" w:hAnsi="Arial"/>
          <w:sz w:val="18"/>
          <w:szCs w:val="18"/>
          <w:color w:val="auto"/>
        </w:rPr>
        <w:t>Neither this Letter nor any of the provisions hereof may be amended, modified, changed or waived except by an instrument in writing signed by the parties hereto. This Letter shall be governed by and construed in accordance with the laws of the State of New York. This Letter contains the full and entire understanding and agreement between the parties with regard to the subject matters hereof and supersedes all prior understandings and agreements relating to the matters set forth herein. This Letter may be executed in counterparts, each of which shall be deemed to constitute an original but all of which together shall constitute one and the same instrument.</w:t>
      </w:r>
    </w:p>
    <w:p>
      <w:pPr>
        <w:spacing w:after="0" w:line="202" w:lineRule="exact"/>
        <w:rPr>
          <w:sz w:val="20"/>
          <w:szCs w:val="20"/>
          <w:color w:val="auto"/>
        </w:rPr>
      </w:pPr>
    </w:p>
    <w:p>
      <w:pPr>
        <w:ind w:firstLine="815"/>
        <w:spacing w:after="0" w:line="293" w:lineRule="auto"/>
        <w:rPr>
          <w:sz w:val="20"/>
          <w:szCs w:val="20"/>
          <w:color w:val="auto"/>
        </w:rPr>
      </w:pPr>
      <w:r>
        <w:rPr>
          <w:rFonts w:ascii="Arial" w:cs="Arial" w:eastAsia="Arial" w:hAnsi="Arial"/>
          <w:sz w:val="18"/>
          <w:szCs w:val="18"/>
          <w:color w:val="auto"/>
        </w:rPr>
        <w:t>We continue to be excited about the Company and its prospects. We look forward to implementing a transaction that would be in the best interests of the Company’s stockholders, officers and other employees,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309880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55" w:right="319" w:bottom="1440" w:gutter="0" w:footer="0" w:header="0"/>
        </w:sectPr>
      </w:pPr>
    </w:p>
    <w:bookmarkStart w:id="112" w:name="page113"/>
    <w:bookmarkEnd w:id="112"/>
    <w:p>
      <w:pPr>
        <w:ind w:left="1000"/>
        <w:spacing w:after="0"/>
        <w:rPr>
          <w:sz w:val="20"/>
          <w:szCs w:val="20"/>
          <w:color w:val="auto"/>
        </w:rPr>
      </w:pPr>
      <w:r>
        <w:rPr>
          <w:rFonts w:ascii="Arial" w:cs="Arial" w:eastAsia="Arial" w:hAnsi="Arial"/>
          <w:sz w:val="18"/>
          <w:szCs w:val="18"/>
          <w:color w:val="auto"/>
        </w:rPr>
        <w:t>Very truly yours,</w:t>
      </w:r>
    </w:p>
    <w:p>
      <w:pPr>
        <w:spacing w:after="0" w:line="239" w:lineRule="exact"/>
        <w:rPr>
          <w:sz w:val="20"/>
          <w:szCs w:val="20"/>
          <w:color w:val="auto"/>
        </w:rPr>
      </w:pPr>
    </w:p>
    <w:p>
      <w:pPr>
        <w:jc w:val="right"/>
        <w:ind w:right="2799"/>
        <w:spacing w:after="0"/>
        <w:rPr>
          <w:sz w:val="20"/>
          <w:szCs w:val="20"/>
          <w:color w:val="auto"/>
        </w:rPr>
      </w:pPr>
      <w:r>
        <w:rPr>
          <w:rFonts w:ascii="Arial" w:cs="Arial" w:eastAsia="Arial" w:hAnsi="Arial"/>
          <w:sz w:val="18"/>
          <w:szCs w:val="18"/>
          <w:color w:val="auto"/>
        </w:rPr>
        <w:t>MACANDREWS &amp; FORBES GROUP LLC</w:t>
      </w:r>
    </w:p>
    <w:p>
      <w:pPr>
        <w:spacing w:after="0" w:line="200" w:lineRule="exact"/>
        <w:rPr>
          <w:sz w:val="20"/>
          <w:szCs w:val="20"/>
          <w:color w:val="auto"/>
        </w:rPr>
      </w:pPr>
    </w:p>
    <w:p>
      <w:pPr>
        <w:spacing w:after="0" w:line="251" w:lineRule="exact"/>
        <w:rPr>
          <w:sz w:val="20"/>
          <w:szCs w:val="20"/>
          <w:color w:val="auto"/>
        </w:rPr>
      </w:pPr>
    </w:p>
    <w:tbl>
      <w:tblPr>
        <w:tblLayout w:type="fixed"/>
        <w:tblInd w:w="422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/s/ Shiri Ben-Yishai</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24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Shiri Ben-Yishai</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VTV THERAPEUTICS INC.</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17"/>
                <w:szCs w:val="17"/>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/s/ Rudy C. Howard</w:t>
            </w:r>
          </w:p>
        </w:tc>
      </w:tr>
      <w:tr>
        <w:trPr>
          <w:trHeight w:val="20"/>
        </w:trPr>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240" w:type="dxa"/>
            <w:vAlign w:val="bottom"/>
          </w:tcPr>
          <w:p>
            <w:pPr>
              <w:spacing w:after="0"/>
              <w:rPr>
                <w:sz w:val="19"/>
                <w:szCs w:val="19"/>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Rudy C. Howard</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Commitment Letter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SUMMARY OF TERMS</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$10,000,000 INVESTMENT</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VTV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11, 2018</w:t>
      </w:r>
    </w:p>
    <w:p>
      <w:pPr>
        <w:spacing w:after="0" w:line="224" w:lineRule="exact"/>
        <w:rPr>
          <w:sz w:val="20"/>
          <w:szCs w:val="20"/>
          <w:color w:val="auto"/>
        </w:rPr>
      </w:pPr>
    </w:p>
    <w:p>
      <w:pPr>
        <w:ind w:firstLine="815"/>
        <w:spacing w:after="0" w:line="277" w:lineRule="auto"/>
        <w:rPr>
          <w:sz w:val="20"/>
          <w:szCs w:val="20"/>
          <w:color w:val="auto"/>
        </w:rPr>
      </w:pPr>
      <w:r>
        <w:rPr>
          <w:rFonts w:ascii="Arial" w:cs="Arial" w:eastAsia="Arial" w:hAnsi="Arial"/>
          <w:sz w:val="18"/>
          <w:szCs w:val="18"/>
          <w:color w:val="auto"/>
        </w:rPr>
        <w:t>This term sheet (“Term Sheet”) summarizes the principal terms of an investment by MacAndrews &amp; Forbes Group LLC or one of its affiliates (collectively, “MacAndrews”) of up to $10,000,000 in vTv Therapeutics Inc. (the “Company”).</w:t>
      </w:r>
    </w:p>
    <w:p>
      <w:pPr>
        <w:spacing w:after="0" w:line="184"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Company Option:</w:t>
      </w:r>
      <w:r>
        <w:rPr>
          <w:sz w:val="20"/>
          <w:szCs w:val="20"/>
          <w:color w:val="auto"/>
        </w:rPr>
        <w:tab/>
      </w:r>
      <w:r>
        <w:rPr>
          <w:rFonts w:ascii="Arial" w:cs="Arial" w:eastAsia="Arial" w:hAnsi="Arial"/>
          <w:sz w:val="16"/>
          <w:szCs w:val="16"/>
          <w:color w:val="auto"/>
        </w:rPr>
        <w:t>MacAndrews commits to invest up to an aggregate of $10,000,000 in the Company, at the Company’s option (the “Company</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Option”), during the one-year period (the “Commitment Period”) following execution of this Letter.</w:t>
      </w:r>
    </w:p>
    <w:p>
      <w:pPr>
        <w:spacing w:after="0" w:line="224"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MacAndrews Option:</w:t>
      </w:r>
      <w:r>
        <w:rPr>
          <w:sz w:val="20"/>
          <w:szCs w:val="20"/>
          <w:color w:val="auto"/>
        </w:rPr>
        <w:tab/>
      </w:r>
      <w:r>
        <w:rPr>
          <w:rFonts w:ascii="Arial" w:cs="Arial" w:eastAsia="Arial" w:hAnsi="Arial"/>
          <w:sz w:val="17"/>
          <w:szCs w:val="17"/>
          <w:color w:val="auto"/>
        </w:rPr>
        <w:t>At any time during the Commitment Period, MacAndrews may, at MacAndrews’ option (the “MacAndrews Option”), elect to</w:t>
      </w:r>
    </w:p>
    <w:p>
      <w:pPr>
        <w:spacing w:after="0" w:line="23" w:lineRule="exact"/>
        <w:rPr>
          <w:sz w:val="20"/>
          <w:szCs w:val="20"/>
          <w:color w:val="auto"/>
        </w:rPr>
      </w:pPr>
    </w:p>
    <w:p>
      <w:pPr>
        <w:ind w:left="2200" w:right="20"/>
        <w:spacing w:after="0" w:line="290" w:lineRule="auto"/>
        <w:rPr>
          <w:sz w:val="20"/>
          <w:szCs w:val="20"/>
          <w:color w:val="auto"/>
        </w:rPr>
      </w:pPr>
      <w:r>
        <w:rPr>
          <w:rFonts w:ascii="Arial" w:cs="Arial" w:eastAsia="Arial" w:hAnsi="Arial"/>
          <w:sz w:val="17"/>
          <w:szCs w:val="17"/>
          <w:color w:val="auto"/>
        </w:rPr>
        <w:t>invest up to $10,000,000 in the Company on the same terms as the Company Option; provided that in no event will the aggregate amount of the investments pursuant to the Company Option and the MacAndrews Option exceed $10,000,000.</w:t>
      </w:r>
    </w:p>
    <w:p>
      <w:pPr>
        <w:sectPr>
          <w:pgSz w:w="11900" w:h="16838" w:orient="portrait"/>
          <w:cols w:equalWidth="0" w:num="1">
            <w:col w:w="11420"/>
          </w:cols>
          <w:pgMar w:left="240" w:top="337" w:right="239" w:bottom="1440" w:gutter="0" w:footer="0" w:header="0"/>
        </w:sectPr>
      </w:pP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Securities to be Issued; Terms of Investments: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the exercise of the Company Option or the MacAndrews Option (an “Investment”), subject to the terms and conditions of the Purchase Agreement (defined below), the Company will issue to Investor on each funding date:</w:t>
      </w:r>
    </w:p>
    <w:p>
      <w:pPr>
        <w:spacing w:after="0" w:line="147" w:lineRule="exact"/>
        <w:rPr>
          <w:sz w:val="20"/>
          <w:szCs w:val="20"/>
          <w:color w:val="auto"/>
        </w:rPr>
      </w:pPr>
    </w:p>
    <w:p>
      <w:pPr>
        <w:sectPr>
          <w:pgSz w:w="11900" w:h="16838" w:orient="portrait"/>
          <w:cols w:equalWidth="0" w:num="2">
            <w:col w:w="2160" w:space="100"/>
            <w:col w:w="9160"/>
          </w:cols>
          <w:pgMar w:left="240" w:top="337" w:right="239" w:bottom="1440" w:gutter="0" w:footer="0" w:header="0"/>
          <w:type w:val="continuous"/>
        </w:sectPr>
      </w:pPr>
    </w:p>
    <w:p>
      <w:pPr>
        <w:ind w:left="2260"/>
        <w:spacing w:after="0"/>
        <w:rPr>
          <w:sz w:val="20"/>
          <w:szCs w:val="20"/>
          <w:color w:val="auto"/>
        </w:rPr>
      </w:pPr>
      <w:r>
        <w:rPr>
          <w:rFonts w:ascii="Arial" w:cs="Arial" w:eastAsia="Arial" w:hAnsi="Arial"/>
          <w:sz w:val="17"/>
          <w:szCs w:val="17"/>
          <w:color w:val="auto"/>
        </w:rPr>
        <w:t>Such number of shares (the “Shares”) of Class A common stock, par value $0.01 per share (“Common Stock”), of the</w:t>
      </w:r>
    </w:p>
    <w:p>
      <w:pPr>
        <w:spacing w:after="0" w:line="35"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Company with a value equal to the Investment, at a per share price (“Per Share Price”) equal to $1.84, which is equal to the</w:t>
      </w:r>
    </w:p>
    <w:p>
      <w:pPr>
        <w:spacing w:after="0" w:line="3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closing price of the Common Stock on the day prior to the date of this Letter.</w:t>
      </w:r>
    </w:p>
    <w:p>
      <w:pPr>
        <w:spacing w:after="0" w:line="224"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To fund research and development, to pursue growth opportunities and for general corporate purposes.</w:t>
      </w:r>
    </w:p>
    <w:p>
      <w:pPr>
        <w:spacing w:after="0" w:line="239"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Commitment Fee:</w:t>
      </w:r>
      <w:r>
        <w:rPr>
          <w:sz w:val="20"/>
          <w:szCs w:val="20"/>
          <w:color w:val="auto"/>
        </w:rPr>
        <w:tab/>
      </w:r>
      <w:r>
        <w:rPr>
          <w:rFonts w:ascii="Arial" w:cs="Arial" w:eastAsia="Arial" w:hAnsi="Arial"/>
          <w:sz w:val="16"/>
          <w:szCs w:val="16"/>
          <w:color w:val="auto"/>
        </w:rPr>
        <w:t>As consideration for the investment commitment and the other covenants and obligations of MacAndrews under this Letter,</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upon the execution of this Letter, the Company will issue to MacAndrews warrants (the “Commitment Fee Warrants”) to</w:t>
      </w:r>
    </w:p>
    <w:p>
      <w:pPr>
        <w:spacing w:after="0" w:line="21"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purchase 340,534 shares of Common Stock, at an exercise price per share of $2.12, payable in cash or by cashless exercise. The</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Commitment Fee Warrants shall be exercisable for seven years commencing on the date of execution of this Letter. The</w:t>
      </w:r>
    </w:p>
    <w:p>
      <w:pPr>
        <w:spacing w:after="0" w:line="21"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Commitment Fee Warrants do not reduce the total amount to be invested under the Company Option and the MacAndrews</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Option.</w:t>
      </w:r>
    </w:p>
    <w:p>
      <w:pPr>
        <w:spacing w:after="0" w:line="211"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Funding Notices; Binding</w:t>
      </w:r>
      <w:r>
        <w:rPr>
          <w:sz w:val="20"/>
          <w:szCs w:val="20"/>
          <w:color w:val="auto"/>
        </w:rPr>
        <w:tab/>
      </w:r>
      <w:r>
        <w:rPr>
          <w:rFonts w:ascii="Arial" w:cs="Arial" w:eastAsia="Arial" w:hAnsi="Arial"/>
          <w:sz w:val="16"/>
          <w:szCs w:val="16"/>
          <w:color w:val="auto"/>
        </w:rPr>
        <w:t>The Company Option may be exercised by the Company, and the MacAndrews Option may be exercised by MacAndrews, in</w:t>
      </w:r>
    </w:p>
    <w:p>
      <w:pPr>
        <w:spacing w:after="0" w:line="23" w:lineRule="exact"/>
        <w:rPr>
          <w:sz w:val="20"/>
          <w:szCs w:val="20"/>
          <w:color w:val="auto"/>
        </w:rPr>
      </w:pPr>
    </w:p>
    <w:p>
      <w:pPr>
        <w:spacing w:after="0"/>
        <w:tabs>
          <w:tab w:leader="none" w:pos="2180" w:val="left"/>
        </w:tabs>
        <w:rPr>
          <w:sz w:val="20"/>
          <w:szCs w:val="20"/>
          <w:color w:val="auto"/>
        </w:rPr>
      </w:pPr>
      <w:r>
        <w:rPr>
          <w:rFonts w:ascii="Arial" w:cs="Arial" w:eastAsia="Arial" w:hAnsi="Arial"/>
          <w:sz w:val="16"/>
          <w:szCs w:val="16"/>
          <w:color w:val="auto"/>
        </w:rPr>
        <w:t>Commitment:</w:t>
      </w:r>
      <w:r>
        <w:rPr>
          <w:sz w:val="20"/>
          <w:szCs w:val="20"/>
          <w:color w:val="auto"/>
        </w:rPr>
        <w:tab/>
      </w:r>
      <w:r>
        <w:rPr>
          <w:rFonts w:ascii="Arial" w:cs="Arial" w:eastAsia="Arial" w:hAnsi="Arial"/>
          <w:sz w:val="16"/>
          <w:szCs w:val="16"/>
          <w:color w:val="auto"/>
        </w:rPr>
        <w:t>each case, by the exercising party delivering a written notice (a “Funding Notice”) to the other party, which notice shall specify</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the aggregate value and number of shares of Common Stock to be purchased by MacAndrews.  Funding Notices from the</w:t>
      </w:r>
    </w:p>
    <w:p>
      <w:pPr>
        <w:spacing w:after="0" w:line="21"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Company shall be made in writing by the Chief Executive Officer or Chief Financial Officer of the Company. MacAndrews</w:t>
      </w:r>
    </w:p>
    <w:p>
      <w:pPr>
        <w:spacing w:after="0" w:line="21"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shall be limited to three Funding Notices during the Commitment Period; the number of Funding Notices from the Company</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shall not be limited.</w:t>
      </w:r>
    </w:p>
    <w:p>
      <w:pPr>
        <w:spacing w:after="0" w:line="211" w:lineRule="exact"/>
        <w:rPr>
          <w:sz w:val="20"/>
          <w:szCs w:val="20"/>
          <w:color w:val="auto"/>
        </w:rPr>
      </w:pPr>
    </w:p>
    <w:p>
      <w:pPr>
        <w:jc w:val="both"/>
        <w:ind w:left="2200"/>
        <w:spacing w:after="0" w:line="291" w:lineRule="auto"/>
        <w:rPr>
          <w:sz w:val="20"/>
          <w:szCs w:val="20"/>
          <w:color w:val="auto"/>
        </w:rPr>
      </w:pPr>
      <w:r>
        <w:rPr>
          <w:rFonts w:ascii="Arial" w:cs="Arial" w:eastAsia="Arial" w:hAnsi="Arial"/>
          <w:sz w:val="16"/>
          <w:szCs w:val="16"/>
          <w:color w:val="auto"/>
        </w:rPr>
        <w:t>Upon delivery of a Funding Notice in accordance with the terms of this Letter by either party, the parties shall, as promptly as practicable, (i) enter into a securities purchase agreement with respect to the Investment contemplated by the Funding Notice,</w:t>
      </w:r>
    </w:p>
    <w:p>
      <w:pPr>
        <w:jc w:val="both"/>
        <w:ind w:left="2200" w:firstLine="9"/>
        <w:spacing w:after="0" w:line="273" w:lineRule="auto"/>
        <w:tabs>
          <w:tab w:leader="none" w:pos="249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take all actions and further steps as may be reasonably necessary to complete such Investment, and (ii) complete such Investment. Notwithstanding anything to the contrary in this Letter, failure by either party to comply with the foregoing sentence shall constitute a material breach of this Letter, entitling the non-breaching party to specific performance (it being understood that money damages would not be an adequate remedy for any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408940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14" w:name="page115"/>
    <w:bookmarkEnd w:id="114"/>
    <w:p>
      <w:pPr>
        <w:ind w:right="60"/>
        <w:spacing w:after="0" w:line="381" w:lineRule="auto"/>
        <w:rPr>
          <w:sz w:val="20"/>
          <w:szCs w:val="20"/>
          <w:color w:val="auto"/>
        </w:rPr>
      </w:pPr>
      <w:r>
        <w:rPr>
          <w:rFonts w:ascii="Arial" w:cs="Arial" w:eastAsia="Arial" w:hAnsi="Arial"/>
          <w:sz w:val="15"/>
          <w:szCs w:val="15"/>
          <w:color w:val="auto"/>
        </w:rPr>
        <w:t>Securities Purchase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MacAndrews’ obligation to fund the purchase price and the Company’s obligation to issue shares of Common Stock on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terms set forth in this Letter with respect to each Investment contemplated by this Letter are subject to the negotiation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execution of a mutually acceptable securities purchase agreement (the “Purchase Agreement”) with respect to each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 The issuance of the Shares will be made pursuant to Regulation D under the Securities Act of 1933, as amended,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MacAndrews agrees that it is an “accredited investor” (as such term is defined in Rule 501 of Regulation D promulgated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Act of 1933, as amended).</w:t>
      </w:r>
    </w:p>
    <w:p>
      <w:pPr>
        <w:spacing w:after="0" w:line="200" w:lineRule="exact"/>
        <w:rPr>
          <w:sz w:val="20"/>
          <w:szCs w:val="20"/>
          <w:color w:val="auto"/>
        </w:rPr>
      </w:pPr>
    </w:p>
    <w:p>
      <w:pPr>
        <w:sectPr>
          <w:pgSz w:w="11900" w:h="16838" w:orient="portrait"/>
          <w:cols w:equalWidth="0" w:num="2">
            <w:col w:w="1480" w:space="720"/>
            <w:col w:w="9220"/>
          </w:cols>
          <w:pgMar w:left="240" w:top="341" w:right="239" w:bottom="144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Expenses: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Counsel to the Company will prepare initial drafts of all documents. The Company shall pay all reasonable fees and expenses of MacAndrews’ counsel, if necessary.</w:t>
      </w:r>
    </w:p>
    <w:p>
      <w:pPr>
        <w:spacing w:after="0" w:line="200" w:lineRule="exact"/>
        <w:rPr>
          <w:sz w:val="20"/>
          <w:szCs w:val="20"/>
          <w:color w:val="auto"/>
        </w:rPr>
      </w:pPr>
    </w:p>
    <w:p>
      <w:pPr>
        <w:sectPr>
          <w:pgSz w:w="11900" w:h="16838" w:orient="portrait"/>
          <w:cols w:equalWidth="0" w:num="2">
            <w:col w:w="1440" w:space="720"/>
            <w:col w:w="9260"/>
          </w:cols>
          <w:pgMar w:left="240" w:top="341"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Registration Rights: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and shares of Common Stock issuable upon exercise of the Commitment Fee Warrants and any other securities acquired in connection with any Investment shall be covered by the Investor Rights Agreement by and between the Company and M&amp;F TTP Holdings Two LLC, as successor in interest to vTv Therapeutics Holdings LLC, dated July 29, 2015, as amended from time to time.</w:t>
      </w:r>
    </w:p>
    <w:p>
      <w:pPr>
        <w:spacing w:after="0" w:line="200" w:lineRule="exact"/>
        <w:rPr>
          <w:sz w:val="20"/>
          <w:szCs w:val="20"/>
          <w:color w:val="auto"/>
        </w:rPr>
      </w:pPr>
    </w:p>
    <w:p>
      <w:pPr>
        <w:sectPr>
          <w:pgSz w:w="11900" w:h="16838" w:orient="portrait"/>
          <w:cols w:equalWidth="0" w:num="2">
            <w:col w:w="1540" w:space="720"/>
            <w:col w:w="9160"/>
          </w:cols>
          <w:pgMar w:left="240" w:top="341"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Representations 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Warranties: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Each Purchase Agreement will include standard representations and warranties by the Company.</w:t>
      </w:r>
    </w:p>
    <w:p>
      <w:pPr>
        <w:spacing w:after="0" w:line="453" w:lineRule="exact"/>
        <w:rPr>
          <w:sz w:val="20"/>
          <w:szCs w:val="20"/>
          <w:color w:val="auto"/>
        </w:rPr>
      </w:pPr>
    </w:p>
    <w:p>
      <w:pPr>
        <w:sectPr>
          <w:pgSz w:w="11900" w:h="16838" w:orient="portrait"/>
          <w:cols w:equalWidth="0" w:num="2">
            <w:col w:w="1480" w:space="720"/>
            <w:col w:w="9220"/>
          </w:cols>
          <w:pgMar w:left="240" w:top="341" w:right="2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Conditions to Closing: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Purchase Agreement will include standard conditions to closing of each tranche, including, without limitation, (i) the Company being in compliance with all applicable Nasdaq Marketplace Rules (both before and after giving effect to the applicable closing), except for non-compliance as previously disclosed by the Company (ii) the Common Stock remaining listed for trading on a Nasdaq exchange and (iii) the Shares to be then issued having been listed for trading on a Nasdaq exchange.</w:t>
      </w:r>
    </w:p>
    <w:p>
      <w:pPr>
        <w:sectPr>
          <w:pgSz w:w="11900" w:h="16838" w:orient="portrait"/>
          <w:cols w:equalWidth="0" w:num="2">
            <w:col w:w="1640" w:space="560"/>
            <w:col w:w="9220"/>
          </w:cols>
          <w:pgMar w:left="240" w:top="341" w:right="23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20"/>
          <w:szCs w:val="20"/>
          <w:b w:val="1"/>
          <w:bCs w:val="1"/>
          <w:color w:val="auto"/>
        </w:rPr>
        <w:t>Exhibit 10.25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PURCHASE AGREEMENT</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This SECURITIES PURCHASE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and entered into as of [_____], by and</w:t>
      </w:r>
    </w:p>
    <w:p>
      <w:pPr>
        <w:spacing w:after="0" w:line="20" w:lineRule="exact"/>
        <w:rPr>
          <w:sz w:val="20"/>
          <w:szCs w:val="20"/>
          <w:color w:val="auto"/>
        </w:rPr>
      </w:pPr>
    </w:p>
    <w:p>
      <w:pPr>
        <w:ind w:right="460"/>
        <w:spacing w:after="0" w:line="237" w:lineRule="auto"/>
        <w:rPr>
          <w:sz w:val="20"/>
          <w:szCs w:val="20"/>
          <w:color w:val="auto"/>
        </w:rPr>
      </w:pPr>
      <w:r>
        <w:rPr>
          <w:rFonts w:ascii="Arial" w:cs="Arial" w:eastAsia="Arial" w:hAnsi="Arial"/>
          <w:sz w:val="22"/>
          <w:szCs w:val="22"/>
          <w:color w:val="auto"/>
        </w:rPr>
        <w:t>between VTV THERAPEUTICS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MACANDREWS &amp; FORBES GROUP LLC, a Delaware limited liability company (the “</w:t>
      </w:r>
      <w:r>
        <w:rPr>
          <w:rFonts w:ascii="Arial" w:cs="Arial" w:eastAsia="Arial" w:hAnsi="Arial"/>
          <w:sz w:val="22"/>
          <w:szCs w:val="22"/>
          <w:u w:val="single" w:color="auto"/>
          <w:color w:val="auto"/>
        </w:rPr>
        <w:t>Purchaser</w:t>
      </w:r>
      <w:r>
        <w:rPr>
          <w:rFonts w:ascii="Arial" w:cs="Arial" w:eastAsia="Arial" w:hAnsi="Arial"/>
          <w:sz w:val="22"/>
          <w:szCs w:val="22"/>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45" w:lineRule="exact"/>
        <w:rPr>
          <w:sz w:val="20"/>
          <w:szCs w:val="20"/>
          <w:color w:val="auto"/>
        </w:rPr>
      </w:pPr>
    </w:p>
    <w:p>
      <w:pPr>
        <w:ind w:right="440" w:firstLine="877"/>
        <w:spacing w:after="0" w:line="251" w:lineRule="auto"/>
        <w:rPr>
          <w:sz w:val="20"/>
          <w:szCs w:val="20"/>
          <w:color w:val="auto"/>
        </w:rPr>
      </w:pPr>
      <w:r>
        <w:rPr>
          <w:rFonts w:ascii="Arial" w:cs="Arial" w:eastAsia="Arial" w:hAnsi="Arial"/>
          <w:sz w:val="22"/>
          <w:szCs w:val="22"/>
          <w:color w:val="auto"/>
        </w:rPr>
        <w:t>WHEREAS, the Company and the Purchaser are parties to that certain December 2018 Letter Agreement dated as of December 11, 2018 (the “</w:t>
      </w:r>
      <w:r>
        <w:rPr>
          <w:rFonts w:ascii="Arial" w:cs="Arial" w:eastAsia="Arial" w:hAnsi="Arial"/>
          <w:sz w:val="22"/>
          <w:szCs w:val="22"/>
          <w:u w:val="single" w:color="auto"/>
          <w:color w:val="auto"/>
        </w:rPr>
        <w:t>December 2018 Letter Agreement</w:t>
      </w:r>
      <w:r>
        <w:rPr>
          <w:rFonts w:ascii="Arial" w:cs="Arial" w:eastAsia="Arial" w:hAnsi="Arial"/>
          <w:sz w:val="22"/>
          <w:szCs w:val="22"/>
          <w:color w:val="auto"/>
        </w:rPr>
        <w:t>”);</w:t>
      </w:r>
    </w:p>
    <w:p>
      <w:pPr>
        <w:spacing w:after="0" w:line="92" w:lineRule="exact"/>
        <w:rPr>
          <w:sz w:val="20"/>
          <w:szCs w:val="20"/>
          <w:color w:val="auto"/>
        </w:rPr>
      </w:pPr>
    </w:p>
    <w:p>
      <w:pPr>
        <w:ind w:right="480" w:firstLine="877"/>
        <w:spacing w:after="0" w:line="297" w:lineRule="auto"/>
        <w:rPr>
          <w:sz w:val="20"/>
          <w:szCs w:val="20"/>
          <w:color w:val="auto"/>
        </w:rPr>
      </w:pPr>
      <w:r>
        <w:rPr>
          <w:rFonts w:ascii="Arial" w:cs="Arial" w:eastAsia="Arial" w:hAnsi="Arial"/>
          <w:sz w:val="19"/>
          <w:szCs w:val="19"/>
          <w:color w:val="auto"/>
        </w:rPr>
        <w:t>WHEREAS, pursuant to the terms of the December 2018 Letter Agreement, the Purchaser provided an investment commitment to invest in the Company, at either party’s option, up to $10,000,000, in exchange for Company Class A common stock, par value $0.01, currently listed on NASDAQ (the “</w:t>
      </w:r>
      <w:r>
        <w:rPr>
          <w:rFonts w:ascii="Arial" w:cs="Arial" w:eastAsia="Arial" w:hAnsi="Arial"/>
          <w:sz w:val="19"/>
          <w:szCs w:val="19"/>
          <w:u w:val="single" w:color="auto"/>
          <w:color w:val="auto"/>
        </w:rPr>
        <w:t>Common Stock</w:t>
      </w:r>
      <w:r>
        <w:rPr>
          <w:rFonts w:ascii="Arial" w:cs="Arial" w:eastAsia="Arial" w:hAnsi="Arial"/>
          <w:sz w:val="19"/>
          <w:szCs w:val="19"/>
          <w:color w:val="auto"/>
        </w:rPr>
        <w:t>”) at a per share price equal to $1.84;</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WHEREAS, on [_____] and pursuant to the terms of the December 2018 Letter Agreement, the Company notified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Purchaser that it intended to exercise its right to cause the Purchaser to invest $[_____] in the Company, which amount represents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[_____] shares of Common Stock (the “</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121" w:lineRule="exact"/>
        <w:rPr>
          <w:sz w:val="20"/>
          <w:szCs w:val="20"/>
          <w:color w:val="auto"/>
        </w:rPr>
      </w:pPr>
    </w:p>
    <w:p>
      <w:pPr>
        <w:jc w:val="both"/>
        <w:ind w:right="20" w:firstLine="877"/>
        <w:spacing w:after="0"/>
        <w:rPr>
          <w:sz w:val="20"/>
          <w:szCs w:val="20"/>
          <w:color w:val="auto"/>
        </w:rPr>
      </w:pPr>
      <w:r>
        <w:rPr>
          <w:rFonts w:ascii="Arial" w:cs="Arial" w:eastAsia="Arial" w:hAnsi="Arial"/>
          <w:sz w:val="22"/>
          <w:szCs w:val="22"/>
          <w:color w:val="auto"/>
        </w:rPr>
        <w:t>NOW, THEREFORE, in consideration of the premises and mutual covenants contained in this Agreement and other good and valuable consideration the receipt and sufficiency of which are hereby acknowledged, the Company and the Purchaser agree as follows:</w:t>
      </w:r>
    </w:p>
    <w:p>
      <w:pPr>
        <w:spacing w:after="0" w:line="99" w:lineRule="exact"/>
        <w:rPr>
          <w:sz w:val="20"/>
          <w:szCs w:val="20"/>
          <w:color w:val="auto"/>
        </w:rPr>
      </w:pPr>
    </w:p>
    <w:p>
      <w:pPr>
        <w:ind w:left="880" w:hanging="440"/>
        <w:spacing w:after="0"/>
        <w:tabs>
          <w:tab w:leader="none" w:pos="88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Purchase and Sale of Securities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760" w:right="160" w:hanging="442"/>
        <w:spacing w:after="0" w:line="238" w:lineRule="auto"/>
        <w:tabs>
          <w:tab w:leader="none" w:pos="1760"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Purchase and Sale of Securities</w:t>
      </w:r>
      <w:r>
        <w:rPr>
          <w:rFonts w:ascii="Arial" w:cs="Arial" w:eastAsia="Arial" w:hAnsi="Arial"/>
          <w:sz w:val="22"/>
          <w:szCs w:val="22"/>
          <w:color w:val="auto"/>
        </w:rPr>
        <w:t>. Subject to the terms and conditions hereof, at the Closing (as herein defined), the Company shall issue and sell to the Purchaser, and the Purchaser shall purchase from the Company, the Shares at a purchase price per Share of $1.84 in cash, for an aggregate amount of $[_____] (the “</w:t>
      </w:r>
      <w:r>
        <w:rPr>
          <w:rFonts w:ascii="Arial" w:cs="Arial" w:eastAsia="Arial" w:hAnsi="Arial"/>
          <w:sz w:val="22"/>
          <w:szCs w:val="22"/>
          <w:u w:val="single" w:color="auto"/>
          <w:color w:val="auto"/>
        </w:rPr>
        <w:t>Purchase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Price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1760" w:right="180" w:hanging="442"/>
        <w:spacing w:after="0" w:line="238" w:lineRule="auto"/>
        <w:tabs>
          <w:tab w:leader="none" w:pos="1760"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Exemption</w:t>
      </w:r>
      <w:r>
        <w:rPr>
          <w:rFonts w:ascii="Arial" w:cs="Arial" w:eastAsia="Arial" w:hAnsi="Arial"/>
          <w:sz w:val="22"/>
          <w:szCs w:val="22"/>
          <w:color w:val="auto"/>
        </w:rPr>
        <w:t>. Based in part on the representations and warranties of the Purchaser set forth herein, the offer and sale of the Shares hereunder are being made in reliance upon the exemption from registration set forth in Regulation D promulgated under the Securities Act of 1933, as amended, and the rules and regulations promulgated thereunder (the “</w:t>
      </w:r>
      <w:r>
        <w:rPr>
          <w:rFonts w:ascii="Arial" w:cs="Arial" w:eastAsia="Arial" w:hAnsi="Arial"/>
          <w:sz w:val="22"/>
          <w:szCs w:val="22"/>
          <w:u w:val="single" w:color="auto"/>
          <w:color w:val="auto"/>
        </w:rPr>
        <w:t>Securities Act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Closings and Deliverables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760" w:right="700" w:hanging="442"/>
        <w:spacing w:after="0" w:line="328" w:lineRule="auto"/>
        <w:tabs>
          <w:tab w:leader="none" w:pos="1760"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At the Closing (as defined herein), the Purchaser will deliver the Purchase Price in cash to the Company via wire transfer in immediately available funds to the account designated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6" w:name="page117"/>
    <w:bookmarkEnd w:id="116"/>
    <w:p>
      <w:pPr>
        <w:ind w:left="1320"/>
        <w:spacing w:after="0"/>
        <w:rPr>
          <w:sz w:val="20"/>
          <w:szCs w:val="20"/>
          <w:color w:val="auto"/>
        </w:rPr>
      </w:pPr>
      <w:r>
        <w:rPr>
          <w:rFonts w:ascii="Arial" w:cs="Arial" w:eastAsia="Arial" w:hAnsi="Arial"/>
          <w:sz w:val="22"/>
          <w:szCs w:val="22"/>
          <w:color w:val="auto"/>
        </w:rPr>
        <w:t>Account Name: [_____]</w:t>
      </w:r>
    </w:p>
    <w:p>
      <w:pPr>
        <w:ind w:left="1320"/>
        <w:spacing w:after="0" w:line="238" w:lineRule="auto"/>
        <w:rPr>
          <w:sz w:val="20"/>
          <w:szCs w:val="20"/>
          <w:color w:val="auto"/>
        </w:rPr>
      </w:pPr>
      <w:r>
        <w:rPr>
          <w:rFonts w:ascii="Arial" w:cs="Arial" w:eastAsia="Arial" w:hAnsi="Arial"/>
          <w:sz w:val="22"/>
          <w:szCs w:val="22"/>
          <w:color w:val="auto"/>
        </w:rPr>
        <w:t>Account Number: [_____]</w:t>
      </w:r>
    </w:p>
    <w:p>
      <w:pPr>
        <w:ind w:left="1320"/>
        <w:spacing w:after="0" w:line="230" w:lineRule="auto"/>
        <w:rPr>
          <w:sz w:val="20"/>
          <w:szCs w:val="20"/>
          <w:color w:val="auto"/>
        </w:rPr>
      </w:pPr>
      <w:r>
        <w:rPr>
          <w:rFonts w:ascii="Arial" w:cs="Arial" w:eastAsia="Arial" w:hAnsi="Arial"/>
          <w:sz w:val="22"/>
          <w:szCs w:val="22"/>
          <w:color w:val="auto"/>
        </w:rPr>
        <w:t>Routing Number: [_____]</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Bank Name: [_____]</w:t>
      </w:r>
    </w:p>
    <w:p>
      <w:pPr>
        <w:spacing w:after="0" w:line="215" w:lineRule="exact"/>
        <w:rPr>
          <w:sz w:val="20"/>
          <w:szCs w:val="20"/>
          <w:color w:val="auto"/>
        </w:rPr>
      </w:pPr>
    </w:p>
    <w:p>
      <w:pPr>
        <w:ind w:left="1320" w:hanging="442"/>
        <w:spacing w:after="0" w:line="328" w:lineRule="auto"/>
        <w:tabs>
          <w:tab w:leader="none" w:pos="1320"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Closing</w:t>
      </w:r>
      <w:r>
        <w:rPr>
          <w:rFonts w:ascii="Arial" w:cs="Arial" w:eastAsia="Arial" w:hAnsi="Arial"/>
          <w:sz w:val="19"/>
          <w:szCs w:val="19"/>
          <w:color w:val="auto"/>
        </w:rPr>
        <w:t>. The closing of the purchase and sale of the Shares shall be deemed for all purposes to have taken place at 11:00 (EST) on the date hereof (the “</w:t>
      </w:r>
      <w:r>
        <w:rPr>
          <w:rFonts w:ascii="Arial" w:cs="Arial" w:eastAsia="Arial" w:hAnsi="Arial"/>
          <w:sz w:val="19"/>
          <w:szCs w:val="19"/>
          <w:u w:val="single" w:color="auto"/>
          <w:color w:val="auto"/>
        </w:rPr>
        <w:t>Closing Date</w:t>
      </w:r>
      <w:r>
        <w:rPr>
          <w:rFonts w:ascii="Arial" w:cs="Arial" w:eastAsia="Arial" w:hAnsi="Arial"/>
          <w:sz w:val="19"/>
          <w:szCs w:val="19"/>
          <w:color w:val="auto"/>
        </w:rPr>
        <w:t>”), at the offices of the Company (the “</w:t>
      </w:r>
      <w:r>
        <w:rPr>
          <w:rFonts w:ascii="Arial" w:cs="Arial" w:eastAsia="Arial" w:hAnsi="Arial"/>
          <w:sz w:val="19"/>
          <w:szCs w:val="19"/>
          <w:u w:val="single" w:color="auto"/>
          <w:color w:val="auto"/>
        </w:rPr>
        <w:t>Closing</w:t>
      </w:r>
      <w:r>
        <w:rPr>
          <w:rFonts w:ascii="Arial" w:cs="Arial" w:eastAsia="Arial" w:hAnsi="Arial"/>
          <w:sz w:val="19"/>
          <w:szCs w:val="19"/>
          <w:color w:val="auto"/>
        </w:rPr>
        <w:t>”).</w:t>
      </w:r>
    </w:p>
    <w:p>
      <w:pPr>
        <w:spacing w:after="0" w:line="126" w:lineRule="exact"/>
        <w:rPr>
          <w:rFonts w:ascii="Arial" w:cs="Arial" w:eastAsia="Arial" w:hAnsi="Arial"/>
          <w:sz w:val="19"/>
          <w:szCs w:val="19"/>
          <w:color w:val="auto"/>
        </w:rPr>
      </w:pPr>
    </w:p>
    <w:p>
      <w:pPr>
        <w:ind w:left="440" w:right="180" w:hanging="440"/>
        <w:spacing w:after="0" w:line="256" w:lineRule="auto"/>
        <w:tabs>
          <w:tab w:leader="none" w:pos="44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 by the Company</w:t>
      </w:r>
      <w:r>
        <w:rPr>
          <w:rFonts w:ascii="Arial" w:cs="Arial" w:eastAsia="Arial" w:hAnsi="Arial"/>
          <w:sz w:val="22"/>
          <w:szCs w:val="22"/>
          <w:color w:val="auto"/>
        </w:rPr>
        <w:t>. The Company hereby represents and warrants to the Purchaser,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date hereof, as follows:</w:t>
      </w:r>
    </w:p>
    <w:p>
      <w:pPr>
        <w:spacing w:after="0" w:line="195" w:lineRule="exact"/>
        <w:rPr>
          <w:rFonts w:ascii="Arial" w:cs="Arial" w:eastAsia="Arial" w:hAnsi="Arial"/>
          <w:sz w:val="22"/>
          <w:szCs w:val="22"/>
          <w:b w:val="1"/>
          <w:bCs w:val="1"/>
          <w:color w:val="auto"/>
        </w:rPr>
      </w:pPr>
    </w:p>
    <w:p>
      <w:pPr>
        <w:ind w:left="1320" w:right="60" w:hanging="442"/>
        <w:spacing w:after="0" w:line="238" w:lineRule="auto"/>
        <w:tabs>
          <w:tab w:leader="none" w:pos="1320"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Incorporation and Qualification</w:t>
      </w:r>
      <w:r>
        <w:rPr>
          <w:rFonts w:ascii="Arial" w:cs="Arial" w:eastAsia="Arial" w:hAnsi="Arial"/>
          <w:sz w:val="22"/>
          <w:szCs w:val="22"/>
          <w:color w:val="auto"/>
        </w:rPr>
        <w:t>. The Company has been duly organized and is validly existing as a corporation and in good standing under the laws of the State of Delaware with the requisite corporate power and authority to own and use its properties and assets and to carry on its business as currently conducted in all material respects.</w:t>
      </w:r>
    </w:p>
    <w:p>
      <w:pPr>
        <w:spacing w:after="0" w:line="212" w:lineRule="exact"/>
        <w:rPr>
          <w:rFonts w:ascii="Arial" w:cs="Arial" w:eastAsia="Arial" w:hAnsi="Arial"/>
          <w:sz w:val="22"/>
          <w:szCs w:val="22"/>
          <w:color w:val="auto"/>
        </w:rPr>
      </w:pPr>
    </w:p>
    <w:p>
      <w:pPr>
        <w:ind w:left="1320" w:right="140" w:hanging="442"/>
        <w:spacing w:after="0" w:line="246" w:lineRule="auto"/>
        <w:tabs>
          <w:tab w:leader="none" w:pos="1320" w:val="left"/>
        </w:tabs>
        <w:numPr>
          <w:ilvl w:val="1"/>
          <w:numId w:val="66"/>
        </w:numPr>
        <w:rPr>
          <w:rFonts w:ascii="Arial" w:cs="Arial" w:eastAsia="Arial" w:hAnsi="Arial"/>
          <w:sz w:val="21"/>
          <w:szCs w:val="21"/>
          <w:color w:val="auto"/>
        </w:rPr>
      </w:pPr>
      <w:r>
        <w:rPr>
          <w:rFonts w:ascii="Arial" w:cs="Arial" w:eastAsia="Arial" w:hAnsi="Arial"/>
          <w:sz w:val="21"/>
          <w:szCs w:val="21"/>
          <w:u w:val="single" w:color="auto"/>
          <w:color w:val="auto"/>
        </w:rPr>
        <w:t>Authority</w:t>
      </w:r>
      <w:r>
        <w:rPr>
          <w:rFonts w:ascii="Arial" w:cs="Arial" w:eastAsia="Arial" w:hAnsi="Arial"/>
          <w:sz w:val="21"/>
          <w:szCs w:val="21"/>
          <w:color w:val="auto"/>
        </w:rPr>
        <w:t>. The Company has the requisite corporate power and authority to enter into this Agreement and to issue and deliver the Shares. The execution and delivery of this Agreement has been duly and validly authorized by all necessary corporate action by the Company. This Agreement has been duly and validly executed and delivered by and on behalf of the Company and constitutes a valid, legal and binding agreement, enforceable against the Company in accordance with its terms, except as enforceability may be limited by general equitable principles, bankruptcy, insolvency, fraudulent conveyance, reorganization, moratorium or other laws affecting creditors’ rights generally and except as any indemnity in respect of securities law liabilities may be unenforceable.</w:t>
      </w:r>
    </w:p>
    <w:p>
      <w:pPr>
        <w:spacing w:after="0" w:line="207" w:lineRule="exact"/>
        <w:rPr>
          <w:rFonts w:ascii="Arial" w:cs="Arial" w:eastAsia="Arial" w:hAnsi="Arial"/>
          <w:sz w:val="21"/>
          <w:szCs w:val="21"/>
          <w:color w:val="auto"/>
        </w:rPr>
      </w:pPr>
    </w:p>
    <w:p>
      <w:pPr>
        <w:ind w:left="1320" w:right="280" w:hanging="442"/>
        <w:spacing w:after="0" w:line="287" w:lineRule="auto"/>
        <w:tabs>
          <w:tab w:leader="none" w:pos="1320"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Brokers and Finders</w:t>
      </w:r>
      <w:r>
        <w:rPr>
          <w:rFonts w:ascii="Arial" w:cs="Arial" w:eastAsia="Arial" w:hAnsi="Arial"/>
          <w:sz w:val="19"/>
          <w:szCs w:val="19"/>
          <w:color w:val="auto"/>
        </w:rPr>
        <w:t>. There is no investment banker, broker, finder or other intermediary which has been retained by or is authorized to act on behalf of the Company who might be entitled to any fee or commission from the Company, the Purchaser or any of their respective affiliates upon consummation of the transactions contemplated by this Agreement except as may be noted and disclosed to the Purchaser.</w:t>
      </w:r>
    </w:p>
    <w:p>
      <w:pPr>
        <w:spacing w:after="0" w:line="170" w:lineRule="exact"/>
        <w:rPr>
          <w:rFonts w:ascii="Arial" w:cs="Arial" w:eastAsia="Arial" w:hAnsi="Arial"/>
          <w:sz w:val="19"/>
          <w:szCs w:val="19"/>
          <w:color w:val="auto"/>
        </w:rPr>
      </w:pPr>
    </w:p>
    <w:p>
      <w:pPr>
        <w:ind w:left="1320" w:right="220" w:hanging="442"/>
        <w:spacing w:after="0" w:line="274" w:lineRule="auto"/>
        <w:tabs>
          <w:tab w:leader="none" w:pos="1320" w:val="left"/>
        </w:tabs>
        <w:numPr>
          <w:ilvl w:val="1"/>
          <w:numId w:val="66"/>
        </w:numPr>
        <w:rPr>
          <w:rFonts w:ascii="Arial" w:cs="Arial" w:eastAsia="Arial" w:hAnsi="Arial"/>
          <w:sz w:val="21"/>
          <w:szCs w:val="21"/>
          <w:color w:val="auto"/>
        </w:rPr>
      </w:pPr>
      <w:r>
        <w:rPr>
          <w:rFonts w:ascii="Arial" w:cs="Arial" w:eastAsia="Arial" w:hAnsi="Arial"/>
          <w:sz w:val="21"/>
          <w:szCs w:val="21"/>
          <w:u w:val="single" w:color="auto"/>
          <w:color w:val="auto"/>
        </w:rPr>
        <w:t>Nasdaq Compliance</w:t>
      </w:r>
      <w:r>
        <w:rPr>
          <w:rFonts w:ascii="Arial" w:cs="Arial" w:eastAsia="Arial" w:hAnsi="Arial"/>
          <w:sz w:val="21"/>
          <w:szCs w:val="21"/>
          <w:color w:val="auto"/>
        </w:rPr>
        <w:t>. The Company is, and immediately following the issuance of the Shares pursuant to this Agreement will be, in compliance with all applicable NASDAQ Marketplace Rules.</w:t>
      </w:r>
    </w:p>
    <w:p>
      <w:pPr>
        <w:spacing w:after="0" w:line="171" w:lineRule="exact"/>
        <w:rPr>
          <w:rFonts w:ascii="Arial" w:cs="Arial" w:eastAsia="Arial" w:hAnsi="Arial"/>
          <w:sz w:val="21"/>
          <w:szCs w:val="21"/>
          <w:color w:val="auto"/>
        </w:rPr>
      </w:pPr>
    </w:p>
    <w:p>
      <w:pPr>
        <w:ind w:left="440" w:right="280" w:hanging="440"/>
        <w:spacing w:after="0" w:line="256" w:lineRule="auto"/>
        <w:tabs>
          <w:tab w:leader="none" w:pos="44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 of the Purchaser</w:t>
      </w:r>
      <w:r>
        <w:rPr>
          <w:rFonts w:ascii="Arial" w:cs="Arial" w:eastAsia="Arial" w:hAnsi="Arial"/>
          <w:sz w:val="22"/>
          <w:szCs w:val="22"/>
          <w:color w:val="auto"/>
        </w:rPr>
        <w:t>. The Purchaser represents and warrants to the Company,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hereof,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322580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591" w:right="239" w:bottom="1440" w:gutter="0" w:footer="0" w:header="0"/>
        </w:sectPr>
      </w:pPr>
    </w:p>
    <w:bookmarkStart w:id="117" w:name="page118"/>
    <w:bookmarkEnd w:id="117"/>
    <w:p>
      <w:pPr>
        <w:ind w:left="560" w:hanging="442"/>
        <w:spacing w:after="0"/>
        <w:tabs>
          <w:tab w:leader="none" w:pos="56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Power</w:t>
      </w:r>
      <w:r>
        <w:rPr>
          <w:rFonts w:ascii="Arial" w:cs="Arial" w:eastAsia="Arial" w:hAnsi="Arial"/>
          <w:sz w:val="22"/>
          <w:szCs w:val="22"/>
          <w:color w:val="auto"/>
        </w:rPr>
        <w:t>. The Purchaser has been duly organized, is validly existing and is in good standing under the laws of its state of incorporation, with all limited liability company power and authority to execute, deliver and perform its obligations under the Agreement.</w:t>
      </w:r>
    </w:p>
    <w:p>
      <w:pPr>
        <w:spacing w:after="0" w:line="213" w:lineRule="exact"/>
        <w:rPr>
          <w:rFonts w:ascii="Arial" w:cs="Arial" w:eastAsia="Arial" w:hAnsi="Arial"/>
          <w:sz w:val="22"/>
          <w:szCs w:val="22"/>
          <w:color w:val="auto"/>
        </w:rPr>
      </w:pPr>
    </w:p>
    <w:p>
      <w:pPr>
        <w:ind w:left="560" w:right="40" w:hanging="442"/>
        <w:spacing w:after="0" w:line="277" w:lineRule="auto"/>
        <w:tabs>
          <w:tab w:leader="none" w:pos="560"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The Purchaser has the requisite power and authority to enter into this Agreement. The execution and delivery of this Agreement and the acquiring of the Shares hereunder and the consummation of the transactions contemplated hereby have been duly and validly authorized by all necessary action by the Purchaser. This Agreement has been duly and validly executed and delivered by or on behalf of the Purchaser and constitutes a valid, legal and binding agreement, enforceable against the Purchaser in accordance with its terms, except as enforceability may be limited by general equitable principles, bankruptcy, insolvency, fraudulent conveyance, reorganization, moratorium or other laws affecting creditors’ rights generally.</w:t>
      </w:r>
    </w:p>
    <w:p>
      <w:pPr>
        <w:spacing w:after="0" w:line="179" w:lineRule="exact"/>
        <w:rPr>
          <w:rFonts w:ascii="Arial" w:cs="Arial" w:eastAsia="Arial" w:hAnsi="Arial"/>
          <w:sz w:val="19"/>
          <w:szCs w:val="19"/>
          <w:color w:val="auto"/>
        </w:rPr>
      </w:pPr>
    </w:p>
    <w:p>
      <w:pPr>
        <w:ind w:left="560" w:hanging="442"/>
        <w:spacing w:after="0"/>
        <w:tabs>
          <w:tab w:leader="none" w:pos="56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Investment in Securities</w:t>
      </w:r>
      <w:r>
        <w:rPr>
          <w:rFonts w:ascii="Arial" w:cs="Arial" w:eastAsia="Arial" w:hAnsi="Arial"/>
          <w:sz w:val="22"/>
          <w:szCs w:val="22"/>
          <w:color w:val="auto"/>
        </w:rPr>
        <w:t>. The Purchaser:</w:t>
      </w:r>
    </w:p>
    <w:p>
      <w:pPr>
        <w:spacing w:after="0" w:line="233" w:lineRule="exact"/>
        <w:rPr>
          <w:rFonts w:ascii="Arial" w:cs="Arial" w:eastAsia="Arial" w:hAnsi="Arial"/>
          <w:sz w:val="22"/>
          <w:szCs w:val="22"/>
          <w:color w:val="auto"/>
        </w:rPr>
      </w:pPr>
    </w:p>
    <w:p>
      <w:pPr>
        <w:ind w:left="1420" w:right="120" w:hanging="208"/>
        <w:spacing w:after="0" w:line="249" w:lineRule="auto"/>
        <w:tabs>
          <w:tab w:leader="none" w:pos="1420" w:val="left"/>
        </w:tabs>
        <w:numPr>
          <w:ilvl w:val="1"/>
          <w:numId w:val="67"/>
        </w:numPr>
        <w:rPr>
          <w:rFonts w:ascii="Arial" w:cs="Arial" w:eastAsia="Arial" w:hAnsi="Arial"/>
          <w:sz w:val="21"/>
          <w:szCs w:val="21"/>
          <w:color w:val="auto"/>
        </w:rPr>
      </w:pPr>
      <w:r>
        <w:rPr>
          <w:rFonts w:ascii="Arial" w:cs="Arial" w:eastAsia="Arial" w:hAnsi="Arial"/>
          <w:sz w:val="21"/>
          <w:szCs w:val="21"/>
          <w:color w:val="auto"/>
        </w:rPr>
        <w:t>is knowledgeable, sophisticated and experienced in making, and is qualified to make, decisions with respect to investments in shares representing an investment decision like that involved in the acquiring of the Shares, including investments in securities issued by the Company and comparable entities, and has requested, received, reviewed and considered all information it deems relevant in making an informed decision to acquire the Shares;</w:t>
      </w:r>
    </w:p>
    <w:p>
      <w:pPr>
        <w:spacing w:after="0" w:line="205" w:lineRule="exact"/>
        <w:rPr>
          <w:rFonts w:ascii="Arial" w:cs="Arial" w:eastAsia="Arial" w:hAnsi="Arial"/>
          <w:sz w:val="21"/>
          <w:szCs w:val="21"/>
          <w:color w:val="auto"/>
        </w:rPr>
      </w:pPr>
    </w:p>
    <w:p>
      <w:pPr>
        <w:ind w:left="1420" w:right="160" w:hanging="208"/>
        <w:spacing w:after="0" w:line="238" w:lineRule="auto"/>
        <w:tabs>
          <w:tab w:leader="none" w:pos="1420" w:val="left"/>
        </w:tabs>
        <w:numPr>
          <w:ilvl w:val="1"/>
          <w:numId w:val="67"/>
        </w:numPr>
        <w:rPr>
          <w:rFonts w:ascii="Arial" w:cs="Arial" w:eastAsia="Arial" w:hAnsi="Arial"/>
          <w:sz w:val="22"/>
          <w:szCs w:val="22"/>
          <w:color w:val="auto"/>
        </w:rPr>
      </w:pPr>
      <w:r>
        <w:rPr>
          <w:rFonts w:ascii="Arial" w:cs="Arial" w:eastAsia="Arial" w:hAnsi="Arial"/>
          <w:sz w:val="22"/>
          <w:szCs w:val="22"/>
          <w:color w:val="auto"/>
        </w:rPr>
        <w:t>is acquiring the Shares in the ordinary course of its business and for its own account for investment only and with no present intention or view toward the public sale or distribution thereof, and no arrangement or understanding exists with any other persons regarding the public sale or distribution of any Shares; and</w:t>
      </w:r>
    </w:p>
    <w:p>
      <w:pPr>
        <w:spacing w:after="0" w:line="212" w:lineRule="exact"/>
        <w:rPr>
          <w:sz w:val="20"/>
          <w:szCs w:val="20"/>
          <w:color w:val="auto"/>
        </w:rPr>
      </w:pPr>
    </w:p>
    <w:p>
      <w:pPr>
        <w:ind w:left="1420" w:right="60" w:hanging="215"/>
        <w:spacing w:after="0" w:line="252" w:lineRule="auto"/>
        <w:rPr>
          <w:sz w:val="20"/>
          <w:szCs w:val="20"/>
          <w:color w:val="auto"/>
        </w:rPr>
      </w:pPr>
      <w:r>
        <w:rPr>
          <w:rFonts w:ascii="Arial" w:cs="Arial" w:eastAsia="Arial" w:hAnsi="Arial"/>
          <w:sz w:val="20"/>
          <w:szCs w:val="20"/>
          <w:color w:val="auto"/>
        </w:rPr>
        <w:t>iii.</w:t>
      </w:r>
      <w:r>
        <w:rPr>
          <w:rFonts w:ascii="Arial" w:cs="Arial" w:eastAsia="Arial" w:hAnsi="Arial"/>
          <w:sz w:val="21"/>
          <w:szCs w:val="21"/>
          <w:color w:val="auto"/>
        </w:rPr>
        <w:t>will not, directly or indirectly, except in compliance with the Securities Act, the rules and regulations</w:t>
      </w:r>
      <w:r>
        <w:rPr>
          <w:rFonts w:ascii="Arial" w:cs="Arial" w:eastAsia="Arial" w:hAnsi="Arial"/>
          <w:sz w:val="20"/>
          <w:szCs w:val="20"/>
          <w:color w:val="auto"/>
        </w:rPr>
        <w:t xml:space="preserve"> </w:t>
      </w:r>
      <w:r>
        <w:rPr>
          <w:rFonts w:ascii="Arial" w:cs="Arial" w:eastAsia="Arial" w:hAnsi="Arial"/>
          <w:sz w:val="21"/>
          <w:szCs w:val="21"/>
          <w:color w:val="auto"/>
        </w:rPr>
        <w:t>promulgated thereunder and such other securities or blue sky laws as may be applicable, offer, sell, pledge, transfer or otherwise dispose of (or solicit any offers to buy, purchase or otherwise acquire or take a pledge of) any of the Shares.</w:t>
      </w:r>
    </w:p>
    <w:p>
      <w:pPr>
        <w:spacing w:after="0" w:line="201" w:lineRule="exact"/>
        <w:rPr>
          <w:sz w:val="20"/>
          <w:szCs w:val="20"/>
          <w:color w:val="auto"/>
        </w:rPr>
      </w:pPr>
    </w:p>
    <w:p>
      <w:pPr>
        <w:ind w:left="560" w:right="320" w:hanging="442"/>
        <w:spacing w:after="0" w:line="297" w:lineRule="auto"/>
        <w:tabs>
          <w:tab w:leader="none" w:pos="56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Exemptions</w:t>
      </w:r>
      <w:r>
        <w:rPr>
          <w:rFonts w:ascii="Arial" w:cs="Arial" w:eastAsia="Arial" w:hAnsi="Arial"/>
          <w:sz w:val="19"/>
          <w:szCs w:val="19"/>
          <w:color w:val="auto"/>
        </w:rPr>
        <w:t>. The Purchaser understands that the Shares are being issued to it in reliance upon a specific exemption from the registration requirements of Securities Act, the rules and regulations and state securities laws, and that the Company is relying upon the truth and accuracy of, and the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300355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91" w:right="239" w:bottom="1440" w:gutter="0" w:footer="0" w:header="0"/>
        </w:sectPr>
      </w:pPr>
    </w:p>
    <w:bookmarkStart w:id="118" w:name="page119"/>
    <w:bookmarkEnd w:id="118"/>
    <w:p>
      <w:pPr>
        <w:ind w:left="560" w:right="460"/>
        <w:spacing w:after="0" w:line="287" w:lineRule="auto"/>
        <w:rPr>
          <w:sz w:val="20"/>
          <w:szCs w:val="20"/>
          <w:color w:val="auto"/>
        </w:rPr>
      </w:pPr>
      <w:r>
        <w:rPr>
          <w:rFonts w:ascii="Arial" w:cs="Arial" w:eastAsia="Arial" w:hAnsi="Arial"/>
          <w:sz w:val="19"/>
          <w:szCs w:val="19"/>
          <w:color w:val="auto"/>
        </w:rPr>
        <w:t>compliance with, the representations, warranties, agreements, acknowledgments and understandings of the Purchaser set forth herein in order to determine the availability of such exemption and the eligibility of the Purchaser to acquire the Shares. The Purchaser agrees that it is an “accredited investor” (as such term is defined in Rule 501 of Regulation D promulgated under the Securities Act).</w:t>
      </w:r>
    </w:p>
    <w:p>
      <w:pPr>
        <w:spacing w:after="0" w:line="170" w:lineRule="exact"/>
        <w:rPr>
          <w:sz w:val="20"/>
          <w:szCs w:val="20"/>
          <w:color w:val="auto"/>
        </w:rPr>
      </w:pPr>
    </w:p>
    <w:p>
      <w:pPr>
        <w:ind w:left="560" w:right="40" w:hanging="442"/>
        <w:spacing w:after="0" w:line="270" w:lineRule="auto"/>
        <w:tabs>
          <w:tab w:leader="none" w:pos="56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Investment Risk</w:t>
      </w:r>
      <w:r>
        <w:rPr>
          <w:rFonts w:ascii="Arial" w:cs="Arial" w:eastAsia="Arial" w:hAnsi="Arial"/>
          <w:sz w:val="19"/>
          <w:szCs w:val="19"/>
          <w:color w:val="auto"/>
        </w:rPr>
        <w:t>. The Purchaser understands that its investment in the Shares involves a significant degree of risk and that the market price of the Common Stock has been and continues to be volatile, that no representation is being made as to the future value of the Common Stock and that the Purchaser has carefully read and considered the matters set forth in public filings made by the Company with the Securities and Exchange Commission (“</w:t>
      </w:r>
      <w:r>
        <w:rPr>
          <w:rFonts w:ascii="Arial" w:cs="Arial" w:eastAsia="Arial" w:hAnsi="Arial"/>
          <w:sz w:val="19"/>
          <w:szCs w:val="19"/>
          <w:u w:val="single" w:color="auto"/>
          <w:color w:val="auto"/>
        </w:rPr>
        <w:t>SEC</w:t>
      </w:r>
      <w:r>
        <w:rPr>
          <w:rFonts w:ascii="Arial" w:cs="Arial" w:eastAsia="Arial" w:hAnsi="Arial"/>
          <w:sz w:val="19"/>
          <w:szCs w:val="19"/>
          <w:color w:val="auto"/>
        </w:rPr>
        <w:t>”). The Purchaser has the knowledge and experience in financial and business matters as to be capable of evaluating the merits and risks of an investment in the Shares and has the ability to bear the economic risks of an investment in the Shares. The Purchaser has had a reasonable opportunity to review the Company’s public filings with the SEC, to ask questions of the Company and its representatives; and the Company has answered all inquiries that the Purchaser or the Purchaser’s representatives have put to it, and all such inquiries have been answered to the full satisfaction of the Purchaser. The Purchaser acknowledges that certain representatives of the Purchaser are representatives of significant holders of the Company’s outstanding equity securities and are directors of the Company, and, as a result, the Purchaser agrees and acknowledges that all material information regarding the Company’s financial condition, results of operations, business, properties, assets, liabilities, management, projections, appraisals, communications with creditors, and plans, proposals and prospects, including information that may affect the trading price of the Shares is currently known to the Seller and will be known to the Purchaser at the time it completes the transactions contemplated by this Agreement.</w:t>
      </w: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ind w:left="560" w:right="160" w:hanging="442"/>
        <w:spacing w:after="0" w:line="279" w:lineRule="auto"/>
        <w:tabs>
          <w:tab w:leader="none" w:pos="56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Restrictions on Securities</w:t>
      </w:r>
      <w:r>
        <w:rPr>
          <w:rFonts w:ascii="Arial" w:cs="Arial" w:eastAsia="Arial" w:hAnsi="Arial"/>
          <w:sz w:val="19"/>
          <w:szCs w:val="19"/>
          <w:color w:val="auto"/>
        </w:rPr>
        <w:t>. The Shares may only be disposed of in compliance with state and federal securities laws. In connection with any transfer of Shares other than pursuant to an effective registration statement, the Company may require the Purchaser to provide to the Company an opinion of counsel selected by the Purchaser, the form and substance of which opinion shall be reasonably satisfactory to the Company, to the effect that such transfer does not require registration of such transferred Shares under the Securities Act. The Purchaser agrees to the imprinting of a legend on the Shares in the following or substantially similar form:</w:t>
      </w:r>
    </w:p>
    <w:p>
      <w:pPr>
        <w:spacing w:after="0" w:line="83" w:lineRule="exact"/>
        <w:rPr>
          <w:rFonts w:ascii="Arial" w:cs="Arial" w:eastAsia="Arial" w:hAnsi="Arial"/>
          <w:sz w:val="19"/>
          <w:szCs w:val="19"/>
          <w:color w:val="auto"/>
        </w:rPr>
      </w:pPr>
    </w:p>
    <w:p>
      <w:pPr>
        <w:jc w:val="both"/>
        <w:ind w:left="560"/>
        <w:spacing w:after="0" w:line="252" w:lineRule="auto"/>
        <w:rPr>
          <w:rFonts w:ascii="Arial" w:cs="Arial" w:eastAsia="Arial" w:hAnsi="Arial"/>
          <w:sz w:val="19"/>
          <w:szCs w:val="19"/>
          <w:color w:val="auto"/>
        </w:rPr>
      </w:pPr>
      <w:r>
        <w:rPr>
          <w:rFonts w:ascii="Arial" w:cs="Arial" w:eastAsia="Arial" w:hAnsi="Arial"/>
          <w:sz w:val="21"/>
          <w:szCs w:val="21"/>
          <w:color w:val="auto"/>
        </w:rPr>
        <w:t>THE TRANSFER OF THESE SECURITIES HAS NOT BEEN REGISTERED UNDER THE SECURITIES ACT OF 1933, AS AMENDED, OR UNDER THE SECURITIES LAWS OF ANY OTHER JURISDICTION, AND MAY NOT BE SOLD OR TRANSFERRED OTHER THAN IN ACCORDANCE WITH THE REGISTRATION REQUIREMENTS OF THE SECURITIES ACT OF 1933,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325755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8" w:right="239" w:bottom="1440" w:gutter="0" w:footer="0" w:header="0"/>
        </w:sectPr>
      </w:pPr>
    </w:p>
    <w:bookmarkStart w:id="119" w:name="page120"/>
    <w:bookmarkEnd w:id="119"/>
    <w:p>
      <w:pPr>
        <w:ind w:left="1320"/>
        <w:spacing w:after="0"/>
        <w:rPr>
          <w:sz w:val="20"/>
          <w:szCs w:val="20"/>
          <w:color w:val="auto"/>
        </w:rPr>
      </w:pPr>
      <w:r>
        <w:rPr>
          <w:rFonts w:ascii="Arial" w:cs="Arial" w:eastAsia="Arial" w:hAnsi="Arial"/>
          <w:sz w:val="22"/>
          <w:szCs w:val="22"/>
          <w:color w:val="auto"/>
        </w:rPr>
        <w:t>AMENDED (OR OTHER APPLICABLE LAW), OR AN EXEMPTION THEREFROM.</w:t>
      </w:r>
    </w:p>
    <w:p>
      <w:pPr>
        <w:spacing w:after="0" w:line="139" w:lineRule="exact"/>
        <w:rPr>
          <w:sz w:val="20"/>
          <w:szCs w:val="20"/>
          <w:color w:val="auto"/>
        </w:rPr>
      </w:pPr>
    </w:p>
    <w:p>
      <w:pPr>
        <w:ind w:left="1320" w:right="120" w:hanging="442"/>
        <w:spacing w:after="0" w:line="297" w:lineRule="auto"/>
        <w:tabs>
          <w:tab w:leader="none" w:pos="1320"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Reliance</w:t>
      </w:r>
      <w:r>
        <w:rPr>
          <w:rFonts w:ascii="Arial" w:cs="Arial" w:eastAsia="Arial" w:hAnsi="Arial"/>
          <w:sz w:val="19"/>
          <w:szCs w:val="19"/>
          <w:color w:val="auto"/>
        </w:rPr>
        <w:t>. The Purchaser is not relying on the Company or any of its employees or agents with respect to the legal, tax, economic and related considerations as to an investment in the Shares and the Purchaser has relied on the advice of, or has consulted with, only its own advisors as it deems necessary or advisable.</w:t>
      </w:r>
    </w:p>
    <w:p>
      <w:pPr>
        <w:spacing w:after="0" w:line="161" w:lineRule="exact"/>
        <w:rPr>
          <w:rFonts w:ascii="Arial" w:cs="Arial" w:eastAsia="Arial" w:hAnsi="Arial"/>
          <w:sz w:val="19"/>
          <w:szCs w:val="19"/>
          <w:color w:val="auto"/>
        </w:rPr>
      </w:pPr>
    </w:p>
    <w:p>
      <w:pPr>
        <w:ind w:left="1320" w:hanging="442"/>
        <w:spacing w:after="0" w:line="234" w:lineRule="auto"/>
        <w:tabs>
          <w:tab w:leader="none" w:pos="1320"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No General Solicitation</w:t>
      </w:r>
      <w:r>
        <w:rPr>
          <w:rFonts w:ascii="Arial" w:cs="Arial" w:eastAsia="Arial" w:hAnsi="Arial"/>
          <w:sz w:val="22"/>
          <w:szCs w:val="22"/>
          <w:color w:val="auto"/>
        </w:rPr>
        <w:t>. The Purchaser is not aware of, is in no way relying on, and did not become aware of the offering of the Shares through or as a result of, any form of general solicitation or general advertising including, without limitation, any article, notice, advertisement or other communication published in any newspaper, magazine or similar media or broadcast over television or radio, in connection with the offering of the Shares and is not subscribing for Shares and did not become aware of the offering of the Shares through or as a result of any seminar or meeting to which the Purchaser was invited by, or any solicitation of a subscription by, a person not previously known to the Purchaser in connection with investments in securities generally.</w:t>
      </w:r>
    </w:p>
    <w:p>
      <w:pPr>
        <w:spacing w:after="0" w:line="214" w:lineRule="exact"/>
        <w:rPr>
          <w:rFonts w:ascii="Arial" w:cs="Arial" w:eastAsia="Arial" w:hAnsi="Arial"/>
          <w:sz w:val="22"/>
          <w:szCs w:val="22"/>
          <w:color w:val="auto"/>
        </w:rPr>
      </w:pPr>
    </w:p>
    <w:p>
      <w:pPr>
        <w:ind w:left="1320" w:right="40" w:hanging="442"/>
        <w:spacing w:after="0"/>
        <w:tabs>
          <w:tab w:leader="none" w:pos="1320"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No Endorsement of Securities</w:t>
      </w:r>
      <w:r>
        <w:rPr>
          <w:rFonts w:ascii="Arial" w:cs="Arial" w:eastAsia="Arial" w:hAnsi="Arial"/>
          <w:sz w:val="22"/>
          <w:szCs w:val="22"/>
          <w:color w:val="auto"/>
        </w:rPr>
        <w:t>. The Purchaser understands that no United States federal or state agency or any other government or governmental agency has passed upon or made any recommendation or endorsement of the Shares.</w:t>
      </w:r>
    </w:p>
    <w:p>
      <w:pPr>
        <w:spacing w:after="0" w:line="213" w:lineRule="exact"/>
        <w:rPr>
          <w:rFonts w:ascii="Arial" w:cs="Arial" w:eastAsia="Arial" w:hAnsi="Arial"/>
          <w:sz w:val="22"/>
          <w:szCs w:val="22"/>
          <w:color w:val="auto"/>
        </w:rPr>
      </w:pPr>
    </w:p>
    <w:p>
      <w:pPr>
        <w:ind w:left="1320" w:right="140" w:hanging="442"/>
        <w:spacing w:after="0" w:line="287" w:lineRule="auto"/>
        <w:tabs>
          <w:tab w:leader="none" w:pos="1320"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Brokers and Finders</w:t>
      </w:r>
      <w:r>
        <w:rPr>
          <w:rFonts w:ascii="Arial" w:cs="Arial" w:eastAsia="Arial" w:hAnsi="Arial"/>
          <w:sz w:val="19"/>
          <w:szCs w:val="19"/>
          <w:color w:val="auto"/>
        </w:rPr>
        <w:t>. There is no investment banker, broker, finder or other intermediary which has been retained by or is authorized to act on behalf of the Purchaser who might be entitled to any fee or commission from the Purchaser, the Company or any of their respective affiliates upon consummation of the transactions contemplated by this Agreement except as may be noted and disclosed to the Company.</w:t>
      </w:r>
    </w:p>
    <w:p>
      <w:pPr>
        <w:spacing w:after="0" w:line="170" w:lineRule="exact"/>
        <w:rPr>
          <w:rFonts w:ascii="Arial" w:cs="Arial" w:eastAsia="Arial" w:hAnsi="Arial"/>
          <w:sz w:val="19"/>
          <w:szCs w:val="19"/>
          <w:color w:val="auto"/>
        </w:rPr>
      </w:pPr>
    </w:p>
    <w:p>
      <w:pPr>
        <w:ind w:left="1320" w:hanging="442"/>
        <w:spacing w:after="0" w:line="277" w:lineRule="auto"/>
        <w:tabs>
          <w:tab w:leader="none" w:pos="1320"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Company’s Representations and Warranties</w:t>
      </w:r>
      <w:r>
        <w:rPr>
          <w:rFonts w:ascii="Arial" w:cs="Arial" w:eastAsia="Arial" w:hAnsi="Arial"/>
          <w:sz w:val="19"/>
          <w:szCs w:val="19"/>
          <w:color w:val="auto"/>
        </w:rPr>
        <w:t>. Except as set forth in Section 3, the Company makes, and has made, no representation or warranty, express or implied, at law or in equity, in respect of any of the assets, liabilities or operations of the Company or any of its subsidiaries, and any such other representations or warranties are hereby expressly disclaimed. Specifically, but in no way limiting the foregoing sentence, the Purchaser agrees and acknowledges that the Company disclaims any representation or warranty, and the Purchaser agrees that the Company shall not have any liability, with respect to any information concerning the Company or any of its subsidiaries not expressly represented or warranted to in this Agreement.</w:t>
      </w:r>
    </w:p>
    <w:p>
      <w:pPr>
        <w:spacing w:after="0" w:line="173" w:lineRule="exact"/>
        <w:rPr>
          <w:rFonts w:ascii="Arial" w:cs="Arial" w:eastAsia="Arial" w:hAnsi="Arial"/>
          <w:sz w:val="19"/>
          <w:szCs w:val="19"/>
          <w:color w:val="auto"/>
        </w:rPr>
      </w:pPr>
    </w:p>
    <w:p>
      <w:pPr>
        <w:ind w:left="440" w:hanging="440"/>
        <w:spacing w:after="0"/>
        <w:tabs>
          <w:tab w:leader="none" w:pos="44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Indemnification</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504190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40"/>
          </w:cols>
          <w:pgMar w:left="680" w:top="348" w:right="379" w:bottom="1440" w:gutter="0" w:footer="0" w:header="0"/>
        </w:sectPr>
      </w:pPr>
    </w:p>
    <w:bookmarkStart w:id="120" w:name="page121"/>
    <w:bookmarkEnd w:id="120"/>
    <w:p>
      <w:pPr>
        <w:ind w:left="1320" w:right="200" w:hanging="442"/>
        <w:spacing w:after="0" w:line="235" w:lineRule="auto"/>
        <w:tabs>
          <w:tab w:leader="none" w:pos="1320"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Survival of Representations and Warranties</w:t>
      </w:r>
      <w:r>
        <w:rPr>
          <w:rFonts w:ascii="Arial" w:cs="Arial" w:eastAsia="Arial" w:hAnsi="Arial"/>
          <w:sz w:val="22"/>
          <w:szCs w:val="22"/>
          <w:color w:val="auto"/>
        </w:rPr>
        <w:t>. The representations and warranties made hereunder shall survive the Closing for a period of one (1) year thereafter (the “</w:t>
      </w:r>
      <w:r>
        <w:rPr>
          <w:rFonts w:ascii="Arial" w:cs="Arial" w:eastAsia="Arial" w:hAnsi="Arial"/>
          <w:sz w:val="22"/>
          <w:szCs w:val="22"/>
          <w:u w:val="single" w:color="auto"/>
          <w:color w:val="auto"/>
        </w:rPr>
        <w:t>Expiration Date</w:t>
      </w:r>
      <w:r>
        <w:rPr>
          <w:rFonts w:ascii="Arial" w:cs="Arial" w:eastAsia="Arial" w:hAnsi="Arial"/>
          <w:sz w:val="22"/>
          <w:szCs w:val="22"/>
          <w:color w:val="auto"/>
        </w:rPr>
        <w:t>”). Notwithstanding the preceding sentence, any representation or warranty in respect of which an indemnity may be sought hereof shall survive the time at which it would otherwise terminate pursuant to the preceding sentence, if a claim for indemnification shall have been given to the party against whom such indemnity may be sought prior to the Expiration Date.</w:t>
      </w:r>
    </w:p>
    <w:p>
      <w:pPr>
        <w:spacing w:after="0" w:line="215" w:lineRule="exact"/>
        <w:rPr>
          <w:rFonts w:ascii="Arial" w:cs="Arial" w:eastAsia="Arial" w:hAnsi="Arial"/>
          <w:sz w:val="22"/>
          <w:szCs w:val="22"/>
          <w:color w:val="auto"/>
        </w:rPr>
      </w:pPr>
    </w:p>
    <w:p>
      <w:pPr>
        <w:ind w:left="1320" w:hanging="442"/>
        <w:spacing w:after="0" w:line="277" w:lineRule="auto"/>
        <w:tabs>
          <w:tab w:leader="none" w:pos="1320"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Company Indemnification</w:t>
      </w:r>
      <w:r>
        <w:rPr>
          <w:rFonts w:ascii="Arial" w:cs="Arial" w:eastAsia="Arial" w:hAnsi="Arial"/>
          <w:sz w:val="19"/>
          <w:szCs w:val="19"/>
          <w:color w:val="auto"/>
        </w:rPr>
        <w:t>. The Company agrees to indemnify and hold harmless, to the fullest extent permitted by law, but without duplication, the Purchaser, including its officers, directors, employees, partners, representatives and agents (each of the foregoing persons being a “</w:t>
      </w:r>
      <w:r>
        <w:rPr>
          <w:rFonts w:ascii="Arial" w:cs="Arial" w:eastAsia="Arial" w:hAnsi="Arial"/>
          <w:sz w:val="19"/>
          <w:szCs w:val="19"/>
          <w:u w:val="single" w:color="auto"/>
          <w:color w:val="auto"/>
        </w:rPr>
        <w:t>Purchaser Indemnified Person</w:t>
      </w:r>
      <w:r>
        <w:rPr>
          <w:rFonts w:ascii="Arial" w:cs="Arial" w:eastAsia="Arial" w:hAnsi="Arial"/>
          <w:sz w:val="19"/>
          <w:szCs w:val="19"/>
          <w:color w:val="auto"/>
        </w:rPr>
        <w:t>”), from and against any and all losses, claims, damages, liabilities, costs and expenses (including documented and reasonable attorneys’ fees)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actually incurred by a Purchaser Indemnified Person arising out of or based upon a material breach by the Company of any its representations or warranties contained in the Agreement or in any agreement, instrument or document delivered by the Company hereunder.</w:t>
      </w:r>
    </w:p>
    <w:p>
      <w:pPr>
        <w:spacing w:after="0" w:line="179" w:lineRule="exact"/>
        <w:rPr>
          <w:rFonts w:ascii="Arial" w:cs="Arial" w:eastAsia="Arial" w:hAnsi="Arial"/>
          <w:sz w:val="19"/>
          <w:szCs w:val="19"/>
          <w:color w:val="auto"/>
        </w:rPr>
      </w:pPr>
    </w:p>
    <w:p>
      <w:pPr>
        <w:ind w:left="1320" w:right="60" w:hanging="442"/>
        <w:spacing w:after="0" w:line="279" w:lineRule="auto"/>
        <w:tabs>
          <w:tab w:leader="none" w:pos="1320"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Purchaser Indemnification</w:t>
      </w:r>
      <w:r>
        <w:rPr>
          <w:rFonts w:ascii="Arial" w:cs="Arial" w:eastAsia="Arial" w:hAnsi="Arial"/>
          <w:sz w:val="19"/>
          <w:szCs w:val="19"/>
          <w:color w:val="auto"/>
        </w:rPr>
        <w:t>. The Purchaser agrees and covenants to hold harmless and indemnify the Company, including its officers, directors, employees, partners, representatives and agents (each of the foregoing persons being a “</w:t>
      </w:r>
      <w:r>
        <w:rPr>
          <w:rFonts w:ascii="Arial" w:cs="Arial" w:eastAsia="Arial" w:hAnsi="Arial"/>
          <w:sz w:val="19"/>
          <w:szCs w:val="19"/>
          <w:u w:val="single" w:color="auto"/>
          <w:color w:val="auto"/>
        </w:rPr>
        <w:t>Company Indemnified Person</w:t>
      </w:r>
      <w:r>
        <w:rPr>
          <w:rFonts w:ascii="Arial" w:cs="Arial" w:eastAsia="Arial" w:hAnsi="Arial"/>
          <w:sz w:val="19"/>
          <w:szCs w:val="19"/>
          <w:color w:val="auto"/>
        </w:rPr>
        <w:t>”), from and against any and all Losses to which such Company Indemnified Person may become subject under the Securities Act or otherwise which arises out of or is based in any manner upon a material breach by the Purchaser of any its representations or warranties contained in the Agreement or in any agreement, instrument or document delivered by the Purchaser hereunder.</w:t>
      </w:r>
    </w:p>
    <w:p>
      <w:pPr>
        <w:spacing w:after="0" w:line="171" w:lineRule="exact"/>
        <w:rPr>
          <w:rFonts w:ascii="Arial" w:cs="Arial" w:eastAsia="Arial" w:hAnsi="Arial"/>
          <w:sz w:val="19"/>
          <w:szCs w:val="19"/>
          <w:color w:val="auto"/>
        </w:rPr>
      </w:pPr>
    </w:p>
    <w:p>
      <w:pPr>
        <w:ind w:left="440" w:hanging="440"/>
        <w:spacing w:after="0"/>
        <w:tabs>
          <w:tab w:leader="none" w:pos="44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320" w:right="560" w:hanging="442"/>
        <w:spacing w:after="0"/>
        <w:tabs>
          <w:tab w:leader="none" w:pos="1320" w:val="left"/>
        </w:tabs>
        <w:numPr>
          <w:ilvl w:val="1"/>
          <w:numId w:val="73"/>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and understanding of the parties with respect to the transactions contemplated hereby and thereby and supersede all prior agreements and understandings with respect hereto or thereto, whether written or oral.</w:t>
      </w:r>
    </w:p>
    <w:p>
      <w:pPr>
        <w:spacing w:after="0" w:line="213" w:lineRule="exact"/>
        <w:rPr>
          <w:rFonts w:ascii="Arial" w:cs="Arial" w:eastAsia="Arial" w:hAnsi="Arial"/>
          <w:sz w:val="22"/>
          <w:szCs w:val="22"/>
          <w:color w:val="auto"/>
        </w:rPr>
      </w:pPr>
    </w:p>
    <w:p>
      <w:pPr>
        <w:jc w:val="both"/>
        <w:ind w:left="1320" w:right="180" w:hanging="442"/>
        <w:spacing w:after="0" w:line="273" w:lineRule="auto"/>
        <w:tabs>
          <w:tab w:leader="none" w:pos="1320"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No Waiver; Modifications in Writing</w:t>
      </w:r>
      <w:r>
        <w:rPr>
          <w:rFonts w:ascii="Arial" w:cs="Arial" w:eastAsia="Arial" w:hAnsi="Arial"/>
          <w:sz w:val="19"/>
          <w:szCs w:val="19"/>
          <w:color w:val="auto"/>
        </w:rPr>
        <w:t>. No failure or delay by a party in exercising any right, power or remedy hereunder shall operate as a waiver thereof, nor shall any single or partial exercise of any such right, power or remedy preclude any other or further exercise thereof or the exercise of any other right, power or remedy.</w:t>
      </w:r>
    </w:p>
    <w:p>
      <w:pPr>
        <w:spacing w:after="0" w:line="1" w:lineRule="exact"/>
        <w:rPr>
          <w:rFonts w:ascii="Arial" w:cs="Arial" w:eastAsia="Arial" w:hAnsi="Arial"/>
          <w:sz w:val="19"/>
          <w:szCs w:val="19"/>
          <w:color w:val="auto"/>
        </w:rPr>
      </w:pPr>
    </w:p>
    <w:p>
      <w:pPr>
        <w:ind w:left="1320" w:right="160"/>
        <w:spacing w:after="0" w:line="234" w:lineRule="auto"/>
        <w:rPr>
          <w:rFonts w:ascii="Arial" w:cs="Arial" w:eastAsia="Arial" w:hAnsi="Arial"/>
          <w:sz w:val="19"/>
          <w:szCs w:val="19"/>
          <w:color w:val="auto"/>
        </w:rPr>
      </w:pPr>
      <w:r>
        <w:rPr>
          <w:rFonts w:ascii="Arial" w:cs="Arial" w:eastAsia="Arial" w:hAnsi="Arial"/>
          <w:sz w:val="22"/>
          <w:szCs w:val="22"/>
          <w:color w:val="auto"/>
        </w:rPr>
        <w:t>Except as otherwise expressly provided herein with respect to any right of indemnification, the remedies provided for herein are cumulative and are not exclusive of any remedies that may be available to any party at law or in equity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334645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48" w:right="239" w:bottom="1440" w:gutter="0" w:footer="0" w:header="0"/>
        </w:sectPr>
      </w:pPr>
    </w:p>
    <w:bookmarkStart w:id="121" w:name="page122"/>
    <w:bookmarkEnd w:id="121"/>
    <w:p>
      <w:pPr>
        <w:ind w:left="560" w:right="80"/>
        <w:spacing w:after="0" w:line="279" w:lineRule="auto"/>
        <w:rPr>
          <w:sz w:val="20"/>
          <w:szCs w:val="20"/>
          <w:color w:val="auto"/>
        </w:rPr>
      </w:pPr>
      <w:r>
        <w:rPr>
          <w:rFonts w:ascii="Arial" w:cs="Arial" w:eastAsia="Arial" w:hAnsi="Arial"/>
          <w:sz w:val="19"/>
          <w:szCs w:val="19"/>
          <w:color w:val="auto"/>
        </w:rPr>
        <w:t>otherwise. No waiver of or consent to any departure by a party from any provision of this Agreement shall be effective unless signed in writing by the parties entitled to the benefit thereof. No amendment, modification or termination of any provision of this Agreement shall be effective unless signed in writing by all parties. Any amendment, supplement or modification of or to any provision of this Agreement, any waiver of any provision of this Agreement, and any consent to any departure from the terms of any provision of this Agreement, shall be effective only in the specific instance and for the specific purpose for which made or given.</w:t>
      </w:r>
    </w:p>
    <w:p>
      <w:pPr>
        <w:spacing w:after="0" w:line="178" w:lineRule="exact"/>
        <w:rPr>
          <w:sz w:val="20"/>
          <w:szCs w:val="20"/>
          <w:color w:val="auto"/>
        </w:rPr>
      </w:pPr>
    </w:p>
    <w:p>
      <w:pPr>
        <w:jc w:val="both"/>
        <w:ind w:left="560" w:right="200" w:hanging="442"/>
        <w:spacing w:after="0" w:line="273" w:lineRule="auto"/>
        <w:tabs>
          <w:tab w:leader="none" w:pos="56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Execution in Counterparts</w:t>
      </w:r>
      <w:r>
        <w:rPr>
          <w:rFonts w:ascii="Arial" w:cs="Arial" w:eastAsia="Arial" w:hAnsi="Arial"/>
          <w:sz w:val="19"/>
          <w:szCs w:val="19"/>
          <w:color w:val="auto"/>
        </w:rPr>
        <w:t>. This Agreement may be executed in two counterparts and by the parties hereto on separate counterparts, each of which counterparts, when so executed and delivered, shall be deemed to be an original and all of which counterparts, taken together, shall constitute but one and the same Agreement.</w:t>
      </w:r>
    </w:p>
    <w:p>
      <w:pPr>
        <w:spacing w:after="0" w:line="1" w:lineRule="exact"/>
        <w:rPr>
          <w:rFonts w:ascii="Arial" w:cs="Arial" w:eastAsia="Arial" w:hAnsi="Arial"/>
          <w:sz w:val="19"/>
          <w:szCs w:val="19"/>
          <w:color w:val="auto"/>
        </w:rPr>
      </w:pPr>
    </w:p>
    <w:p>
      <w:pPr>
        <w:ind w:left="560"/>
        <w:spacing w:after="0"/>
        <w:rPr>
          <w:rFonts w:ascii="Arial" w:cs="Arial" w:eastAsia="Arial" w:hAnsi="Arial"/>
          <w:sz w:val="19"/>
          <w:szCs w:val="19"/>
          <w:color w:val="auto"/>
        </w:rPr>
      </w:pPr>
      <w:r>
        <w:rPr>
          <w:rFonts w:ascii="Arial" w:cs="Arial" w:eastAsia="Arial" w:hAnsi="Arial"/>
          <w:sz w:val="22"/>
          <w:szCs w:val="22"/>
          <w:color w:val="auto"/>
        </w:rPr>
        <w:t>Signature by facsimile or electronic PDF file shall constitute original signatures.</w:t>
      </w:r>
    </w:p>
    <w:p>
      <w:pPr>
        <w:spacing w:after="0" w:line="215" w:lineRule="exact"/>
        <w:rPr>
          <w:rFonts w:ascii="Arial" w:cs="Arial" w:eastAsia="Arial" w:hAnsi="Arial"/>
          <w:sz w:val="19"/>
          <w:szCs w:val="19"/>
          <w:color w:val="auto"/>
        </w:rPr>
      </w:pPr>
    </w:p>
    <w:p>
      <w:pPr>
        <w:ind w:left="560" w:right="60" w:hanging="442"/>
        <w:spacing w:after="0" w:line="247" w:lineRule="auto"/>
        <w:tabs>
          <w:tab w:leader="none" w:pos="560"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Binding Effect; Assignment</w:t>
      </w:r>
      <w:r>
        <w:rPr>
          <w:rFonts w:ascii="Arial" w:cs="Arial" w:eastAsia="Arial" w:hAnsi="Arial"/>
          <w:sz w:val="21"/>
          <w:szCs w:val="21"/>
          <w:color w:val="auto"/>
        </w:rPr>
        <w:t>. The rights and obligations of the parties under this Agreement may not be assigned or otherwise transferred to any other person, without the prior written consent of the other party hereto. Except as expressly provided in this Agreement, this Agreement shall not be construed so as to confer any right or benefit upon any person other than the parties to this Agreement, their respective permitted heirs, representatives, executors, successors and assigns. This Agreement shall be binding upon and shall inure to the benefit of the Company, the Purchaser and their respective permitted heirs, representatives, executors, successors and assigns.</w:t>
      </w:r>
    </w:p>
    <w:p>
      <w:pPr>
        <w:spacing w:after="0" w:line="205" w:lineRule="exact"/>
        <w:rPr>
          <w:rFonts w:ascii="Arial" w:cs="Arial" w:eastAsia="Arial" w:hAnsi="Arial"/>
          <w:sz w:val="21"/>
          <w:szCs w:val="21"/>
          <w:color w:val="auto"/>
        </w:rPr>
      </w:pPr>
    </w:p>
    <w:p>
      <w:pPr>
        <w:ind w:left="560" w:right="180" w:hanging="442"/>
        <w:spacing w:after="0"/>
        <w:tabs>
          <w:tab w:leader="none" w:pos="56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deemed to be a contract made under and shall be governed by and construed in accordance with the internal laws of the State of New York without reference to the principles of conflict of laws.</w:t>
      </w:r>
    </w:p>
    <w:p>
      <w:pPr>
        <w:spacing w:after="0" w:line="213" w:lineRule="exact"/>
        <w:rPr>
          <w:rFonts w:ascii="Arial" w:cs="Arial" w:eastAsia="Arial" w:hAnsi="Arial"/>
          <w:sz w:val="22"/>
          <w:szCs w:val="22"/>
          <w:color w:val="auto"/>
        </w:rPr>
      </w:pPr>
    </w:p>
    <w:p>
      <w:pPr>
        <w:ind w:left="560" w:hanging="442"/>
        <w:spacing w:after="0" w:line="274" w:lineRule="auto"/>
        <w:tabs>
          <w:tab w:leader="none" w:pos="56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Consent to Jurisdiction and Service of Process</w:t>
      </w:r>
      <w:r>
        <w:rPr>
          <w:rFonts w:ascii="Arial" w:cs="Arial" w:eastAsia="Arial" w:hAnsi="Arial"/>
          <w:sz w:val="19"/>
          <w:szCs w:val="19"/>
          <w:color w:val="auto"/>
        </w:rPr>
        <w:t>. Any suit, action or proceeding arising out of or relating to the Agreement or the transactions contemplated hereby may be instituted in any federal court situated in the State of New York or any state court of the State of New York, and each party agrees not to assert, by way of motion, as a defense or otherwise, in any such suit, action or proceeding, any claim that it is not subject personally to the jurisdiction of such court, that the suit, action or proceeding is brought in an inconvenient forum, that the venue of the suit, action or proceeding is improper or that the Agreement or the subject matter hereof or thereof may not be enforced in or by such court. Each party further irrevocably submits to the jurisdiction of such court in any such suit, action or proceeding. Nothing herein contained shall be deemed to affect the right of any party to serve process in any manner permitted by law or to commence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316230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0"/>
          </w:cols>
          <w:pgMar w:left="1440" w:top="348" w:right="259" w:bottom="1440" w:gutter="0" w:footer="0" w:header="0"/>
        </w:sectPr>
      </w:pPr>
    </w:p>
    <w:bookmarkStart w:id="122" w:name="page123"/>
    <w:bookmarkEnd w:id="122"/>
    <w:p>
      <w:pPr>
        <w:ind w:left="560"/>
        <w:spacing w:after="0"/>
        <w:rPr>
          <w:sz w:val="20"/>
          <w:szCs w:val="20"/>
          <w:color w:val="auto"/>
        </w:rPr>
      </w:pPr>
      <w:r>
        <w:rPr>
          <w:rFonts w:ascii="Arial" w:cs="Arial" w:eastAsia="Arial" w:hAnsi="Arial"/>
          <w:sz w:val="22"/>
          <w:szCs w:val="22"/>
          <w:color w:val="auto"/>
        </w:rPr>
        <w:t>legal proceedings or otherwise proceed against any other party in any other jurisdiction.</w:t>
      </w:r>
    </w:p>
    <w:p>
      <w:pPr>
        <w:spacing w:after="0" w:line="233" w:lineRule="exact"/>
        <w:rPr>
          <w:sz w:val="20"/>
          <w:szCs w:val="20"/>
          <w:color w:val="auto"/>
        </w:rPr>
      </w:pPr>
    </w:p>
    <w:p>
      <w:pPr>
        <w:ind w:left="560" w:right="100" w:hanging="442"/>
        <w:spacing w:after="0" w:line="235" w:lineRule="auto"/>
        <w:tabs>
          <w:tab w:leader="none" w:pos="56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hereof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To the extent permitted by law, the parties hereto waive any provision of law that renders any such provision prohibited or unenforceable in any respect.</w:t>
      </w:r>
    </w:p>
    <w:p>
      <w:pPr>
        <w:spacing w:after="0" w:line="215" w:lineRule="exact"/>
        <w:rPr>
          <w:rFonts w:ascii="Arial" w:cs="Arial" w:eastAsia="Arial" w:hAnsi="Arial"/>
          <w:sz w:val="22"/>
          <w:szCs w:val="22"/>
          <w:color w:val="auto"/>
        </w:rPr>
      </w:pPr>
    </w:p>
    <w:p>
      <w:pPr>
        <w:ind w:left="560" w:right="1000" w:hanging="442"/>
        <w:spacing w:after="0" w:line="328" w:lineRule="auto"/>
        <w:tabs>
          <w:tab w:leader="none" w:pos="56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Article, Section and subsection headings used or contained in this Agreement are for convenience of reference only and shall not affect the construction of this Agreement.</w:t>
      </w:r>
    </w:p>
    <w:p>
      <w:pPr>
        <w:spacing w:after="0" w:line="132" w:lineRule="exact"/>
        <w:rPr>
          <w:rFonts w:ascii="Arial" w:cs="Arial" w:eastAsia="Arial" w:hAnsi="Arial"/>
          <w:sz w:val="19"/>
          <w:szCs w:val="19"/>
          <w:color w:val="auto"/>
        </w:rPr>
      </w:pPr>
    </w:p>
    <w:p>
      <w:pPr>
        <w:ind w:left="560" w:hanging="442"/>
        <w:spacing w:after="0" w:line="251" w:lineRule="auto"/>
        <w:tabs>
          <w:tab w:leader="none" w:pos="56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Each party shall bear its own fees, costs and expenses in connection with the execution, delivery and performance of the Agreement.</w:t>
      </w:r>
    </w:p>
    <w:p>
      <w:pPr>
        <w:spacing w:after="0" w:line="200" w:lineRule="exact"/>
        <w:rPr>
          <w:rFonts w:ascii="Arial" w:cs="Arial" w:eastAsia="Arial" w:hAnsi="Arial"/>
          <w:sz w:val="22"/>
          <w:szCs w:val="22"/>
          <w:color w:val="auto"/>
        </w:rPr>
      </w:pPr>
    </w:p>
    <w:p>
      <w:pPr>
        <w:ind w:left="560" w:right="340" w:hanging="442"/>
        <w:spacing w:after="0" w:line="238" w:lineRule="auto"/>
        <w:tabs>
          <w:tab w:leader="none" w:pos="56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Publicity</w:t>
      </w:r>
      <w:r>
        <w:rPr>
          <w:rFonts w:ascii="Arial" w:cs="Arial" w:eastAsia="Arial" w:hAnsi="Arial"/>
          <w:sz w:val="22"/>
          <w:szCs w:val="22"/>
          <w:color w:val="auto"/>
        </w:rPr>
        <w:t>. The parties agree that no public release or announcement concerning the Agreement or the transactions contemplated hereby shall be made without advance review and approval by each party hereto, except as otherwise required by applicable law, and which review and approval shall not be unreasonably withheld or delayed.</w:t>
      </w:r>
    </w:p>
    <w:p>
      <w:pPr>
        <w:spacing w:after="0" w:line="212" w:lineRule="exact"/>
        <w:rPr>
          <w:rFonts w:ascii="Arial" w:cs="Arial" w:eastAsia="Arial" w:hAnsi="Arial"/>
          <w:sz w:val="22"/>
          <w:szCs w:val="22"/>
          <w:color w:val="auto"/>
        </w:rPr>
      </w:pPr>
    </w:p>
    <w:p>
      <w:pPr>
        <w:ind w:left="560" w:hanging="442"/>
        <w:spacing w:after="0" w:line="272" w:lineRule="auto"/>
        <w:tabs>
          <w:tab w:leader="none" w:pos="56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Enforcement</w:t>
      </w:r>
      <w:r>
        <w:rPr>
          <w:rFonts w:ascii="Arial" w:cs="Arial" w:eastAsia="Arial" w:hAnsi="Arial"/>
          <w:sz w:val="19"/>
          <w:szCs w:val="19"/>
          <w:color w:val="auto"/>
        </w:rPr>
        <w:t>. The Purchaser acknowledges that the Company will be irreparably damaged if the provisions of this Agreement applicable to the Purchaser are not specifically enforced. If the Purchaser shall default in any of its obligations under this Agreement or if any representation or warranty made by or on behalf of the Purchaser in this Agreement or in any certificate, report or other instrument delivered under or pursuant to any term hereof or thereof shall be untrue or misleading as of the date made, the Company may proceed to protect and enforce its rights by suit in equity or action at law (without the posting of any bond and without proving that damages would be inadequate), whether for the specific performance of any term contained in this Agreement, injunction against the breach of any such term or in furtherance of the exercise of any power granted in this Agreement, or to enforce any other legal or equitable right of the Company or to take any one of more of such actions. The Company shall be permitted to enforce specifically the terms and provisions hereof in any court of the United States or any state thereof or any other court having jurisdiction, this being in addition to any other remedy to which the Company may be entitled at law or in equity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472440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80"/>
          </w:cols>
          <w:pgMar w:left="1440" w:top="348" w:right="279" w:bottom="1440" w:gutter="0" w:footer="0" w:header="0"/>
        </w:sectPr>
      </w:pPr>
    </w:p>
    <w:bookmarkStart w:id="123" w:name="page124"/>
    <w:bookmarkEnd w:id="123"/>
    <w:p>
      <w:pPr>
        <w:ind w:left="560" w:hanging="442"/>
        <w:spacing w:after="0" w:line="238" w:lineRule="auto"/>
        <w:tabs>
          <w:tab w:leader="none" w:pos="56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shall execute and deliver such documents, instruments and agreements and take such further actions as may be reasonably required or desirable to carry out the provisions of this Agreement and the transactions contemplated hereby, and each of the parties hereto shall cooperate with each other in connection with the foregoing.</w:t>
      </w:r>
    </w:p>
    <w:p>
      <w:pPr>
        <w:spacing w:after="0" w:line="118"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594995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0"/>
          </w:cols>
          <w:pgMar w:left="1440" w:top="347" w:right="259" w:bottom="1440" w:gutter="0" w:footer="0" w:header="0"/>
        </w:sectPr>
      </w:pPr>
    </w:p>
    <w:bookmarkStart w:id="124" w:name="page125"/>
    <w:bookmarkEnd w:id="124"/>
    <w:p>
      <w:pPr>
        <w:ind w:left="3920"/>
        <w:spacing w:after="0"/>
        <w:rPr>
          <w:sz w:val="20"/>
          <w:szCs w:val="20"/>
          <w:color w:val="auto"/>
        </w:rPr>
      </w:pPr>
      <w:r>
        <w:rPr>
          <w:rFonts w:ascii="Arial" w:cs="Arial" w:eastAsia="Arial" w:hAnsi="Arial"/>
          <w:sz w:val="22"/>
          <w:szCs w:val="22"/>
          <w:b w:val="1"/>
          <w:bCs w:val="1"/>
          <w:color w:val="auto"/>
        </w:rPr>
        <w:t>COUNTERPART SIGNATURE PAGE</w:t>
      </w:r>
    </w:p>
    <w:p>
      <w:pPr>
        <w:spacing w:after="0" w:line="145"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IN WITNESS WHEREOF, the undersigned has duly executed this Securities Purchase Agreement as of the date first above written.</w:t>
      </w:r>
    </w:p>
    <w:p>
      <w:pPr>
        <w:spacing w:after="0" w:line="86" w:lineRule="exact"/>
        <w:rPr>
          <w:sz w:val="20"/>
          <w:szCs w:val="20"/>
          <w:color w:val="auto"/>
        </w:rPr>
      </w:pPr>
    </w:p>
    <w:p>
      <w:pPr>
        <w:ind w:left="5160"/>
        <w:spacing w:after="0"/>
        <w:rPr>
          <w:sz w:val="20"/>
          <w:szCs w:val="20"/>
          <w:color w:val="auto"/>
        </w:rPr>
      </w:pPr>
      <w:r>
        <w:rPr>
          <w:rFonts w:ascii="Arial" w:cs="Arial" w:eastAsia="Arial" w:hAnsi="Arial"/>
          <w:sz w:val="22"/>
          <w:szCs w:val="22"/>
          <w:b w:val="1"/>
          <w:bCs w:val="1"/>
          <w:u w:val="single" w:color="auto"/>
          <w:color w:val="auto"/>
        </w:rPr>
        <w:t>PURCHASER</w:t>
      </w:r>
      <w:r>
        <w:rPr>
          <w:rFonts w:ascii="Arial" w:cs="Arial" w:eastAsia="Arial" w:hAnsi="Arial"/>
          <w:sz w:val="22"/>
          <w:szCs w:val="22"/>
          <w:b w:val="1"/>
          <w:bCs w:val="1"/>
          <w:color w:val="auto"/>
        </w:rPr>
        <w:t>:</w:t>
      </w:r>
    </w:p>
    <w:p>
      <w:pPr>
        <w:spacing w:after="0" w:line="14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MACANDREWS &amp; FORBES GROUP LLC</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 _________________________</w:t>
      </w:r>
    </w:p>
    <w:p>
      <w:pPr>
        <w:spacing w:after="0" w:line="12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Name:</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Title: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586105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00"/>
          </w:cols>
          <w:pgMar w:left="240" w:top="342" w:right="659" w:bottom="1440" w:gutter="0" w:footer="0" w:header="0"/>
        </w:sectPr>
      </w:pPr>
    </w:p>
    <w:bookmarkStart w:id="125" w:name="page126"/>
    <w:bookmarkEnd w:id="125"/>
    <w:p>
      <w:pPr>
        <w:ind w:left="3920"/>
        <w:spacing w:after="0"/>
        <w:rPr>
          <w:sz w:val="20"/>
          <w:szCs w:val="20"/>
          <w:color w:val="auto"/>
        </w:rPr>
      </w:pPr>
      <w:r>
        <w:rPr>
          <w:rFonts w:ascii="Arial" w:cs="Arial" w:eastAsia="Arial" w:hAnsi="Arial"/>
          <w:sz w:val="22"/>
          <w:szCs w:val="22"/>
          <w:b w:val="1"/>
          <w:bCs w:val="1"/>
          <w:color w:val="auto"/>
        </w:rPr>
        <w:t>COUNTERPART SIGNATURE PAGE</w:t>
      </w:r>
    </w:p>
    <w:p>
      <w:pPr>
        <w:spacing w:after="0" w:line="145"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IN WITNESS WHEREOF, the undersigned has duly executed this Securities Purchase Agreement as of the date first above written.</w:t>
      </w:r>
    </w:p>
    <w:p>
      <w:pPr>
        <w:spacing w:after="0" w:line="33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VTV THERAPEUTICS INC.</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 ___________________________</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Name:</w:t>
      </w:r>
    </w:p>
    <w:p>
      <w:pPr>
        <w:spacing w:after="0" w:line="12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Title: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Address:</w:t>
      </w:r>
    </w:p>
    <w:p>
      <w:pPr>
        <w:sectPr>
          <w:pgSz w:w="11900" w:h="16838" w:orient="portrait"/>
          <w:cols w:equalWidth="0" w:num="1">
            <w:col w:w="11000"/>
          </w:cols>
          <w:pgMar w:left="240" w:top="342" w:right="65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21.1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580" w:type="dxa"/>
            <w:vAlign w:val="bottom"/>
            <w:gridSpan w:val="3"/>
          </w:tcPr>
          <w:p>
            <w:pPr>
              <w:jc w:val="center"/>
              <w:ind w:right="2759"/>
              <w:spacing w:after="0"/>
              <w:rPr>
                <w:sz w:val="20"/>
                <w:szCs w:val="20"/>
                <w:color w:val="auto"/>
              </w:rPr>
            </w:pPr>
            <w:r>
              <w:rPr>
                <w:rFonts w:ascii="Arial" w:cs="Arial" w:eastAsia="Arial" w:hAnsi="Arial"/>
                <w:sz w:val="18"/>
                <w:szCs w:val="18"/>
                <w:color w:val="auto"/>
                <w:w w:val="91"/>
              </w:rPr>
              <w:t>vTv Therapeutics Inc.</w:t>
            </w: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580" w:type="dxa"/>
            <w:vAlign w:val="bottom"/>
            <w:gridSpan w:val="3"/>
          </w:tcPr>
          <w:p>
            <w:pPr>
              <w:jc w:val="center"/>
              <w:ind w:right="2739"/>
              <w:spacing w:after="0"/>
              <w:rPr>
                <w:sz w:val="20"/>
                <w:szCs w:val="20"/>
                <w:color w:val="auto"/>
              </w:rPr>
            </w:pPr>
            <w:r>
              <w:rPr>
                <w:rFonts w:ascii="Arial" w:cs="Arial" w:eastAsia="Arial" w:hAnsi="Arial"/>
                <w:sz w:val="18"/>
                <w:szCs w:val="18"/>
                <w:color w:val="auto"/>
                <w:w w:val="89"/>
              </w:rPr>
              <w:t>Corporate Subsidiaries as of February 26, 2019</w:t>
            </w:r>
          </w:p>
        </w:tc>
      </w:tr>
      <w:tr>
        <w:trPr>
          <w:trHeight w:val="378"/>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tcPr>
          <w:p>
            <w:pPr>
              <w:ind w:left="1820"/>
              <w:spacing w:after="0"/>
              <w:rPr>
                <w:sz w:val="20"/>
                <w:szCs w:val="20"/>
                <w:color w:val="auto"/>
              </w:rPr>
            </w:pPr>
            <w:r>
              <w:rPr>
                <w:rFonts w:ascii="Arial" w:cs="Arial" w:eastAsia="Arial" w:hAnsi="Arial"/>
                <w:sz w:val="14"/>
                <w:szCs w:val="14"/>
                <w:b w:val="1"/>
                <w:bCs w:val="1"/>
                <w:color w:val="auto"/>
              </w:rPr>
              <w:t>Jurisdiction of Incorporation</w:t>
            </w:r>
          </w:p>
        </w:tc>
      </w:tr>
      <w:tr>
        <w:trPr>
          <w:trHeight w:val="224"/>
        </w:trPr>
        <w:tc>
          <w:tcPr>
            <w:tcW w:w="20" w:type="dxa"/>
            <w:vAlign w:val="bottom"/>
          </w:tcPr>
          <w:p>
            <w:pPr>
              <w:spacing w:after="0"/>
              <w:rPr>
                <w:sz w:val="19"/>
                <w:szCs w:val="19"/>
                <w:color w:val="auto"/>
              </w:rPr>
            </w:pPr>
          </w:p>
        </w:tc>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vTv Therapeutics LLC</w:t>
            </w:r>
          </w:p>
        </w:tc>
        <w:tc>
          <w:tcPr>
            <w:tcW w:w="2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1"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right="2740" w:firstLine="2731"/>
        <w:spacing w:after="0" w:line="375" w:lineRule="auto"/>
        <w:rPr>
          <w:sz w:val="20"/>
          <w:szCs w:val="20"/>
          <w:color w:val="auto"/>
        </w:rPr>
      </w:pPr>
      <w:r>
        <w:rPr>
          <w:rFonts w:ascii="Arial" w:cs="Arial" w:eastAsia="Arial" w:hAnsi="Arial"/>
          <w:sz w:val="18"/>
          <w:szCs w:val="18"/>
          <w:color w:val="auto"/>
        </w:rPr>
        <w:t>CONSENT OF INDEPENDENT REGISTERED PUBLIC ACCOUNTING FIRM We consent to the incorporation by reference in the following Registration Statements:</w:t>
      </w:r>
    </w:p>
    <w:p>
      <w:pPr>
        <w:spacing w:after="0" w:line="1" w:lineRule="exact"/>
        <w:rPr>
          <w:sz w:val="20"/>
          <w:szCs w:val="20"/>
          <w:color w:val="auto"/>
        </w:rPr>
      </w:pPr>
    </w:p>
    <w:p>
      <w:pPr>
        <w:ind w:left="760" w:hanging="374"/>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Statement (Form S-8 No. 333-206335) pertaining to the vTv Therapeutics Inc. 2015 Omnibus Equity Incentive Plan, and</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Statement (Form S-3 No. 333-223269) of vTv Therapeutics Inc.;</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our report dated February 26, 2019 with respect to the consolidated financial statements of vTv Therapeutics Inc. included in this Annual Report (Form 10-K) for the year ended December 31, 2018.</w:t>
      </w:r>
    </w:p>
    <w:p>
      <w:pPr>
        <w:spacing w:after="0" w:line="170"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ectPr>
          <w:pgSz w:w="11900" w:h="16838" w:orient="portrait"/>
          <w:cols w:equalWidth="0" w:num="1">
            <w:col w:w="11420"/>
          </w:cols>
          <w:pgMar w:left="240" w:top="135"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L. Holcombe, certify that:</w:t>
      </w:r>
    </w:p>
    <w:p>
      <w:pPr>
        <w:spacing w:after="0" w:line="117" w:lineRule="exact"/>
        <w:rPr>
          <w:sz w:val="20"/>
          <w:szCs w:val="20"/>
          <w:color w:val="auto"/>
        </w:rPr>
      </w:pPr>
    </w:p>
    <w:p>
      <w:pPr>
        <w:ind w:left="1040" w:hanging="519"/>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vTv Therapeutics Inc. (the “registrant”);</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hanging="519"/>
        <w:spacing w:after="0" w:line="279" w:lineRule="auto"/>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61"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252" w:lineRule="exact"/>
        <w:rPr>
          <w:sz w:val="20"/>
          <w:szCs w:val="20"/>
          <w:color w:val="auto"/>
        </w:rPr>
      </w:pPr>
    </w:p>
    <w:p>
      <w:pPr>
        <w:ind w:left="6840"/>
        <w:spacing w:after="0"/>
        <w:tabs>
          <w:tab w:leader="none" w:pos="7320" w:val="left"/>
        </w:tabs>
        <w:rPr>
          <w:sz w:val="20"/>
          <w:szCs w:val="20"/>
          <w:color w:val="auto"/>
        </w:rPr>
      </w:pPr>
      <w:r>
        <w:rPr>
          <w:rFonts w:ascii="Arial" w:cs="Arial" w:eastAsia="Arial" w:hAnsi="Arial"/>
          <w:sz w:val="18"/>
          <w:szCs w:val="18"/>
          <w:color w:val="auto"/>
        </w:rPr>
        <w:t>By:</w:t>
        <w:tab/>
        <w:t>/s/ Stephen L. Holcombe</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044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39"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Rudy C. Howard, certify that:</w:t>
      </w:r>
    </w:p>
    <w:p>
      <w:pPr>
        <w:spacing w:after="0" w:line="117" w:lineRule="exact"/>
        <w:rPr>
          <w:sz w:val="20"/>
          <w:szCs w:val="20"/>
          <w:color w:val="auto"/>
        </w:rPr>
      </w:pPr>
    </w:p>
    <w:p>
      <w:pPr>
        <w:ind w:left="1040" w:hanging="519"/>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vTv Therapeutics Inc. (the “registrant”);</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hanging="519"/>
        <w:spacing w:after="0" w:line="264" w:lineRule="auto"/>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hanging="506"/>
        <w:spacing w:after="0" w:line="264" w:lineRule="auto"/>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252" w:lineRule="exact"/>
        <w:rPr>
          <w:sz w:val="20"/>
          <w:szCs w:val="20"/>
          <w:color w:val="auto"/>
        </w:rPr>
      </w:pPr>
    </w:p>
    <w:p>
      <w:pPr>
        <w:ind w:left="6840"/>
        <w:spacing w:after="0"/>
        <w:tabs>
          <w:tab w:leader="none" w:pos="7320" w:val="left"/>
        </w:tabs>
        <w:rPr>
          <w:sz w:val="20"/>
          <w:szCs w:val="20"/>
          <w:color w:val="auto"/>
        </w:rPr>
      </w:pPr>
      <w:r>
        <w:rPr>
          <w:rFonts w:ascii="Arial" w:cs="Arial" w:eastAsia="Arial" w:hAnsi="Arial"/>
          <w:sz w:val="18"/>
          <w:szCs w:val="18"/>
          <w:color w:val="auto"/>
        </w:rPr>
        <w:t>By:</w:t>
        <w:tab/>
        <w:t>/s/ Rudy C. Howard</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0444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52"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In connection with the Annual Report of vTv Therapeutics Inc. (the “Company”) on Form 10-K for the period ended December 31, 2018 as filed with the Securities and Exchange Commission on the date hereof (the “Report”), I, Stephen L. Holcombe,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40" w:hanging="519"/>
        <w:spacing w:after="0"/>
        <w:tabs>
          <w:tab w:leader="none" w:pos="10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252" w:lineRule="exact"/>
        <w:rPr>
          <w:sz w:val="20"/>
          <w:szCs w:val="20"/>
          <w:color w:val="auto"/>
        </w:rPr>
      </w:pPr>
    </w:p>
    <w:p>
      <w:pPr>
        <w:ind w:left="6840"/>
        <w:spacing w:after="0"/>
        <w:tabs>
          <w:tab w:leader="none" w:pos="7320" w:val="left"/>
        </w:tabs>
        <w:rPr>
          <w:sz w:val="20"/>
          <w:szCs w:val="20"/>
          <w:color w:val="auto"/>
        </w:rPr>
      </w:pPr>
      <w:r>
        <w:rPr>
          <w:rFonts w:ascii="Arial" w:cs="Arial" w:eastAsia="Arial" w:hAnsi="Arial"/>
          <w:sz w:val="18"/>
          <w:szCs w:val="18"/>
          <w:color w:val="auto"/>
        </w:rPr>
        <w:t>By:</w:t>
        <w:tab/>
        <w:t>/s/ Stephen L. Holcombe</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0444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52"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In connection with the Annual Report of vTv Therapeutics Inc. (the “Company”) on Form 10-K for the period ended December 31, 2018 as filed with the Securities and Exchange Commission on the date hereof (the “Report”), I, Rudy C. Howard,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40" w:hanging="519"/>
        <w:spacing w:after="0"/>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252" w:lineRule="exact"/>
        <w:rPr>
          <w:sz w:val="20"/>
          <w:szCs w:val="20"/>
          <w:color w:val="auto"/>
        </w:rPr>
      </w:pPr>
    </w:p>
    <w:p>
      <w:pPr>
        <w:ind w:left="6840"/>
        <w:spacing w:after="0"/>
        <w:tabs>
          <w:tab w:leader="none" w:pos="7320" w:val="left"/>
        </w:tabs>
        <w:rPr>
          <w:sz w:val="20"/>
          <w:szCs w:val="20"/>
          <w:color w:val="auto"/>
        </w:rPr>
      </w:pPr>
      <w:r>
        <w:rPr>
          <w:rFonts w:ascii="Arial" w:cs="Arial" w:eastAsia="Arial" w:hAnsi="Arial"/>
          <w:sz w:val="18"/>
          <w:szCs w:val="18"/>
          <w:color w:val="auto"/>
        </w:rPr>
        <w:t>By:</w:t>
        <w:tab/>
        <w:t>/s/ Rudy C. Howard</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0444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1)"/>
      <w:numFmt w:val="decimal"/>
      <w:start w:val="1"/>
    </w:lvl>
  </w:abstractNum>
  <w:abstractNum w:abstractNumId="61">
    <w:nsid w:val="6B94764"/>
    <w:multiLevelType w:val="hybridMultilevel"/>
    <w:lvl w:ilvl="0">
      <w:lvlJc w:val="left"/>
      <w:lvlText w:val="(%1)"/>
      <w:numFmt w:val="decimal"/>
      <w:start w:val="1"/>
    </w:lvl>
  </w:abstractNum>
  <w:abstractNum w:abstractNumId="62">
    <w:nsid w:val="42C296BD"/>
    <w:multiLevelType w:val="hybridMultilevel"/>
    <w:lvl w:ilvl="0">
      <w:lvlJc w:val="left"/>
      <w:lvlText w:val="(%1)"/>
      <w:numFmt w:val="lowerRoman"/>
      <w:start w:val="2"/>
    </w:lvl>
  </w:abstractNum>
  <w:abstractNum w:abstractNumId="63">
    <w:nsid w:val="168E121F"/>
    <w:multiLevelType w:val="hybridMultilevel"/>
    <w:lvl w:ilvl="0">
      <w:lvlJc w:val="left"/>
      <w:lvlText w:val="%1."/>
      <w:numFmt w:val="decimal"/>
      <w:start w:val="1"/>
    </w:lvl>
    <w:lvl w:ilvl="1">
      <w:lvlJc w:val="left"/>
      <w:lvlText w:val="%2."/>
      <w:numFmt w:val="lowerLetter"/>
      <w:start w:val="1"/>
    </w:lvl>
  </w:abstractNum>
  <w:abstractNum w:abstractNumId="64">
    <w:nsid w:val="1EBA5D23"/>
    <w:multiLevelType w:val="hybridMultilevel"/>
    <w:lvl w:ilvl="0">
      <w:lvlJc w:val="left"/>
      <w:lvlText w:val="%1"/>
      <w:numFmt w:val="decimal"/>
      <w:start w:val="1"/>
    </w:lvl>
    <w:lvl w:ilvl="1">
      <w:lvlJc w:val="left"/>
      <w:lvlText w:val="%2."/>
      <w:numFmt w:val="lowerLetter"/>
      <w:start w:val="2"/>
    </w:lvl>
  </w:abstractNum>
  <w:abstractNum w:abstractNumId="65">
    <w:nsid w:val="661E3F1E"/>
    <w:multiLevelType w:val="hybridMultilevel"/>
    <w:lvl w:ilvl="0">
      <w:lvlJc w:val="left"/>
      <w:lvlText w:val="%1."/>
      <w:numFmt w:val="decimal"/>
      <w:start w:val="3"/>
    </w:lvl>
    <w:lvl w:ilvl="1">
      <w:lvlJc w:val="left"/>
      <w:lvlText w:val="%2."/>
      <w:numFmt w:val="lowerLetter"/>
      <w:start w:val="1"/>
    </w:lvl>
  </w:abstractNum>
  <w:abstractNum w:abstractNumId="66">
    <w:nsid w:val="5DC79EA8"/>
    <w:multiLevelType w:val="hybridMultilevel"/>
    <w:lvl w:ilvl="0">
      <w:lvlJc w:val="left"/>
      <w:lvlText w:val="%1."/>
      <w:numFmt w:val="lowerLetter"/>
      <w:start w:val="1"/>
    </w:lvl>
    <w:lvl w:ilvl="1">
      <w:lvlJc w:val="left"/>
      <w:lvlText w:val="%2."/>
      <w:numFmt w:val="lowerRoman"/>
      <w:start w:val="1"/>
    </w:lvl>
  </w:abstractNum>
  <w:abstractNum w:abstractNumId="67">
    <w:nsid w:val="540A471C"/>
    <w:multiLevelType w:val="hybridMultilevel"/>
    <w:lvl w:ilvl="0">
      <w:lvlJc w:val="left"/>
      <w:lvlText w:val="%1."/>
      <w:numFmt w:val="lowerLetter"/>
      <w:start w:val="4"/>
    </w:lvl>
  </w:abstractNum>
  <w:abstractNum w:abstractNumId="68">
    <w:nsid w:val="7BD3EE7B"/>
    <w:multiLevelType w:val="hybridMultilevel"/>
    <w:lvl w:ilvl="0">
      <w:lvlJc w:val="left"/>
      <w:lvlText w:val="%1."/>
      <w:numFmt w:val="lowerLetter"/>
      <w:start w:val="5"/>
    </w:lvl>
  </w:abstractNum>
  <w:abstractNum w:abstractNumId="69">
    <w:nsid w:val="51D9C564"/>
    <w:multiLevelType w:val="hybridMultilevel"/>
    <w:lvl w:ilvl="0">
      <w:lvlJc w:val="left"/>
      <w:lvlText w:val="%1"/>
      <w:numFmt w:val="decimal"/>
      <w:start w:val="1"/>
    </w:lvl>
    <w:lvl w:ilvl="1">
      <w:lvlJc w:val="left"/>
      <w:lvlText w:val="%2."/>
      <w:numFmt w:val="lowerLetter"/>
      <w:start w:val="7"/>
    </w:lvl>
  </w:abstractNum>
  <w:abstractNum w:abstractNumId="70">
    <w:nsid w:val="613EFDC5"/>
    <w:multiLevelType w:val="hybridMultilevel"/>
    <w:lvl w:ilvl="0">
      <w:lvlJc w:val="left"/>
      <w:lvlText w:val="%1."/>
      <w:numFmt w:val="decimal"/>
      <w:start w:val="5"/>
    </w:lvl>
    <w:lvl w:ilvl="1">
      <w:lvlJc w:val="left"/>
      <w:lvlText w:val="%2"/>
      <w:numFmt w:val="lowerLetter"/>
      <w:start w:val="1"/>
    </w:lvl>
  </w:abstractNum>
  <w:abstractNum w:abstractNumId="71">
    <w:nsid w:val="BF72B14"/>
    <w:multiLevelType w:val="hybridMultilevel"/>
    <w:lvl w:ilvl="0">
      <w:lvlJc w:val="left"/>
      <w:lvlText w:val="%1"/>
      <w:numFmt w:val="decimal"/>
      <w:start w:val="1"/>
    </w:lvl>
    <w:lvl w:ilvl="1">
      <w:lvlJc w:val="left"/>
      <w:lvlText w:val="%2."/>
      <w:numFmt w:val="lowerLetter"/>
      <w:start w:val="1"/>
    </w:lvl>
  </w:abstractNum>
  <w:abstractNum w:abstractNumId="72">
    <w:nsid w:val="11447B73"/>
    <w:multiLevelType w:val="hybridMultilevel"/>
    <w:lvl w:ilvl="0">
      <w:lvlJc w:val="left"/>
      <w:lvlText w:val="%1."/>
      <w:numFmt w:val="decimal"/>
      <w:start w:val="6"/>
    </w:lvl>
    <w:lvl w:ilvl="1">
      <w:lvlJc w:val="left"/>
      <w:lvlText w:val="%2."/>
      <w:numFmt w:val="lowerLetter"/>
      <w:start w:val="1"/>
    </w:lvl>
  </w:abstractNum>
  <w:abstractNum w:abstractNumId="73">
    <w:nsid w:val="42963E5A"/>
    <w:multiLevelType w:val="hybridMultilevel"/>
    <w:lvl w:ilvl="0">
      <w:lvlJc w:val="left"/>
      <w:lvlText w:val="%1."/>
      <w:numFmt w:val="lowerLetter"/>
      <w:start w:val="3"/>
    </w:lvl>
  </w:abstractNum>
  <w:abstractNum w:abstractNumId="74">
    <w:nsid w:val="A0382C5"/>
    <w:multiLevelType w:val="hybridMultilevel"/>
    <w:lvl w:ilvl="0">
      <w:lvlJc w:val="left"/>
      <w:lvlText w:val="%1."/>
      <w:numFmt w:val="lowerLetter"/>
      <w:start w:val="7"/>
    </w:lvl>
  </w:abstractNum>
  <w:abstractNum w:abstractNumId="75">
    <w:nsid w:val="8F2B15E"/>
    <w:multiLevelType w:val="hybridMultilevel"/>
    <w:lvl w:ilvl="0">
      <w:lvlJc w:val="left"/>
      <w:lvlText w:val="%1."/>
      <w:numFmt w:val="lowerLetter"/>
      <w:start w:val="12"/>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100" Type="http://schemas.openxmlformats.org/officeDocument/2006/relationships/hyperlink" Target="http://www.sec.gov/Archives/edgar/data/1641489/000156761915001036/s000995x1_ex3-1.htm" TargetMode="External"/><Relationship Id="rId101" Type="http://schemas.openxmlformats.org/officeDocument/2006/relationships/hyperlink" Target="http://www.sec.gov/Archives/edgar/data/1641489/000156761915001036/s000995x1_ex3-2.htm" TargetMode="External"/><Relationship Id="rId102" Type="http://schemas.openxmlformats.org/officeDocument/2006/relationships/hyperlink" Target="http://www.sec.gov/Archives/edgar/data/1641489/000156459017002317/vtvt-ex41_480.htm" TargetMode="External"/><Relationship Id="rId103" Type="http://schemas.openxmlformats.org/officeDocument/2006/relationships/hyperlink" Target="http://www.sec.gov/Archives/edgar/data/1641489/000156459018003515/vtvt-ex42_694.htm" TargetMode="External"/><Relationship Id="rId104" Type="http://schemas.openxmlformats.org/officeDocument/2006/relationships/hyperlink" Target="http://www.sec.gov/Archives/edgar/data/1641489/000156761915000982/s000971x7_ex10-6.htm" TargetMode="External"/><Relationship Id="rId105" Type="http://schemas.openxmlformats.org/officeDocument/2006/relationships/hyperlink" Target="http://www.sec.gov/Archives/edgar/data/1641489/000156761915001036/s000995x1_ex10-1.htm" TargetMode="External"/><Relationship Id="rId106" Type="http://schemas.openxmlformats.org/officeDocument/2006/relationships/hyperlink" Target="http://www.sec.gov/Archives/edgar/data/1641489/000156761915001036/s000995x1_ex10-2.htm" TargetMode="External"/><Relationship Id="rId107" Type="http://schemas.openxmlformats.org/officeDocument/2006/relationships/hyperlink" Target="http://www.sec.gov/Archives/edgar/data/1641489/000156761915001036/s000995x1_ex10-3.htm" TargetMode="External"/><Relationship Id="rId108" Type="http://schemas.openxmlformats.org/officeDocument/2006/relationships/hyperlink" Target="http://www.sec.gov/Archives/edgar/data/1641489/000156761915001036/s000995x1_ex10-4.htm" TargetMode="External"/><Relationship Id="rId109" Type="http://schemas.openxmlformats.org/officeDocument/2006/relationships/hyperlink" Target="http://www.sec.gov/Archives/edgar/data/1641489/000156761915001036/s000995x1_ex10-5.htm" TargetMode="External"/><Relationship Id="rId110" Type="http://schemas.openxmlformats.org/officeDocument/2006/relationships/hyperlink" Target="http://www.sec.gov/Archives/edgar/data/1641489/000156761915000982/s000971x7_ex10-7.htm" TargetMode="External"/><Relationship Id="rId111" Type="http://schemas.openxmlformats.org/officeDocument/2006/relationships/hyperlink" Target="http://www.sec.gov/Archives/edgar/data/1641489/000156761915000955/s000971x4_ex10-13.htm" TargetMode="External"/><Relationship Id="rId114" Type="http://schemas.openxmlformats.org/officeDocument/2006/relationships/hyperlink" Target="http://www.sec.gov/Archives/edgar/data/1641489/000156761915000955/s000971x4_ex10-14.htm" TargetMode="External"/><Relationship Id="rId115" Type="http://schemas.openxmlformats.org/officeDocument/2006/relationships/hyperlink" Target="http://www.sec.gov/Archives/edgar/data/1641489/000156761915000955/s000971x4_ex10-15.htm" TargetMode="External"/><Relationship Id="rId116" Type="http://schemas.openxmlformats.org/officeDocument/2006/relationships/hyperlink" Target="http://www.sec.gov/Archives/edgar/data/1641489/000156761915001036/s000995x1_ex10-6.htm" TargetMode="External"/><Relationship Id="rId117" Type="http://schemas.openxmlformats.org/officeDocument/2006/relationships/hyperlink" Target="http://www.sec.gov/Archives/edgar/data/1641489/000156761915001036/s000995x1_ex10-7.htm" TargetMode="External"/><Relationship Id="rId120" Type="http://schemas.openxmlformats.org/officeDocument/2006/relationships/hyperlink" Target="http://www.sec.gov/Archives/edgar/data/1641489/000156459016014035/vtvt-ex1013_629.htm" TargetMode="External"/><Relationship Id="rId121" Type="http://schemas.openxmlformats.org/officeDocument/2006/relationships/hyperlink" Target="http://www.sec.gov/Archives/edgar/data/1641489/000156761915000855/s000893x4_ex10-8.htm" TargetMode="External"/><Relationship Id="rId122" Type="http://schemas.openxmlformats.org/officeDocument/2006/relationships/hyperlink" Target="http://www.sec.gov/Archives/edgar/data/1641489/000156761915000982/s000971x7_ex10-9.htm" TargetMode="External"/><Relationship Id="rId123" Type="http://schemas.openxmlformats.org/officeDocument/2006/relationships/hyperlink" Target="http://www.sec.gov/Archives/edgar/data/1641489/000156459017002317/vtvt-ex1017_589.htm" TargetMode="External"/><Relationship Id="rId124" Type="http://schemas.openxmlformats.org/officeDocument/2006/relationships/hyperlink" Target="http://www.sec.gov/Archives/edgar/data/1641489/000156459018003515/vtvt-ex1017_693.htm" TargetMode="External"/><Relationship Id="rId125" Type="http://schemas.openxmlformats.org/officeDocument/2006/relationships/hyperlink" Target="http://www.sec.gov/Archives/edgar/data/1641489/000156459018003515/vtvt-ex1018_692.htm" TargetMode="External"/><Relationship Id="rId126" Type="http://schemas.openxmlformats.org/officeDocument/2006/relationships/hyperlink" Target="http://www.sec.gov/Archives/edgar/data/1641489/000156459018003515/vtvt-ex1019_691.htm" TargetMode="External"/><Relationship Id="rId127" Type="http://schemas.openxmlformats.org/officeDocument/2006/relationships/hyperlink" Target="http://www.sec.gov/Archives/edgar/data/1641489/000156459018003515/vtvt-ex1020_690.htm" TargetMode="External"/><Relationship Id="rId128" Type="http://schemas.openxmlformats.org/officeDocument/2006/relationships/hyperlink" Target="http://www.sec.gov/Archives/edgar/data/1641489/000156459018019035/vtvt-ex101_258.htm" TargetMode="External"/><Relationship Id="rId129" Type="http://schemas.openxmlformats.org/officeDocument/2006/relationships/hyperlink" Target="http://www.sec.gov/Archives/edgar/data/1641489/000156459018019035/vtvt-ex102_259.htm" TargetMode="External"/><Relationship Id="rId130" Type="http://schemas.openxmlformats.org/officeDocument/2006/relationships/hyperlink" Target="http://www.sec.gov/Archives/edgar/data/1641489/000156459018028660/vtvt-ex101_202.htm" TargetMode="External"/><Relationship Id="rId131" Type="http://schemas.openxmlformats.org/officeDocument/2006/relationships/hyperlink" Target="http://www.sec.gov/Archives/edgar/data/1641489/000156459018028660/vtvt-ex102_2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2019-12-28T15:46:03Z</dcterms:created>
  <dcterms:modified xsi:type="dcterms:W3CDTF">2019-12-28T15:46:03Z</dcterms:modified>
</cp:coreProperties>
</file>