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2110" cy="571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182245</wp:posOffset>
            </wp:positionV>
            <wp:extent cx="6166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6485" cy="571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199390</wp:posOffset>
            </wp:positionV>
            <wp:extent cx="6166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66485" cy="5715"/>
                    </a:xfrm>
                    <a:prstGeom prst="rect">
                      <a:avLst/>
                    </a:prstGeom>
                    <a:noFill/>
                  </pic:spPr>
                </pic:pic>
              </a:graphicData>
            </a:graphic>
          </wp:anchor>
        </w:drawing>
      </w:r>
    </w:p>
    <w:p>
      <w:pPr>
        <w:spacing w:after="0" w:line="3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_____________________________________________________________________________________________________</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1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_____________________________________________________________________________________________________</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1" w:lineRule="exact"/>
        <w:rPr>
          <w:sz w:val="24"/>
          <w:szCs w:val="24"/>
          <w:color w:val="auto"/>
        </w:rPr>
      </w:pPr>
    </w:p>
    <w:p>
      <w:pPr>
        <w:ind w:left="400" w:hanging="396"/>
        <w:spacing w:after="0"/>
        <w:tabs>
          <w:tab w:leader="none" w:pos="400" w:val="left"/>
        </w:tabs>
        <w:numPr>
          <w:ilvl w:val="0"/>
          <w:numId w:val="1"/>
        </w:numPr>
        <w:rPr>
          <w:rFonts w:ascii="Wingdings" w:cs="Wingdings" w:eastAsia="Wingdings" w:hAnsi="Wingdings"/>
          <w:sz w:val="12"/>
          <w:szCs w:val="12"/>
          <w:b w:val="1"/>
          <w:bCs w:val="1"/>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2024</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68" w:lineRule="exact"/>
        <w:rPr>
          <w:sz w:val="24"/>
          <w:szCs w:val="24"/>
          <w:color w:val="auto"/>
        </w:rPr>
      </w:pPr>
    </w:p>
    <w:p>
      <w:pPr>
        <w:ind w:left="400" w:hanging="396"/>
        <w:spacing w:after="0"/>
        <w:tabs>
          <w:tab w:leader="none" w:pos="400" w:val="left"/>
        </w:tabs>
        <w:numPr>
          <w:ilvl w:val="0"/>
          <w:numId w:val="2"/>
        </w:numPr>
        <w:rPr>
          <w:rFonts w:ascii="Wingdings" w:cs="Wingdings" w:eastAsia="Wingdings" w:hAnsi="Wingdings"/>
          <w:sz w:val="12"/>
          <w:szCs w:val="12"/>
          <w:b w:val="1"/>
          <w:bCs w:val="1"/>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12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_______ to _______</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Commission file number: 001-37524</w:t>
      </w:r>
    </w:p>
    <w:p>
      <w:pPr>
        <w:spacing w:after="0" w:line="3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_____________________________________________________________________________________________________</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vTv Therapeutics Inc.</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3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7"/>
          <w:szCs w:val="7"/>
          <w:b w:val="1"/>
          <w:bCs w:val="1"/>
          <w:color w:val="auto"/>
        </w:rPr>
        <w:t>_____________________________________________________________________________________________________</w:t>
      </w:r>
    </w:p>
    <w:p>
      <w:pPr>
        <w:spacing w:after="0" w:line="70" w:lineRule="exact"/>
        <w:rPr>
          <w:sz w:val="24"/>
          <w:szCs w:val="24"/>
          <w:color w:val="auto"/>
        </w:rPr>
      </w:pPr>
    </w:p>
    <w:tbl>
      <w:tblPr>
        <w:tblLayout w:type="fixed"/>
        <w:tblInd w:w="840" w:type="dxa"/>
        <w:tblCellMar>
          <w:top w:w="0" w:type="dxa"/>
          <w:left w:w="0" w:type="dxa"/>
          <w:bottom w:w="0" w:type="dxa"/>
          <w:right w:w="0" w:type="dxa"/>
        </w:tblCellMar>
      </w:tblPr>
      <w:tr>
        <w:trPr>
          <w:trHeight w:val="142"/>
        </w:trPr>
        <w:tc>
          <w:tcPr>
            <w:tcW w:w="1920" w:type="dxa"/>
            <w:vAlign w:val="bottom"/>
          </w:tcPr>
          <w:p>
            <w:pPr>
              <w:spacing w:after="0"/>
              <w:rPr>
                <w:sz w:val="12"/>
                <w:szCs w:val="12"/>
                <w:color w:val="auto"/>
              </w:rPr>
            </w:pPr>
          </w:p>
        </w:tc>
        <w:tc>
          <w:tcPr>
            <w:tcW w:w="1520" w:type="dxa"/>
            <w:vAlign w:val="bottom"/>
          </w:tcPr>
          <w:p>
            <w:pPr>
              <w:jc w:val="center"/>
              <w:ind w:right="526"/>
              <w:spacing w:after="0"/>
              <w:rPr>
                <w:sz w:val="20"/>
                <w:szCs w:val="20"/>
                <w:color w:val="auto"/>
              </w:rPr>
            </w:pPr>
            <w:r>
              <w:rPr>
                <w:rFonts w:ascii="Times New Roman" w:cs="Times New Roman" w:eastAsia="Times New Roman" w:hAnsi="Times New Roman"/>
                <w:sz w:val="11"/>
                <w:szCs w:val="11"/>
                <w:b w:val="1"/>
                <w:bCs w:val="1"/>
                <w:color w:val="auto"/>
                <w:w w:val="94"/>
              </w:rPr>
              <w:t>Delaware</w:t>
            </w:r>
          </w:p>
        </w:tc>
        <w:tc>
          <w:tcPr>
            <w:tcW w:w="3040" w:type="dxa"/>
            <w:vAlign w:val="bottom"/>
          </w:tcPr>
          <w:p>
            <w:pPr>
              <w:spacing w:after="0"/>
              <w:rPr>
                <w:sz w:val="12"/>
                <w:szCs w:val="12"/>
                <w:color w:val="auto"/>
              </w:rPr>
            </w:pPr>
          </w:p>
        </w:tc>
        <w:tc>
          <w:tcPr>
            <w:tcW w:w="1240" w:type="dxa"/>
            <w:vAlign w:val="bottom"/>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47-3916571</w:t>
            </w:r>
          </w:p>
        </w:tc>
        <w:tc>
          <w:tcPr>
            <w:tcW w:w="1880" w:type="dxa"/>
            <w:vAlign w:val="bottom"/>
          </w:tcPr>
          <w:p>
            <w:pPr>
              <w:spacing w:after="0"/>
              <w:rPr>
                <w:sz w:val="12"/>
                <w:szCs w:val="12"/>
                <w:color w:val="auto"/>
              </w:rPr>
            </w:pPr>
          </w:p>
        </w:tc>
      </w:tr>
      <w:tr>
        <w:trPr>
          <w:trHeight w:val="123"/>
        </w:trPr>
        <w:tc>
          <w:tcPr>
            <w:tcW w:w="3440" w:type="dxa"/>
            <w:vAlign w:val="bottom"/>
            <w:gridSpan w:val="2"/>
          </w:tcPr>
          <w:p>
            <w:pPr>
              <w:jc w:val="center"/>
              <w:ind w:left="1312"/>
              <w:spacing w:after="0"/>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3040" w:type="dxa"/>
            <w:vAlign w:val="bottom"/>
          </w:tcPr>
          <w:p>
            <w:pPr>
              <w:spacing w:after="0"/>
              <w:rPr>
                <w:sz w:val="10"/>
                <w:szCs w:val="10"/>
                <w:color w:val="auto"/>
              </w:rPr>
            </w:pPr>
          </w:p>
        </w:tc>
        <w:tc>
          <w:tcPr>
            <w:tcW w:w="3120" w:type="dxa"/>
            <w:vAlign w:val="bottom"/>
            <w:gridSpan w:val="2"/>
          </w:tcPr>
          <w:p>
            <w:pPr>
              <w:jc w:val="center"/>
              <w:ind w:right="1660"/>
              <w:spacing w:after="0"/>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5"/>
        </w:trPr>
        <w:tc>
          <w:tcPr>
            <w:tcW w:w="3440" w:type="dxa"/>
            <w:vAlign w:val="bottom"/>
            <w:gridSpan w:val="2"/>
          </w:tcPr>
          <w:p>
            <w:pPr>
              <w:jc w:val="center"/>
              <w:ind w:left="1292"/>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3040" w:type="dxa"/>
            <w:vAlign w:val="bottom"/>
          </w:tcPr>
          <w:p>
            <w:pPr>
              <w:spacing w:after="0"/>
              <w:rPr>
                <w:sz w:val="10"/>
                <w:szCs w:val="10"/>
                <w:color w:val="auto"/>
              </w:rPr>
            </w:pPr>
          </w:p>
        </w:tc>
        <w:tc>
          <w:tcPr>
            <w:tcW w:w="3120" w:type="dxa"/>
            <w:vAlign w:val="bottom"/>
            <w:gridSpan w:val="2"/>
          </w:tcPr>
          <w:p>
            <w:pPr>
              <w:jc w:val="center"/>
              <w:ind w:right="1640"/>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r>
        <w:trPr>
          <w:trHeight w:val="181"/>
        </w:trPr>
        <w:tc>
          <w:tcPr>
            <w:tcW w:w="3440" w:type="dxa"/>
            <w:vAlign w:val="bottom"/>
            <w:gridSpan w:val="2"/>
          </w:tcPr>
          <w:p>
            <w:pPr>
              <w:jc w:val="center"/>
              <w:ind w:left="1312"/>
              <w:spacing w:after="0"/>
              <w:rPr>
                <w:sz w:val="20"/>
                <w:szCs w:val="20"/>
                <w:color w:val="auto"/>
              </w:rPr>
            </w:pPr>
            <w:r>
              <w:rPr>
                <w:rFonts w:ascii="Times New Roman" w:cs="Times New Roman" w:eastAsia="Times New Roman" w:hAnsi="Times New Roman"/>
                <w:sz w:val="11"/>
                <w:szCs w:val="11"/>
                <w:b w:val="1"/>
                <w:bCs w:val="1"/>
                <w:color w:val="auto"/>
                <w:w w:val="97"/>
              </w:rPr>
              <w:t>3980 Premier Dr, Suite 310, High Point, NC</w:t>
            </w:r>
          </w:p>
        </w:tc>
        <w:tc>
          <w:tcPr>
            <w:tcW w:w="3040" w:type="dxa"/>
            <w:vAlign w:val="bottom"/>
          </w:tcPr>
          <w:p>
            <w:pPr>
              <w:spacing w:after="0"/>
              <w:rPr>
                <w:sz w:val="15"/>
                <w:szCs w:val="15"/>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27265</w:t>
            </w:r>
          </w:p>
        </w:tc>
        <w:tc>
          <w:tcPr>
            <w:tcW w:w="1880" w:type="dxa"/>
            <w:vAlign w:val="bottom"/>
          </w:tcPr>
          <w:p>
            <w:pPr>
              <w:spacing w:after="0"/>
              <w:rPr>
                <w:sz w:val="15"/>
                <w:szCs w:val="15"/>
                <w:color w:val="auto"/>
              </w:rPr>
            </w:pPr>
          </w:p>
        </w:tc>
      </w:tr>
      <w:tr>
        <w:trPr>
          <w:trHeight w:val="125"/>
        </w:trPr>
        <w:tc>
          <w:tcPr>
            <w:tcW w:w="3440" w:type="dxa"/>
            <w:vAlign w:val="bottom"/>
            <w:gridSpan w:val="2"/>
          </w:tcPr>
          <w:p>
            <w:pPr>
              <w:jc w:val="center"/>
              <w:ind w:left="129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3040" w:type="dxa"/>
            <w:vAlign w:val="bottom"/>
          </w:tcPr>
          <w:p>
            <w:pPr>
              <w:spacing w:after="0"/>
              <w:rPr>
                <w:sz w:val="10"/>
                <w:szCs w:val="10"/>
                <w:color w:val="auto"/>
              </w:rPr>
            </w:pPr>
          </w:p>
        </w:tc>
        <w:tc>
          <w:tcPr>
            <w:tcW w:w="3120" w:type="dxa"/>
            <w:vAlign w:val="bottom"/>
            <w:gridSpan w:val="2"/>
          </w:tcPr>
          <w:p>
            <w:pPr>
              <w:jc w:val="center"/>
              <w:ind w:right="1640"/>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r>
        <w:trPr>
          <w:trHeight w:val="208"/>
        </w:trPr>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40" w:type="dxa"/>
            <w:vAlign w:val="bottom"/>
          </w:tcPr>
          <w:p>
            <w:pPr>
              <w:jc w:val="center"/>
              <w:ind w:right="271"/>
              <w:spacing w:after="0"/>
              <w:rPr>
                <w:sz w:val="20"/>
                <w:szCs w:val="20"/>
                <w:color w:val="auto"/>
              </w:rPr>
            </w:pPr>
            <w:r>
              <w:rPr>
                <w:rFonts w:ascii="Times New Roman" w:cs="Times New Roman" w:eastAsia="Times New Roman" w:hAnsi="Times New Roman"/>
                <w:sz w:val="11"/>
                <w:szCs w:val="11"/>
                <w:b w:val="1"/>
                <w:bCs w:val="1"/>
                <w:color w:val="auto"/>
                <w:w w:val="98"/>
              </w:rPr>
              <w:t>(336) 841-0300</w:t>
            </w:r>
          </w:p>
        </w:tc>
        <w:tc>
          <w:tcPr>
            <w:tcW w:w="1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22"/>
        </w:trPr>
        <w:tc>
          <w:tcPr>
            <w:tcW w:w="19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040" w:type="dxa"/>
            <w:vAlign w:val="bottom"/>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1240" w:type="dxa"/>
            <w:vAlign w:val="bottom"/>
          </w:tcPr>
          <w:p>
            <w:pPr>
              <w:spacing w:after="0"/>
              <w:rPr>
                <w:sz w:val="10"/>
                <w:szCs w:val="10"/>
                <w:color w:val="auto"/>
              </w:rPr>
            </w:pPr>
          </w:p>
        </w:tc>
        <w:tc>
          <w:tcPr>
            <w:tcW w:w="1880" w:type="dxa"/>
            <w:vAlign w:val="bottom"/>
          </w:tcPr>
          <w:p>
            <w:pPr>
              <w:spacing w:after="0"/>
              <w:rPr>
                <w:sz w:val="10"/>
                <w:szCs w:val="10"/>
                <w:color w:val="auto"/>
              </w:rPr>
            </w:pPr>
          </w:p>
        </w:tc>
      </w:tr>
      <w:tr>
        <w:trPr>
          <w:trHeight w:val="142"/>
        </w:trPr>
        <w:tc>
          <w:tcPr>
            <w:tcW w:w="1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40" w:type="dxa"/>
            <w:vAlign w:val="bottom"/>
          </w:tcPr>
          <w:p>
            <w:pPr>
              <w:jc w:val="center"/>
              <w:ind w:right="271"/>
              <w:spacing w:after="0"/>
              <w:rPr>
                <w:sz w:val="20"/>
                <w:szCs w:val="20"/>
                <w:color w:val="auto"/>
              </w:rPr>
            </w:pPr>
            <w:r>
              <w:rPr>
                <w:rFonts w:ascii="Times New Roman" w:cs="Times New Roman" w:eastAsia="Times New Roman" w:hAnsi="Times New Roman"/>
                <w:sz w:val="11"/>
                <w:szCs w:val="11"/>
                <w:b w:val="1"/>
                <w:bCs w:val="1"/>
                <w:color w:val="auto"/>
                <w:w w:val="97"/>
              </w:rPr>
              <w:t>Securities registered pursuant to Section 12(b) of the Act:</w:t>
            </w:r>
          </w:p>
        </w:tc>
        <w:tc>
          <w:tcPr>
            <w:tcW w:w="124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142"/>
        </w:trPr>
        <w:tc>
          <w:tcPr>
            <w:tcW w:w="3440" w:type="dxa"/>
            <w:vAlign w:val="bottom"/>
            <w:tcBorders>
              <w:bottom w:val="single" w:sz="8" w:color="auto"/>
            </w:tcBorders>
            <w:gridSpan w:val="2"/>
          </w:tcPr>
          <w:p>
            <w:pPr>
              <w:jc w:val="center"/>
              <w:ind w:left="332"/>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3040" w:type="dxa"/>
            <w:vAlign w:val="bottom"/>
            <w:tcBorders>
              <w:bottom w:val="single" w:sz="8" w:color="auto"/>
            </w:tcBorders>
          </w:tcPr>
          <w:p>
            <w:pPr>
              <w:jc w:val="center"/>
              <w:ind w:right="291"/>
              <w:spacing w:after="0"/>
              <w:rPr>
                <w:sz w:val="20"/>
                <w:szCs w:val="20"/>
                <w:color w:val="auto"/>
              </w:rPr>
            </w:pPr>
            <w:r>
              <w:rPr>
                <w:rFonts w:ascii="Times New Roman" w:cs="Times New Roman" w:eastAsia="Times New Roman" w:hAnsi="Times New Roman"/>
                <w:sz w:val="8"/>
                <w:szCs w:val="8"/>
                <w:b w:val="1"/>
                <w:bCs w:val="1"/>
                <w:color w:val="auto"/>
              </w:rPr>
              <w:t>Trading Symbol</w:t>
            </w:r>
          </w:p>
        </w:tc>
        <w:tc>
          <w:tcPr>
            <w:tcW w:w="3120" w:type="dxa"/>
            <w:vAlign w:val="bottom"/>
            <w:tcBorders>
              <w:bottom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r>
        <w:trPr>
          <w:trHeight w:val="118"/>
        </w:trPr>
        <w:tc>
          <w:tcPr>
            <w:tcW w:w="3440" w:type="dxa"/>
            <w:vAlign w:val="bottom"/>
            <w:gridSpan w:val="2"/>
          </w:tcPr>
          <w:p>
            <w:pPr>
              <w:jc w:val="center"/>
              <w:ind w:left="332"/>
              <w:spacing w:after="0"/>
              <w:rPr>
                <w:sz w:val="20"/>
                <w:szCs w:val="20"/>
                <w:color w:val="auto"/>
              </w:rPr>
            </w:pPr>
            <w:r>
              <w:rPr>
                <w:rFonts w:ascii="Times New Roman" w:cs="Times New Roman" w:eastAsia="Times New Roman" w:hAnsi="Times New Roman"/>
                <w:sz w:val="10"/>
                <w:szCs w:val="10"/>
                <w:color w:val="auto"/>
                <w:w w:val="95"/>
              </w:rPr>
              <w:t>Class A Common Stock, par value $0.01 per share</w:t>
            </w:r>
          </w:p>
        </w:tc>
        <w:tc>
          <w:tcPr>
            <w:tcW w:w="3040" w:type="dxa"/>
            <w:vAlign w:val="bottom"/>
          </w:tcPr>
          <w:p>
            <w:pPr>
              <w:jc w:val="center"/>
              <w:ind w:right="271"/>
              <w:spacing w:after="0"/>
              <w:rPr>
                <w:sz w:val="20"/>
                <w:szCs w:val="20"/>
                <w:color w:val="auto"/>
              </w:rPr>
            </w:pPr>
            <w:r>
              <w:rPr>
                <w:rFonts w:ascii="Times New Roman" w:cs="Times New Roman" w:eastAsia="Times New Roman" w:hAnsi="Times New Roman"/>
                <w:sz w:val="10"/>
                <w:szCs w:val="10"/>
                <w:color w:val="auto"/>
                <w:w w:val="89"/>
              </w:rPr>
              <w:t>VTVT</w:t>
            </w:r>
          </w:p>
        </w:tc>
        <w:tc>
          <w:tcPr>
            <w:tcW w:w="3120" w:type="dxa"/>
            <w:vAlign w:val="bottom"/>
            <w:gridSpan w:val="2"/>
          </w:tcPr>
          <w:p>
            <w:pPr>
              <w:jc w:val="center"/>
              <w:ind w:right="700"/>
              <w:spacing w:after="0"/>
              <w:rPr>
                <w:sz w:val="20"/>
                <w:szCs w:val="20"/>
                <w:color w:val="auto"/>
              </w:rPr>
            </w:pPr>
            <w:r>
              <w:rPr>
                <w:rFonts w:ascii="Times New Roman" w:cs="Times New Roman" w:eastAsia="Times New Roman" w:hAnsi="Times New Roman"/>
                <w:sz w:val="10"/>
                <w:szCs w:val="10"/>
                <w:color w:val="auto"/>
                <w:w w:val="96"/>
              </w:rPr>
              <w:t>Nasdaq Capital Market</w:t>
            </w:r>
          </w:p>
        </w:tc>
      </w:tr>
      <w:tr>
        <w:trPr>
          <w:trHeight w:val="274"/>
        </w:trPr>
        <w:tc>
          <w:tcPr>
            <w:tcW w:w="19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40" w:type="dxa"/>
            <w:vAlign w:val="bottom"/>
          </w:tcPr>
          <w:p>
            <w:pPr>
              <w:jc w:val="center"/>
              <w:ind w:right="251"/>
              <w:spacing w:after="0"/>
              <w:rPr>
                <w:sz w:val="20"/>
                <w:szCs w:val="20"/>
                <w:color w:val="auto"/>
              </w:rPr>
            </w:pPr>
            <w:r>
              <w:rPr>
                <w:rFonts w:ascii="Times New Roman" w:cs="Times New Roman" w:eastAsia="Times New Roman" w:hAnsi="Times New Roman"/>
                <w:sz w:val="10"/>
                <w:szCs w:val="10"/>
                <w:b w:val="1"/>
                <w:bCs w:val="1"/>
                <w:color w:val="auto"/>
                <w:w w:val="95"/>
              </w:rPr>
              <w:t>Securities registered pursuant to Section 12(g) of the Act: None</w:t>
            </w:r>
          </w:p>
        </w:tc>
        <w:tc>
          <w:tcPr>
            <w:tcW w:w="124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6"/>
        </w:trPr>
        <w:tc>
          <w:tcPr>
            <w:tcW w:w="19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r>
    </w:tbl>
    <w:p>
      <w:pPr>
        <w:spacing w:after="0" w:line="25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3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 xml:space="preserve">Indicate by check mark if the Registrant is not required to file reports pursuant to Section 13 or Section 15(d) of the Exchange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3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29" w:lineRule="exact"/>
        <w:rPr>
          <w:sz w:val="24"/>
          <w:szCs w:val="24"/>
          <w:color w:val="auto"/>
        </w:rPr>
      </w:pPr>
    </w:p>
    <w:p>
      <w:pPr>
        <w:ind w:right="280" w:firstLine="324"/>
        <w:spacing w:after="0" w:line="243"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19" w:lineRule="exact"/>
        <w:rPr>
          <w:sz w:val="24"/>
          <w:szCs w:val="24"/>
          <w:color w:val="auto"/>
        </w:rPr>
      </w:pPr>
    </w:p>
    <w:p>
      <w:pPr>
        <w:ind w:right="160" w:firstLine="324"/>
        <w:spacing w:after="0" w:line="222"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780" w:type="dxa"/>
        <w:tblCellMar>
          <w:top w:w="0" w:type="dxa"/>
          <w:left w:w="0" w:type="dxa"/>
          <w:bottom w:w="0" w:type="dxa"/>
          <w:right w:w="0" w:type="dxa"/>
        </w:tblCellMar>
      </w:tblPr>
      <w:tr>
        <w:trPr>
          <w:trHeight w:val="124"/>
        </w:trPr>
        <w:tc>
          <w:tcPr>
            <w:tcW w:w="204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2720" w:type="dxa"/>
            <w:vAlign w:val="bottom"/>
          </w:tcPr>
          <w:p>
            <w:pPr>
              <w:ind w:left="1000"/>
              <w:spacing w:after="0"/>
              <w:rPr>
                <w:sz w:val="20"/>
                <w:szCs w:val="20"/>
                <w:color w:val="auto"/>
              </w:rPr>
            </w:pPr>
            <w:r>
              <w:rPr>
                <w:rFonts w:ascii="Wingdings" w:cs="Wingdings" w:eastAsia="Wingdings" w:hAnsi="Wingdings"/>
                <w:sz w:val="10"/>
                <w:szCs w:val="10"/>
                <w:b w:val="1"/>
                <w:bCs w:val="1"/>
                <w:color w:val="auto"/>
              </w:rPr>
              <w:t>o</w:t>
            </w:r>
          </w:p>
        </w:tc>
        <w:tc>
          <w:tcPr>
            <w:tcW w:w="3660" w:type="dxa"/>
            <w:vAlign w:val="bottom"/>
          </w:tcPr>
          <w:p>
            <w:pPr>
              <w:ind w:left="1620"/>
              <w:spacing w:after="0"/>
              <w:rPr>
                <w:sz w:val="20"/>
                <w:szCs w:val="20"/>
                <w:color w:val="auto"/>
              </w:rPr>
            </w:pPr>
            <w:r>
              <w:rPr>
                <w:rFonts w:ascii="Times New Roman" w:cs="Times New Roman" w:eastAsia="Times New Roman" w:hAnsi="Times New Roman"/>
                <w:sz w:val="10"/>
                <w:szCs w:val="10"/>
                <w:color w:val="auto"/>
              </w:rPr>
              <w:t>Accelerated filer</w:t>
            </w:r>
          </w:p>
        </w:tc>
        <w:tc>
          <w:tcPr>
            <w:tcW w:w="1100" w:type="dxa"/>
            <w:vAlign w:val="bottom"/>
          </w:tcPr>
          <w:p>
            <w:pPr>
              <w:ind w:left="1000"/>
              <w:spacing w:after="0"/>
              <w:rPr>
                <w:sz w:val="20"/>
                <w:szCs w:val="20"/>
                <w:color w:val="auto"/>
              </w:rPr>
            </w:pPr>
            <w:r>
              <w:rPr>
                <w:rFonts w:ascii="Wingdings" w:cs="Wingdings" w:eastAsia="Wingdings" w:hAnsi="Wingdings"/>
                <w:sz w:val="10"/>
                <w:szCs w:val="10"/>
                <w:b w:val="1"/>
                <w:bCs w:val="1"/>
                <w:color w:val="auto"/>
                <w:w w:val="89"/>
              </w:rPr>
              <w:t>o</w:t>
            </w:r>
          </w:p>
        </w:tc>
      </w:tr>
      <w:tr>
        <w:trPr>
          <w:trHeight w:val="135"/>
        </w:trPr>
        <w:tc>
          <w:tcPr>
            <w:tcW w:w="204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2720" w:type="dxa"/>
            <w:vAlign w:val="bottom"/>
          </w:tcPr>
          <w:p>
            <w:pPr>
              <w:ind w:left="1000"/>
              <w:spacing w:after="0"/>
              <w:rPr>
                <w:sz w:val="20"/>
                <w:szCs w:val="20"/>
                <w:color w:val="auto"/>
              </w:rPr>
            </w:pPr>
            <w:r>
              <w:rPr>
                <w:rFonts w:ascii="Wingdings" w:cs="Wingdings" w:eastAsia="Wingdings" w:hAnsi="Wingdings"/>
                <w:sz w:val="10"/>
                <w:szCs w:val="10"/>
                <w:b w:val="1"/>
                <w:bCs w:val="1"/>
                <w:color w:val="auto"/>
              </w:rPr>
              <w:t>x</w:t>
            </w:r>
          </w:p>
        </w:tc>
        <w:tc>
          <w:tcPr>
            <w:tcW w:w="3660" w:type="dxa"/>
            <w:vAlign w:val="bottom"/>
          </w:tcPr>
          <w:p>
            <w:pPr>
              <w:ind w:left="162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1100" w:type="dxa"/>
            <w:vAlign w:val="bottom"/>
          </w:tcPr>
          <w:p>
            <w:pPr>
              <w:ind w:left="1000"/>
              <w:spacing w:after="0"/>
              <w:rPr>
                <w:sz w:val="20"/>
                <w:szCs w:val="20"/>
                <w:color w:val="auto"/>
              </w:rPr>
            </w:pPr>
            <w:r>
              <w:rPr>
                <w:rFonts w:ascii="Wingdings" w:cs="Wingdings" w:eastAsia="Wingdings" w:hAnsi="Wingdings"/>
                <w:sz w:val="10"/>
                <w:szCs w:val="10"/>
                <w:b w:val="1"/>
                <w:bCs w:val="1"/>
                <w:color w:val="auto"/>
                <w:w w:val="74"/>
              </w:rPr>
              <w:t>x</w:t>
            </w:r>
          </w:p>
        </w:tc>
      </w:tr>
      <w:tr>
        <w:trPr>
          <w:trHeight w:val="135"/>
        </w:trPr>
        <w:tc>
          <w:tcPr>
            <w:tcW w:w="2040" w:type="dxa"/>
            <w:vAlign w:val="bottom"/>
          </w:tcPr>
          <w:p>
            <w:pPr>
              <w:spacing w:after="0"/>
              <w:rPr>
                <w:sz w:val="20"/>
                <w:szCs w:val="20"/>
                <w:color w:val="auto"/>
              </w:rPr>
            </w:pPr>
            <w:r>
              <w:rPr>
                <w:rFonts w:ascii="Times New Roman" w:cs="Times New Roman" w:eastAsia="Times New Roman" w:hAnsi="Times New Roman"/>
                <w:sz w:val="10"/>
                <w:szCs w:val="10"/>
                <w:color w:val="auto"/>
              </w:rPr>
              <w:t>Emerging growth company</w:t>
            </w:r>
          </w:p>
        </w:tc>
        <w:tc>
          <w:tcPr>
            <w:tcW w:w="2720" w:type="dxa"/>
            <w:vAlign w:val="bottom"/>
          </w:tcPr>
          <w:p>
            <w:pPr>
              <w:ind w:left="1000"/>
              <w:spacing w:after="0"/>
              <w:rPr>
                <w:sz w:val="20"/>
                <w:szCs w:val="20"/>
                <w:color w:val="auto"/>
              </w:rPr>
            </w:pPr>
            <w:r>
              <w:rPr>
                <w:rFonts w:ascii="Wingdings" w:cs="Wingdings" w:eastAsia="Wingdings" w:hAnsi="Wingdings"/>
                <w:sz w:val="10"/>
                <w:szCs w:val="10"/>
                <w:b w:val="1"/>
                <w:bCs w:val="1"/>
                <w:color w:val="auto"/>
              </w:rPr>
              <w:t>o</w:t>
            </w:r>
          </w:p>
        </w:tc>
        <w:tc>
          <w:tcPr>
            <w:tcW w:w="366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11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0"/>
          <w:szCs w:val="10"/>
          <w:b w:val="1"/>
          <w:bCs w:val="1"/>
          <w:color w:val="auto"/>
        </w:rPr>
        <w:t>o</w:t>
      </w:r>
    </w:p>
    <w:p>
      <w:pPr>
        <w:spacing w:after="0" w:line="29" w:lineRule="exact"/>
        <w:rPr>
          <w:sz w:val="24"/>
          <w:szCs w:val="24"/>
          <w:color w:val="auto"/>
        </w:rPr>
      </w:pPr>
    </w:p>
    <w:p>
      <w:pPr>
        <w:ind w:firstLine="324"/>
        <w:spacing w:after="0" w:line="243"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0"/>
          <w:szCs w:val="10"/>
          <w:b w:val="1"/>
          <w:bCs w:val="1"/>
          <w:color w:val="auto"/>
        </w:rPr>
        <w:t>o</w:t>
      </w:r>
    </w:p>
    <w:p>
      <w:pPr>
        <w:spacing w:after="0" w:line="43" w:lineRule="exact"/>
        <w:rPr>
          <w:sz w:val="24"/>
          <w:szCs w:val="24"/>
          <w:color w:val="auto"/>
        </w:rPr>
      </w:pPr>
    </w:p>
    <w:p>
      <w:pPr>
        <w:ind w:left="320"/>
        <w:spacing w:after="0" w:line="115" w:lineRule="exact"/>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74" w:lineRule="exact"/>
        <w:rPr>
          <w:sz w:val="24"/>
          <w:szCs w:val="24"/>
          <w:color w:val="auto"/>
        </w:rPr>
      </w:pPr>
    </w:p>
    <w:p>
      <w:pPr>
        <w:ind w:left="320" w:right="760"/>
        <w:spacing w:after="0" w:line="154" w:lineRule="exact"/>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Indicate by check mark if the Registrant is a shell company (as defined in Rule 12b-2 of the Exchange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2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8"/>
          <w:szCs w:val="8"/>
          <w:color w:val="auto"/>
        </w:rPr>
        <w:t>The aggregate market value of the registrant’s Class A Common Stock held by non-affiliates on the last business day of the Registrant’s most recently completed second quarter, June 28, 2024, was $23,162,697 (based on the closing sale price as reported on the Nasdaq on such date).</w:t>
      </w:r>
    </w:p>
    <w:p>
      <w:pPr>
        <w:spacing w:after="0" w:line="5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0"/>
          <w:szCs w:val="10"/>
          <w:color w:val="auto"/>
        </w:rPr>
        <w:t>Indicate the number of shares outstanding of each of the Registrant’s classes of common stock, as of March 20, 2025.</w:t>
      </w:r>
    </w:p>
    <w:p>
      <w:pPr>
        <w:spacing w:after="0" w:line="55" w:lineRule="exact"/>
        <w:rPr>
          <w:sz w:val="24"/>
          <w:szCs w:val="24"/>
          <w:color w:val="auto"/>
        </w:rPr>
      </w:pPr>
    </w:p>
    <w:tbl>
      <w:tblPr>
        <w:tblLayout w:type="fixed"/>
        <w:tblInd w:w="800" w:type="dxa"/>
        <w:tblCellMar>
          <w:top w:w="0" w:type="dxa"/>
          <w:left w:w="0" w:type="dxa"/>
          <w:bottom w:w="0" w:type="dxa"/>
          <w:right w:w="0" w:type="dxa"/>
        </w:tblCellMar>
      </w:tblPr>
      <w:tr>
        <w:trPr>
          <w:trHeight w:val="115"/>
        </w:trPr>
        <w:tc>
          <w:tcPr>
            <w:tcW w:w="21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0"/>
                <w:szCs w:val="10"/>
                <w:color w:val="auto"/>
                <w:w w:val="93"/>
              </w:rPr>
              <w:t>Class of Stock</w:t>
            </w:r>
          </w:p>
        </w:tc>
        <w:tc>
          <w:tcPr>
            <w:tcW w:w="2120" w:type="dxa"/>
            <w:vAlign w:val="bottom"/>
          </w:tcPr>
          <w:p>
            <w:pPr>
              <w:spacing w:after="0"/>
              <w:rPr>
                <w:sz w:val="10"/>
                <w:szCs w:val="10"/>
                <w:color w:val="auto"/>
              </w:rPr>
            </w:pPr>
          </w:p>
        </w:tc>
        <w:tc>
          <w:tcPr>
            <w:tcW w:w="4880" w:type="dxa"/>
            <w:vAlign w:val="bottom"/>
            <w:gridSpan w:val="3"/>
          </w:tcPr>
          <w:p>
            <w:pPr>
              <w:jc w:val="right"/>
              <w:ind w:right="1972"/>
              <w:spacing w:after="0"/>
              <w:rPr>
                <w:sz w:val="20"/>
                <w:szCs w:val="20"/>
                <w:color w:val="auto"/>
              </w:rPr>
            </w:pPr>
            <w:r>
              <w:rPr>
                <w:rFonts w:ascii="Times New Roman" w:cs="Times New Roman" w:eastAsia="Times New Roman" w:hAnsi="Times New Roman"/>
                <w:sz w:val="10"/>
                <w:szCs w:val="10"/>
                <w:color w:val="auto"/>
              </w:rPr>
              <w:t>Shares Outstanding</w:t>
            </w:r>
          </w:p>
        </w:tc>
      </w:tr>
      <w:tr>
        <w:trPr>
          <w:trHeight w:val="134"/>
        </w:trPr>
        <w:tc>
          <w:tcPr>
            <w:tcW w:w="2120" w:type="dxa"/>
            <w:vAlign w:val="bottom"/>
          </w:tcPr>
          <w:p>
            <w:pPr>
              <w:spacing w:after="0"/>
              <w:rPr>
                <w:sz w:val="20"/>
                <w:szCs w:val="20"/>
                <w:color w:val="auto"/>
              </w:rPr>
            </w:pPr>
            <w:r>
              <w:rPr>
                <w:rFonts w:ascii="Times New Roman" w:cs="Times New Roman" w:eastAsia="Times New Roman" w:hAnsi="Times New Roman"/>
                <w:sz w:val="10"/>
                <w:szCs w:val="10"/>
                <w:color w:val="auto"/>
              </w:rPr>
              <w:t>Class A common stock, par value $0.01 per share</w:t>
            </w:r>
          </w:p>
        </w:tc>
        <w:tc>
          <w:tcPr>
            <w:tcW w:w="560" w:type="dxa"/>
            <w:vAlign w:val="bottom"/>
            <w:tcBorders>
              <w:top w:val="single" w:sz="8" w:color="auto"/>
            </w:tcBorders>
          </w:tcPr>
          <w:p>
            <w:pPr>
              <w:spacing w:after="0"/>
              <w:rPr>
                <w:sz w:val="11"/>
                <w:szCs w:val="11"/>
                <w:color w:val="auto"/>
              </w:rPr>
            </w:pPr>
          </w:p>
        </w:tc>
        <w:tc>
          <w:tcPr>
            <w:tcW w:w="2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2,612,257</w:t>
            </w:r>
          </w:p>
        </w:tc>
      </w:tr>
      <w:tr>
        <w:trPr>
          <w:trHeight w:val="135"/>
        </w:trPr>
        <w:tc>
          <w:tcPr>
            <w:tcW w:w="48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Class B common stock, par value $0.01 per share</w:t>
            </w:r>
          </w:p>
        </w:tc>
        <w:tc>
          <w:tcPr>
            <w:tcW w:w="4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577,349</w:t>
            </w:r>
          </w:p>
        </w:tc>
      </w:tr>
    </w:tbl>
    <w:p>
      <w:pPr>
        <w:spacing w:after="0" w:line="10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9"/>
          <w:szCs w:val="9"/>
          <w:b w:val="1"/>
          <w:bCs w:val="1"/>
          <w:color w:val="auto"/>
        </w:rPr>
        <w:t>DOCUMENTS INCORPORATED BY REFERENCE</w:t>
      </w:r>
    </w:p>
    <w:p>
      <w:pPr>
        <w:spacing w:after="0" w:line="3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9"/>
          <w:szCs w:val="9"/>
          <w:color w:val="auto"/>
        </w:rPr>
        <w:t>Portions of the registrant’s Definitive Proxy Statement relating to its 2025 Annual Meeting of Stockholders to be filed within 120 days after December 31, 2024,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287655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54610</wp:posOffset>
            </wp:positionV>
            <wp:extent cx="616648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66485" cy="5715"/>
                    </a:xfrm>
                    <a:prstGeom prst="rect">
                      <a:avLst/>
                    </a:prstGeom>
                    <a:noFill/>
                  </pic:spPr>
                </pic:pic>
              </a:graphicData>
            </a:graphic>
          </wp:anchor>
        </w:drawing>
        <w:drawing>
          <wp:anchor simplePos="0" relativeHeight="251657728" behindDoc="1" locked="0" layoutInCell="0" allowOverlap="1">
            <wp:simplePos x="0" y="0"/>
            <wp:positionH relativeFrom="column">
              <wp:posOffset>572135</wp:posOffset>
            </wp:positionH>
            <wp:positionV relativeFrom="paragraph">
              <wp:posOffset>71755</wp:posOffset>
            </wp:positionV>
            <wp:extent cx="616648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66485" cy="5715"/>
                    </a:xfrm>
                    <a:prstGeom prst="rect">
                      <a:avLst/>
                    </a:prstGeom>
                    <a:noFill/>
                  </pic:spPr>
                </pic:pic>
              </a:graphicData>
            </a:graphic>
          </wp:anchor>
        </w:drawing>
      </w:r>
    </w:p>
    <w:p>
      <w:pPr>
        <w:sectPr>
          <w:pgSz w:w="11900" w:h="16838" w:orient="portrait"/>
          <w:cols w:equalWidth="0" w:num="1">
            <w:col w:w="11260"/>
          </w:cols>
          <w:pgMar w:left="300" w:top="201" w:right="339" w:bottom="1440" w:gutter="0" w:footer="0" w:header="0"/>
        </w:sectPr>
      </w:pPr>
    </w:p>
    <w:bookmarkStart w:id="1" w:name="page2"/>
    <w:bookmarkEnd w:id="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780" w:type="dxa"/>
            <w:vAlign w:val="bottom"/>
            <w:gridSpan w:val="6"/>
          </w:tcPr>
          <w:p>
            <w:pPr>
              <w:jc w:val="center"/>
              <w:ind w:right="3080"/>
              <w:spacing w:after="0"/>
              <w:rPr>
                <w:sz w:val="20"/>
                <w:szCs w:val="20"/>
                <w:color w:val="auto"/>
              </w:rPr>
            </w:pPr>
            <w:r>
              <w:rPr>
                <w:rFonts w:ascii="Times New Roman" w:cs="Times New Roman" w:eastAsia="Times New Roman" w:hAnsi="Times New Roman"/>
                <w:sz w:val="12"/>
                <w:szCs w:val="12"/>
                <w:b w:val="1"/>
                <w:bCs w:val="1"/>
                <w:color w:val="auto"/>
                <w:w w:val="99"/>
              </w:rPr>
              <w:t>vTv THERAPEUTICS INC. AND SUBSIDIARIES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20" w:type="dxa"/>
            <w:vAlign w:val="bottom"/>
            <w:gridSpan w:val="5"/>
          </w:tcPr>
          <w:p>
            <w:pPr>
              <w:jc w:val="center"/>
              <w:ind w:right="3440"/>
              <w:spacing w:after="0"/>
              <w:rPr>
                <w:sz w:val="20"/>
                <w:szCs w:val="20"/>
                <w:color w:val="auto"/>
              </w:rPr>
            </w:pPr>
            <w:r>
              <w:rPr>
                <w:rFonts w:ascii="Times New Roman" w:cs="Times New Roman" w:eastAsia="Times New Roman" w:hAnsi="Times New Roman"/>
                <w:sz w:val="12"/>
                <w:szCs w:val="12"/>
                <w:b w:val="1"/>
                <w:bCs w:val="1"/>
                <w:color w:val="auto"/>
                <w:w w:val="99"/>
              </w:rPr>
              <w:t>INDEX TO FORM 10-K</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40" w:type="dxa"/>
            <w:vAlign w:val="bottom"/>
            <w:gridSpan w:val="7"/>
          </w:tcPr>
          <w:p>
            <w:pPr>
              <w:jc w:val="center"/>
              <w:ind w:right="2720"/>
              <w:spacing w:after="0"/>
              <w:rPr>
                <w:sz w:val="20"/>
                <w:szCs w:val="20"/>
                <w:color w:val="auto"/>
              </w:rPr>
            </w:pPr>
            <w:r>
              <w:rPr>
                <w:rFonts w:ascii="Times New Roman" w:cs="Times New Roman" w:eastAsia="Times New Roman" w:hAnsi="Times New Roman"/>
                <w:sz w:val="12"/>
                <w:szCs w:val="12"/>
                <w:b w:val="1"/>
                <w:bCs w:val="1"/>
                <w:color w:val="auto"/>
                <w:w w:val="99"/>
              </w:rPr>
              <w:t>FOR THE FISCAL YEAR ENDED December 31, 2024</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1"/>
              </w:rPr>
              <w:t>PAGE</w:t>
            </w: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3"/>
              </w:rPr>
              <w:t>NUMBER</w:t>
            </w:r>
          </w:p>
        </w:tc>
        <w:tc>
          <w:tcPr>
            <w:tcW w:w="0" w:type="dxa"/>
            <w:vAlign w:val="bottom"/>
          </w:tcPr>
          <w:p>
            <w:pPr>
              <w:spacing w:after="0"/>
              <w:rPr>
                <w:sz w:val="1"/>
                <w:szCs w:val="1"/>
                <w:color w:val="auto"/>
              </w:rPr>
            </w:pPr>
          </w:p>
        </w:tc>
      </w:tr>
      <w:tr>
        <w:trPr>
          <w:trHeight w:val="26"/>
        </w:trPr>
        <w:tc>
          <w:tcPr>
            <w:tcW w:w="100" w:type="dxa"/>
            <w:vAlign w:val="bottom"/>
            <w:vMerge w:val="restart"/>
          </w:tcPr>
          <w:p>
            <w:pPr>
              <w:spacing w:after="0"/>
              <w:rPr>
                <w:sz w:val="2"/>
                <w:szCs w:val="2"/>
                <w:color w:val="auto"/>
              </w:rPr>
            </w:pPr>
          </w:p>
        </w:tc>
        <w:tc>
          <w:tcPr>
            <w:tcW w:w="94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color w:val="0000FF"/>
              </w:rPr>
              <w:t>PART I</w:t>
            </w: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100" w:type="dxa"/>
            <w:vAlign w:val="bottom"/>
            <w:vMerge w:val="continue"/>
          </w:tcPr>
          <w:p>
            <w:pPr>
              <w:spacing w:after="0"/>
              <w:rPr>
                <w:sz w:val="9"/>
                <w:szCs w:val="9"/>
                <w:color w:val="auto"/>
              </w:rPr>
            </w:pPr>
          </w:p>
        </w:tc>
        <w:tc>
          <w:tcPr>
            <w:tcW w:w="94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2"/>
                <w:szCs w:val="12"/>
                <w:color w:val="auto"/>
                <w:w w:val="99"/>
              </w:rPr>
              <w:t>Item 1.</w:t>
            </w:r>
          </w:p>
        </w:tc>
        <w:tc>
          <w:tcPr>
            <w:tcW w:w="580" w:type="dxa"/>
            <w:vAlign w:val="bottom"/>
            <w:gridSpan w:val="4"/>
          </w:tcPr>
          <w:p>
            <w:pPr>
              <w:spacing w:after="0"/>
              <w:rPr>
                <w:sz w:val="14"/>
                <w:szCs w:val="14"/>
                <w:color w:val="auto"/>
              </w:rPr>
            </w:pP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Business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1A.</w:t>
            </w:r>
          </w:p>
        </w:tc>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6"/>
              </w:rPr>
              <w:t>Risk Factors</w:t>
            </w:r>
          </w:p>
        </w:tc>
        <w:tc>
          <w:tcPr>
            <w:tcW w:w="8440" w:type="dxa"/>
            <w:vAlign w:val="bottom"/>
            <w:gridSpan w:val="19"/>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1B.</w:t>
            </w:r>
          </w:p>
        </w:tc>
        <w:tc>
          <w:tcPr>
            <w:tcW w:w="1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2"/>
                <w:szCs w:val="12"/>
                <w:color w:val="0000FF"/>
                <w:w w:val="98"/>
              </w:rPr>
              <w:t>Unresolved Staff Comments</w:t>
            </w:r>
          </w:p>
        </w:tc>
        <w:tc>
          <w:tcPr>
            <w:tcW w:w="7680" w:type="dxa"/>
            <w:vAlign w:val="bottom"/>
            <w:gridSpan w:val="12"/>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1C</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Cybersecurity</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2.</w:t>
            </w:r>
          </w:p>
        </w:tc>
        <w:tc>
          <w:tcPr>
            <w:tcW w:w="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2"/>
                <w:szCs w:val="12"/>
                <w:color w:val="0000FF"/>
              </w:rPr>
              <w:t>Properties</w:t>
            </w:r>
          </w:p>
        </w:tc>
        <w:tc>
          <w:tcPr>
            <w:tcW w:w="8380" w:type="dxa"/>
            <w:vAlign w:val="bottom"/>
            <w:gridSpan w:val="18"/>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3.</w:t>
            </w:r>
          </w:p>
        </w:tc>
        <w:tc>
          <w:tcPr>
            <w:tcW w:w="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2"/>
                <w:szCs w:val="12"/>
                <w:color w:val="0000FF"/>
                <w:w w:val="98"/>
              </w:rPr>
              <w:t>Legal Proceedings</w:t>
            </w:r>
          </w:p>
        </w:tc>
        <w:tc>
          <w:tcPr>
            <w:tcW w:w="8140" w:type="dxa"/>
            <w:vAlign w:val="bottom"/>
            <w:gridSpan w:val="16"/>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4.</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Mine Safety Disclosures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PART II</w:t>
            </w:r>
          </w:p>
        </w:tc>
        <w:tc>
          <w:tcPr>
            <w:tcW w:w="4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auto"/>
              </w:rPr>
              <w:t>Item 5.</w:t>
            </w:r>
          </w:p>
        </w:tc>
        <w:tc>
          <w:tcPr>
            <w:tcW w:w="540" w:type="dxa"/>
            <w:vAlign w:val="bottom"/>
            <w:gridSpan w:val="3"/>
          </w:tcPr>
          <w:p>
            <w:pPr>
              <w:spacing w:after="0"/>
              <w:rPr>
                <w:sz w:val="14"/>
                <w:szCs w:val="14"/>
                <w:color w:val="auto"/>
              </w:rPr>
            </w:pPr>
          </w:p>
        </w:tc>
        <w:tc>
          <w:tcPr>
            <w:tcW w:w="53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2"/>
                <w:szCs w:val="12"/>
                <w:color w:val="0000FF"/>
                <w:w w:val="99"/>
              </w:rPr>
              <w:t>Market for Registrant’s Common Equity, Related Stockholder Matters and Issuer Purchases of Equity Securities</w:t>
            </w:r>
          </w:p>
        </w:tc>
        <w:tc>
          <w:tcPr>
            <w:tcW w:w="36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6.</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7.</w:t>
            </w:r>
          </w:p>
        </w:tc>
        <w:tc>
          <w:tcPr>
            <w:tcW w:w="4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2"/>
                <w:szCs w:val="12"/>
                <w:color w:val="0000FF"/>
                <w:w w:val="99"/>
              </w:rPr>
              <w:t>Management’s Discussion and Analysis of Financial Condition and Results of Operations</w:t>
            </w:r>
          </w:p>
        </w:tc>
        <w:tc>
          <w:tcPr>
            <w:tcW w:w="4740" w:type="dxa"/>
            <w:vAlign w:val="bottom"/>
            <w:gridSpan w:val="4"/>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7A.</w:t>
            </w:r>
          </w:p>
        </w:tc>
        <w:tc>
          <w:tcPr>
            <w:tcW w:w="2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2"/>
                <w:szCs w:val="12"/>
                <w:color w:val="0000FF"/>
                <w:w w:val="99"/>
              </w:rPr>
              <w:t>Quantitative and Qualitative Disclosures About Market Risk</w:t>
            </w:r>
          </w:p>
        </w:tc>
        <w:tc>
          <w:tcPr>
            <w:tcW w:w="6140" w:type="dxa"/>
            <w:vAlign w:val="bottom"/>
            <w:gridSpan w:val="7"/>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8.</w:t>
            </w:r>
          </w:p>
        </w:tc>
        <w:tc>
          <w:tcPr>
            <w:tcW w:w="2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2"/>
                <w:szCs w:val="12"/>
                <w:color w:val="0000FF"/>
                <w:w w:val="99"/>
              </w:rPr>
              <w:t>Financial Statements and Supplementary Data</w:t>
            </w:r>
          </w:p>
        </w:tc>
        <w:tc>
          <w:tcPr>
            <w:tcW w:w="6820" w:type="dxa"/>
            <w:vAlign w:val="bottom"/>
            <w:gridSpan w:val="9"/>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9.</w:t>
            </w:r>
          </w:p>
        </w:tc>
        <w:tc>
          <w:tcPr>
            <w:tcW w:w="4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2"/>
                <w:szCs w:val="12"/>
                <w:color w:val="0000FF"/>
                <w:w w:val="99"/>
              </w:rPr>
              <w:t>Changes in and Disagreements with Accountants on Accounting and Financial Disclosure</w:t>
            </w:r>
          </w:p>
        </w:tc>
        <w:tc>
          <w:tcPr>
            <w:tcW w:w="4720" w:type="dxa"/>
            <w:vAlign w:val="bottom"/>
            <w:gridSpan w:val="3"/>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9A.</w:t>
            </w:r>
          </w:p>
        </w:tc>
        <w:tc>
          <w:tcPr>
            <w:tcW w:w="11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2"/>
                <w:szCs w:val="12"/>
                <w:color w:val="0000FF"/>
                <w:w w:val="98"/>
              </w:rPr>
              <w:t>Controls and Procedures</w:t>
            </w:r>
          </w:p>
        </w:tc>
        <w:tc>
          <w:tcPr>
            <w:tcW w:w="7860" w:type="dxa"/>
            <w:vAlign w:val="bottom"/>
            <w:gridSpan w:val="14"/>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9B.</w:t>
            </w:r>
          </w:p>
        </w:tc>
        <w:tc>
          <w:tcPr>
            <w:tcW w:w="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w w:val="98"/>
              </w:rPr>
              <w:t>Other Information</w:t>
            </w:r>
          </w:p>
        </w:tc>
        <w:tc>
          <w:tcPr>
            <w:tcW w:w="8160" w:type="dxa"/>
            <w:vAlign w:val="bottom"/>
            <w:gridSpan w:val="17"/>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9C.</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Disclosure Regarding Foreign Jurisdictions that Prevent Inspections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PART III</w:t>
            </w:r>
          </w:p>
        </w:tc>
        <w:tc>
          <w:tcPr>
            <w:tcW w:w="4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auto"/>
              </w:rPr>
              <w:t>Item 10.</w:t>
            </w:r>
          </w:p>
        </w:tc>
        <w:tc>
          <w:tcPr>
            <w:tcW w:w="500" w:type="dxa"/>
            <w:vAlign w:val="bottom"/>
            <w:gridSpan w:val="2"/>
          </w:tcPr>
          <w:p>
            <w:pPr>
              <w:spacing w:after="0"/>
              <w:rPr>
                <w:sz w:val="14"/>
                <w:szCs w:val="14"/>
                <w:color w:val="auto"/>
              </w:rPr>
            </w:pP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Directors, Executive Officers and Corporate Governance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11.</w:t>
            </w:r>
          </w:p>
        </w:tc>
        <w:tc>
          <w:tcPr>
            <w:tcW w:w="12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2"/>
                <w:szCs w:val="12"/>
                <w:color w:val="0000FF"/>
                <w:w w:val="98"/>
              </w:rPr>
              <w:t>Executive Compensation</w:t>
            </w:r>
          </w:p>
        </w:tc>
        <w:tc>
          <w:tcPr>
            <w:tcW w:w="1520" w:type="dxa"/>
            <w:vAlign w:val="bottom"/>
            <w:tcBorders>
              <w:top w:val="single" w:sz="8" w:color="0000FF"/>
            </w:tcBorders>
            <w:gridSpan w:val="5"/>
          </w:tcPr>
          <w:p>
            <w:pPr>
              <w:spacing w:after="0"/>
              <w:rPr>
                <w:sz w:val="14"/>
                <w:szCs w:val="14"/>
                <w:color w:val="auto"/>
              </w:rPr>
            </w:pPr>
          </w:p>
        </w:tc>
        <w:tc>
          <w:tcPr>
            <w:tcW w:w="6320" w:type="dxa"/>
            <w:vAlign w:val="bottom"/>
            <w:gridSpan w:val="8"/>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12.</w:t>
            </w:r>
          </w:p>
        </w:tc>
        <w:tc>
          <w:tcPr>
            <w:tcW w:w="48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2"/>
                <w:szCs w:val="12"/>
                <w:color w:val="0000FF"/>
                <w:w w:val="99"/>
              </w:rPr>
              <w:t>Security Ownership of Certain Beneficial Owners and Management and Related Stockholder Matters</w:t>
            </w:r>
          </w:p>
        </w:tc>
        <w:tc>
          <w:tcPr>
            <w:tcW w:w="4180" w:type="dxa"/>
            <w:vAlign w:val="bottom"/>
            <w:gridSpan w:val="2"/>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13.</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Certain Relationships and Related Transactions, and Director Independence</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14.</w:t>
            </w:r>
          </w:p>
        </w:tc>
        <w:tc>
          <w:tcPr>
            <w:tcW w:w="36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2"/>
                <w:szCs w:val="12"/>
                <w:color w:val="0000FF"/>
              </w:rPr>
              <w:t>Principal Accountant Fees and Services</w:t>
            </w:r>
          </w:p>
        </w:tc>
        <w:tc>
          <w:tcPr>
            <w:tcW w:w="5420" w:type="dxa"/>
            <w:vAlign w:val="bottom"/>
            <w:gridSpan w:val="5"/>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4"/>
              </w:rPr>
              <w:t>PART IV</w:t>
            </w:r>
          </w:p>
        </w:tc>
        <w:tc>
          <w:tcPr>
            <w:tcW w:w="480" w:type="dxa"/>
            <w:vAlign w:val="bottom"/>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15.</w:t>
            </w:r>
          </w:p>
        </w:tc>
        <w:tc>
          <w:tcPr>
            <w:tcW w:w="2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2"/>
                <w:szCs w:val="12"/>
                <w:color w:val="0000FF"/>
                <w:w w:val="98"/>
              </w:rPr>
              <w:t>Exhibits and Financial Statement Schedules</w:t>
            </w:r>
          </w:p>
        </w:tc>
        <w:tc>
          <w:tcPr>
            <w:tcW w:w="6940" w:type="dxa"/>
            <w:vAlign w:val="bottom"/>
            <w:gridSpan w:val="10"/>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Item 16.</w:t>
            </w:r>
          </w:p>
        </w:tc>
        <w:tc>
          <w:tcPr>
            <w:tcW w:w="9040" w:type="dxa"/>
            <w:vAlign w:val="bottom"/>
            <w:gridSpan w:val="23"/>
          </w:tcPr>
          <w:p>
            <w:pPr>
              <w:spacing w:after="0"/>
              <w:rPr>
                <w:sz w:val="20"/>
                <w:szCs w:val="20"/>
                <w:color w:val="auto"/>
              </w:rPr>
            </w:pPr>
            <w:r>
              <w:rPr>
                <w:rFonts w:ascii="Times New Roman" w:cs="Times New Roman" w:eastAsia="Times New Roman" w:hAnsi="Times New Roman"/>
                <w:sz w:val="12"/>
                <w:szCs w:val="12"/>
                <w:color w:val="0000FF"/>
              </w:rPr>
              <w:t>Form 10-K Summary</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8"/>
        </w:trPr>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Borders>
              <w:top w:val="single" w:sz="8" w:color="0000FF"/>
            </w:tcBorders>
            <w:gridSpan w:val="8"/>
          </w:tcPr>
          <w:p>
            <w:pPr>
              <w:spacing w:after="0"/>
              <w:rPr>
                <w:sz w:val="24"/>
                <w:szCs w:val="24"/>
                <w:color w:val="auto"/>
              </w:rPr>
            </w:pPr>
          </w:p>
        </w:tc>
        <w:tc>
          <w:tcPr>
            <w:tcW w:w="3840" w:type="dxa"/>
            <w:vAlign w:val="bottom"/>
            <w:gridSpan w:val="13"/>
          </w:tcPr>
          <w:p>
            <w:pPr>
              <w:jc w:val="center"/>
              <w:ind w:left="3280"/>
              <w:spacing w:after="0"/>
              <w:rPr>
                <w:sz w:val="20"/>
                <w:szCs w:val="20"/>
                <w:color w:val="auto"/>
              </w:rPr>
            </w:pPr>
            <w:r>
              <w:rPr>
                <w:rFonts w:ascii="Times New Roman" w:cs="Times New Roman" w:eastAsia="Times New Roman" w:hAnsi="Times New Roman"/>
                <w:sz w:val="12"/>
                <w:szCs w:val="12"/>
                <w:color w:val="auto"/>
                <w:w w:val="99"/>
              </w:rPr>
              <w:t>2</w:t>
            </w:r>
          </w:p>
        </w:tc>
        <w:tc>
          <w:tcPr>
            <w:tcW w:w="5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36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 w:name="page3"/>
    <w:bookmarkEnd w:id="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i w:val="1"/>
          <w:iCs w:val="1"/>
          <w:color w:val="auto"/>
        </w:rPr>
        <w:t>As used in this Annual Report on Form 10-K,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 w:name="page4"/>
    <w:bookmarkEnd w:id="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7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BUSINESS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 xml:space="preserve">We are a clinical stage biopharmaceutical company focused on the development of orally administered treatments for metabolic and inflammatory diseases to minimize their long-term complications and improve the lives of patients. Our lead product candidate, </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xml:space="preserve">, is an orally administered, small molecule, liver-selective glucokinase activator (“GKA”) that is a potential adjunctive therapy to insulin for the treatment of type 1 diabetes ("T1D"). On March 14, 2025, based upon the Company's submission of a complete response letter, the U.S. Food and Drug Administration ("FDA") lifted the clinical hold that had been placed on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development program in July 2024. We plan to resume our Phase 3 trial ("the CATT1 trial") in the second quarter of 2025. The CATT1 trial is a double-blind, randomized trial to assess the effect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on reducing the frequency of Level 2 hypoglycemia (blood glucose levels are less than 54 mg/dL or 3 mmol/L, regardless of symptoms) and Level 3 hypoglycemia ("severe" hypoglycemia e.g., requiring assistance of another person). The CATT1 trial will randomize 150 patients with T1D on a 1:1:1 basis (i.e., 50 patients for each study arm) to receive 800 mg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daily or twice daily or to receive placebo. A key secondary endpoint is reduction in glycated hemoglobin (HbA1c), a traditional efficacy endpoint in diabetes trials, to assess the potential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to reduce hyperglycemia. Although we had planned to conduct the primary assessment of efficacy after 6 months and then continue to retain patients in the CATT1 trial for another 6 months to collect safety data, we plan to amend the protocol of the CATT1 trial to remove the second 6-month period, which will allow us to obtain topline data from the trial sooner and expedite the start of the required pivotal trials.</w:t>
      </w:r>
    </w:p>
    <w:p>
      <w:pPr>
        <w:spacing w:after="0" w:line="5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 xml:space="preserve">The FDA granted Breakthrough Therapy designation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an adjunctive therapy to insulin for the treatment of T1D in 2021. The Breakthrough Therapy designation provides a sponsor with added support and the potential to expedite development and review timelines for a promising new investigational medicine. The Breakthrough Therapy designation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T1D was supported by the positive results from the Phase 2 SimpliciT-1 Study, a multi-center, randomized, double-blind, adaptive study assessing the safety and efficacy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an adjunct to insulin therapy in adults with T1D. In this trial, treatment with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resulted in a clinically meaningful decrease (40%) in the frequency of sever and symptomatic hypoglycemia and in a statistically significant improvement in HbA1c relative to placebo.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demonstrated a favorable safety profile, in which abnormal levels of serum or urine ketones were detected less frequently in patients taking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than those taking placebo. Moreover, a Phase 1 mechanistic study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patients with T1D conducted to determine the impact of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on ketone body formation showed no increased risk of ketoacidosis with</w:t>
      </w:r>
      <w:r>
        <w:rPr>
          <w:rFonts w:ascii="Times New Roman" w:cs="Times New Roman" w:eastAsia="Times New Roman" w:hAnsi="Times New Roman"/>
          <w:sz w:val="12"/>
          <w:szCs w:val="12"/>
          <w:i w:val="1"/>
          <w:iCs w:val="1"/>
          <w:color w:val="auto"/>
        </w:rPr>
        <w:t xml:space="preserve"> cadisegliatin </w:t>
      </w:r>
      <w:r>
        <w:rPr>
          <w:rFonts w:ascii="Times New Roman" w:cs="Times New Roman" w:eastAsia="Times New Roman" w:hAnsi="Times New Roman"/>
          <w:sz w:val="12"/>
          <w:szCs w:val="12"/>
          <w:color w:val="auto"/>
        </w:rPr>
        <w:t>during acute insulin withdrawal in patients with T1D.</w:t>
      </w:r>
    </w:p>
    <w:p>
      <w:pPr>
        <w:spacing w:after="0" w:line="4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We also completed a Phase 1 study in healthy male subjects to investigate the absorption, metabolism, and excretion of [</w:t>
      </w:r>
      <w:r>
        <w:rPr>
          <w:rFonts w:ascii="Times New Roman" w:cs="Times New Roman" w:eastAsia="Times New Roman" w:hAnsi="Times New Roman"/>
          <w:sz w:val="15"/>
          <w:szCs w:val="15"/>
          <w:color w:val="auto"/>
          <w:vertAlign w:val="superscript"/>
        </w:rPr>
        <w:t>14</w:t>
      </w:r>
      <w:r>
        <w:rPr>
          <w:rFonts w:ascii="Times New Roman" w:cs="Times New Roman" w:eastAsia="Times New Roman" w:hAnsi="Times New Roman"/>
          <w:sz w:val="12"/>
          <w:szCs w:val="12"/>
          <w:color w:val="auto"/>
        </w:rPr>
        <w:t>C]-</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following single dose oral administration (the "ADME study"). The ADME study results included a radiochromatographic signal that, at the time, could not be further characterized, which led the FDA to impose a clinical hold on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development program. Based upon extensive testing by two independent laboratories, the Company determined that the radiochromatographic signal identified in the ADME study was an experimental artifact and submitted the results of the investigation to the FDA as part of its complete response. As previously noted, the FDA lifted the clinical hold on March 14, 2025, allowing the Company to resume its clinical development plan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w:t>
      </w:r>
    </w:p>
    <w:p>
      <w:pPr>
        <w:spacing w:after="0" w:line="6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 xml:space="preserve">We continue to work with our partner, G42 Investments AI Holding RSC Ltd. (“G42 Investments”), to initiate a double-blind, randomized, controlled Phase 2 trial in the Middle East region in patients with type 2 diabetes ("T2D"). The study will randomize 450 patients to assess the potential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an adjunct therapy to insulin in patients with T2D. We expect that trial to begin in 2025.</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We also continue to work on the design for additional international registrational studies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T1D.</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In addition to our clinical development program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we continue to further the research and development of our other pipeline candidates through collaborations with academic partners and license agreements.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 w:name="page5"/>
    <w:bookmarkEnd w:id="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Pipeline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3840480" cy="2068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40480" cy="2068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Strategy</w:t>
      </w:r>
    </w:p>
    <w:p>
      <w:pPr>
        <w:spacing w:after="0" w:line="13"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2"/>
          <w:szCs w:val="12"/>
          <w:color w:val="auto"/>
        </w:rPr>
        <w:t xml:space="preserve">Our primary goal is to advance the development of our lead program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 novel, oral, liver-selective glucokinase activator. In February 2024, we closed (the “Closing”) a private placement (the “Private Placement”) of our Class A common stock and pre-funded warrants, pursuant to which we received aggregate gross proceeds of approximately $51.0 million, before deducting offering expenses payable by us. The securities purchase agreement for the Private Placement, among other things, grants the investors the right to purchase up to an additional $30.0 million of Class A common stock on or before August 27, 2025. The Private Placement will allow us to continue to advance our lead program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TTP399</w:t>
      </w:r>
      <w:r>
        <w:rPr>
          <w:rFonts w:ascii="Times New Roman" w:cs="Times New Roman" w:eastAsia="Times New Roman" w:hAnsi="Times New Roman"/>
          <w:sz w:val="12"/>
          <w:szCs w:val="12"/>
          <w:color w:val="auto"/>
        </w:rPr>
        <w:t>). We are also actively seeking licensing deals for our pipeline assets that are not currently partnered. As key components of our strategy, we are focused on:</w:t>
      </w:r>
    </w:p>
    <w:p>
      <w:pPr>
        <w:spacing w:after="0" w:line="58" w:lineRule="exact"/>
        <w:rPr>
          <w:sz w:val="20"/>
          <w:szCs w:val="20"/>
          <w:color w:val="auto"/>
        </w:rPr>
      </w:pPr>
    </w:p>
    <w:p>
      <w:pPr>
        <w:jc w:val="both"/>
        <w:ind w:left="640" w:hanging="324"/>
        <w:spacing w:after="0" w:line="268" w:lineRule="auto"/>
        <w:tabs>
          <w:tab w:leader="none" w:pos="63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Continuing to advance cadisegliatin (TTP399) as a potential treatment for type 1 diabetes</w:t>
      </w:r>
      <w:r>
        <w:rPr>
          <w:rFonts w:ascii="Times New Roman" w:cs="Times New Roman" w:eastAsia="Times New Roman" w:hAnsi="Times New Roman"/>
          <w:sz w:val="12"/>
          <w:szCs w:val="12"/>
          <w:color w:val="auto"/>
        </w:rPr>
        <w:t>. The FDA granted Breakthrough Therapy designation for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as an adjunctive therapy to insulin for the treatment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T1D in 2021 which was supported by the positive results from the Phase 2 SimpliciT-1 Study, a multi-center, randomized, double-blind, adaptive study assessing the safety and efficacy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an adjunct to insulin therapy in adults with T1D. Now that the FDA has lifted the clinical hold imposed in July 2024, we plan to reinitiate the CATT1 trial in the second quarter of 2025.</w:t>
      </w:r>
    </w:p>
    <w:p>
      <w:pPr>
        <w:spacing w:after="0" w:line="43" w:lineRule="exact"/>
        <w:rPr>
          <w:rFonts w:ascii="Times New Roman" w:cs="Times New Roman" w:eastAsia="Times New Roman" w:hAnsi="Times New Roman"/>
          <w:sz w:val="12"/>
          <w:szCs w:val="12"/>
          <w:color w:val="auto"/>
        </w:rPr>
      </w:pPr>
    </w:p>
    <w:p>
      <w:pPr>
        <w:ind w:left="640" w:hanging="324"/>
        <w:spacing w:after="0" w:line="283" w:lineRule="auto"/>
        <w:tabs>
          <w:tab w:leader="none" w:pos="63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2025, we also will be working on the design and execution of two supportive trials in human volunteers to examine the effects of food on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's pharmacology and the potential effects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on cardiac function (thorough QT study) as required by FDA guidance. We will also start preparing plans for additional international registrational studies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T1D.</w:t>
      </w:r>
    </w:p>
    <w:p>
      <w:pPr>
        <w:spacing w:after="0" w:line="36" w:lineRule="exact"/>
        <w:rPr>
          <w:rFonts w:ascii="Times New Roman" w:cs="Times New Roman" w:eastAsia="Times New Roman" w:hAnsi="Times New Roman"/>
          <w:sz w:val="12"/>
          <w:szCs w:val="12"/>
          <w:color w:val="auto"/>
        </w:rPr>
      </w:pPr>
    </w:p>
    <w:p>
      <w:pPr>
        <w:ind w:left="64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we continue to work with our partner, G42 Investments, to initiate a double-blind randomized controlled Phase 2 trial in the Middle East region in 450 insulin-dependent patients with T2D. We expect that trial to begin in 2025.</w:t>
      </w:r>
    </w:p>
    <w:p>
      <w:pPr>
        <w:spacing w:after="0" w:line="35" w:lineRule="exact"/>
        <w:rPr>
          <w:rFonts w:ascii="Times New Roman" w:cs="Times New Roman" w:eastAsia="Times New Roman" w:hAnsi="Times New Roman"/>
          <w:sz w:val="12"/>
          <w:szCs w:val="12"/>
          <w:color w:val="auto"/>
        </w:rPr>
      </w:pPr>
    </w:p>
    <w:p>
      <w:pPr>
        <w:jc w:val="both"/>
        <w:ind w:left="640" w:hanging="324"/>
        <w:spacing w:after="0" w:line="262" w:lineRule="auto"/>
        <w:tabs>
          <w:tab w:leader="none" w:pos="63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Seeking additional strategic collaborations and additional funding to support the continued development and commercialization of our pipeline development programs</w:t>
      </w:r>
      <w:r>
        <w:rPr>
          <w:rFonts w:ascii="Times New Roman" w:cs="Times New Roman" w:eastAsia="Times New Roman" w:hAnsi="Times New Roman"/>
          <w:sz w:val="12"/>
          <w:szCs w:val="12"/>
          <w:color w:val="auto"/>
        </w:rPr>
        <w:t>. We continue to seek additional funding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 xml:space="preserve">support the further development of our drug candidates because internal resources are solely focused on the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Support may come from additional strategic collaborations with other pharmaceutical companies, like our partnerships with Cantex and Newsoara or academic or other research organizations. We continue to seek financing, partnering and licensing transactions for the further development of the pipeline assets which have not been partnered.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 w:name="page6"/>
    <w:bookmarkEnd w:id="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Our Type 1 Diabetes Program – </w:t>
      </w:r>
      <w:r>
        <w:rPr>
          <w:rFonts w:ascii="Times New Roman" w:cs="Times New Roman" w:eastAsia="Times New Roman" w:hAnsi="Times New Roman"/>
          <w:sz w:val="12"/>
          <w:szCs w:val="12"/>
          <w:b w:val="1"/>
          <w:bCs w:val="1"/>
          <w:i w:val="1"/>
          <w:iCs w:val="1"/>
          <w:color w:val="auto"/>
        </w:rPr>
        <w:t>Cadisegliatin (TTP399)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Diabetes Overview</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Type 1 diabetes is an autoimmune disease in which a person’s pancreas stops producing insulin. T1D results when the body’s immune system attacks and destroys the insulin-producing cells in the pancreas called beta cells. While the causes of T1D are not yet entirely understood, scientists believe that both genetic factors and environmental triggers are involved. The onset of T1D is not believed to be affected by diet or lifestyle. An estimated 1.6 million individuals live with T1D in the U.S. as of 2025, a number which is expected to grow to 2.2 million by 2040. Globally, an estimated 9.8 million individuals live with T1D as of 2025.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Current Treatments for T1D and Their Limitations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Patients with T1D have difficulty achieving and maintaining glycemic control, defined as HbA1c &lt; 7% as recommended by the American Diabetes Association ("ADA"). To maintain appropriate glycemic control, patients with T1D are required to constantly monitor their blood glucose levels, closely manage their diet, and administer insulin via injection or an insulin pump at meal times and in response to changing blood glucose levels. While technology including continuous glucose monitors, insulin pumps and automated insulin delivery systems has advanced to help people with T1D manage this burden, approximately 80% of people with T1D still do not achieve the ADA’s recommended HbA1c levels. Failure to maintain glycemic control results in dangerous excursions into hyperglycemia or hypoglycemia that are potentially fatal. In addition, the accumulated impact of these glycemic excursions can raise a patient’s risk of potentially serious and life-threatening long-term complications, such as cardiovascular disease, blindness, kidney failure, and nerve damage.</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Facing a lack of adjunctive treatments for T1D, several existing treatment options for T2D have been investigated in T1D without success. SGLT-1/2 and SGLT-2 inhibitors were temporarily approved in Europe and Japan for certain sub-groups of people with T1D; however, they never received regulatory approval in the U.S. for T1D and were withdrawn from the European market due to safety risks primarily relating to increased risk of diabetic ketoacidosis (“DKA”). Pramlintide (Symlin), an amylin peptide analog approved for mealtime injections, was approved for use in both T1D and T2D in 2005 but has not been adopted widely.</w:t>
      </w:r>
    </w:p>
    <w:p>
      <w:pPr>
        <w:spacing w:after="0" w:line="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In 2022, the FDA approved teplizumab (Tzield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a humanized anti-CD3 monoclonal antibody for the treatment of patients with two or more diabetes-related auto-antibodies to delay onset of Stage 3 T1D, and donislecel (Lantidra™), an allogeneic (donor) pancreatic islet cellular therapy for the treatment of patients with T1D who are in poor glycemic control because of recurrent severe hypoglycemia. However, teplizumab does not address the unmet need of existing patients with T1D or those that will eventually develop T1D following any therapeutic delay in disease onset. The use of donislecel is restricted to patients with T1D and recurrent severe hypoglycemic episodes, and requires long-term concurrent immunosuppressive therapy.</w:t>
      </w:r>
    </w:p>
    <w:p>
      <w:pPr>
        <w:spacing w:after="0" w:line="6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Thus, there is a serious unmet medical need to provide people with T1D additional, especially oral, treatment options that can help them to reduce the incidence of hypoglycemia and improve glycemic control (HbA1c) without the risk of DKA or other serious adverse effects.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Role of Glucokinase Activation in Diabetes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Glucokinase (“GK”) is a key regulator of glucose homeostasis and acts as the physiological glucose sensor, changing its conformation, activity, and/or intracellular location commensurate with changes in blood glucose concentrations. GK has two distinctive characteristics that make it a good choice for a therapeutic target for improving blood glucose control. First, its expression is mostly limited to glucose-sensing tissues (mainly liver cells and pancreatic β-cells), allowing for a focused therapeutic effect. Second, GK acts as a biological sensor for changes in serum glucose levels, modulating changes in the liver's uptake or release of glucose and changes in insulin secretion by β-cells. Activation of GK is attractive as a potential therapy for the treatment of T1D because it may improve overall blood glucose control and specifically reduce the frequency and severity of low blood glucose (hypoglycemic) episodes through a mechanism of action that is entirely distinct from currently marketed oral anti-diabetic drugs (“OAD”).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Cadisegliatin (TTP399)</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is an orally administered, small molecule, liver-selective GKA in development as an adjunctive therapy to insulin for the treatment of T1D. C</w:t>
      </w:r>
      <w:r>
        <w:rPr>
          <w:rFonts w:ascii="Times New Roman" w:cs="Times New Roman" w:eastAsia="Times New Roman" w:hAnsi="Times New Roman"/>
          <w:sz w:val="12"/>
          <w:szCs w:val="12"/>
          <w:i w:val="1"/>
          <w:iCs w:val="1"/>
          <w:color w:val="auto"/>
        </w:rPr>
        <w:t xml:space="preserve">adisegliatin </w:t>
      </w:r>
      <w:r>
        <w:rPr>
          <w:rFonts w:ascii="Times New Roman" w:cs="Times New Roman" w:eastAsia="Times New Roman" w:hAnsi="Times New Roman"/>
          <w:sz w:val="12"/>
          <w:szCs w:val="12"/>
          <w:color w:val="auto"/>
        </w:rPr>
        <w:t>has a novel mechanism of action: liver-selective activation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of GK that seeks to provide improved glycemic control and a reduction in the risk of hypoglycemia. Our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to date also suggest that our liver-selective approach to GK activation has the potential to avoid the tolerability issues associated with other GKAs, such as stimulation of insulin secretion independent of ambient blood glucose causing hypoglycemia, increased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 xml:space="preserve">lipids, and liver toxicity. Based on data from Phase 1 and 2 trials to date, we believe that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if approved, has the potential to be a first-in-class OAD due to its liver-selectivity and novel mechanism of action. We have completed ten Phase 1 and three Phase 2 clinical trials of </w:t>
      </w:r>
      <w:r>
        <w:rPr>
          <w:rFonts w:ascii="Times New Roman" w:cs="Times New Roman" w:eastAsia="Times New Roman" w:hAnsi="Times New Roman"/>
          <w:sz w:val="12"/>
          <w:szCs w:val="12"/>
          <w:i w:val="1"/>
          <w:iCs w:val="1"/>
          <w:color w:val="auto"/>
        </w:rPr>
        <w:t>cadisegliatin in patients with type 1 and type 2 diabetes</w:t>
      </w:r>
      <w:r>
        <w:rPr>
          <w:rFonts w:ascii="Times New Roman" w:cs="Times New Roman" w:eastAsia="Times New Roman" w:hAnsi="Times New Roman"/>
          <w:sz w:val="12"/>
          <w:szCs w:val="12"/>
          <w:color w:val="auto"/>
        </w:rPr>
        <w:t xml:space="preserve">, one of which was six months in duration. In these trials,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was well tolerated with a significant reduction or hypoglycemia observed in the Phase 2 study in T1D and a negligible incidence of hypoglycemia in the T2D studies .</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Positive Phase 2 Simplici-T1 Study</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In February 2020, we announced positive results from the Simplici-T1 Study, an adaptive Phase 2 clinical trial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assessing the pharmacokinetics, pharmacodynamics, safety, and tolerability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adult patients with T1D over a 12-week period. The Simplici-T1 Study achieved its primary objective by demonstrating statistically significant improvements in HbA1c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compared to placebo. Moreover, a clinically meaningful decrease (40%) in the frequency of severe and symptomatic hypoglycemia was observed in patients taking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when compared to those taking placebo.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Mechanistic study</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We previously conducted a study to evaluate the impact of liver-selective GK activation on the safety and tolerability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October 2021, we announced positive results from the mechanistic study indicating no increased risk of ketoacidosis with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during acute insulin withdrawal in patients with T1D. Consistent with previous clinical studies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the drug was well tolerated with fewer subjects reporting treatment-emergent adverse events in the group taking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than in the placebo group. Importantly, patients taking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reported no events of hypoglycemia, while four events of hypoglycemia were reported in the placebo group.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ADME study</w:t>
      </w:r>
    </w:p>
    <w:p>
      <w:pPr>
        <w:spacing w:after="0" w:line="7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2"/>
          <w:szCs w:val="12"/>
          <w:color w:val="auto"/>
        </w:rPr>
        <w:t>In August 2023, we completed an Open-Label Phase 1 Study in Healthy Male Subjects to Investigate the Absorption, Metabolism, and Excretion of [</w:t>
      </w:r>
      <w:r>
        <w:rPr>
          <w:rFonts w:ascii="Times New Roman" w:cs="Times New Roman" w:eastAsia="Times New Roman" w:hAnsi="Times New Roman"/>
          <w:sz w:val="15"/>
          <w:szCs w:val="15"/>
          <w:color w:val="auto"/>
          <w:vertAlign w:val="superscript"/>
        </w:rPr>
        <w:t>14</w:t>
      </w:r>
      <w:r>
        <w:rPr>
          <w:rFonts w:ascii="Times New Roman" w:cs="Times New Roman" w:eastAsia="Times New Roman" w:hAnsi="Times New Roman"/>
          <w:sz w:val="12"/>
          <w:szCs w:val="12"/>
          <w:color w:val="auto"/>
        </w:rPr>
        <w:t>C]-</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xml:space="preserve"> Following Single Dose Oral Administration. Ten participants were dosed. The original results indicated the presence of an unexpected radiochromatographic signal which could not be further characterized at the time and led FDA to issue a clinical hold for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program in July 2024. vTv initiated a series of studies conducted by two independent laboratories to characterize this signal. The results from these additional investigations concluded that this signal was an experimental artifact, which resulted in the FDA lifting the clinical hold.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Clinical Development Plan</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Based upon the positive results of our Phase 2 Simplici-T1 Study, we requested breakthrough treatment designation (BTD) from the FDA which was granted in April 2021.</w:t>
      </w:r>
    </w:p>
    <w:p>
      <w:pPr>
        <w:spacing w:after="0" w:line="78" w:lineRule="exact"/>
        <w:rPr>
          <w:sz w:val="20"/>
          <w:szCs w:val="20"/>
          <w:color w:val="auto"/>
        </w:rPr>
      </w:pPr>
    </w:p>
    <w:p>
      <w:pPr>
        <w:jc w:val="both"/>
        <w:ind w:firstLine="316"/>
        <w:spacing w:after="0" w:line="256" w:lineRule="auto"/>
        <w:tabs>
          <w:tab w:leader="none" w:pos="429"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Based upon the lifting of the clinical hold imposed in July 2024, we plan to resume our Phase 3 CATT1 trial in the second quarter of 2025. The CATT1 trial is a double-blind, randomized trial to assess the effect of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on reducing the frequency of Level 2 hypoglycemia (blood glucose levels are less than 54 mg/dL or 3 mmol/L, regardless of symptoms) and Level 3 hypoglycemia ("severe" hypoglycemia e.g., requiring assistance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another person). The CATT1 trial will randomize 150 patients with T1D on a 1:1:1 basis (i.e., 50 patients for each study arm) to receive 800 mg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daily or twice daily or to receive placebo. A key secondary endpoint is reduction in glycated hemoglobin (HbA1c), a traditional efficacy endpoint in diabetes trials, to assess the potential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to reduce hyperglycemia. Although we had planned to conduct the primary assessment of efficacy after 6 months and then continue to retain patients in the CATT1 trial for another 6 months to collect safety data, we plan to amend the protocol of the CATT1 trial to remove the second 6-month period, which will allow us to obtain topline data from the trial sooner and expedite the start of the required pivotal trials.</w:t>
      </w:r>
    </w:p>
    <w:p>
      <w:pPr>
        <w:spacing w:after="0" w:line="51"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During 2025, we also will be working on the design and execution of two supportive trials in human volunteers to examine the effects of food on </w:t>
      </w:r>
      <w:r>
        <w:rPr>
          <w:rFonts w:ascii="Times New Roman" w:cs="Times New Roman" w:eastAsia="Times New Roman" w:hAnsi="Times New Roman"/>
          <w:sz w:val="12"/>
          <w:szCs w:val="12"/>
          <w:i w:val="1"/>
          <w:iCs w:val="1"/>
          <w:color w:val="auto"/>
        </w:rPr>
        <w:t>cadisegliatin's</w:t>
      </w:r>
      <w:r>
        <w:rPr>
          <w:rFonts w:ascii="Times New Roman" w:cs="Times New Roman" w:eastAsia="Times New Roman" w:hAnsi="Times New Roman"/>
          <w:sz w:val="12"/>
          <w:szCs w:val="12"/>
          <w:color w:val="auto"/>
        </w:rPr>
        <w:t xml:space="preserve"> pharmacokinetics and the potential effects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on cardiac function (thorough QT study) as required by FDA guidance. We will also start preparing plans for additional international registrational studies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T1D.</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also will continue to work with our partner, G42 Investments to initiate a double-blind, randomized, controlled Phase 2 trial in the Middle East region in patients with T2D. We expect that trial to begin in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Preclinical Development</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Long-term toxicology studies, development and reproductive toxicology studies, have been completed. Carcinogenicity studies have been completed in 2024 with no untoward findings.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Collaboration Agreements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G42 Transaction</w:t>
      </w:r>
    </w:p>
    <w:p>
      <w:pPr>
        <w:spacing w:after="0" w:line="8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and G42 Investments, entered into a Common Stock Purchase Agreement (the “G42 Purchase Agreement”) on May 31, 2022, pursuant to which the Company sold to G42 Investments 259,657 shares of the Company’s Class A common stock, for an aggregate purchase price of $25.0 million, which was paid (i) $12.5 million in cash at the closing and (ii) $12.5 million in the form of a promissory note.</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FDA approval in the United States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(the “FDA Approval”),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spacing w:after="0" w:line="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the Company’s compound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(the “Licensed Product”) as well as jointly creating a global development plan to develop, market, and commercialize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certain countries in the Middle East, Africa, and Central Asia (the “Partner Territory”). Under the terms of the Cogna Agreement, Cogna will obtain a license under certain intellectual property controlled by the Company to enable it to fulfill its obligations and exercise its rights under the Cogna Agreement, including to develop and commercialize the Licensed Product in the Partner Territory, but will not have access to the various intellectual property related to the license and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Specifically, the Company will share various protocols with Cogna related to conducting the clinical trials and will provide the patient dosages and placebo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needed to conduct the trials.</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 xml:space="preserve">Under the Cogna Agreement, Cogna has the right to develop and commercialize the Licensed Product 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for commercial sale under terms to be agreed upon by the parties at a later date.</w:t>
      </w:r>
    </w:p>
    <w:p>
      <w:pPr>
        <w:spacing w:after="0" w:line="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Separately, the Company will conduct its clinical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outside of the Partner Territory, at its own cost. The results of each party’s clinical trials may be combined by the Company to seek FDA approval in the United States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On December 21, 2022, G42 Healthcare Technology Solutions LLC (formerly known as Cogna Technology Solutions LLC) novated its rights and obligations under the Cogna Agreement to G42 Healthcare Research Technology Projects LLC ("G42 Healthcare"), an affiliate of G42 Investments. As a result of the novation, all references to Cogna herein shall be deemed to refer to G42 Healthcare.</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G42 Purchase Agreement also provides for, following the receipt of the FDA Approval of the Licensed Product,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are conditioned upon receipt of the FDA Approval and subject to certain limitations and conditions set forth in the G42 Purchase Agreement. There can be no assurance that the FDA Approval will be granted or as to the timing thereof.</w:t>
      </w:r>
    </w:p>
    <w:p>
      <w:pPr>
        <w:spacing w:after="0" w:line="5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Once commercialization takes place in the Partner Territory, the Company will receive royalties in the single digits from Cogna on the net sales of the Licensed Product for a period of at least ten years after the first commercial sale of the Licensed Product in the Partner Territory.</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On February 27, 2024, the Company and G42 Investments further amended the G42 Purchase Agreement in connection with the Private Placement.</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CinPax and CinRx Transaction</w:t>
      </w:r>
    </w:p>
    <w:p>
      <w:pPr>
        <w:spacing w:after="0" w:line="8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July 22, 2022, the Company entered into a Common Stock and Warrant Purchase Agreement (as amended, the "CinRx Purchase Agreement") with CinPax, LLC (“CinPax”), a subsidiary of CinRx Pharma, LLC (“CinRx”), pursuant to</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which the Company sold to CinPax 103,864 shares of the Company’s Class A common stock, for an aggregate purchase price of $10.0 million, which was paid (i) $6.0 million in cash at the closing of the transaction and (ii) $4.0 million in the form of a non-interest-bearing promissory note with CinPax and was paid to the Company on November 22, 2022. The Company, CinPax and CinRx subsequently amended the CinRx Purchase Agreement on February 27, 2024, in connection with the Private Placement. The CinRx Purchase Agreement provides CinPax the right for two years following the Closing to designate a board observer, which has been subsequently approved by the Company’s board.</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 xml:space="preserve">The CinRx Purchase Agreement also provides CinRx warrants to purchase up to 30,000 shares of Class A common stock at an initial exercise of price of approximately $28.80 per share (the “CinRx Warrants”). The CinRx Warrants will become exercisable by CinRx only if (i) the Company receives FDA approval to market and distribute the pharmaceutical product containing the Company’s proprietary candidate,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or (ii) the Company is acquired by a third party, sells all or substantially all of its assets related to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to a third party or grants a third party an exclusive license to develop, commercialize and manufacture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the United States. If neither of these events happen within five years of the date of the issuance of the CinRx Warrants, the CinRx Warrants will expire and will not be exercisable by CinRx. The exercise price of the CinRx Warrants and the number of shares issuable upon exercise of the CinRx Warrants are subject to adjustments in accordance with the terms of the CinRx Warrants.</w:t>
      </w:r>
    </w:p>
    <w:p>
      <w:pPr>
        <w:spacing w:after="0" w:line="53" w:lineRule="exact"/>
        <w:rPr>
          <w:sz w:val="20"/>
          <w:szCs w:val="20"/>
          <w:color w:val="auto"/>
        </w:rPr>
      </w:pPr>
    </w:p>
    <w:p>
      <w:pPr>
        <w:ind w:right="140" w:firstLine="324"/>
        <w:spacing w:after="0" w:line="279" w:lineRule="auto"/>
        <w:rPr>
          <w:sz w:val="20"/>
          <w:szCs w:val="20"/>
          <w:color w:val="auto"/>
        </w:rPr>
      </w:pPr>
      <w:r>
        <w:rPr>
          <w:rFonts w:ascii="Times New Roman" w:cs="Times New Roman" w:eastAsia="Times New Roman" w:hAnsi="Times New Roman"/>
          <w:sz w:val="12"/>
          <w:szCs w:val="12"/>
          <w:color w:val="auto"/>
        </w:rPr>
        <w:t>Additionally, in conjunction with the CinRx Purchase Agreement the Company and CinRx entered into a Master Service Agreement whereby CinRx provides the Company with consulting, preclinical and clinical trial services, as enumerated in project proposals negotiated between the Company and CinRx from time to time.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Pipeline Programs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TTP273 </w:t>
      </w:r>
      <w:r>
        <w:rPr>
          <w:rFonts w:ascii="Times New Roman" w:cs="Times New Roman" w:eastAsia="Times New Roman" w:hAnsi="Times New Roman"/>
          <w:sz w:val="12"/>
          <w:szCs w:val="12"/>
          <w:b w:val="1"/>
          <w:bCs w:val="1"/>
          <w:color w:val="auto"/>
        </w:rPr>
        <w:t>- GLP-1r Agonist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Overview</w:t>
      </w:r>
    </w:p>
    <w:p>
      <w:pPr>
        <w:spacing w:after="0" w:line="8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Glucagon-like peptide (GLP-1) is a naturally occurring hormone ligand for the GLP-1 receptor (GLP-1R) that has been associated with improved metabolism and decreased inflammation, as well as cardio and neuroprotective effects. Glucagon-like peptide 1 receptor agonists (GLP-1RA) are effective therapies in lowering glycosylated hemoglobin (HbA1c), providing cardio protective benefits and lowering weight.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is an orally available, small molecule GLP-1RA which has been demonstrated to reduce postprandial glucose excursion in response to an oral glucose test or mixed meal tolerance test in both preclinical and clinical studies.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Therapeutic use of GLP1-RAs overview</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GLP-1 RAs were initially developed to treat T2D but have demonstrated effectiveness in promoting weight loss. The success of GLP-1 RAs in treating obesity has been noteworthy and has positioned GLP-1 RAs as a promising pharmacological intervention for weight management, contributing to improved overall health outcomes for individuals with obesity. The number of indications for GLP-1 RAs also continues to grow steadily. Currently, GLP-1RAs have been approved by the FDA for five indications: T2D, obesity, cardiovascular disease, chronic kidney disease, and sleep apnea. Additionally, GLP-1 RAs are being investigated in clinical trials for a range of other conditions, including diabetes prevention, heart failure, non-alcoholic steatohepatitis (NASH), and osteoarthritis and recent research has highlighted the potential for GLP-1 RAs to be of benefit in over 100 health outcomes, including in addiction, psychotic disorders, neurocognitive illnesses, and cardiovascular events like myocardial infarction and stroke. Additionally, in cystic fibrosis related diabetes (“CFRD”) which presents with abnormally low postprandial stimulation of incretin hormones like GLP-1, an improvement in postprandial hyperglycemia has been demonstrated following prandial administration of GLP-1 agonists.</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the indications for GLP-1 RAs expand, the gastrointestinal (GI) side effects associated with many GLP-1 RAs may pose increasing challenges, particularly for those individuals with pre-existing GI conditions or who do not require weight loss (e.g. CFRD). Therefore, GLP-1 RAs like TTP273, which in studies has shown to be well tolerated, would be particularly useful for indications where GI issues or excessive weight loss are undesirable or even contraindicated.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TTP273</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TTP273 </w:t>
      </w:r>
      <w:r>
        <w:rPr>
          <w:rFonts w:ascii="Times New Roman" w:cs="Times New Roman" w:eastAsia="Times New Roman" w:hAnsi="Times New Roman"/>
          <w:sz w:val="12"/>
          <w:szCs w:val="12"/>
          <w:color w:val="auto"/>
        </w:rPr>
        <w:t>is an orally available, small molecule GLP-1RA, which has been demonstrated to reduce postprandial glucose excursion in response to an oral glucose test or mixed meal tolerance test in both preclinical and clinical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studies. Unlike some other GLP-1RAs,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exhibits biased increase of cyclic adenosine monophosphate ("cAMP") signaling but does not activate the extracellular signal-regulated kinase ("ERK")/β-arrestin pathway significantly at clinically relevant concentrations which may improve efficacy and tolerability. We believe that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could be used to treat postprandial hyperglycemia in CFRD patients and CF patients with abnormal postprandial glucose excursions without inducing hypoglycemia or GI side effects.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We have completed two Phase 1 clinical trials and one Phase 2 clinical trial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In these trials,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has been demonstrated to be well-tolerated with lower incidences of GI side effects, such as nausea and vomiting, than placebo with minimal weight loss, especially in nonobese patients.</w:t>
      </w:r>
    </w:p>
    <w:p>
      <w:pPr>
        <w:spacing w:after="0" w:line="35"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In a randomized, double-blind Phase 2 trial in patients with T2D treated with metformin only,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showed clinically relevant reductions of glycated hemoglobin (HbA1c) and systolic blood pressure after 3 months of treatment.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HPP3033 </w:t>
      </w:r>
      <w:r>
        <w:rPr>
          <w:rFonts w:ascii="Times New Roman" w:cs="Times New Roman" w:eastAsia="Times New Roman" w:hAnsi="Times New Roman"/>
          <w:sz w:val="12"/>
          <w:szCs w:val="12"/>
          <w:b w:val="1"/>
          <w:bCs w:val="1"/>
          <w:color w:val="auto"/>
        </w:rPr>
        <w:t>- Nrf2/Bach1 Modulator</w:t>
      </w:r>
    </w:p>
    <w:p>
      <w:pPr>
        <w:spacing w:after="0" w:line="80"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12"/>
          <w:szCs w:val="12"/>
          <w:color w:val="auto"/>
        </w:rPr>
        <w:t xml:space="preserve">Our candidate, </w:t>
      </w:r>
      <w:r>
        <w:rPr>
          <w:rFonts w:ascii="Times New Roman" w:cs="Times New Roman" w:eastAsia="Times New Roman" w:hAnsi="Times New Roman"/>
          <w:sz w:val="12"/>
          <w:szCs w:val="12"/>
          <w:i w:val="1"/>
          <w:iCs w:val="1"/>
          <w:color w:val="auto"/>
        </w:rPr>
        <w:t>HPP3033</w:t>
      </w:r>
      <w:r>
        <w:rPr>
          <w:rFonts w:ascii="Times New Roman" w:cs="Times New Roman" w:eastAsia="Times New Roman" w:hAnsi="Times New Roman"/>
          <w:sz w:val="12"/>
          <w:szCs w:val="12"/>
          <w:color w:val="auto"/>
        </w:rPr>
        <w:t>, represents a novel, non-electrophilic therapeutic approach to activating the nuclear factor erythroid 2–related factor 2 ("Nrf2") pathway that has the potential to be used in the treatment of chronic diseases associated with oxidative stress.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Role of Nrf2/Bach1 Modulators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Chronic, unresolved inflammation, oxidative stress, and resulting fibrosis are key features of many diseases. Inflammation is an integral component of the normal immune response that occurs when cells encounter harmful stimuli, such as invading pathogens, damaged cells, or irritants. During inflammation, cells activate inflammatory processes and complexes that increase the production of cytokines, which are proteins that recruit and activate immune cells.</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Inflammation and mitochondrial metabolism are closely associated. The mitochondria are often called the “powerhouses” of the cell as they produce the energy that the cell needs to function. This energy is produced by converting fatty acids and glucose into adenosine triphosphate (ATP) by a process called oxidative phosphorylation. During inflammation, mitochondrial metabolism is temporarily reprogrammed to suppress oxidative phosphorylation. Instead of primarily making ATP, the mitochondria divert fatty acids and glucose to increase the production of proinflammatory mediators. During this reprogramming, the mitochondria release chemically reactive molecules called reactive oxygen species (ROS) that can directly attack pathogens and amplify the production of cytokines.</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 normal immune response, the resolution of inflammation begins after the harmful stimuli have been eliminated. Nrf2 is a protein that plays a key role in the resolution of inflammation by regulating the expression of specific genes involved in mitochondrial metabolism, redox balance, and cytokine production. When activated, Nrf2 promotes the resolution of inflammation by normalizing mitochondrial metabolism, restoring redox balance, and suppressing cytokine production.</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many chronic and genetic diseases, Nrf2 activity is suppressed, and the resolution of inflammation fails to occur or is inadequate, leading to persistent mitochondrial dysfunction, excess production of ROS, and production of cytokines. These processes cause chronic inflammation, which can ultimately lead to tissue damage and loss of organ function.</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To date, FDA-approved Nrf2 activators, Tecfidera and Skyclarys for patients with multiple sclerosis and Friedreich's ataxia, respectively, are nonspecific alkylating agents relying on reactive, electrophilic biological targets that present safety and tolerability issues. Non-electrophilic activation of the Nrf2 pathway via targeting the transcription factor BTB and CNC homology 1 ("Bach1") transcriptional repressor provides an alternative mechanism by which to increase the activation of Nrf2 to reduce the oxidative stress and inflammation associated with many acute and chronic diseases.</w:t>
      </w:r>
    </w:p>
    <w:p>
      <w:pPr>
        <w:spacing w:after="0" w:line="47"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2"/>
          <w:szCs w:val="12"/>
          <w:color w:val="auto"/>
        </w:rPr>
        <w:t>Bach1 is a transcriptional repressor that controls the expression of certain genes involved in the body’s antioxidant response processes. Genetic knock-out models of Bach1 have shown increased expression of multiple antioxidant proteins such as heme oxygenase-1 (HMOX1), leading to a significant level of cellular, tissue and organ protection in a wide variety of mouse models. Hemin and the hemin mimetic cobalt protoporphyrin IX (“CoPP”) are Bach1 ligands that have served as useful tool compounds to investigate the role of Bach1 inhibition in a variety of disease settings. Both molecules have been shown to have beneficial effects on oxidative stress and inflammatory-mediated pathologies in several animal models. Further, the ubiquity of the response suggests that the observed tissue protective effects are not related to the underlying causes of a particular disease, but instead are an intrinsic outcome of Bach1 modulation along with Nrf2 activation.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HPP3033</w:t>
      </w:r>
    </w:p>
    <w:p>
      <w:pPr>
        <w:spacing w:after="0" w:line="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Oxidative stress plays an important role in the degeneration of dopaminergic neurons in Parkinson’s disease (PD). In a model of Parkinson's disease, oral administration of </w:t>
      </w:r>
      <w:r>
        <w:rPr>
          <w:rFonts w:ascii="Times New Roman" w:cs="Times New Roman" w:eastAsia="Times New Roman" w:hAnsi="Times New Roman"/>
          <w:sz w:val="12"/>
          <w:szCs w:val="12"/>
          <w:i w:val="1"/>
          <w:iCs w:val="1"/>
          <w:color w:val="auto"/>
        </w:rPr>
        <w:t>HPP3033</w:t>
      </w:r>
      <w:r>
        <w:rPr>
          <w:rFonts w:ascii="Times New Roman" w:cs="Times New Roman" w:eastAsia="Times New Roman" w:hAnsi="Times New Roman"/>
          <w:sz w:val="12"/>
          <w:szCs w:val="12"/>
          <w:color w:val="auto"/>
        </w:rPr>
        <w:t xml:space="preserve"> attenuated 1-methyl-4-phenyl-1,2,3,6-tetrahydropyridine ("MPTP") neurotoxicity in pre- and post-treatment paradigms. Bach1 inhibitor-induced neuroprotection was associated with the up regulation of Bach1 targeted pathways in concurrence with the results from Bach knock-out ("KO") mice. Nrf2 activators are known to exert protection in the pre-treatment paradigm, but the benefits of pharmacological Nrf2 activation are rarely observed in post-treatment models. Therefore, the results obtained with </w:t>
      </w:r>
      <w:r>
        <w:rPr>
          <w:rFonts w:ascii="Times New Roman" w:cs="Times New Roman" w:eastAsia="Times New Roman" w:hAnsi="Times New Roman"/>
          <w:sz w:val="12"/>
          <w:szCs w:val="12"/>
          <w:i w:val="1"/>
          <w:iCs w:val="1"/>
          <w:color w:val="auto"/>
        </w:rPr>
        <w:t xml:space="preserve">HPP3033 </w:t>
      </w:r>
      <w:r>
        <w:rPr>
          <w:rFonts w:ascii="Times New Roman" w:cs="Times New Roman" w:eastAsia="Times New Roman" w:hAnsi="Times New Roman"/>
          <w:sz w:val="12"/>
          <w:szCs w:val="12"/>
          <w:color w:val="auto"/>
        </w:rPr>
        <w:t>in this study hold promise for the future development of this compound.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HPP737 - PDE4 Inhibitor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Psoriasis Overview</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Psoriasis is a chronic autoimmune inflammatory disease in which the growth cycle of skin is accelerated due to an imbalance in proinflammatory and anti-inflammatory cytokines. This results in the proliferation of skin cells and the development of raised, red, silvery scale plaques (i.e., plaque psoriasis, psoriasis vulgaris) that have not only medical implications but an impact on a patient’s quality of life. While the specific inciting events for this proinflammatory process are unknown, psoriasis may be caused by autoimmunity and genetic predisposition. Events such as trauma to the skin, stress, illness, or infection that triggers the immune systems, obesity, and weather have been identified as triggers for flare ups.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Current Treatment for Psoriasis and Their Limitations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Topical therapies, including glucocorticoids and vitamin D analogs, are the mainstay of treatment for mild psoriasis. The continuous long-term use of glucocorticoids is limited by the risk of skin thinning and/or atrophy and the potential for systemic absorption. Vitamin D analogs are often added to glucocorticoids to improve glucocorticoid efficacy while allowing for reduction in glucocorticoid dose. Moderate to severe disease is treated with systemic therapies including oral phosphodiesterase-4 ("PDE4") inhibition, immunosuppressants, retinoids, and biologics (e.g., anti-tumor necrosis factor ("anti-TNF") agents, interleukin-17 ("IL-17") inhibitors, and interleukin-23 ("IL-23") inhibitors). Biologics, while realizing high efficacy rates in treating psoriasis, are associated with administration by injection, high cost, need for laboratory monitoring and increased risk of infection.</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Inhibitors of PDE4 act by increasing intracellular concentrations of cyclic adenosine monophosphate (“cAMP”), which has a broad range of anti-inflammatory effects. PDE4 activity is increased in the skin of patients with psoriasis leading to up-regulation of immune modulatory, proinflammatory genes and cytokines, including IL-17, IL-23, and tumor necrosis factor-alpha (TNF-α). Treatments for psoriasis are aimed at reducing proinflammatory cytokine activity. The therapeutic potential of oral PDE4 inhibitors has been limited by dose limiting adverse events such as nausea, vomiting, diarrhea, and headache.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HPP737</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HPP737 </w:t>
      </w:r>
      <w:r>
        <w:rPr>
          <w:rFonts w:ascii="Times New Roman" w:cs="Times New Roman" w:eastAsia="Times New Roman" w:hAnsi="Times New Roman"/>
          <w:sz w:val="12"/>
          <w:szCs w:val="12"/>
          <w:color w:val="auto"/>
        </w:rPr>
        <w:t>is an orally administered, potent and selective, non-central nervous system ("non-CNS") penetrant PDE4 inhibitor that addresses inflammatory diseases and offers the potential for an improved tolerability profile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efficacy over commercially available PDE4 inhibitors.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has shown potent inhibition of IL-17a and TNF-α production in in vitro studies and activity in several animal models of inflammation.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has completed Phase 1 single-ascending dose and initial multiple-ascending dose studies, in which it was well tolerated at all doses tested in healthy volunteers. Clinical data generated to date supports achieving target engagement (reduction in ex vivo lipopolysaccharide ("LPS") stimulated TNF-α) at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plasma concentrations predicted to be efficacious from preclinical models.</w:t>
      </w:r>
    </w:p>
    <w:p>
      <w:pPr>
        <w:spacing w:after="0" w:line="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color w:val="auto"/>
        </w:rPr>
        <w:t xml:space="preserve">In September 2021, we announced the results of a multiple ascending dose Phase 1 study of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to assess the pharmacokinetics, pharmacodynamics, safety and tolerability of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in healthy volunteers as part of our psoriasis development program. The trial enrolled 12 subjects in each of two dose cohorts, 15mg and 20mg, randomized to receive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or placebo (3:1) orally once daily for 14 days. Dose escalation up to 20mg once per day demonstrated dose proportional increases in exposure, while maintaining a favorable safety and tolerability profile with no dose limiting safety or tolerability findings observed. There were no serious adverse events and no discontinuations due to treatment emergent adverse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Partnered Development Programs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PDE4 and Newsoara Biopharma</w:t>
      </w:r>
    </w:p>
    <w:p>
      <w:pPr>
        <w:spacing w:after="0" w:line="8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On May 31, 2018, we entered into a license agreement with Newsoara (the “Newsoara License Agreement”), under which Newsoara obtained an exclusive and sublicensable license to develop and commercialize our PDE4 program, including the compound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in China and other Pacific Rim territories (collectively, the “Newsoara License Territory”). Additionally, under the Newsoara License Agreement, we obtained a non-exclusive, sublicensable, royalty-free license to develop and commercialize certain Newsoara patent rights and know-how related to our PDE4 program for therapeutic uses in humans outside of the Newsoara License Territory.</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Under the terms of the Newsoara License Agreement, as amended, Newsoara paid us an upfront cash payment of $2.0 million. We are eligible to receive additional potential development, regulatory and sales-based milestone payments totaling up to $76.5 million. In addition, Newsoara is obligated to pay the Company royalty payments at mid to upper single digit rates, based on tiers of annual net sales of licensed products. Such royalties will be payable on a licensed product-by-licensed product and country-by-country basis until the latest of expiration of the licensed patents covering a licensed product in a</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country, expiration of data exclusivity rights for a licensed product in a country or a specified number of years after the first commercial sale of a licensed product in a country.</w:t>
      </w:r>
    </w:p>
    <w:p>
      <w:pPr>
        <w:spacing w:after="0" w:line="7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Under the terms of the Newsoara License Agreement, Newsoara will be responsible for the development and commercialization of the licensed products in the Newsoara License Territory, at its cost, and is required to use commercially reasonable efforts with respect to such development and commercialization efforts.</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Newsoara License Agreement, unless terminated earlier, will continue until expiration of all royalty obligations of Newsoara to us. Either party may terminate the Newsoara License Agreement for the other party’s uncured material breach. Newsoara may terminate the Newsoara License Agreement at will upon prior written notice. Upon expiration (but not earlier termination) of the Newsoara License Agreement the licenses granted to Newsoara will survive on a royalty-free basis in perpetuity.</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June 2024, the parties entered into the Second Amendment to License Agreement, which provided that upon Newsoara's payment of the upfront fee of $20.0 million, the Newsoara License Agreement would be expanded to a global license. The Second Amendment also requires Newsoara to pay vTv LLC up to $41.5 million in development milestones, $35.0 million in sales-related milestones and royalties in the mid to upper single digits depending upon sales volumes. To date, Newsoara has not paid the upfront fee to expand the license.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Azeliragon and Cantex Pharmaceuticals, Inc.</w:t>
      </w:r>
    </w:p>
    <w:p>
      <w:pPr>
        <w:spacing w:after="0" w:line="78"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On June 22, 2021, vTv Therapeutics Inc. and Cantex Pharmaceuticals, Inc. (“Cantex”) entered into a licensing agreement under which Cantex obtained exclusive worldwide rights to develop and commercialize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vTv’s novel antagonist of RAGE (the receptor for advanced glycation end products).</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Under the terms of the agreement, Cantex will be responsible for the development and commercialization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and the companies will allocate downstream profits under a tiered arrangement.</w:t>
      </w:r>
    </w:p>
    <w:p>
      <w:pPr>
        <w:spacing w:after="0" w:line="7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color w:val="auto"/>
        </w:rPr>
        <w:t xml:space="preserve">On January 9, 2023, Cantex announced that the FDA has granted Orphan Drug Designation to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for the treatment of glioblastoma. In addition, a Phase 2 trial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is in progress in women receiving “neoadjuvant chemotherapy” of breast cancer, which is chemotherapy to prevent cancer from returning after initial potentially curative treatment. In February 2022, Cantex secured a global license from Harvard University to further develop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as a treatment for inflammatory lung diseases, including COVID-19.</w:t>
      </w:r>
    </w:p>
    <w:p>
      <w:pPr>
        <w:spacing w:after="0" w:line="4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May 20, 2024, Cantex announced that the FDA granted Orphan Drug Designation to azeliragon, a well-tolerated once-a-day pill, for the treatment of pancreatic cancer. Cantex has an ongoing clinical trial studying the safety and efficacy of azeliragon in patients refractory to first-line treatment of metastatic pancreatic cancer.</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December 9, 2024, Cantex announced that the FDA granted Orphan Drug Designation to Cantex’s azeliragon for the treatment of brain metastasis from breast cancer.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Inbound Partnerships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Novo Nordisk</w:t>
      </w:r>
    </w:p>
    <w:p>
      <w:pPr>
        <w:spacing w:after="0" w:line="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 xml:space="preserve">In February 2007, we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we obtained certain worldwide rights to Novo Nordisk’s GKA program, including rights to preclinical and clinical compounds such as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$7.0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Third-Party Suppliers and Manufacturers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do not own or operate, and currently have no plans to establish, any manufacturing facilities. We currently rely, and expect to continue to rely, on third parties to manufacture clinical supplies of our drug candidates and for our other research and discovery programs. We do not have multiple sources of supply for the components used in our drug candidates.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Intellectual Property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Patents</w:t>
      </w:r>
    </w:p>
    <w:p>
      <w:pPr>
        <w:spacing w:after="0" w:line="6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actively protect our commercially important proprietary technology by, among other methods, obtaining, maintaining, and defending our patent rights. We have filed numerous patent applications covering our current drug candidates and our other research and discovery programs in the U.S. and in jurisdictions outside of the U.S., resulting in multiple issued patents. We pursue patent protection for all inventions and improvements throughout development, including, when possible, compositions of matter, crystal forms (polymorphs), methods of use, dosage regimens, formulations, combination therapies, and manufacturing processes.</w:t>
      </w:r>
    </w:p>
    <w:p>
      <w:pPr>
        <w:spacing w:after="0" w:line="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U.S. can provide exclusionary rights for 20 years from the earliest effective non-provisional filing date. In addition, in certain instances, the term of an issued U.S. patent that covers or claims an FDA approved product, or its use in treating an approved indication, can be extended to recapture a portion of the term effectively lost as a result of the FDA regulatory review period, which is called patent term extension. The period of patent term extension in the United States cannot be longer than five years and the total patent term, including the extension period, must not exceed 14 years following FDA approval. The term of patents outside of the U.S. varies in accordance with the laws of the foreign jurisdiction, but typically is also 20 years from the earliest effective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Some countries also provide mechanisms to recapture a portion of the patent term lost during regulatory review, similar to patent term extension in the U.S. The amount of patent term that can be recaptured depends on the laws of the relevant jurisdictions.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 xml:space="preserve">The patent portfolio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includes multiple patent families directed to crystal forms, salt forms, formulations, combinations, and methods of use for treating diabetes, among other things, that are filed in the U.S. and abroad. For example, the patent portfolio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includes a patent family directed to methods of treating patients with type 1 diabetes using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combination with insulin. The issued U.S. patents, as well as U.S. and foreign patents issuing from pending patent applications, in this patent family would be expected to expire in 2039, absent any patent term adjustments or extensions. The patent portfolio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also includes three patent families directed to crystal forms, crystalline salt forms, and solid formulations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among other things. The issued patents and patents issuing from pending patent applications in these patent families are projected to expire between 2034 and 2041, absent any patent term adjustments or extensions in the U.S. and ex-U.S. jurisdictions. The patent portfolio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further includes patent families directed to combinations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with metformin, DPP-4 inhibitors, or GLP-1r agonists, and their use in methods of treatment. The issued patents and patents issuing from pending patent applications in these additional patent families are projected expected to expire between 2031 and 2033, absent any patent term adjustments or extensions in the U.S. and ex-U.S. jurisdictions.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The patent portfolio for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includes issued patents in the U.S. generically covering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as a composition of matter and methods of use to treat various indications. The issued U.S. patent generically covering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as a composition of matter will expire no earlier than 2029, absent any patent term adjustments or extensions. The patent portfolio for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also includes a patent family specifically covering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xml:space="preserve"> and another patent family directed to a crystalline form of </w:t>
      </w:r>
      <w:r>
        <w:rPr>
          <w:rFonts w:ascii="Times New Roman" w:cs="Times New Roman" w:eastAsia="Times New Roman" w:hAnsi="Times New Roman"/>
          <w:sz w:val="12"/>
          <w:szCs w:val="12"/>
          <w:i w:val="1"/>
          <w:iCs w:val="1"/>
          <w:color w:val="auto"/>
        </w:rPr>
        <w:t>HPP737</w:t>
      </w:r>
      <w:r>
        <w:rPr>
          <w:rFonts w:ascii="Times New Roman" w:cs="Times New Roman" w:eastAsia="Times New Roman" w:hAnsi="Times New Roman"/>
          <w:sz w:val="12"/>
          <w:szCs w:val="12"/>
          <w:color w:val="auto"/>
        </w:rPr>
        <w:t>. Any patents issuing from the pending patent applications in these two patent families will expire in 2040, absent any patent term adjustments or extensions in the U.S. and ex-U.S. jurisdictions.</w:t>
      </w:r>
    </w:p>
    <w:p>
      <w:pPr>
        <w:spacing w:after="0" w:line="4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color w:val="auto"/>
        </w:rPr>
        <w:t xml:space="preserve">The patent portfolio for the GLP-1r program includes multiple patent families covering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directed to composition of matter, crystal forms, non-crystal forms, salt forms, formulations, combinations, and methods of use for treating various indications, among other things. The GLP-1r IP portfolio includes a patent family directed to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as a composition of matter. The issued patents covering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as a composition of matter will expire no earlier than 2030, absent any patent term adjustments or extensions in the U.S. and ex-U.S. jurisdictions. The patent portfolio for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also includes patent families directed to crystalline, non-crystalline, and crystalline salt forms, and formulations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synthetic precursors to, and methods of manufacture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as well as combinations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xml:space="preserve"> and metformin, and their use in methods of treatment, and dosage regimens of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Patents issuing from pending patent applications in these additional patent families would be expected to expire between 2034 and 2045, absent any patent term adjustments or extensions in the U.S. and ex-U.S. jurisdictions.</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The patent portfolio for the Nrf2/Bach1 program includes a patent family directed to </w:t>
      </w:r>
      <w:r>
        <w:rPr>
          <w:rFonts w:ascii="Times New Roman" w:cs="Times New Roman" w:eastAsia="Times New Roman" w:hAnsi="Times New Roman"/>
          <w:sz w:val="12"/>
          <w:szCs w:val="12"/>
          <w:i w:val="1"/>
          <w:iCs w:val="1"/>
          <w:color w:val="auto"/>
        </w:rPr>
        <w:t>HPP971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HPP3033</w:t>
      </w:r>
      <w:r>
        <w:rPr>
          <w:rFonts w:ascii="Times New Roman" w:cs="Times New Roman" w:eastAsia="Times New Roman" w:hAnsi="Times New Roman"/>
          <w:sz w:val="12"/>
          <w:szCs w:val="12"/>
          <w:color w:val="auto"/>
        </w:rPr>
        <w:t xml:space="preserve"> as compositions of matter, among other things. The issued patents in this patent family will expire no earlier than 2031,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absent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any patent term adjustments or extensions in the U.S. and ex-U.S. jurisdictions. The patent portfolio for the Nrf2/Bach1 program also includes patent families directed to methods of use in combination with other Nrf2 activator compounds such as dimethyl fumarate and bardoxolone, and methods to treat sickle cell diseases, osteoporosis, and refractive ocular disorders. The issued patents and patents issuing from pending patent applications in these additional patent families are projected to expire between 2035 and 2041, absent any patent term adjustments or extensions in the U.S. and ex-U.S. jurisdictions.</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The patent portfolio for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also includes patent families covering polymorphs, salt forms, metabolites, degradation products and a synthetic precursor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xml:space="preserve">, methods of treatment using select dosage regimens of </w:t>
      </w:r>
      <w:r>
        <w:rPr>
          <w:rFonts w:ascii="Times New Roman" w:cs="Times New Roman" w:eastAsia="Times New Roman" w:hAnsi="Times New Roman"/>
          <w:sz w:val="12"/>
          <w:szCs w:val="12"/>
          <w:i w:val="1"/>
          <w:iCs w:val="1"/>
          <w:color w:val="auto"/>
        </w:rPr>
        <w:t>azeliragon</w:t>
      </w:r>
      <w:r>
        <w:rPr>
          <w:rFonts w:ascii="Times New Roman" w:cs="Times New Roman" w:eastAsia="Times New Roman" w:hAnsi="Times New Roman"/>
          <w:sz w:val="12"/>
          <w:szCs w:val="12"/>
          <w:color w:val="auto"/>
        </w:rPr>
        <w:t>, and methods of treating select patient populations, among other things. The issued patents and patents issuing from pending patent applications in these patent families, are projected to expire between 2028 and 2039, absent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any patent term adjustments or extensions in the U.S. and ex-U.S. jurisdictions.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Trade Secrets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In addition to patents, we rely on trade secrets and know-how to develop and maintain our competitive position. We seek to protect our proprietary technology and processes, in part, by entering into confidentiality agreements and invention assignment agreements with our employees, consultants, scientific advisors, contractors and commercial partners. These agreements are designed to protect our proprietary information and, in the case of the invention assignment agreements, to grant us ownership of technologies that are developed by employees or through a relationship with a third party.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publicly known or be independently discovered by competitors. To the extent that our contractors use or incorporate intellectual property owned by others in their work for us, disputes may arise as to the rights in related or resulting know-how and inventions.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We believe the key competitive factors that will affect the development and commercial success of our drug candidates are efficacy, safety and tolerability profile, mechanism of action, control and predictability, convenience of dosing, price and reimbursement, and availability of comparable alternative therapies.</w:t>
      </w:r>
    </w:p>
    <w:p>
      <w:pPr>
        <w:spacing w:after="0" w:line="3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medical devices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our programs are likely to be their efficacy, safety, convenience, and availability of reimbursement.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Potential Competing Products – Type 1 Diabetes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If approved, we expect that our type 1 diabetes investigational drug candidate will compete with oral or injectable non-insulin agents, new insulin formulations or medical devices that are currently marketed or being developed.</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An injectable somatostatin type 2 receptor blocker is being developed by Zucara Therapeutics to treat nocturnal hypoglycemia. In addition, in 2024 Diasome Pharmaceuticals began a Phase 2b study to assess the effects of their hepatic directed vesicle (HDV)-based insulin lispro formulation on the incidence of nocturnal hypoglycemia in patients with T1D. In 2023, Carmot Therapeutics has started a phase 2 study of an injectable GLP-1/GIP agonist in overweight or obese patients with T1D to assess its effects on A1c, body weight and continuous glucose monitory ("CGM") metrics including time in hypoglycemia. REMD Biotherapeutics is developing an injectable glucagon receptor monoclonal antibody, volagedimab, which may help address hyperglycemia in T1D, while Adocia is developing an ultra-rapid insulin with the aim to confer glycemic control benefits by reducing post-prandial hyperglycemia. None of these therapies are currently approved or marketed for the treatment of type 1 diabetes.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Other therapies in development focus on either delaying the onset of stage 3 T1D or to preserve, regenerate or replace B cells post stage 3 T1D diagnosis. For example, Teplizumab is an injectable CD-3 targeting immune therapy that was the first disease modifying therapy approved by FDA to delay onset of stage 3 T1D in adults and children while Lantidra is an FDA approved islet cell therapy for patients with T1D who cannot achieve adequate glycemic control because of frequent hypoglycemia. Because islet cell therapy like Lantidra requires adjunctive immunosuppressive therapy, several companies are developing similar therapies that may not require adjunctive immunosuppressive therapy.</w:t>
      </w:r>
    </w:p>
    <w:p>
      <w:pPr>
        <w:spacing w:after="0" w:line="5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Biomea is currently in stage 2 development of an oral covalent menin inhibitor which aims to improve B cell function post stage 3 T1D diagnosis to improve overall glycemic control. The company TIXiMED recently initiated a phase 1 study of its drug candidate that targets thioredoxin-interacting protein (TXNIP), a detrimental protein that is elevated in diabetes and leads to beta cell death and dysfunction.</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Finally, medical devices such as continuous glucose monitors (CGMs), connected smart insulin pens and automated insulin delivery systems, which tie insulin pumps with CGMs through control algorithm software and allow to constantly adjust insulin delivery in response to changing blood glucose levels, continue to evolve and have already shown to improve glucose control and reduce the risk for hypoglycemia.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Collaboration Revenue and Customers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Most of our collaboration revenue for the years ended December 31, 2024, 2023 and 2022 is related to our licenses of certain compounds in the preclinical stage or clinical stage, including the Huadong License Agreement, which was terminated effective September 1, 2024, and the Newsoara License Agreement. Revenue recognized in these periods relates to the achievement of development milestones.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Government Regulation and Product Approvals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Government authorities in the United States, at the federal, state and local level, and in other countries and jurisdictions, including the European Union (“EU”),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Approval and Regulation of Drugs in the United States</w:t>
      </w:r>
    </w:p>
    <w:p>
      <w:pPr>
        <w:spacing w:after="0" w:line="82"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2"/>
          <w:szCs w:val="12"/>
          <w:color w:val="auto"/>
        </w:rPr>
        <w:t>In the United States, drug products are regulated under the Federal Food, Drug and Cosmetic Act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These sanctions may include, but are not limited to, the FDA’s refusal to allow an applicant to proceed with clinical trials,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Department of Justice (“DOJ”), or other government entities, including state agencies.</w:t>
      </w:r>
    </w:p>
    <w:p>
      <w:pPr>
        <w:spacing w:after="0" w:line="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An applicant seeking approval to market and distribute a new drug in the United States generally must satisfactorily complete each of the following steps before the product candidate will be licensed by the FDA:</w:t>
      </w:r>
    </w:p>
    <w:p>
      <w:pPr>
        <w:spacing w:after="0" w:line="78"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preclinical testing including laboratory tests, animal studies and formulation studies, which must be performed in accordance with the FDA’s good laboratory practice (“GLP”), regulations and standards;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submission to the FDA of an Investigational New Drug Application (“IND”) for human clinical testing, which must become effective before human clinical trials may begin;</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by an independent institutional review board (“IRB”), representing each clinical site before each clinical trial may be initiated;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of adequate and well-controlled human clinical trials to establish the safety, potency and efficacy of the product candidate for each proposed indication, in accordance with current good clinical practices (“GCP”);</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42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preparation and submission to the FDA of a new drug application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of the product candidate by an FDA advisory committee, where appropriate or if applicable;</w:t>
      </w:r>
    </w:p>
    <w:p>
      <w:pPr>
        <w:spacing w:after="0" w:line="78"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satisfactory completion of an FDA inspection of the manufacturing facility or facilities, including those of third parties, at which the product candidate or components thereof are manufactured to assess compliance with current good manufacturing practice (“cGMP”) requirements and to assure that the facilities, methods and controls are adequate to preserve the product’s identity, strength, quality and purity;</w:t>
      </w:r>
    </w:p>
    <w:p>
      <w:pPr>
        <w:spacing w:after="0" w:line="3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satisfactory completion of any FDA audits of the non-clinical and clinical trial sites to assure compliance with GCP and the integrity of clinical data in support of the NDA;</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user fees and securing FDA approval of the NDA to allow marketing of the new drug product; and</w:t>
      </w:r>
    </w:p>
    <w:p>
      <w:pPr>
        <w:spacing w:after="0" w:line="78"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any post-approval requirements, including the potential requirement to implement a risk evaluation and mitigation strategy (“REMS”) and the potential requirement to conduct any post-approval studies required by the FDA.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Preclinical Studies</w:t>
      </w:r>
    </w:p>
    <w:p>
      <w:pPr>
        <w:spacing w:after="0" w:line="80" w:lineRule="exact"/>
        <w:rPr>
          <w:sz w:val="20"/>
          <w:szCs w:val="20"/>
          <w:color w:val="auto"/>
        </w:rPr>
      </w:pPr>
    </w:p>
    <w:p>
      <w:pPr>
        <w:jc w:val="both"/>
        <w:ind w:firstLine="449"/>
        <w:spacing w:after="0" w:line="260" w:lineRule="auto"/>
        <w:rPr>
          <w:sz w:val="20"/>
          <w:szCs w:val="20"/>
          <w:color w:val="auto"/>
        </w:rPr>
      </w:pPr>
      <w:r>
        <w:rPr>
          <w:rFonts w:ascii="Times New Roman" w:cs="Times New Roman" w:eastAsia="Times New Roman" w:hAnsi="Times New Roman"/>
          <w:sz w:val="12"/>
          <w:szCs w:val="12"/>
          <w:color w:val="auto"/>
        </w:rPr>
        <w:t>Before an applicant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continue after the IND is submitted.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IND and IRB Processes</w:t>
      </w:r>
    </w:p>
    <w:p>
      <w:pPr>
        <w:spacing w:after="0" w:line="80"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2"/>
          <w:szCs w:val="12"/>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5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2"/>
          <w:szCs w:val="12"/>
          <w:color w:val="auto"/>
        </w:rPr>
        <w:t xml:space="preserve">Following commencement of a clinical trial under an IND, the FDA may also place a clinical hold or partial clinical hold on that trial. In July 2024, the FDA placed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program on clinical hold based upon a radiochromatographic signal that could not be fully characterized at that time. The FDA subsequently lifted the clinical hold in March 2025, following the Company’s submission of a complete response that demonstrated that the uncharacterized signal was an experimental artifact</w:t>
      </w:r>
    </w:p>
    <w:p>
      <w:pPr>
        <w:spacing w:after="0" w:line="4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2"/>
          <w:szCs w:val="12"/>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such studies must be conducted in accordance with GCP, including review and approval by an independent ethics committee (“IEC”), and informed consent from subjects.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53" w:lineRule="exact"/>
        <w:rPr>
          <w:sz w:val="20"/>
          <w:szCs w:val="20"/>
          <w:color w:val="auto"/>
        </w:rPr>
      </w:pPr>
    </w:p>
    <w:p>
      <w:pPr>
        <w:jc w:val="both"/>
        <w:ind w:firstLine="449"/>
        <w:spacing w:after="0" w:line="279" w:lineRule="auto"/>
        <w:rPr>
          <w:sz w:val="20"/>
          <w:szCs w:val="20"/>
          <w:color w:val="auto"/>
        </w:rPr>
      </w:pPr>
      <w:r>
        <w:rPr>
          <w:rFonts w:ascii="Times New Roman" w:cs="Times New Roman" w:eastAsia="Times New Roman" w:hAnsi="Times New Roman"/>
          <w:sz w:val="12"/>
          <w:szCs w:val="12"/>
          <w:color w:val="auto"/>
        </w:rPr>
        <w:t>In addition to the foregoing IND requirements, an IRB representing each institution participating in the clinical trial must review and approve the plan for any clinical trial before it commences at that institution, and the IRB must conduct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4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2"/>
          <w:szCs w:val="12"/>
          <w:color w:val="auto"/>
        </w:rPr>
        <w:t>Additionally, 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47" w:lineRule="exact"/>
        <w:rPr>
          <w:sz w:val="20"/>
          <w:szCs w:val="20"/>
          <w:color w:val="auto"/>
        </w:rPr>
      </w:pPr>
    </w:p>
    <w:p>
      <w:pPr>
        <w:ind w:right="2160" w:firstLine="449"/>
        <w:spacing w:after="0" w:line="375" w:lineRule="auto"/>
        <w:rPr>
          <w:sz w:val="20"/>
          <w:szCs w:val="20"/>
          <w:color w:val="auto"/>
        </w:rPr>
      </w:pPr>
      <w:r>
        <w:rPr>
          <w:rFonts w:ascii="Times New Roman" w:cs="Times New Roman" w:eastAsia="Times New Roman" w:hAnsi="Times New Roman"/>
          <w:sz w:val="12"/>
          <w:szCs w:val="12"/>
          <w:color w:val="auto"/>
        </w:rPr>
        <w:t xml:space="preserve">Information about clinical trials must be submitted within specific timeframes to the National Institutes of Health (“NIH”), for public dissemination on its ClinicalTrials.gov website. </w:t>
      </w:r>
      <w:r>
        <w:rPr>
          <w:rFonts w:ascii="Times New Roman" w:cs="Times New Roman" w:eastAsia="Times New Roman" w:hAnsi="Times New Roman"/>
          <w:sz w:val="12"/>
          <w:szCs w:val="12"/>
          <w:i w:val="1"/>
          <w:iCs w:val="1"/>
          <w:color w:val="auto"/>
        </w:rPr>
        <w:t>Human Clinical Trials in Support of an NDA</w:t>
      </w:r>
    </w:p>
    <w:p>
      <w:pPr>
        <w:spacing w:after="0" w:line="1"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2"/>
          <w:szCs w:val="12"/>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Human clinical trials are typically conducted in three sequential phases, but the phases may overlap or be combined. Additional studies may also be required after approval.</w:t>
      </w:r>
    </w:p>
    <w:p>
      <w:pPr>
        <w:spacing w:after="0" w:line="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Phase 1 </w:t>
      </w:r>
      <w:r>
        <w:rPr>
          <w:rFonts w:ascii="Times New Roman" w:cs="Times New Roman" w:eastAsia="Times New Roman" w:hAnsi="Times New Roman"/>
          <w:sz w:val="12"/>
          <w:szCs w:val="12"/>
          <w:color w:val="auto"/>
        </w:rPr>
        <w:t>clinical trials are initially conducted in a limited population to test the product candidate for safety, including adverse effects, dose tolerance, absorption, metabolism, distribution, excretion and pharmacodynamics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45"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Phase 2 </w:t>
      </w:r>
      <w:r>
        <w:rPr>
          <w:rFonts w:ascii="Times New Roman" w:cs="Times New Roman" w:eastAsia="Times New Roman" w:hAnsi="Times New Roman"/>
          <w:sz w:val="12"/>
          <w:szCs w:val="12"/>
          <w:color w:val="auto"/>
        </w:rPr>
        <w:t>clinical trials are generally conducted in a limited patient population to identify possible adverse effects and safety risks, evaluate the efficacy of the product candidate for specific targeted indications and determine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4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Phase 3 </w:t>
      </w:r>
      <w:r>
        <w:rPr>
          <w:rFonts w:ascii="Times New Roman" w:cs="Times New Roman" w:eastAsia="Times New Roman" w:hAnsi="Times New Roman"/>
          <w:sz w:val="12"/>
          <w:szCs w:val="12"/>
          <w:color w:val="auto"/>
        </w:rPr>
        <w:t>clinical trials proceed if the Phase 2 clinical trials demonstrate that a dose range of the product candidate is potentially effective and has an acceptable safety profile. Phase 3 clinical trials are undertaken within 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studies are referred to as “pivotal.”</w:t>
      </w:r>
    </w:p>
    <w:p>
      <w:pPr>
        <w:spacing w:after="0" w:line="50"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2"/>
          <w:szCs w:val="12"/>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47"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2"/>
          <w:szCs w:val="12"/>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2"/>
          <w:szCs w:val="12"/>
          <w:i w:val="1"/>
          <w:iCs w:val="1"/>
          <w:color w:val="auto"/>
        </w:rPr>
        <w:t>in vitro</w:t>
      </w:r>
      <w:r>
        <w:rPr>
          <w:rFonts w:ascii="Times New Roman" w:cs="Times New Roman" w:eastAsia="Times New Roman" w:hAnsi="Times New Roman"/>
          <w:sz w:val="12"/>
          <w:szCs w:val="12"/>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institution it represents, if the clinical trial is not being conducted in accordance with the IRB’s requirements or if the product has been associated with unexpected serious harm to patients. The FDA will typically inspect one or more clinical sites to assure compliance with GCP and the integrity of the clinical data submitted.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Review and Approval of an NDA</w:t>
      </w:r>
    </w:p>
    <w:p>
      <w:pPr>
        <w:spacing w:after="0" w:line="80"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2"/>
          <w:szCs w:val="12"/>
          <w:color w:val="auto"/>
        </w:rPr>
        <w:t>In order to obtain approval to market a drug product in the United States, a marketing application must be submitted to the FDA that provides sufficient data establishing the safety, purity and potency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purity and potency of the drug product to the satisfaction of the FDA.</w:t>
      </w:r>
    </w:p>
    <w:p>
      <w:pPr>
        <w:spacing w:after="0" w:line="53"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2"/>
          <w:szCs w:val="12"/>
          <w:color w:val="auto"/>
        </w:rPr>
        <w:t>The NDA is a vehicle through which applicants formally propose that the FDA approve a new product for marketing and sale in the United States for one or more indications. Every new drug product candidate must be the subject of an approved NDA before it may be commercialized in the United States. Under federal law, the submission of most NDAs is subject to an application user fee and the sponsor of an approved NDA is also subject to an annual program fee. Certain exceptions and waivers are available for some of these fees, such as an exception from the application fee for products with orphan designation and a waiver for certain small businesses.</w:t>
      </w:r>
    </w:p>
    <w:p>
      <w:pPr>
        <w:spacing w:after="0" w:line="47"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2"/>
          <w:szCs w:val="12"/>
          <w:color w:val="auto"/>
        </w:rPr>
        <w:t>Following submission of an NDA, the FDA conducts a preliminary review of the application generally within 60 calendar days of its receipt and strives to inform the sponsor by the 74th day after the FDA’s receipt of the submission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the Prescription Drug User Fee Act goal date may be extended by the FDA for three additional months to consider new information or clarification provided by the applicant to address an outstanding deficiency identified by the FDA following the original submission.</w:t>
      </w:r>
    </w:p>
    <w:p>
      <w:pPr>
        <w:spacing w:after="0" w:line="54" w:lineRule="exact"/>
        <w:rPr>
          <w:sz w:val="20"/>
          <w:szCs w:val="20"/>
          <w:color w:val="auto"/>
        </w:rPr>
      </w:pPr>
    </w:p>
    <w:p>
      <w:pPr>
        <w:jc w:val="both"/>
        <w:ind w:firstLine="449"/>
        <w:spacing w:after="0" w:line="260" w:lineRule="auto"/>
        <w:rPr>
          <w:sz w:val="20"/>
          <w:szCs w:val="20"/>
          <w:color w:val="auto"/>
        </w:rPr>
      </w:pPr>
      <w:r>
        <w:rPr>
          <w:rFonts w:ascii="Times New Roman" w:cs="Times New Roman" w:eastAsia="Times New Roman" w:hAnsi="Times New Roman"/>
          <w:sz w:val="12"/>
          <w:szCs w:val="12"/>
          <w:color w:val="auto"/>
        </w:rPr>
        <w:t>Before approving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50"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2"/>
          <w:szCs w:val="12"/>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47"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2"/>
          <w:szCs w:val="12"/>
          <w:color w:val="auto"/>
        </w:rPr>
        <w:t>The FDA may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Special Expedited Review and Approval Programs</w:t>
      </w:r>
    </w:p>
    <w:p>
      <w:pPr>
        <w:spacing w:after="0" w:line="52" w:lineRule="exact"/>
        <w:rPr>
          <w:sz w:val="20"/>
          <w:szCs w:val="20"/>
          <w:color w:val="auto"/>
        </w:rPr>
      </w:pPr>
    </w:p>
    <w:p>
      <w:pPr>
        <w:jc w:val="both"/>
        <w:ind w:firstLine="449"/>
        <w:spacing w:after="0" w:line="164" w:lineRule="exact"/>
        <w:rPr>
          <w:sz w:val="20"/>
          <w:szCs w:val="20"/>
          <w:color w:val="auto"/>
        </w:rPr>
      </w:pPr>
      <w:r>
        <w:rPr>
          <w:rFonts w:ascii="Times New Roman" w:cs="Times New Roman" w:eastAsia="Times New Roman" w:hAnsi="Times New Roman"/>
          <w:sz w:val="12"/>
          <w:szCs w:val="12"/>
          <w:color w:val="auto"/>
        </w:rPr>
        <w:t>The FDA is authorized to designate certain products for expedited review if they are intended to address an unmet medical need in the treatment of a serious or life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threatening disease or condition. Two such programs are breakthrough therapy designation and priority review designation, regenerative advanced therapy designation and accelerated approval.</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both"/>
        <w:ind w:firstLine="449"/>
        <w:spacing w:after="0" w:line="152" w:lineRule="exact"/>
        <w:rPr>
          <w:sz w:val="20"/>
          <w:szCs w:val="20"/>
          <w:color w:val="auto"/>
        </w:rPr>
      </w:pPr>
      <w:r>
        <w:rPr>
          <w:rFonts w:ascii="Times New Roman" w:cs="Times New Roman" w:eastAsia="Times New Roman" w:hAnsi="Times New Roman"/>
          <w:sz w:val="12"/>
          <w:szCs w:val="12"/>
          <w:color w:val="auto"/>
        </w:rPr>
        <w:t>Specifically, the FDA may designate a product as a Breakthrough Therapy if it is intended, either alone or in combination with one or more other products, to treat a serious or life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disciplinary project lead for the review team; and taking other steps to design the clinical trials in an efficient manner.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received Breakthrough Therapy designation from FDA in 2021.</w:t>
      </w:r>
    </w:p>
    <w:p>
      <w:pPr>
        <w:spacing w:after="0" w:line="61" w:lineRule="exact"/>
        <w:rPr>
          <w:sz w:val="20"/>
          <w:szCs w:val="20"/>
          <w:color w:val="auto"/>
        </w:rPr>
      </w:pPr>
    </w:p>
    <w:p>
      <w:pPr>
        <w:jc w:val="both"/>
        <w:ind w:firstLine="449"/>
        <w:spacing w:after="0" w:line="147" w:lineRule="exact"/>
        <w:rPr>
          <w:sz w:val="20"/>
          <w:szCs w:val="20"/>
          <w:color w:val="auto"/>
        </w:rPr>
      </w:pPr>
      <w:r>
        <w:rPr>
          <w:rFonts w:ascii="Times New Roman" w:cs="Times New Roman" w:eastAsia="Times New Roman" w:hAnsi="Times New Roman"/>
          <w:sz w:val="12"/>
          <w:szCs w:val="12"/>
          <w:color w:val="auto"/>
        </w:rPr>
        <w:t>The FDA may designate a product for priority review if it is a product that treats a serious condition and, if approved, would provide a significant improvement in safety or effectiveness. The FDA determines, on a case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by</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FDA’s Decision on an NDA</w:t>
      </w:r>
    </w:p>
    <w:p>
      <w:pPr>
        <w:spacing w:after="0" w:line="80"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2"/>
          <w:szCs w:val="12"/>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53"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2"/>
          <w:szCs w:val="12"/>
          <w:color w:val="auto"/>
        </w:rPr>
        <w:t>If the FDA approves a new product, it may limit the approved indications for use of the product.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Post-Approval Regulation</w:t>
      </w:r>
    </w:p>
    <w:p>
      <w:pPr>
        <w:spacing w:after="0" w:line="80"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2"/>
          <w:szCs w:val="12"/>
          <w:color w:val="auto"/>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53" w:lineRule="exact"/>
        <w:rPr>
          <w:sz w:val="20"/>
          <w:szCs w:val="20"/>
          <w:color w:val="auto"/>
        </w:rPr>
      </w:pPr>
    </w:p>
    <w:p>
      <w:pPr>
        <w:jc w:val="both"/>
        <w:ind w:firstLine="449"/>
        <w:spacing w:after="0" w:line="260" w:lineRule="auto"/>
        <w:rPr>
          <w:sz w:val="20"/>
          <w:szCs w:val="20"/>
          <w:color w:val="auto"/>
        </w:rPr>
      </w:pPr>
      <w:r>
        <w:rPr>
          <w:rFonts w:ascii="Times New Roman" w:cs="Times New Roman" w:eastAsia="Times New Roman" w:hAnsi="Times New Roman"/>
          <w:sz w:val="12"/>
          <w:szCs w:val="12"/>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firstLine="449"/>
        <w:spacing w:after="0" w:line="260" w:lineRule="auto"/>
        <w:rPr>
          <w:sz w:val="20"/>
          <w:szCs w:val="20"/>
          <w:color w:val="auto"/>
        </w:rPr>
      </w:pPr>
      <w:r>
        <w:rPr>
          <w:rFonts w:ascii="Times New Roman" w:cs="Times New Roman" w:eastAsia="Times New Roman" w:hAnsi="Times New Roman"/>
          <w:sz w:val="12"/>
          <w:szCs w:val="12"/>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50"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the marketing or manufacturing of the product, complete withdrawal of the product from the market or product recalls;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fines, warning letters or holds on post-approval clinical trials;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refusal of the FDA to approve pending applications or supplements to approved applications, or suspension or revocation of product license approvals;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seizure or detention, or refusal to permit the import or export of products; or</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injunctions or the imposition of civil or criminal penalties.</w:t>
      </w:r>
    </w:p>
    <w:p>
      <w:pPr>
        <w:spacing w:after="0" w:line="7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2"/>
          <w:szCs w:val="12"/>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53" w:lineRule="exact"/>
        <w:rPr>
          <w:sz w:val="20"/>
          <w:szCs w:val="20"/>
          <w:color w:val="auto"/>
        </w:rPr>
      </w:pPr>
    </w:p>
    <w:p>
      <w:pPr>
        <w:jc w:val="both"/>
        <w:ind w:firstLine="449"/>
        <w:spacing w:after="0" w:line="260" w:lineRule="auto"/>
        <w:rPr>
          <w:sz w:val="20"/>
          <w:szCs w:val="20"/>
          <w:color w:val="auto"/>
        </w:rPr>
      </w:pPr>
      <w:r>
        <w:rPr>
          <w:rFonts w:ascii="Times New Roman" w:cs="Times New Roman" w:eastAsia="Times New Roman" w:hAnsi="Times New Roman"/>
          <w:sz w:val="12"/>
          <w:szCs w:val="12"/>
          <w:color w:val="auto"/>
        </w:rPr>
        <w:t>If a company is found to have promoted off-label uses, it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50" w:lineRule="exact"/>
        <w:rPr>
          <w:sz w:val="20"/>
          <w:szCs w:val="20"/>
          <w:color w:val="auto"/>
        </w:rPr>
      </w:pPr>
    </w:p>
    <w:p>
      <w:pPr>
        <w:jc w:val="both"/>
        <w:ind w:firstLine="449"/>
        <w:spacing w:after="0" w:line="265" w:lineRule="auto"/>
        <w:rPr>
          <w:sz w:val="20"/>
          <w:szCs w:val="20"/>
          <w:color w:val="auto"/>
        </w:rPr>
      </w:pPr>
      <w:r>
        <w:rPr>
          <w:rFonts w:ascii="Times New Roman" w:cs="Times New Roman" w:eastAsia="Times New Roman" w:hAnsi="Times New Roman"/>
          <w:sz w:val="12"/>
          <w:szCs w:val="12"/>
          <w:color w:val="auto"/>
        </w:rPr>
        <w:t>In addition, the distribution of prescription pharmaceutical products is subject to the Prescription Drug Marketing Act, or PDMA, and its implementing regulations, as well as the Drug Supply Chain Security Act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Human Capital</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As of December 31, 2024, we had twenty-three employees (eight of whom work in North Carolina), of which at least thirteen hold graduate degrees (including ten doctorate degrees). None of our employees are represented by a labor union, and we consider our employee relations to be good.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Corporate Information</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We were incorporated under the laws of the State of Delaware in 2015. Our principal executive offices are located at 3980 Premier Drive, Suite 310, High Point, NC 27265, and our telephone number is (336) 841-0300. We also maintain a corporate website, www.vtvtherapeutics.com, where stockholders and other interested persons may review, without charge, among other things, corporate governance materials and certain Securities Exchange Commission (SEC) filings, which are generally available on the same business day as the filing date with the SEC on the SEC’s website </w:t>
      </w:r>
      <w:r>
        <w:rPr>
          <w:rFonts w:ascii="Times New Roman" w:cs="Times New Roman" w:eastAsia="Times New Roman" w:hAnsi="Times New Roman"/>
          <w:sz w:val="12"/>
          <w:szCs w:val="12"/>
          <w:u w:val="single" w:color="auto"/>
          <w:color w:val="auto"/>
        </w:rPr>
        <w:t>http://www.sec.gov</w:t>
      </w:r>
      <w:r>
        <w:rPr>
          <w:rFonts w:ascii="Times New Roman" w:cs="Times New Roman" w:eastAsia="Times New Roman" w:hAnsi="Times New Roman"/>
          <w:sz w:val="12"/>
          <w:szCs w:val="12"/>
          <w:color w:val="auto"/>
        </w:rPr>
        <w:t>. The contents of our website are not made a part of this Annual Report on Form 10-K.</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1"/>
          <w:szCs w:val="11"/>
          <w:b w:val="1"/>
          <w:bCs w:val="1"/>
          <w:color w:val="auto"/>
        </w:rPr>
        <w:t>RISK FACTORS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of Principal Risk Factors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business is subject to a number of risks, including risks that may prevent us from achieving our business objectives or may adversely affect our business, financial condition, results of operations, cash flows, and prospects.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risks are discussed more fully below and include, but are not limited to, risks related 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Our Financial Position and Need for Additional Capital</w:t>
      </w:r>
    </w:p>
    <w:p>
      <w:pPr>
        <w:spacing w:after="0" w:line="29"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4"/>
          <w:szCs w:val="14"/>
          <w:color w:val="auto"/>
        </w:rPr>
      </w:pPr>
      <w:r>
        <w:rPr>
          <w:rFonts w:ascii="Times New Roman" w:cs="Times New Roman" w:eastAsia="Times New Roman" w:hAnsi="Times New Roman"/>
          <w:sz w:val="12"/>
          <w:szCs w:val="12"/>
          <w:color w:val="auto"/>
        </w:rPr>
        <w:t>our need for additional capital to continue the development and commercialization of our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8"/>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raising additional capital to our stockholders and the rights of our drug candidates;</w:t>
      </w:r>
    </w:p>
    <w:p>
      <w:pPr>
        <w:spacing w:after="0" w:line="1" w:lineRule="exact"/>
        <w:rPr>
          <w:rFonts w:ascii="Arial" w:cs="Arial" w:eastAsia="Arial" w:hAnsi="Arial"/>
          <w:sz w:val="14"/>
          <w:szCs w:val="14"/>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achieve or maintain profitability;</w:t>
      </w:r>
    </w:p>
    <w:p>
      <w:pPr>
        <w:spacing w:after="0" w:line="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financial condition and ability to continue as a going concern: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generate revenue in absence of any products approved for sale;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Development and Regulatory Approval of Our Drug Candidates</w:t>
      </w:r>
    </w:p>
    <w:p>
      <w:pPr>
        <w:spacing w:after="0" w:line="29" w:lineRule="exact"/>
        <w:rPr>
          <w:sz w:val="20"/>
          <w:szCs w:val="20"/>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delays in the commencement, enrollment and completion of our clinical trials, including clinical holds or other regulatory limitations on our clinical development programs;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failure of our clinical trials or our inability to receive regulatory approval for our drug candidates;</w:t>
      </w:r>
    </w:p>
    <w:p>
      <w:pPr>
        <w:spacing w:after="0" w:line="1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the identification of serious adverse or unacceptable side effects which are determined to be drug-related;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changes in law or regulatory policy on the approval of our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submit an NDA for the drug candidates we are developing;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Relating to the Commercialization of Our Drug Candidates</w:t>
      </w:r>
    </w:p>
    <w:p>
      <w:pPr>
        <w:spacing w:after="0" w:line="29"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color w:val="auto"/>
        </w:rPr>
        <w:t>the acceptance of drug candidates in the market, if approved by the appropriate regulatory agencies;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establish sales and marketing capabilities or enter into agreements with third parties to sell and market our drug candidates;</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ongoing obligations and continued regulatory review for our drug candidates post-commercialization;</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color w:val="auto"/>
        </w:rPr>
        <w:t>competition with other products;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healthcare cost containment initiatives and the growth of managed care;</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obtain marketing approval for our drug candidates and obtain profitable pricing once approved;</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healthcare laws and regulations on our relationships with healthcare professionals, principal investigators, consultants, customers (actual and potential) and third-party payors;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obtain approval to commercialize products outside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Relating to Our Dependence on Third Parties</w:t>
      </w:r>
    </w:p>
    <w:p>
      <w:pPr>
        <w:spacing w:after="0" w:line="29"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establish and maintain collaborative relationships to further the development of our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the professional conduct of third parties we rely on to conduct, supervise and monitor certain of our clinical trials;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 xml:space="preserve">our dependence on limited sources of supply for the components used in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(TTP399) and our other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color w:val="auto"/>
        </w:rPr>
        <w:t>our reliance on third-party manufacturers to produce our drug candidates;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Relating to Our Intellectual Property</w:t>
      </w:r>
    </w:p>
    <w:p>
      <w:pPr>
        <w:spacing w:after="0" w:line="29"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continue to protect proprietary rights to our intellectual property;</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unauthorized disclosure of our trade secrets or other confidential information;</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changes to the patent laws in the United States and other jurisdictions;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litigation for infringing intellectual property rights of third parties;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litigation to protect or enforce our patents or other intellectual property;</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enforce our intellectual property rights throughout the world;</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obtain patent term extensions for our drug candidates;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Relating to Employee Matters and Managing Growth</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expanding our operations and managing growth;</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attract and retain key personnel;</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our employees, independent contractors, principal investigators, CROs, consultants and collaborators in the event that they engage in misconduct or other improper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Risks Relating to Our Business</w:t>
      </w:r>
    </w:p>
    <w:p>
      <w:pPr>
        <w:spacing w:after="0" w:line="29"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remain competitive given the rapidly changing market for our proposed drug candidates;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computer system failures, cyberattacks or a deficiency in our cybersecurity;</w:t>
      </w:r>
    </w:p>
    <w:p>
      <w:pPr>
        <w:spacing w:after="0" w:line="16"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using our financial and human resources to pursue a particular research program or drug candidate and failing to capitalize on programs or drug candidates that may be more profitable or for which there is a greater likelihood of success;</w:t>
      </w:r>
    </w:p>
    <w:p>
      <w:pPr>
        <w:spacing w:after="0" w:line="11" w:lineRule="exact"/>
        <w:rPr>
          <w:rFonts w:ascii="Arial" w:cs="Arial" w:eastAsia="Arial" w:hAnsi="Arial"/>
          <w:sz w:val="14"/>
          <w:szCs w:val="14"/>
          <w:color w:val="auto"/>
        </w:rPr>
      </w:pPr>
    </w:p>
    <w:p>
      <w:pPr>
        <w:ind w:left="420" w:hanging="212"/>
        <w:spacing w:after="0"/>
        <w:tabs>
          <w:tab w:leader="none" w:pos="4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litigation and government investigations, including product liability lawsuits;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4"/>
        </w:numPr>
        <w:rPr>
          <w:rFonts w:ascii="Arial" w:cs="Arial" w:eastAsia="Arial" w:hAnsi="Arial"/>
          <w:sz w:val="14"/>
          <w:szCs w:val="14"/>
          <w:color w:val="auto"/>
        </w:rPr>
      </w:pPr>
      <w:r>
        <w:rPr>
          <w:rFonts w:ascii="Times New Roman" w:cs="Times New Roman" w:eastAsia="Times New Roman" w:hAnsi="Times New Roman"/>
          <w:sz w:val="12"/>
          <w:szCs w:val="12"/>
          <w:color w:val="auto"/>
        </w:rPr>
        <w:t>the exposure to uninsured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Related to our Common Stock</w:t>
      </w:r>
    </w:p>
    <w:p>
      <w:pPr>
        <w:spacing w:after="0" w:line="29"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maintain listing of our Class A common stock on Nasdaq</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potential for conflicts of interest with our directors who have relationships with major investors;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pay cash dividends;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potential for securities class action litigation;</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research and reports that equity research analysts publish about us and our business;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impact of substantial sales of shares into the market at any time;</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dilution created by future sales and issuances of our Class A common stock or rights to purchase Class A common stock;</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our reliance upon our “smaller reporting company” status;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the existence of provisions in our governing documents or state law which may delay or prevent our acquisition by a third party;</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our obligation to make payments under the Tax Receivable Agreement;</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15"/>
        </w:numPr>
        <w:rPr>
          <w:rFonts w:ascii="Arial" w:cs="Arial" w:eastAsia="Arial" w:hAnsi="Arial"/>
          <w:sz w:val="14"/>
          <w:szCs w:val="14"/>
          <w:color w:val="auto"/>
        </w:rPr>
      </w:pPr>
      <w:r>
        <w:rPr>
          <w:rFonts w:ascii="Times New Roman" w:cs="Times New Roman" w:eastAsia="Times New Roman" w:hAnsi="Times New Roman"/>
          <w:sz w:val="12"/>
          <w:szCs w:val="12"/>
          <w:color w:val="auto"/>
        </w:rPr>
        <w:t>our ability to make distributions from vTv LLC to satisfy our obligations.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Financial Position and Need for Additional Capital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incurred significant losses since inception and anticipate that we will incur continued losses for the foreseeable future. We may never achieve or maintain profitability.</w:t>
      </w:r>
    </w:p>
    <w:p>
      <w:pPr>
        <w:spacing w:after="0" w:line="8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2"/>
          <w:szCs w:val="12"/>
          <w:color w:val="auto"/>
        </w:rPr>
        <w:t xml:space="preserve">We are a clinical stage pharmaceutical company with limited operating history. We have never been profitable and do not expect to be profitable in the foreseeable future. We have incurred net losses in each year since beginning to develop our drug candidates, including net losses of approximately $18.5 million, $20.3 million and $19.2 million for the years ended December 31, 2024, 2023 and 2022, respectively. As of December 31, 2024, we had a total accumulated deficit of approximately $299.7 million. We have not commercialized any products and have devoted most of our financial resources to research and development, including our preclinical development activities and clinical trials. We expect to incur significant additional operating losses for the next several years, at least, as we conduct our research and development activities, advance drug candidates through clinical development, complete clinical trials, seek regulatory approval and, if we receive FDA approval, commercialize our products. Furthermore, the costs of advancing drugs into each succeeding clinical phase tend to increase substantially over time. The total costs to advance any of our drug candidates to marketing approval in even a single jurisdiction would be substantial. Because of the numerous risks and uncertainties associated with pharmaceutical product development, we are unable to accurately predict the timing or amount of increased expenses or when, or if, we will be able to begin generating revenue from the commercialization of products or achieve or maintain profitability. We expect to continue to incur significant additional expenses as we continue the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Furthermore, our ability to successfully develop, commercialize and license our products and generate product revenue is subject to substantial additional risks and uncertainties, as described under “—Risks Relating to the Discovery, Development and Regulatory Approval of Our Drug Candidates” and “—Risks Relating to the Commercialization of Our Drug Candidates.” As a result, we expect to continue to incur net losses and negative cash flows for the foreseeable future. These net losses and negative cash flows have had, and will continue to have, an adverse effect on our stockholders’ equity and working capital. The amount of our future net losses will depend, in part, on the rate of future growth of our expenses and our ability to generate revenues. In addition, we may not be able to enter into any collaborations that will generate significant cash. If we are unable to develop and commercialize one or more of our drug candidates either alone or with collaborators, or if revenues from any drug candidate that receives regulatory approval are insufficient, we will not achieve profitability. Even if we do achieve profitability, we may not be able to sustain or increase profitability. If we are unable to achieve and then maintain profitability, the value of our equity securities will be materially and adversely affected.</w:t>
      </w:r>
    </w:p>
    <w:p>
      <w:pPr>
        <w:spacing w:after="0" w:line="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Currently, we have no products approved for commercial sale, and to date we have not generated any revenue from product sales. As a result, our ability to generate revenue from products, curtail our losses and reach profitability is unproven, and we may never generate substantial product revenue.</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have no products approved for commercialization and have never generated any revenue from the commercialization of any product. Our ability to generate revenue and achieve profitability depends on our ability, alone or with strategic collaboration partners, to successfully complete the development of, and obtain the regulatory and marketing approvals necessary to commercialize one or more of our product candidates. We do not anticipate generating revenue from product sales for several years. Our ability to generate future revenue from product sales depends heavily on our success in many areas, including but not limited to:</w:t>
      </w:r>
    </w:p>
    <w:p>
      <w:pPr>
        <w:spacing w:after="0" w:line="47" w:lineRule="exact"/>
        <w:rPr>
          <w:sz w:val="20"/>
          <w:szCs w:val="20"/>
          <w:color w:val="auto"/>
        </w:rPr>
      </w:pPr>
    </w:p>
    <w:p>
      <w:pPr>
        <w:ind w:left="640" w:hanging="324"/>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completing research and nonclinical and clinical development of our product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regulatory and marketing approvals for product candidates for which we complete clinical studies;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collaborations for the development of certain of our drug candidates;</w:t>
      </w:r>
    </w:p>
    <w:p>
      <w:pPr>
        <w:spacing w:after="0" w:line="78" w:lineRule="exact"/>
        <w:rPr>
          <w:rFonts w:ascii="Times New Roman" w:cs="Times New Roman" w:eastAsia="Times New Roman" w:hAnsi="Times New Roman"/>
          <w:sz w:val="12"/>
          <w:szCs w:val="12"/>
          <w:color w:val="auto"/>
        </w:rPr>
      </w:pPr>
    </w:p>
    <w:p>
      <w:pPr>
        <w:ind w:left="640" w:right="120" w:hanging="324"/>
        <w:spacing w:after="0" w:line="279" w:lineRule="auto"/>
        <w:tabs>
          <w:tab w:leader="none" w:pos="63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launching and commercializing product candidates for which we obtain regulatory and marketing approval, either directly or with a collaborator or distributor;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market acceptance of our product candidates as viable treatment options;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favorable formulary placement with government and third-party payors that allows for favorable reimbursement;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addressing any competing technological and market developments;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negotiating favorable terms in any collaboration, licensing, or other arrangements into which we may enter;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protecting and expanding our portfolio of intellectual property rights;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attracting, hiring and retaining qualified personnel.</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will need additional capital to complete the development and commercialization of cadisegliatin (TTP399) and our other drug candidates. If we are unable to raise sufficient capital for these purposes, we would be forced to delay, reduce or eliminate our product development programs.</w:t>
      </w:r>
    </w:p>
    <w:p>
      <w:pPr>
        <w:spacing w:after="0" w:line="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 xml:space="preserve">Developing pharmaceutical products, including conducting preclinical studies and clinical trials, is expensive. We expect to continue to incur significant research and development expenses in connection with our ongoing activities, particularly as we undertake additional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and our other drug candidates and continue to work on our other research programs. Our current capital will not be sufficient for us to complete the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or our other drug candidates. As such, we will need to raise additional capital to fund the planned trials for our drug candidates and prior to the commercialization of any of our drug candidates. We are seeking possible additional partnering opportunities for our GKA, GLP-1r and other drug candidates which we believe may provide additional cash for use in our operations and the continuation of the clinical trials for our drug candidates. We also continue to evaluate other financing strategies to fund our ongoing trials. Such financing strategies include direct equity investments and future public offerings of our common stock. The timing and availability of such financing are not yet known.</w:t>
      </w:r>
    </w:p>
    <w:p>
      <w:pPr>
        <w:spacing w:after="0" w:line="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 xml:space="preserve">If the FDA or other regulators require that we perform additional studies beyond those we currently expect, or if there are any delays in completing our clinical trials or the development of any of our drug candidates, our expenses could increase beyond what we currently anticipate and the timing of any potential product approval may be delayed. We have no commitments or arrangements for any additional financing to fund our research and development programs other than the funds we may raise through the sale of our Class A common stock under our sales agreement (the “TD Cowen Sales Agreement”) with Cowen &amp; Company, LLC (“TD Cowen”) (the “TD Cowen ATM Offering”). As of March 20, 2025, there remains $47.5 million of availability under the TD Cowen ATM Offering, although the amount of our Class A common stock that we may offer and sell under the TD Cowen ATM Offering during any 12 calendar month period is currently limited to one-third of the aggregate market value of our voting and non-voting common equity held by non-affiliates pursuant to General Instruction I.B.6 of Form S-3. In addition, our ability to use this source of capital is dependent on a number of factors, including the prevailing market price of and the volume of trading in our Class A common stock. We also will need to raise substantial additional capital in the future to conduct further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and to continue developing our other drug candidates. Although we continue to seek financing, partnering and licensing transactions for the further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these efforts may not be successful. Because successful development of our drug candidates is uncertain, we are unable to estimate the actual funds required to complete research and development and commercialize and license our products under development.</w:t>
      </w:r>
    </w:p>
    <w:p>
      <w:pPr>
        <w:spacing w:after="0" w:line="5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Until such time that we can generate substantial revenue from product sales, we expect to finance our operating activities through a combination of equity offerings, debt financings, marketing and distribution arrangements and other collaborations, strategic alliances and licensing arrangements. We may seek to access the public or private capital markets whenever conditions are favorable, even if we do not have an immediate need for additional capital at that time. If worldwide economic conditions and the international equity and credit markets deteriorate and return to depressed states, it will be more difficult for us to obtain additional equity or credit financing, when needed.</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future capital requirements will depend on many factors, including:</w:t>
      </w:r>
    </w:p>
    <w:p>
      <w:pPr>
        <w:spacing w:after="0" w:line="76" w:lineRule="exact"/>
        <w:rPr>
          <w:sz w:val="20"/>
          <w:szCs w:val="20"/>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progress, costs, results and timing of our planned registrational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potential adjunctive therapy to insulin for the treatment of type 1 diabetes;</w:t>
      </w:r>
    </w:p>
    <w:p>
      <w:pPr>
        <w:spacing w:after="0" w:line="80"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 costs and timing of seeking and obtaining FDA and any other regulatory approvals;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characteristics of drug candidates that we pursue, including our drug candidates in preclinical development;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drug candidates to progress through clinical development successfully;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expand our research and development activities;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associated with securing, establishing and maintaining commercialization capabilities;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acquiring, licensing or investing in businesses, products, drug candidates and technologies;</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and ability to hire additional management and scientific and medical personnel;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competing technological and market developments;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implement additional internal systems and infrastructure, including financial and reporting systems;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economic and other terms, timing and success of our existing licensing arrangements and any collaboration, licensing or other arrangements into which we may enter in the future;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payments we are required to make to M&amp;F TTP Holdings Two LLC in the future under the Tax Receivable Agreement.</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There is substantial doubt as to our ability to continue as a going concern. We will need additional financing to execute our business plan, to fund our operations, and to continue as a going concern. Our disclosure regarding the substantial doubt as to our ability to continue as a going concern may hinder our ability to obtain further financing.</w:t>
      </w:r>
    </w:p>
    <w:p>
      <w:pPr>
        <w:spacing w:after="0" w:line="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To date, we have not generated any product revenue and has not achieved profitable operations, and our current capital will not be sufficient for us to complete the development of our drug candidates. As such, we will need to raise additional capital to fund the planned trials for our drug candidates and prior to the commercialization of any of our drug candidates. As a result of these factors, we have determined that there is substantial doubt as to our ability to continue as a going concern. Our ability to continue as a going concern will depend on our ability to obtain additional funding, and no assurances can be given that additional funding will be available to us on commercially reasonable terms, or at all. If we are unable to raise sufficient capital when needed, it may materially and adversely affect our business, financial condition, results of operations, and prospects, and we will need to modify our operational plans to continue as a going concern. Moreover, the reaction of investors to the inclusion of a going concern statement in our financial statements and our potential inability to continue as a going concern could adversely affect the price of our common stock and our ability to raise new capital or enter into collaborative or other transactions.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Raising additional capital may cause dilution to our stockholders, restrict our operations or require us to relinquish rights to our technologies or drug candidates.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Until such time, if ever, as we can generate substantial revenue, we may finance our cash needs through a combination of equity offerings, debt financings, marketing and distribution arrangements and other collaborations, strategic alliances and licensing arrangements. We do not currently have any committed external source of funds. To the extent that we raise additional capital through the sale of equity or convertible debt securities, the interest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a limited operating history, and we expect a number of factors to cause our operating results to fluctuate on a quarterly and annual basis, which may make it difficult to predict our future performance.</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color w:val="auto"/>
        </w:rPr>
        <w:t xml:space="preserve">We are a clinical stage pharmaceutical company with a limited operating history. Our operations to date have been primarily limited to developing our technology and undertaking preclinical studies and clinical trials </w:t>
      </w:r>
      <w:r>
        <w:rPr>
          <w:rFonts w:ascii="Times New Roman" w:cs="Times New Roman" w:eastAsia="Times New Roman" w:hAnsi="Times New Roman"/>
          <w:sz w:val="12"/>
          <w:szCs w:val="12"/>
          <w:i w:val="1"/>
          <w:iCs w:val="1"/>
          <w:color w:val="auto"/>
        </w:rPr>
        <w:t>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and our other drug candidates. We have not yet obtained regulatory approvals for any of our drug candidates. Consequently, any statements about our future success or viability are not based on any substantial operating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history or commercialized products. Our financial condition and operating results have varied significantly in the past and will continue to fluctuate from quarter-to-quarter or year-to-year due to a variety of factors, many of which are beyond our control. As a result, we may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never successfully develop and commercialize a product, which could lead to a material adverse effect on the value of any investment in our 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the Development, Regulatory Approval, and Commercialization of Our Drug Candidates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development efforts are focused on the continued development of cadisegliatin (TTP399). There can be no assurance that we will be able to implement our business strategy successfully</w:t>
      </w:r>
      <w:r>
        <w:rPr>
          <w:rFonts w:ascii="Times New Roman" w:cs="Times New Roman" w:eastAsia="Times New Roman" w:hAnsi="Times New Roman"/>
          <w:sz w:val="12"/>
          <w:szCs w:val="12"/>
          <w:b w:val="1"/>
          <w:bCs w:val="1"/>
          <w:color w:val="auto"/>
        </w:rPr>
        <w:t>.</w:t>
      </w:r>
    </w:p>
    <w:p>
      <w:pPr>
        <w:spacing w:after="0" w:line="80"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12"/>
          <w:szCs w:val="12"/>
          <w:color w:val="auto"/>
        </w:rPr>
        <w:t xml:space="preserve">Our development focus is on the continued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potential adjunctive treatment for patients with type 1 diabetes and supporting our currently partnered programs. If we are not able to successfully execute our business strategy and do not achieve the anticipated benefits, our business, results of operations and financial condition could suffer.</w:t>
      </w:r>
    </w:p>
    <w:p>
      <w:pPr>
        <w:spacing w:after="0" w:line="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Clinical drug development involves a lengthy and expensive process with an uncertain outcome, and failure can occur at any stage of clinical development. Because the results of earlier clinical trials are not necessarily predictive of future results, any drug candidate we advance through various stages of clinical trials or development may not have favorable results in later stages of clinical trials or development or receive regulatory approval.</w:t>
      </w:r>
    </w:p>
    <w:p>
      <w:pPr>
        <w:spacing w:after="0" w:line="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Clinical testing is expensive and can take many years to complete, and its outcome is inherently uncertain.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 Frequently, drug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While members of our management team have experience in designing clinical trials, our company has limited experience in designing clinical trials, and we may be unable to design and execute a clinical trial to support regulatory approval. Further, clinical trials of potential products often reveal that it is not practical or feasible to continue development efforts. For example, if the results of our future clinical trials of our drug candidates do not achieve the primary efficacy endpoints or demonstrate safety, the prospects for approval of these candidates would be materially and adversely affected. If our drug candidates are found to be unsafe or lack efficacy, we will not be able to obtain regulatory approval for them and our business would be materially harmed.</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cannot be certain that any of our drug candidates will receive regulatory approval, and without regulatory approval we will not be able to market our drug candidates and generate revenue from products. Any delay in the regulatory review or approval of our drug candidates will materially and adversely affect our business.</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ability to generate revenue related to product sales, which we do not expect will occur for at least the next several years, if ever, will depend on the successful development and regulatory approval of our drug candidates. Our clinical development programs for our drug candidates may not lead to regulatory approval from the FDA and similar foreign regulatory agencies. This failure to obtain regulatory approvals would prevent our drug candidates from being marketed and would prevent us from generating revenue from our drug candidates, which would have a material and adverse effect on our business.</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All of our drug candidates require regulatory review and approval prior to commercialization, and generally, only a small percentage of pharmaceutical products under development are ultimately approved for commercial sale.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Moreover, any delays in the regulatory review or approval of our drug candidates would delay market launch, increase our cash requirements and result in additional operating losses.</w:t>
      </w:r>
    </w:p>
    <w:p>
      <w:pPr>
        <w:spacing w:after="0" w:line="6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process of obtaining FDA and other required regulatory approvals, including foreign approvals, often takes many years and can vary substantially based upon the type, complexity and novelty of the products involved. Furthermore, this approval process is extremely complex, expensive and uncertain, and failure to comply with applicable regulatory requirements can, among other things, result in the suspension of regulatory approval as well as possible civil and criminal sanctions. We may be unable to submit any new drug application (“NDA”), in the United States or any marketing approval application in foreign jurisdictions for any of our products. If we submit an NDA including any amended NDA or supplemental NDA, to the FDA seeking marketing approval for any of our drug candidates, the FDA must decide whether to accept or reject the submission for filing. We cannot be certain that any of these submissions will be accepted for filing and reviewed by the FDA, or that the marketing approval application submissions to any other regulatory authorities will be accepted for filing and review by those authorities. We cannot be certain that we will be able to respond to any regulatory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requests during the review period in a timely manner, or at all, without delaying potential regulatory action. We also cannot be certain that any of our drug candidates will receive favorable recommendations from any FDA advisory committee or foreign regulatory bodies or be approved for marketing by the FDA or foreign regulatory authorities. In addition, delays in approvals or rejections of marketing applications may be based upon many factors, including regulatory requests for additional analyses, reports, data and studies, regulatory questions regarding data and results, changes in regulatory policy during the period of product development and the emergence of new information regarding our drug candidates.</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Data obtained from preclinical studies and clinical trials are subject to different interpretations, which could delay, limit or prevent regulatory review or approval of any of our drug candidates. Furthermore, regulatory attitudes towards the data and results required to demonstrate safety and efficacy can change over time and can be affected by many factors, such as the emergence of new information, including on other products, policy changes and agency funding, staffing and leadership. We do not know whether future changes to the regulatory environment will be favorable or unfavorable to our business prospects.</w:t>
      </w:r>
    </w:p>
    <w:p>
      <w:pPr>
        <w:spacing w:after="0" w:line="4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In addition, the environment in which our regulatory submissions may be reviewed changes over time. For example, average review times at the FDA for NDAs have fluctuated over the last ten years, and we cannot predict the review time for any of our submissions with any regulatory authorities. Review times can be affected by a variety of factors, including budget and funding levels and statutory, regulatory and policy as well as personnel changes at the FDA. Moreover, in light of widely publicized events concerning the safety risk of certain drug products, regulatory authorities, members of the U.S. Government Accountability Office, medical professionals and the general public have raised concerns about potential drug safety issues. These events have resulted in the withdrawal of drug products, revisions to drug labeling that further limit use of the drug products and establishment of risk evaluation and mitigation strategies ("REMS"), measures that may, for instance, place restrictions on the distribution of new drug products. The increased attention to drug safety issues may result in a more cautious approach by the FDA to clinical trials. Data from clinical trials may receive greater scrutiny with respect to safety, which may make the FDA or other regulatory authorities more likely to delay or terminate clinical trials before completion, or require longer or additional clinical trials that may result in substantial additional expense and a delay or failure in obtaining approval or may result in approval for a more limited indication than originally sought.</w:t>
      </w:r>
    </w:p>
    <w:p>
      <w:pPr>
        <w:spacing w:after="0" w:line="54"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approval policies, regulations, or the type and amount of clinical data necessary to gain approval may change during the course of a drug candidate’s clinical development and may vary among jurisdictions, and approval in one jurisdiction does not guarantee approval in any other jurisdiction. Our drug candidates could fail to receive regulatory approval for many reasons, including the following:</w:t>
      </w:r>
    </w:p>
    <w:p>
      <w:pPr>
        <w:spacing w:after="0" w:line="39" w:lineRule="exact"/>
        <w:rPr>
          <w:sz w:val="20"/>
          <w:szCs w:val="20"/>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disagree with the design or implementation of our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demonstrate to the satisfaction of the FDA or comparable foreign regulatory authorities that a drug candidate is safe and effective for its proposed indication;</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results of clinical trials may not meet the level of statistical significance required by the FDA or comparable foreign regulatory authorities for approval;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demonstrate that a drug candidate’s clinical and other benefits outweigh its safety risks;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disagree with our interpretation of data from preclinical studies or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data collected from clinical trials of our drug candidates may not be sufficient to support the submission of an NDA or other submission or to obtain regulatory approval in the United States or elsewhere;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fail to approve the manufacturing processes or facilities of third-party manufacturers with which we contract for clinical and commercial supplies;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FDA or comparable foreign regulatory authorities may fail to approve the companion diagnostics we contemplate developing with partners;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policies or regulations of the FDA or comparable foreign regulatory authorities may significantly change in a manner rendering our clinical data insufficient for approval.</w:t>
      </w:r>
    </w:p>
    <w:p>
      <w:pPr>
        <w:spacing w:after="0" w:line="78"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This lengthy approval process as well as the unpredictability of future clinical trial results may result in our failing to obtain regulatory approval to market our drug candidates, which would significantly harm our business, results of operations and prospects.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law could have a negative impact on the approval of our drug candidates.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FDA has established regulations, guidelines and policies to govern the drug development and approval process, as have foreign regulatory authorities. Any change in regulatory requirements resulting from the adoption of new legislation, regulations or policies may require us to amend existing clinical trial protocols or add new clinical trials to comply with these changes. Such amendments to existing protocols or clinical trial applications or the need for new ones, may significantly and adversely affect the cost, timing and completion of the clinical trials for our drug candidates. In addition, the FDA’s policies may change and additional government regulations may be issued that could prevent, limit or delay regulatory approval of our drug candidates, or impose more stringent product labeling and post-marketing testing and other requirements. If we are slow or unable to adapt to any such changes, our business, prospects and ability to achieve or sustain profitability would be adversely affected.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Delays in the commencement, enrollment and completion of our clinical trials could result in increased costs to us and delay or limit our ability to obtain regulatory approval for our drug candidates.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Delays in the commencement, enrollment and completion of clinical trials, including but not limited to regulatory clinical holds, could increase our product development costs or limit the regulatory approval of our drug candidates. We do not know whether current or future clinical trials of our drug candidates will begin on time or at all or will be completed on schedule or at all. The commencement, enrollment and completion of our clinical trials can be delayed for a variety of reasons, including:</w:t>
      </w:r>
    </w:p>
    <w:p>
      <w:pPr>
        <w:spacing w:after="0" w:line="47" w:lineRule="exact"/>
        <w:rPr>
          <w:sz w:val="20"/>
          <w:szCs w:val="20"/>
          <w:color w:val="auto"/>
        </w:rPr>
      </w:pPr>
    </w:p>
    <w:p>
      <w:pPr>
        <w:ind w:left="640" w:hanging="324"/>
        <w:spacing w:after="0" w:line="279" w:lineRule="auto"/>
        <w:tabs>
          <w:tab w:leader="none" w:pos="63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reach agreements on acceptable terms with prospective contract research organizations (CRO) and trial sites, the terms of which can be subject to extensive negotiation and may vary significantly among different CROs and trial sites;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objections to commencing or continuing a clinical trial, including the imposition of a clinical hold;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identify and maintain a sufficient number of trial sites, many of which may already be engaged in other clinical trial programs, including some that may be for the same indication as our drug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 of clinical trial sites from our clinical trials as a result of changing standards of care or the ineligibility of a site to participate in our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obtain institutional review board (“IRB”), approval to conduct a clinical trial;</w:t>
      </w:r>
    </w:p>
    <w:p>
      <w:pPr>
        <w:spacing w:after="0" w:line="78" w:lineRule="exact"/>
        <w:rPr>
          <w:rFonts w:ascii="Times New Roman" w:cs="Times New Roman" w:eastAsia="Times New Roman" w:hAnsi="Times New Roman"/>
          <w:sz w:val="12"/>
          <w:szCs w:val="12"/>
          <w:color w:val="auto"/>
        </w:rPr>
      </w:pPr>
    </w:p>
    <w:p>
      <w:pPr>
        <w:ind w:left="640" w:right="20" w:hanging="324"/>
        <w:spacing w:after="0" w:line="279" w:lineRule="auto"/>
        <w:tabs>
          <w:tab w:leader="none" w:pos="637"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recruiting and enrolling subjects to participate in clinical trials for a variety of reasons, including willingness of subjects to undergo required study procedures, meeting the enrollment criteria for our study and competition from other clinical trial programs for the same indication as our drug candidates;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recruit and retain subjects in clinical trials due to the treatment protocol, personal issues, side effects from the therapy or lack of efficacy;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in importing and exporting clinical trial materials and study samples.</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are investigating. Furthermore, we rely on CROs and clinical trial sites to ensure the proper and timely conduct of our clinical trials and while we have agreements governing their committed activities, we have limited influence over their actual performance.</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We could also encounter delays if a clinical trial is suspended or terminated by us, by the IRBs of the institutions in which such trials are being conducted, by the Data and Safety Monitoring Board (DSMB) for such trial or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FDA or other regulatory authorities. Such authorities may impose such a suspension or termination due to a number of factors, including:</w:t>
      </w:r>
    </w:p>
    <w:p>
      <w:pPr>
        <w:spacing w:after="0" w:line="67" w:lineRule="exact"/>
        <w:rPr>
          <w:sz w:val="20"/>
          <w:szCs w:val="20"/>
          <w:color w:val="auto"/>
        </w:rPr>
      </w:pPr>
    </w:p>
    <w:p>
      <w:pPr>
        <w:ind w:left="640" w:hanging="324"/>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conduct the clinical trial in accordance with regulatory requirements or our clinical protocols;</w:t>
      </w:r>
    </w:p>
    <w:p>
      <w:pPr>
        <w:spacing w:after="0" w:line="200" w:lineRule="exact"/>
        <w:rPr>
          <w:rFonts w:ascii="Times New Roman" w:cs="Times New Roman" w:eastAsia="Times New Roman" w:hAnsi="Times New Roman"/>
          <w:sz w:val="12"/>
          <w:szCs w:val="12"/>
          <w:color w:val="auto"/>
        </w:rPr>
      </w:pPr>
    </w:p>
    <w:p>
      <w:pPr>
        <w:spacing w:after="0" w:line="319" w:lineRule="exact"/>
        <w:rPr>
          <w:rFonts w:ascii="Times New Roman" w:cs="Times New Roman" w:eastAsia="Times New Roman" w:hAnsi="Times New Roman"/>
          <w:sz w:val="12"/>
          <w:szCs w:val="12"/>
          <w:color w:val="auto"/>
        </w:rPr>
      </w:pPr>
    </w:p>
    <w:p>
      <w:pPr>
        <w:ind w:left="55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pass inspection of the clinical trial operations or trial sites by the FDA or other regulatory authorities;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of any contract manufacturing organizations (“CMOs”), that we use to comply with current Good Manufacturing Practices (“cGMPs”);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unforeseen safety issues or any determination that a clinical trial presents unacceptable health risks;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demonstrate benefit from using the drug; 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regulatory requirement and guidance.</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If we experience delays in the completion of, or termination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never submitted an NDA before and may be unable to do so for cadisegliatin (TTP399) and our other drug candidates we are developing.</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submission of a successful NDA is a complicated process. As a team, we have limited experience in preparing, submitting and prosecuting regulatory filings, and have not submitted an NDA before. Consequently, we may be unable to successfully and efficiently execute and complete clinical trials in a way that leads to an NDA submission and approval of any of our drug candidates. We may require more time and incur greater costs than our competitors and may not succeed in obtaining regulatory approvals of the drug candidates that we develop. Failure to commence or complete, or delays in, our planned clinical trials would prevent or delay commercialization of the drug candidates we are developing.</w:t>
      </w:r>
    </w:p>
    <w:p>
      <w:pPr>
        <w:spacing w:after="0" w:line="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drug candidates may cause serious adverse events or undesirable side effects which may delay or prevent marketing approval, or, if approval is received, require them to be taken off the market, require them to include safety warnings or otherwise limit their sales.</w:t>
      </w:r>
    </w:p>
    <w:p>
      <w:pPr>
        <w:spacing w:after="0" w:line="35"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Serious adverse events or undesirable side effects from any of our drug candidates could arise either during clinical development or, if approved, after the approved product has been marketed. The results of future clinical trials may show that our drug candidates cause serious adverse events or undesirable side effects, which could interrupt, delay or halt clinical trials, resulting in delay of, or failure to obtain, marketing approval from the FDA and other regulatory authorities or could result in a more restrictive label if our drug candidates are approved.</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Further, we, and our clinical trial investigators, currently determine if serious adverse or unacceptable side effects are drug-related. The FDA or non-U.S. regulatory authorities may disagree with our or our clinical trial investigators’ interpretation of data from clinical trials and the conclusion by us or our clinical trial investigators that a serious adverse effect or unacceptable side effect was not drug-related. The FDA or non-U.S. regulatory authorities may require more information, including additional preclinical or clinical data to support approval, which may cause us to incur additional expenses, delay or prevent the approval of one of our drug candidates, and/or delay or cause us to change our commercialization plans, or we may decide to abandon the development or commercialization of the drug candidate altogether.</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If any of our drug candidates cause serious adverse events or undesirable side effects either during clinical development, or after marketing approval, if obtained:</w:t>
      </w:r>
    </w:p>
    <w:p>
      <w:pPr>
        <w:spacing w:after="0" w:line="78" w:lineRule="exact"/>
        <w:rPr>
          <w:sz w:val="20"/>
          <w:szCs w:val="20"/>
          <w:color w:val="auto"/>
        </w:rPr>
      </w:pPr>
    </w:p>
    <w:p>
      <w:pPr>
        <w:ind w:left="640" w:hanging="324"/>
        <w:spacing w:after="0" w:line="279" w:lineRule="auto"/>
        <w:tabs>
          <w:tab w:leader="none" w:pos="63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IRBs, or the DSMB may impose a clinical hold, or we may decide on our own to suspend or terminate a study, which could result in substantial delays and adversely impact our ability to continue development of the product;</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may require the addition of labeling statements, specific warnings, contraindications or field alerts to study subjects, investigators, physicians or pharmacies;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change the product design or the way the product is administered, conduct additional clinical trials or change the labeling of the product;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implement a REMS, which could result in substantial cost increases or signification limitations on distribution or have a negative impact on our ability to successfully commercialize the product;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required to limit the patients who can receive the product;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9" w:name="page30"/>
    <w:bookmarkEnd w:id="2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subject to limitations on how we promote the product;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the product may decrease significantly;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authorities may require us to take our approved product off the market;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subject to litigation or product liability claims;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reputation may suffer.</w:t>
      </w:r>
    </w:p>
    <w:p>
      <w:pPr>
        <w:spacing w:after="0" w:line="78"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Any of these events could prevent us from obtaining approval or achieving or maintaining market acceptance of the affected product, if approved, or could substantially increase commercialization costs and expenses, which in turn could delay or prevent us from generating significant revenues from the sale of our products.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any of our drug candidates for which we receive regulatory approval do not achieve broad market acceptance, the revenues that are generated from their sales will be limited.</w:t>
      </w:r>
    </w:p>
    <w:p>
      <w:pPr>
        <w:spacing w:after="0" w:line="8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commercial success of our drug candidates, if approved, will depend upon the acceptance of these products among physicians, healthcare payors, patients and others in the medical community. The degree of market acceptance of our drug candidates will depend on a number of factors, including:</w:t>
      </w:r>
    </w:p>
    <w:p>
      <w:pPr>
        <w:spacing w:after="0" w:line="39" w:lineRule="exact"/>
        <w:rPr>
          <w:sz w:val="20"/>
          <w:szCs w:val="20"/>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or warnings contained in a product’s FDA-approved labeling;</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standard of care or the availability of alternative therapies for the targeted indications for any of our drug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in the approved indications for our drug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demonstrated clinical safety and efficacy compared to other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significant adverse side effects;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education, sales, marketing and distribution support;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and degree of coverage and reimbursement from third-party payors;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timing of market introduction and perceived effectiveness of competitive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cost-effectiveness;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of alternative therapies at similar or lower cost, including generics, biosimilar and over-the-counter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publicity about our drug candidates or favorable publicity about competitive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convenience and ease of administration of our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product liability claims;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government-imposed pricing restrictions.</w:t>
      </w:r>
    </w:p>
    <w:p>
      <w:pPr>
        <w:spacing w:after="0" w:line="7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our drug candidates are approved, but do not achieve an adequate level of acceptance by physicians, healthcare payors, patients and others in the medical community, sufficient revenue may not be generated from these products, and we may not become or remain profitable. In addition, efforts to educate the medical community and third-party payors on the benefits of our drug candidates may require significant resources and may not be successful.</w:t>
      </w:r>
    </w:p>
    <w:p>
      <w:pPr>
        <w:spacing w:after="0" w:line="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do not have a sales or marketing infrastructure and have no experience in the sale or marketing of pharmaceutical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our drug candidates, if and when they are approved, or enter into collaborations with respect to the sale and marketing of our drug candidate.</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There are risks involved with both establishing our own sales and marketing capabilities and entering into arrangements with third parties to perform these services. For example, recruiting and training a sales force is expensive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0" w:name="page31"/>
    <w:bookmarkEnd w:id="3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time-consuming and could delay any commercial launch of a drug candidate.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Factors that may inhibit our efforts to commercialize our drugs on our own include:</w:t>
      </w:r>
    </w:p>
    <w:p>
      <w:pPr>
        <w:spacing w:after="0" w:line="78" w:lineRule="exact"/>
        <w:rPr>
          <w:sz w:val="20"/>
          <w:szCs w:val="20"/>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recruit and retain adequate numbers of effective sales and marketing personnel;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of sales personnel to obtain access to physicians or persuade adequate numbers of physicians to prescribe any future drugs;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lack of complementary drugs to be offered by sales personnel, which may put us at a competitive disadvantage relative to companies with more extensive drug lines;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unforeseen costs and expenses associated with creating an independent sales and marketing organization;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obtain sufficient coverage and reimbursement from third-party payors and governmental agencies.</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Entering into arrangements with third parties to perform sales and marketing services may result in lower revenues from the sale of drug or the profitability of these revenues to us than if we were to market and sell any drugs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drug candidates.</w:t>
      </w:r>
    </w:p>
    <w:p>
      <w:pPr>
        <w:spacing w:after="0" w:line="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Even if our drug candidates receive regulatory approval, we will still be subject to ongoing obligations and continued regulatory review, which may result in significant additional expense, and we may still face future development and regulatory difficulties.</w:t>
      </w:r>
    </w:p>
    <w:p>
      <w:pPr>
        <w:spacing w:after="0" w:line="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Even if regulatory approval is obtained for any of our drug candidates, regulatory authorities may still impose significant restrictions on a product’s indicated uses or marketing or impose ongoing requirements for potentially costly post-approval studies. Given the number of high profile adverse safety events with certain drug products, regulatory authorities may require, as a condition of approval, a costly REMS, which may include safety surveillance, restricted distribution and use, patient education, enhanced labeling, expedited reporting of certain adverse events, pre-approval of promotional materials and restrictions on direct-to-consumer advertising. For example, any labeling approved for any of our drug candidates may include a restriction on the term of its use, or it may not include one or more of our intended indications or patient populations. Furthermore, any new legislation addressing drug safety issues could result in delays or increased costs during the period of product development, clinical trials and regulatory review and approval, as well as increased costs to assure compliance with any new post-approval regulatory requirements.</w:t>
      </w:r>
    </w:p>
    <w:p>
      <w:pPr>
        <w:spacing w:after="0" w:line="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Our drug candidates will also be subject to ongoing regulatory requirements for the labeling, packaging, storage, advertising, promotion, record-keeping and submission of safety and other post-market information. In addition, sellers of approved products, manufacturers and manufacturers’ facilities are required to comply with extensive FDA requirements, including ensuring that quality control and manufacturing procedures conform to cGMP. As such, we and our CMOs are subject to continual review and periodic inspections to assess compliance with cGMP and the terms and conditions of approvals. Accordingly, we and others with whom we work must continue to expend time, money and effort in all areas of regulatory compliance, including manufacturing, production and quality control. We will also be required to report certain adverse reactions and production problems, if any, to the FDA, and to comply with certain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a regulatory agency discovers problems with a product, such as adverse events of unanticipated severity or frequency, or problems with the facility where the product is manufactured, or objects to the promotion, marketing or labeling of a product, it may impose restrictions on that product or us, including requiring withdrawal of the product from the market. If our drug candidates fail to comply with applicable regulatory requirements, a regulatory agency may:</w:t>
      </w:r>
    </w:p>
    <w:p>
      <w:pPr>
        <w:spacing w:after="0" w:line="47" w:lineRule="exact"/>
        <w:rPr>
          <w:sz w:val="20"/>
          <w:szCs w:val="20"/>
          <w:color w:val="auto"/>
        </w:rPr>
      </w:pPr>
    </w:p>
    <w:p>
      <w:pPr>
        <w:ind w:left="640" w:hanging="324"/>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warning letters or untitled letters;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mandate modifications to promotional materials or require us to disseminate corrective information to healthcare practitioners or other parties;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us to enter into a consent decree or permanent injunction, which can include imposition of various fines, reimbursements for inspection costs, required due dates for specific actions and penalties for noncompliance;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impose other civil or criminal penalties;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suspend or withdraw regulatory approval;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suspend any ongoing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refuse to approve pending applications or supplements to approved applications filed by us;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impose restrictions on operations, including costly new manufacturing requirements; 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seize or detain products or require a product recall.</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expect that our existing and future drug candidates will face competition, and most of our competitors have significantly greater resources than we do.</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biopharmaceutical industry is characterized by intense competition and rapid innovation. Our potential competitors include large pharmaceutical and biotechnology companies, specialty pharmaceutical companies, generic or biosimilar drug companies, universities and other research institutions. Our drug candidates, if successfully developed and approved, will compete in crowded and competitive markets. In order to compete with approved products, our drug candidates will need to demonstrate compelling advantages. We believe the key competitive factors that will affect the development and commercial success of our drug candidates are efficacy, safety and tolerability profile, mechanism of action, control and predictability, convenience of dosing and price and reimbursement.</w:t>
      </w:r>
    </w:p>
    <w:p>
      <w:pPr>
        <w:spacing w:after="0" w:line="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Oral non-insulin agents that are currently being developed to treat type 1 diabetes that may compete with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include the menin inhibitor BMF219 and TIXiMED TIX-100, a drug candidate that targets thioredoxin-interacting protein (TXNIP), a detrimental protein that is elevated in diabetes and leads to beta cell death and dysfunction. SGLT-2 inhibitors such as dapagliflozin (Farxiga) and ipragliflozin (Suglat) continue to be approved in Japan for T1D but have not been approved for use in the US due to safety risks including those pertaining to diabetic ketoacidosis.</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Injectable agents include the somatostatin type 2 receptor blocker ZT-01 by Zucara to treat nocturnal hypoglycemia, the dual GLP-1/GIP agonist CT-868 for overweight or obese type 1 diabetics, Diasome's liver-targeting HDV Lispro insulin, Adocia's ultrarapid acting biochaperone insulin as well as REMD Biotherapeiutics Volagidemab Glucagon receptor Antagonist.</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Teplizumab (Tzield) is a FDA approved immune agent to delay the onset of stage 3 T1D disease progression in adult and pediatric patients.</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Lantidra is a FDA pproved allogeneic islet cell transplant therapy indicated for patients with T1D who cannot achieve satisfactory glycemic control because of frequent hypoglycemia. The treatment requires adjunct immunosuppressive therapy to mitigate organ rejection. Vertex continues to develop stem cell-based therapies including VX-880 (phase 3) and VX-264 (encapsulated beta cells, phase 1/2) which are planned to be used with or without concurrent immunosuppressive therapy, respectively. There are several Beta cell replacement programs currently in development by companies including, but not limited to, Sernova, Seraxis, PolTreg, and Sana Biotechnology, which are in early phases 1/2 of clinical development.</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Medical device technology such as continuous glucose monitors, Smart Connected Insulin Pens systems and automated insulin delivery systems continue to evolve to address glycemic control and the reduction of hypoglycemia.</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Many of our potential competitors have substantially greater:</w:t>
      </w:r>
    </w:p>
    <w:p>
      <w:pPr>
        <w:spacing w:after="0" w:line="78" w:lineRule="exact"/>
        <w:rPr>
          <w:sz w:val="20"/>
          <w:szCs w:val="20"/>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resources, including capital, personnel and technology;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research and development capability;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trial expertise;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expertise;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intellectual property rights, including patent rights;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expertise in obtaining, maintaining, defending and enforcing intellectual property rights, including patent rights;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manufacturing and distribution expertise;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and marketing expertise.</w:t>
      </w:r>
    </w:p>
    <w:p>
      <w:pPr>
        <w:spacing w:after="0" w:line="78"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addition, academic and government institutions are increasingly likely to enter into exclusive licensing agreements with commercial enterprises, including our competitors, to market commercial products based on technology developed at such institutions. Many of these competitors have significant products approved or in development that could be competitive with our products.</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Accordingly, our competitors may be more successful than us in obtaining regulatory approval for drugs and achieving widespread market acceptance. Our competitors’ drugs may be more effective, less costly, or more effectively marketed and sold, than any drug candidate we may commercialize and may render our drug candidates obsolete or non-competitive before we can recover the expenses of their development and commercialization. We anticipate that we will face intense and increasing competition as new drugs enter the market and advanced technologies become available. Finally, the development of new treatment methods for the diseases we are targeting could render our drug candidates non-competitive or obsolete.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Current and future legislation may increase the difficulty and cost for us and any future collaborators to obtain marketing approval of our other drug candidates and affect the prices we, or they, may obtain.</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the United States and some foreign jurisdictions, there have been a number of legislative and regulatory changes and proposed changes regarding the healthcare system that could, among other things, prevent or delay marketing approval of our drug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may affect our ability to profitably commercialize our products.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United States Congress of the FDA’s approval process may significantly delay or prevent marketing approval, as well as subject us and any future collaborators to more stringent drug labeling and post-marketing testing and other requirements.</w:t>
      </w:r>
    </w:p>
    <w:p>
      <w:pPr>
        <w:spacing w:after="0" w:line="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current and future relationships with healthcare professionals, principal investigators, consultants, customers (actual and potential) and third-party payors in the United States and elsewhere may be subject, directly or indirectly, to applicable healthcare laws and regulations.</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Healthcare providers, physicians and third-party payors in the United States and elsewhere will play a primary role in the recommendation and prescription of any drug candidates for which we obtain marketing approval. Our current and future arrangements with healthcare professionals, principal investigators, consultants, customers (actual and potential) and third-party payors may expose us to broadly applicable fraud and abuse and other healthcare laws, including, without limitation:</w:t>
      </w:r>
    </w:p>
    <w:p>
      <w:pPr>
        <w:spacing w:after="0" w:line="47" w:lineRule="exact"/>
        <w:rPr>
          <w:sz w:val="20"/>
          <w:szCs w:val="20"/>
          <w:color w:val="auto"/>
        </w:rPr>
      </w:pPr>
    </w:p>
    <w:p>
      <w:pPr>
        <w:jc w:val="both"/>
        <w:ind w:left="640" w:hanging="324"/>
        <w:spacing w:after="0" w:line="260" w:lineRule="auto"/>
        <w:tabs>
          <w:tab w:leader="none" w:pos="637"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Food, Drug and Cosmetic Act (“FDCA”) is the statute that provides the FDA with authority to oversee the safety and approval of pharmaceutical products. The FDCA vests authority with the FDA to conduct inspections of sponsors conducting pharmaceutical development, such as vTv, to protect the rights, safety and welfare of clinical trial subjects, ensure the accuracy and reliability of clinical trial data, and verify compliance with FDA regulations. The FDCA sets forth the standards for approval of new and generic drugs, as well as setting forth the prohibition on marketing investigational products that have not been approved by the FDA as safe and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3" w:name="page34"/>
    <w:bookmarkEnd w:id="33"/>
    <w:p>
      <w:pPr>
        <w:ind w:left="4"/>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-5715</wp:posOffset>
            </wp:positionV>
            <wp:extent cx="37211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left="324"/>
        <w:spacing w:after="0" w:line="260" w:lineRule="auto"/>
        <w:rPr>
          <w:sz w:val="20"/>
          <w:szCs w:val="20"/>
          <w:color w:val="auto"/>
        </w:rPr>
      </w:pPr>
      <w:r>
        <w:rPr>
          <w:rFonts w:ascii="Times New Roman" w:cs="Times New Roman" w:eastAsia="Times New Roman" w:hAnsi="Times New Roman"/>
          <w:sz w:val="12"/>
          <w:szCs w:val="12"/>
          <w:color w:val="auto"/>
        </w:rPr>
        <w:t>effective. The government (FDA and SEC) use the FDCA to ensure that companies do not mislead the medical, patient or investor communities about investigational products prior to their approval. To that end, the FDCA prohibits “off-label promotion” of any investigational or approved product for any uses, doses or populations, except that set forth in the full prescribing information approved by the FDA. While physicians can prescribe a product for any dose, purpose or population in their medical judgment, manufacturers can only market products for their FDA-approved dose, purpose and population. There are significant civil and criminal penalties that attach to violations of the FDCA, including strict liability misdemeanors for responsible corporate officers, even if such officers were not involved in or aware of the underlying wrongdoing;</w:t>
      </w:r>
    </w:p>
    <w:p>
      <w:pPr>
        <w:spacing w:after="0" w:line="50" w:lineRule="exact"/>
        <w:rPr>
          <w:sz w:val="20"/>
          <w:szCs w:val="20"/>
          <w:color w:val="auto"/>
        </w:rPr>
      </w:pPr>
    </w:p>
    <w:p>
      <w:pPr>
        <w:jc w:val="both"/>
        <w:ind w:left="324" w:hanging="324"/>
        <w:spacing w:after="0" w:line="257" w:lineRule="auto"/>
        <w:tabs>
          <w:tab w:leader="none" w:pos="32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 A person or entity does not need to have actual knowledge of the statute or specific intent to violate it to have committed a violation. In addition, the Affordable Care Act provided that the government may assert that a claim including items or services resulting from a violation of the federal Anti-Kickback Statute constitutes a false or fraudulent claim for purposes of the False Claims Act;</w:t>
      </w:r>
    </w:p>
    <w:p>
      <w:pPr>
        <w:spacing w:after="0" w:line="53" w:lineRule="exact"/>
        <w:rPr>
          <w:rFonts w:ascii="Times New Roman" w:cs="Times New Roman" w:eastAsia="Times New Roman" w:hAnsi="Times New Roman"/>
          <w:sz w:val="12"/>
          <w:szCs w:val="12"/>
          <w:color w:val="auto"/>
        </w:rPr>
      </w:pPr>
    </w:p>
    <w:p>
      <w:pPr>
        <w:jc w:val="both"/>
        <w:ind w:left="324" w:hanging="324"/>
        <w:spacing w:after="0" w:line="265" w:lineRule="auto"/>
        <w:tabs>
          <w:tab w:leader="none" w:pos="32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civil and criminal false claims laws, including the federal False Claims Act, which impose criminal and civil penalties, including civil whistleblower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46" w:lineRule="exact"/>
        <w:rPr>
          <w:rFonts w:ascii="Times New Roman" w:cs="Times New Roman" w:eastAsia="Times New Roman" w:hAnsi="Times New Roman"/>
          <w:sz w:val="12"/>
          <w:szCs w:val="12"/>
          <w:color w:val="auto"/>
        </w:rPr>
      </w:pPr>
    </w:p>
    <w:p>
      <w:pPr>
        <w:jc w:val="both"/>
        <w:ind w:left="324" w:hanging="324"/>
        <w:spacing w:after="0" w:line="265" w:lineRule="auto"/>
        <w:tabs>
          <w:tab w:leader="none" w:pos="32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Foreign Corrupt Practices Act ("FCPA") that prohibits payments to foreign public officials relating to official acts. In addition to its prohibition on bribery of foreign government officials, the Act requires companies to maintain accurate records and have vigorous internal controls. The DOJ and SEC have made FCPA enforcement a high priority. In addition, other anti-corruption laws such as the UK Bribery Act are even broader than the FCPA in that they apply to bribes offered to any person, not just government officials. There are significant criminal and civil penalties and fines that attach to violations of the FCPA;</w:t>
      </w:r>
    </w:p>
    <w:p>
      <w:pPr>
        <w:spacing w:after="0" w:line="46" w:lineRule="exact"/>
        <w:rPr>
          <w:rFonts w:ascii="Times New Roman" w:cs="Times New Roman" w:eastAsia="Times New Roman" w:hAnsi="Times New Roman"/>
          <w:sz w:val="12"/>
          <w:szCs w:val="12"/>
          <w:color w:val="auto"/>
        </w:rPr>
      </w:pPr>
    </w:p>
    <w:p>
      <w:pPr>
        <w:ind w:left="324" w:right="20" w:hanging="324"/>
        <w:spacing w:after="0" w:line="279" w:lineRule="auto"/>
        <w:tabs>
          <w:tab w:leader="none" w:pos="32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39" w:lineRule="exact"/>
        <w:rPr>
          <w:rFonts w:ascii="Times New Roman" w:cs="Times New Roman" w:eastAsia="Times New Roman" w:hAnsi="Times New Roman"/>
          <w:sz w:val="12"/>
          <w:szCs w:val="12"/>
          <w:color w:val="auto"/>
        </w:rPr>
      </w:pPr>
    </w:p>
    <w:p>
      <w:pPr>
        <w:jc w:val="both"/>
        <w:ind w:left="324" w:hanging="324"/>
        <w:spacing w:after="0" w:line="257" w:lineRule="auto"/>
        <w:tabs>
          <w:tab w:leader="none" w:pos="32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 to have committed a violation;</w:t>
      </w:r>
    </w:p>
    <w:p>
      <w:pPr>
        <w:spacing w:after="0" w:line="53" w:lineRule="exact"/>
        <w:rPr>
          <w:rFonts w:ascii="Times New Roman" w:cs="Times New Roman" w:eastAsia="Times New Roman" w:hAnsi="Times New Roman"/>
          <w:sz w:val="12"/>
          <w:szCs w:val="12"/>
          <w:color w:val="auto"/>
        </w:rPr>
      </w:pPr>
    </w:p>
    <w:p>
      <w:pPr>
        <w:jc w:val="both"/>
        <w:ind w:left="324" w:hanging="324"/>
        <w:spacing w:after="0" w:line="265" w:lineRule="auto"/>
        <w:tabs>
          <w:tab w:leader="none" w:pos="32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HIPAA, as amended by Health Information Technology for Economic and Clinical Health Act (HITECH), and their respective implementing regulations, which impose obligations on covered entities, including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46" w:lineRule="exact"/>
        <w:rPr>
          <w:rFonts w:ascii="Times New Roman" w:cs="Times New Roman" w:eastAsia="Times New Roman" w:hAnsi="Times New Roman"/>
          <w:sz w:val="12"/>
          <w:szCs w:val="12"/>
          <w:color w:val="auto"/>
        </w:rPr>
      </w:pPr>
    </w:p>
    <w:p>
      <w:pPr>
        <w:ind w:left="324" w:hanging="324"/>
        <w:spacing w:after="0" w:line="279" w:lineRule="auto"/>
        <w:tabs>
          <w:tab w:leader="none" w:pos="32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Physician Payments Sunshine Act and its implementing regulations, which imposed annual reporting requirements for certain manufacturers of drugs, devices, biological products and medical supplies for payments and “transfers of value” provided to physicians and teaching hospitals, as well as ownership and investment interests held by physicians and their immediate family members; and</w:t>
      </w:r>
    </w:p>
    <w:p>
      <w:pPr>
        <w:spacing w:after="0" w:line="39" w:lineRule="exact"/>
        <w:rPr>
          <w:rFonts w:ascii="Times New Roman" w:cs="Times New Roman" w:eastAsia="Times New Roman" w:hAnsi="Times New Roman"/>
          <w:sz w:val="12"/>
          <w:szCs w:val="12"/>
          <w:color w:val="auto"/>
        </w:rPr>
      </w:pPr>
    </w:p>
    <w:p>
      <w:pPr>
        <w:ind w:left="324" w:hanging="324"/>
        <w:spacing w:after="0"/>
        <w:tabs>
          <w:tab w:leader="none" w:pos="324"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analogous state and foreign laws, such as state anti-kickback and false claims laws, which may apply to sales or marketing arrangements and claims involving healthcare items or services reimbursed by non-governmental</w:t>
      </w:r>
    </w:p>
    <w:p>
      <w:pPr>
        <w:spacing w:after="0" w:line="200" w:lineRule="exact"/>
        <w:rPr>
          <w:sz w:val="20"/>
          <w:szCs w:val="20"/>
          <w:color w:val="auto"/>
        </w:rPr>
      </w:pPr>
    </w:p>
    <w:p>
      <w:pPr>
        <w:spacing w:after="0" w:line="319"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38100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84"/>
          </w:cols>
          <w:pgMar w:left="616" w:top="201" w:right="299"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12"/>
          <w:szCs w:val="12"/>
          <w:color w:val="auto"/>
        </w:rPr>
        <w:t>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Efforts to ensure that our future business arrangements with third parties will comply with applicable healthcare laws and regulations may involve substantial costs. It is possible that governmental authorities will conclude that our business activities, including our relationships with physician consultants, some of whom may prescribe our product candidates, if approved, in the future,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significantly harm our business.</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try to obtain approval to commercialize any products outside the United States, many of the same risks that apply to obtaining approvals in the United States will likely apply to such a process, and even if we obtain approval to commercialize any such products outside of the United States, a variety of risks associated with international operations could materially adversely affect our business.</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we try to obtain approval to commercialize any of our products outside the United States, many of the same risks with respect to obtaining such approvals in the United States will apply to that process. If any of our drug candidates are approved for commercialization outside of the United States, we intend to enter into agreements with third parties to market them on a worldwide basis or in more limited geographical regions. In that event, we expect that we will be subject to additional risks related to entering into international business relationships, including:</w:t>
      </w:r>
    </w:p>
    <w:p>
      <w:pPr>
        <w:spacing w:after="0" w:line="47" w:lineRule="exact"/>
        <w:rPr>
          <w:sz w:val="20"/>
          <w:szCs w:val="20"/>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different regulatory requirements for drug approvals;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protection for intellectual property rights, including trade secret and patent rights;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existing tariffs, trade barriers and regulatory requirements and expected or unexpected changes;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weakness, including inflation, or political instability in foreign economies and markets;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tax, employment, immigration and labor laws for employees living or traveling abroad;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taxes, including withholding of payroll taxes;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currency fluctuations, which could result in increased operating expenses and reduced revenues, and other obligations incident to doing business in another country;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workforce uncertainty in countries where labor unrest is more or less common than in the United States;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production shortages resulting from any events affecting raw material supply or manufacturing capabilities abroad;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interruptions resulting from geopolitical actions, including war and terrorism, or natural disasters including earthquakes, hurricanes, floods and fires;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in importing and exporting clinical trial materials and study samples.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Dependence on Third Parties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succeed in establishing and maintaining collaborative relationships, which may significantly limit our ability to develop and commercialize our drug candidates successfully, if at all.</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We intend to seek collaborative relationships for the development and/or commercialization of our drug candidates, including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Failure to obtain a collaborative relationship for these candidates, particularly in the European Union and for other markets requiring extensive sales efforts, may significantly impair the potential for our drug candidates. We also will need to enter into collaborative relationships to provide funding to support our other research and development programs.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process of establishing and maintaining collaborative relationships is difficult, time-consuming and involves significant uncertainty, including:</w:t>
      </w:r>
    </w:p>
    <w:p>
      <w:pPr>
        <w:spacing w:after="0" w:line="78" w:lineRule="exact"/>
        <w:rPr>
          <w:sz w:val="20"/>
          <w:szCs w:val="20"/>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shift its priorities and resources away from our drug candidates due to a change in business strategies, or a merger, acquisition, sale or downsizing;</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seek to renegotiate or terminate their relationships with us due to unsatisfactory clinical results, manufacturing issues, a change in business strategy, a change of control or other reasons;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cease development in therapeutic areas which are the subject of our strategic collaboration;</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not devote sufficient capital or resources towards our drug candidates;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may change the success criteria for a drug candidate thereby delaying or ceasing development of such candidate;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significant delay in initiation of certain development activities by a collaboration partner will also delay payment of milestones tied to such activities, thereby impacting our ability to fund our own activities;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could develop a product that competes, either directly or indirectly, with our drug candidate;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with commercialization obligations may not commit sufficient financial or human resources to the marketing, distribution or sale of a product;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collaboration partner with manufacturing responsibilities may encounter regulatory, resource or quality issues and be unable to meet demand requirements;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partner may exercise a contractual right to terminate a strategic alliance;</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dispute may arise between us and a partner concerning the research, development or commercialization of a drug candidate resulting in a delay in milestones, royalty payments or termination of an alliance and possibly resulting in costly litigation or arbitration which may divert management attention and resources; and</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partner may use our products or technology in such a way as to invite litigation from a third party.</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Any collaborative partners we enter into agreements with in the future may shift their priorities and resources away from our drug candidates or seek to renegotiate or terminate their relationships with us. 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or to successfully transition terminated collaborative agreements, we may have to delay or discontinue further development of one or more of our drug candidates, undertake development and commercialization activities at our own expense or find alternative sources of capital.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rely on third parties to conduct, supervise and monitor certain of our clinical trials, and if those third parties perform in an unsatisfactory manner, it may harm our business.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rely on CROs and clinical trial sites to ensure the proper and timely conduct of certain of our clinical trials. While we have agreements governing their activities, and continue to monitor their compliance with those agreements as well as federal standards and regulations, we have limited influence over their actual performance. We will control only certain aspects of our CROs’ activities. Nevertheless, we will be responsible for ensuring that our clinical trials are conducted in accordance with the applicable protocol, legal, regulatory and scientific standards and our reliance on the CROs does not relieve us of our regulatory responsibilities.</w:t>
      </w:r>
    </w:p>
    <w:p>
      <w:pPr>
        <w:spacing w:after="0" w:line="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and our CROs are required to comply with the FDA’s good clinical practices requirements (“GCPs”) for conducting, recording and reporting the results of clinical trials to assure that data and reported results are credible and accurate and that the rights, integrity and confidentiality of clinical trial participants are protected. The FDA enforces these GCPs through periodic inspections of trial sponsors, principal investigators and clinical trial sites. If we or our CROs fail to comply with applicable GCPs, the clinical data generated in our clinical trials may be deemed unreliable and the FDA may require us to perform additional clinical trials before approving any marketing applications. Upon inspection, the FDA may determine that our clinical trials did not comply with GCPs. In addition, our clinical trials conducted by third parties will require a sufficiently large number of test subjects to evaluate the safety and effectiveness of a drug candidate. Accordingly,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6" w:name="page37"/>
    <w:bookmarkEnd w:id="3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our CROs fail to comply with these regulations or fail to recruit a sufficient number of patients, our clinical trials may be delayed or we may be required to repeat such clinical trials, which would delay the regulatory approval process.</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Our CROs are not our employees, and although we monitor their activities related to our trials, we are not able to control whether or not they devote sufficient time and resources to our clinical trials.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drug candidates. As a result, our financial results and the commercial prospects for such drug candidates would be harmed, our costs could increase, and our ability to generate revenues could be delayed.</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also rely on other third parties to store and distribute drug products for our clinical trials. Any performance failure on the part of our distributors could delay clinical development or marketing approval of our drug candidates or commercialization of our products, if approved, producing additional losses and depriving us of potential product revenue.</w:t>
      </w:r>
    </w:p>
    <w:p>
      <w:pPr>
        <w:spacing w:after="0" w:line="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do not have multiple sources of supply for the components used in cadisegliatin (TTP399) and our other drug candidates. If we were to lose a supplier, it could have a material adverse effect on our ability to complete the development of cadisegliatin or our other drug candidates. If we obtain regulatory approval for cadisegliatin or our other drug candidates, we would need to expand the supply of their components in order to commercialize them.</w:t>
      </w:r>
    </w:p>
    <w:p>
      <w:pPr>
        <w:spacing w:after="0" w:line="3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do not have multiple sources of supply for the components used in our drug candidates. We also do not have long-term supply agreements with any of our suppliers. If for any reason we are unable to obtain drug substance or drug product from the manufacturers we select, we would have to seek to obtain these from other manufacturers. We may not be able to establish additional sources of supply for our drug candidates, or may be unable to do so on acceptable terms. Such suppliers are subject to regulatory requirements, covering manufacturing, testing, quality control and record keeping relating to our drug candidates and subject to ongoing inspections by the regulatory agencies. Failure by any of our suppliers to comply with applicable regulations may result in long delays and interruptions.</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number of suppliers of the raw material components of our drug candidates is limited. In the event it is necessary or desirable to acquire supplies from an alternative supplier, we might not be able to obtain them on commercially reasonable terms, if at all. It could also require significant time and expense to redesign our manufacturing processes to work with another company.</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part of any marketing approval, a manufacturer and its processes are required to be qualified by the FDA prior to commercialization. If supply from the approved supplier is interrupted, there could be a significant disruption in commercial supply. An alternative vendor would need to be qualified through an NDA amendment or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we are unable to obtain the supplies we need at a reasonable price or on a timely basis, it could have a material adverse effect on our ability to complete the development of our drug candidates or, if we obtain regulatory approval for our drug candidates, to commercialize them.</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intend to rely on third-party manufacturers to produce our drug candidates. If we experience problems with any of these suppliers, the manufacturing of our drug candidates or products could be delayed.</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We do not have the capability to manufacture our drug candidates and do not intend to develop that capability. In order to continue to develop our drug candidates, apply for regulatory approvals and ultimately commercialize products, we need to develop, contract for or otherwise arrange for the necessary manufacturing capabilities. The facilities used by our CMOs to manufacture our drug candidates must be approved by the FDA pursuant to inspections that will be conducted after we submit our NDA to the FDA. We do not control the manufacturing process of, and are completely dependent on, our contract manufacturing partners for compliance with the regulatory requirements, known as cGMPs, for manufacture of both active drug substances and finished drug products. If our CMOs cannot successfully manufacture material that conforms to our specifications and the regulatory requirements of the FDA or others, they will not be able to secure and/or maintain regulatory approval for their manufacturing facilities. In addition, although we monitor our suppliers and their compliance with our contractual terms and federal laws and regulations, we do not control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7" w:name="page38"/>
    <w:bookmarkEnd w:id="3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there are a limited number of manufacturers that operate under the FDA’s cGMP regulations capable of manufacturing our drug candidates. As a result, we may have difficulty finding manufacturers for our drug candidates with adequate capacity for our needs. If we are unable to arrange for third-party manufacturing of our drug candidates on a timely basis, or to do so on commercially reasonable terms, we may not be able to complete development of our drug candidates or market them.</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Reliance on third-party manufacturers entails risks to which we might not be subject if we manufactured drug candidates ourselves, including:</w:t>
      </w:r>
    </w:p>
    <w:p>
      <w:pPr>
        <w:spacing w:after="0" w:line="78" w:lineRule="exact"/>
        <w:rPr>
          <w:sz w:val="20"/>
          <w:szCs w:val="20"/>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limited number of manufacturers that could produce our drug candidates for us;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meet our product specifications and quality requirements consistently;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access production facilities on a timely basis;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or delay in increasing manufacturing capacity;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manufacturing and product quality issues related to scale-up of manufacturing;</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and validation of new equipment and facilities required for commercial level activity;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failure to satisfy the FDA’s cGMP requirements and similar foreign standards on a consistent basis;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negotiate manufacturing agreements with third parties under commercially reasonable terms;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termination or nonrenewal of manufacturing agreements with third parties in a manner or at a time that is costly or damaging to us;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reliance on a single source of supply which, if unavailable, would delay our ability to complete our clinical trials or to sell any product for which we have received marketing approval;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lack of qualified backup suppliers for supplies that are currently purchased from a single source supplier;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carrier disruptions or increased costs that are beyond our control;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failure to deliver products under specified storage conditions and in a timely manner.</w:t>
      </w:r>
    </w:p>
    <w:p>
      <w:pPr>
        <w:spacing w:after="0" w:line="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Any of these risks could cause the delay of clinical trials, regulatory submissions, required approvals or commercialization of our products, cause us to incur higher costs and prevent us from commercializing our drug candidates successfully. Manufacturing of our drug candidates and any approved products could be disrupted or halted if our third-party manufacturers do not comply with cGMP or foreign manufacturing standards, even if the compliance failure does not relate to our drug candidates or approved products. Furthermore, if any of our drug candidates are approved and our third-party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drug candidates and to have any such new source approved by the FDA or a foreign regulator.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Intellectual Property</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success depends on our ability to protect our intellectual property and our proprietary technologies. If we are unable to obtain and maintain sufficient intellectual property protection for our product candidates, or if the scope of the intellectual property protection is not sufficiently broad, our commercial success may be adversely affected.</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commercial success will depend in part on our ability to:</w:t>
      </w:r>
    </w:p>
    <w:p>
      <w:pPr>
        <w:spacing w:after="0" w:line="78" w:lineRule="exact"/>
        <w:rPr>
          <w:sz w:val="20"/>
          <w:szCs w:val="20"/>
          <w:color w:val="auto"/>
        </w:rPr>
      </w:pPr>
    </w:p>
    <w:p>
      <w:pPr>
        <w:ind w:left="640" w:hanging="324"/>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apply for, obtain, maintain, and enforce patents;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 trade secrets and other confidential and proprietary information;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operate without infringing upon the proprietary rights of others.</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We will be able to protect our proprietary technologies from unauthorized use by third parties only to the extent that such proprietary rights are covered by regulatory exclusivity, valid and enforceable patents or are effectively maintained as trade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secrets. Any non-confidential disclosure to or misappropriation by third parties of our confidential or proprietary information could enable competitors to quickly duplicate or surpass our technological achievements, thus eroding our competitive position in our market.</w:t>
      </w:r>
    </w:p>
    <w:p>
      <w:pPr>
        <w:spacing w:after="0" w:line="3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licensees, or any future licensors or licensees, will fail to identify patentable aspects of inventions made in the course of development and commercialization activities before it is too late to obtain patent protection on them. Therefore, these and any of our patents and patent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or determination of inventorship. If we or our current licensors or licensees, or any future licensors or licensees, fail to maintain, or protect such patents and other intellectual property rights, such rights may be reduced or eliminated. Moreover, in some circumstances, we may not have the right to control the preparation, filing and prosecution of patent applications, or to maintain the patents, covering technology that we license from or license to third parties. Therefore, such patents and patent applications may not be prosecuted and enforced in a manner consistent with the best interests of our business.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harm our business.</w:t>
      </w:r>
    </w:p>
    <w:p>
      <w:pPr>
        <w:spacing w:after="0" w:line="54"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future licensors will result in patents being issued or that issued patents will afford sufficient protection against competitors with similar technologies, nor can there be any assurance that the patents issued will not be infringed, designed around or invalidated by third parties.</w:t>
      </w:r>
    </w:p>
    <w:p>
      <w:pPr>
        <w:spacing w:after="0" w:line="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The patent applications that we own, co-own or license may fail to result in issued patents in the United States or in other countries. Even if patents do issue on such patent applications, third parties may challenge the validity, enforceability, or scope thereof, which may result in such patents being narrowed, invalidated, or held unenforceable. For example, U.S. patents can be challenged by any person before the United States Patent and Trademark Office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harm our business. Further, if we encounter delays in our clinical trials, the period of time during which we or our collaborators could market our product candidates under patent protection would be reduced.</w:t>
      </w:r>
    </w:p>
    <w:p>
      <w:pPr>
        <w:spacing w:after="0" w:line="5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given the amount of time required for the development, testing and regulatory review of our therapeutic programs and eventual product candidates, patents protecting the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39"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66" w:lineRule="exact"/>
        <w:rPr>
          <w:sz w:val="20"/>
          <w:szCs w:val="20"/>
          <w:color w:val="auto"/>
        </w:rPr>
      </w:pPr>
    </w:p>
    <w:p>
      <w:pPr>
        <w:ind w:left="420" w:hanging="212"/>
        <w:spacing w:after="0" w:line="239" w:lineRule="auto"/>
        <w:tabs>
          <w:tab w:leader="none" w:pos="416" w:val="left"/>
        </w:tabs>
        <w:numPr>
          <w:ilvl w:val="0"/>
          <w:numId w:val="38"/>
        </w:numPr>
        <w:rPr>
          <w:rFonts w:ascii="Arial" w:cs="Arial" w:eastAsia="Arial" w:hAnsi="Arial"/>
          <w:sz w:val="14"/>
          <w:szCs w:val="14"/>
          <w:color w:val="auto"/>
        </w:rPr>
      </w:pPr>
      <w:r>
        <w:rPr>
          <w:rFonts w:ascii="Times New Roman" w:cs="Times New Roman" w:eastAsia="Times New Roman" w:hAnsi="Times New Roman"/>
          <w:sz w:val="12"/>
          <w:szCs w:val="12"/>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1" w:lineRule="exact"/>
        <w:rPr>
          <w:rFonts w:ascii="Arial" w:cs="Arial" w:eastAsia="Arial" w:hAnsi="Arial"/>
          <w:sz w:val="14"/>
          <w:szCs w:val="14"/>
          <w:color w:val="auto"/>
        </w:rPr>
      </w:pPr>
    </w:p>
    <w:p>
      <w:pPr>
        <w:ind w:left="420" w:hanging="212"/>
        <w:spacing w:after="0"/>
        <w:tabs>
          <w:tab w:leader="none" w:pos="420" w:val="left"/>
        </w:tabs>
        <w:numPr>
          <w:ilvl w:val="0"/>
          <w:numId w:val="38"/>
        </w:numPr>
        <w:rPr>
          <w:rFonts w:ascii="Arial" w:cs="Arial" w:eastAsia="Arial" w:hAnsi="Arial"/>
          <w:sz w:val="14"/>
          <w:szCs w:val="14"/>
          <w:color w:val="auto"/>
        </w:rPr>
      </w:pPr>
      <w:r>
        <w:rPr>
          <w:rFonts w:ascii="Times New Roman" w:cs="Times New Roman" w:eastAsia="Times New Roman" w:hAnsi="Times New Roman"/>
          <w:sz w:val="12"/>
          <w:szCs w:val="12"/>
          <w:color w:val="auto"/>
        </w:rPr>
        <w:t>patent applications may not result in any patents being issued;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20" w:hanging="212"/>
        <w:spacing w:after="0"/>
        <w:tabs>
          <w:tab w:leader="none" w:pos="420" w:val="left"/>
        </w:tabs>
        <w:numPr>
          <w:ilvl w:val="0"/>
          <w:numId w:val="39"/>
        </w:numPr>
        <w:rPr>
          <w:rFonts w:ascii="Arial" w:cs="Arial" w:eastAsia="Arial" w:hAnsi="Arial"/>
          <w:sz w:val="14"/>
          <w:szCs w:val="14"/>
          <w:color w:val="auto"/>
        </w:rPr>
      </w:pPr>
      <w:r>
        <w:rPr>
          <w:rFonts w:ascii="Times New Roman" w:cs="Times New Roman" w:eastAsia="Times New Roman" w:hAnsi="Times New Roman"/>
          <w:sz w:val="12"/>
          <w:szCs w:val="12"/>
          <w:color w:val="auto"/>
        </w:rPr>
        <w:t>patents may be challenged, invalidated, modified, revoked, circumvented, found to be unenforceable or otherwise may not provide any competitive advantage;</w:t>
      </w:r>
    </w:p>
    <w:p>
      <w:pPr>
        <w:spacing w:after="0" w:line="16"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39"/>
        </w:numPr>
        <w:rPr>
          <w:rFonts w:ascii="Arial" w:cs="Arial" w:eastAsia="Arial" w:hAnsi="Arial"/>
          <w:sz w:val="14"/>
          <w:szCs w:val="14"/>
          <w:color w:val="auto"/>
        </w:rPr>
      </w:pPr>
      <w:r>
        <w:rPr>
          <w:rFonts w:ascii="Times New Roman" w:cs="Times New Roman" w:eastAsia="Times New Roman" w:hAnsi="Times New Roman"/>
          <w:sz w:val="12"/>
          <w:szCs w:val="12"/>
          <w:color w:val="auto"/>
        </w:rPr>
        <w:t>our competitors, many of whom may have substantially greater resources than we do and many of whom may have made significant investments in competing technologies, may seek or may have already obtained patents that will limit, interfere with or eliminate our ability to make, use and sell our potential product candidates;</w:t>
      </w:r>
    </w:p>
    <w:p>
      <w:pPr>
        <w:spacing w:after="0" w:line="17" w:lineRule="exact"/>
        <w:rPr>
          <w:rFonts w:ascii="Arial" w:cs="Arial" w:eastAsia="Arial" w:hAnsi="Arial"/>
          <w:sz w:val="14"/>
          <w:szCs w:val="14"/>
          <w:color w:val="auto"/>
        </w:rPr>
      </w:pPr>
    </w:p>
    <w:p>
      <w:pPr>
        <w:ind w:left="420" w:hanging="212"/>
        <w:spacing w:after="0" w:line="247" w:lineRule="auto"/>
        <w:tabs>
          <w:tab w:leader="none" w:pos="416" w:val="left"/>
        </w:tabs>
        <w:numPr>
          <w:ilvl w:val="0"/>
          <w:numId w:val="39"/>
        </w:numPr>
        <w:rPr>
          <w:rFonts w:ascii="Arial" w:cs="Arial" w:eastAsia="Arial" w:hAnsi="Arial"/>
          <w:sz w:val="14"/>
          <w:szCs w:val="14"/>
          <w:color w:val="auto"/>
        </w:rPr>
      </w:pPr>
      <w:r>
        <w:rPr>
          <w:rFonts w:ascii="Times New Roman" w:cs="Times New Roman" w:eastAsia="Times New Roman" w:hAnsi="Times New Roman"/>
          <w:sz w:val="12"/>
          <w:szCs w:val="12"/>
          <w:color w:val="auto"/>
        </w:rPr>
        <w:t>there may be significant pressure on the U.S. government and international governmental bodies to limit the scope of patent protection both inside and outside the United States for treatments that prove successful, as a matter of public policy regarding worldwide health concerns; and</w:t>
      </w:r>
    </w:p>
    <w:p>
      <w:pPr>
        <w:spacing w:after="0" w:line="16" w:lineRule="exact"/>
        <w:rPr>
          <w:rFonts w:ascii="Arial" w:cs="Arial" w:eastAsia="Arial" w:hAnsi="Arial"/>
          <w:sz w:val="14"/>
          <w:szCs w:val="14"/>
          <w:color w:val="auto"/>
        </w:rPr>
      </w:pPr>
    </w:p>
    <w:p>
      <w:pPr>
        <w:ind w:left="420" w:hanging="212"/>
        <w:spacing w:after="0" w:line="239" w:lineRule="auto"/>
        <w:tabs>
          <w:tab w:leader="none" w:pos="416" w:val="left"/>
        </w:tabs>
        <w:numPr>
          <w:ilvl w:val="0"/>
          <w:numId w:val="39"/>
        </w:numPr>
        <w:rPr>
          <w:rFonts w:ascii="Arial" w:cs="Arial" w:eastAsia="Arial" w:hAnsi="Arial"/>
          <w:sz w:val="14"/>
          <w:szCs w:val="14"/>
          <w:color w:val="auto"/>
        </w:rPr>
      </w:pPr>
      <w:r>
        <w:rPr>
          <w:rFonts w:ascii="Times New Roman" w:cs="Times New Roman" w:eastAsia="Times New Roman" w:hAnsi="Times New Roman"/>
          <w:sz w:val="12"/>
          <w:szCs w:val="12"/>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39" w:lineRule="exact"/>
        <w:rPr>
          <w:sz w:val="20"/>
          <w:szCs w:val="20"/>
          <w:color w:val="auto"/>
        </w:rPr>
      </w:pPr>
    </w:p>
    <w:p>
      <w:pPr>
        <w:ind w:left="640" w:hanging="324"/>
        <w:spacing w:after="0"/>
        <w:tabs>
          <w:tab w:leader="none" w:pos="6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might not have been the first to invent or the first to file the inventions covered by each of our pending patent applications and issued patents;</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be able to make, use, sell, offer to sell, or import products that are similar to our products or product candidates but that are not covered by the claims of our patents; others may independently develop similar or alternative technologies or duplicate any of our technologies;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proprietary rights of others may have an adverse effect on our business;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proprietary rights we do obtain may not encompass commercially viable products, may not provide us with any competitive advantages or may be challenged by third parties;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patents we obtain, or our in-licensed issued patents may not be valid or enforceable; 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develop additional technologies or products that are patentable or suitable to maintain as trade secrets.</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If we or our current licensors or licensees, or any future licensors or licensees, fail to prosecute, maintain, and enforce patent protection for our product candidates, our ability to develop and commercialize our product candidates could be harmed and we might not be able to prevent competitors from making, using, and selling competing products. This failure to properly protect the intellectual property rights relating to our product candidates could harm our business, financial condition, and operating results. Moreover, our competitors may independently develop equivalent knowledge, methods, and know-how.</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Even where laws provide protection, costly and time-consuming litigation could be necessary to enforce and determine the scope of our proprietary rights, and the outcome of such litigation would be uncertain. If we or one of our collaborators were to initiate legal proceedings against a third party to enforce a patent covering the product candidate, the defendant could assert an affirmative defense or counterclaim that our patent is not infringed, invalid and/or unenforceable. In patent litigation in the United States, defendant defenses and counterclaims alleging noninfringement, invalidity and/or unenforceability are commonplace. Grounds for a validity challenge could be an alleged failure to meet any of several statutory requirements, including novelty, non-obviousness, definiteness, and enablement. Patents may be unenforceable if someone connected with prosecution of the patent withheld material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one of our product candidates, we would lose at least part, and perhaps all, of the patent protection on such product candidate. Such a loss of patent protection would harm our business. Moreover, our competitors could counterclaim in any suit to enforce our patents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0" w:name="page41"/>
    <w:bookmarkEnd w:id="4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 we infringe their intellectual property. Furthermore, some of our competitors have substantially greater intellectual property portfolios, and resources, than we do.</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ability to stop third parties from using our technology or making, using, selling, offering to sell, or importing our products is dependent upon the extent to which we have rights under valid and enforceable patents that cover these activities. If any patent we currently or in the future may own or license is deemed not infringed, invalid or unenforceable, it could impact our commercial success. We cannot predict the breadth of claims that may be issued from any patent applications we currently or may in the future own or license from third parties.</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 the extent that consultants or key employees apply technological information independently developed by them or by others to our product candidates, disputes may arise as to who has the proprietary rights to such information and product candidates, and certain of such disputes may not be resolved in our favor. Consultants and key employees that work with our confidential and proprietary technologies are required to assign all intellectual property rights in their inventions and discoveries created during the scope of their work to our company. However, these consultants or key employees may terminate their relationship with us, and we cannot preclude them indefinitely from dealing with our competitors.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prevent disclosure of our trade secrets or other confidential information to third parties, our competitive position may be impaired.</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also may rely on trade secrets to protect our technology, especially where we do not believe patent protection is appropriate or obtainable. Our ability to stop third parties from obtaining the information or know-how necessary to make, use, sell, offer to sell, or import our products or practice our technology is dependent in part upon the extent to which we prevent disclosure of the trade secrets that cover these activities. Trade secret rights can be lost through disclosure to third parties. Although we use reasonable efforts to protect our trade secrets, our employees, consultants, contractors, outside scientific collaborators, and other advisors may unintentionally or willfully disclose our trade secrets to third parties, resulting in loss of trade secret protection. Moreover, our competitors may independently develop equivalent knowledge, methods, and know-how, which would not constitute a violation of our trade secret rights. Enforcing a claim that a third party is engaged in the unlawful use of our trade secrets is expensive, difficult and time consuming, and the outcome is unpredictable. In addition, recognition of rights in trade secrets and a willingness to enforce trade secrets differs in certain jurisdictions.</w:t>
      </w:r>
    </w:p>
    <w:p>
      <w:pPr>
        <w:spacing w:after="0" w:line="4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to the patent laws in the United States and other jurisdictions could diminish the value of patents in general, thereby impairing our ability to protect our products candidates and future products.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As is the case with other pharmaceutical companies, our success is heavily dependent on intellectual property, particularly patents. Obtaining and enforcing patents in the pharmaceutical industry involve both technological and legal complexity and is therefore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requirements for patentability are met, the first inventor to file a patent application would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our product candidates and other proprietary technologies we may develop or (ii) invent any of the inventions claimed in our patents or patent applications.</w:t>
      </w:r>
    </w:p>
    <w:p>
      <w:pPr>
        <w:spacing w:after="0" w:line="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 xml:space="preserve">The America Invents Act also included several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2"/>
          <w:szCs w:val="12"/>
          <w:i w:val="1"/>
          <w:iCs w:val="1"/>
          <w:color w:val="auto"/>
        </w:rPr>
        <w:t>inter partes</w:t>
      </w:r>
      <w:r>
        <w:rPr>
          <w:rFonts w:ascii="Times New Roman" w:cs="Times New Roman" w:eastAsia="Times New Roman" w:hAnsi="Times New Roman"/>
          <w:sz w:val="12"/>
          <w:szCs w:val="12"/>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and in-licensed patent claims that would not have been invalidated if first challenged by the third party as a defendant in a district court action. An adverse determination in any such submission or proceeding could reduce the scope or enforceability of, or invalidate, our patent rights, which could adversely affect our competitive position.</w:t>
      </w:r>
    </w:p>
    <w:p>
      <w:pPr>
        <w:spacing w:after="0" w:line="5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U.S. law relating the patentability of certain inventions in the life sciences is uncertain and rapidly changing, which may adversely impact our existing patents or our ability to obtain patents in the future. The U.S. Supreme Court and federal courts have ruled on several patent cases in recent years that impact the scope of patentability of certain inventions or discoveries related to the life, including both narrowing the scope of patent protection available in certain circumstances or weakening the rights of patent owners in certain situations. The trend of these decisions along with resulting changes in patentability requirements being implemented by the USPTO could make it increasingly difficult for us to obtain and maintain patents on our products, and could jeopardize or otherwise reduce patent term, reduce the scope of, or invalidate or render unenforceable our patent rights. In addition to increasing uncertainty with regard to our ability to obtain patents in the future, this combination of events has created uncertainty with respect to the value of patents, once obtained.</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Depending on future actions and/or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As an example, beginning June 1, 2023, European patent applications and patents may be subjected to the jurisdiction of the Unified Patent Court (the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w:t>
      </w:r>
    </w:p>
    <w:p>
      <w:pPr>
        <w:spacing w:after="0" w:line="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dues to increased competition and, resultantly, on our business, financial condition, prospects and results of operations.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2" w:name="page43"/>
    <w:bookmarkEnd w:id="4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future licensors may not result in patents being issued which protect our product candidates or which effectively prevent others from commercializing competitive product candidates.</w:t>
      </w:r>
    </w:p>
    <w:p>
      <w:pPr>
        <w:spacing w:after="0" w:line="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future licensors by developing similar or alternative technologies or products in a non-infringing manner which could materially adversely affect our business, financial condition, results of operations and prospects.</w:t>
      </w:r>
    </w:p>
    <w:p>
      <w:pPr>
        <w:spacing w:after="0" w:line="5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2"/>
          <w:szCs w:val="12"/>
          <w:color w:val="auto"/>
        </w:rPr>
        <w:t>The issuance of a patent is not conclusive as to its inventorship, scope, validity or enforceability, and our patents or the patents of our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(“PGR”) and inter partes review (“IPR”), or other similar proceedings challenging our owned or licensed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our current or future licensors may become subject to post-grant challenge proceedings, such as oppositions in a foreign patent office, that challenge our priority of invention or other features of patentability with respect to our patents and patent applications and those of our current or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technologies or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current or future licensors is threatened, regardless of the outcome, it could dissuade companies from collaborating with us to license, develop or commercialize current or future product candidates.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sued for infringing intellectual property rights of third parties, it will be costly and time consuming, and an unfavorable outcome in that litigation could harm our business.</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Our commercial success depends significantly on our ability to operate without infringing, violating or misappropriating the patents and other proprietary rights of third parties. Our own technologies may infringe, violate, or misappropriate the patents or other proprietary rights of third parties, or we may be subject to third-party claims of such infringement. Numerous U.S. and foreign issued patents and pending patent applications owned by third parties, exist in the fields in which we are developing our product candidates. Because some patent applications may be maintained in secrecy until the patents are issued, because publication of patent applications is often delayed, and because publications in the scientific literature often lag behind actual discoveries, we cannot be certain that we were the first to invent the technology or that others have not filed patent applications for technology covered by our pending applications.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Moreover, we may face IPR proceedings before the USPTO, or patent infringement claims from non-practicing entities that have no relevant product revenue and against whom our own patent portfolio may thus have no deterrent effect. In the future, we may agree to indemnify our manufacturing partners against certain intellectual property claims brought by third parties.</w:t>
      </w:r>
    </w:p>
    <w:p>
      <w:pPr>
        <w:spacing w:after="0" w:line="5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Intellectual property litigation involves many risks and uncertainties, and there is no assurance that we will prevail in any lawsuit brought against us. Third parties making claims against us for infringement, violation or misappropriation of their intellectual property rights may seek and obtain injunctive or other equitable relief, which could effectively block our ability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3" w:name="page44"/>
    <w:bookmarkEnd w:id="4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 parties and we and our partners may be prevented from pursuing product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and our collaborators may be restricted or prevented from manufacturing and selling products employing our technology. These adverse results, if they occur, could adversely affect our business, results of operations and prospects, and the value of our shares.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become involved in lawsuits to protect or enforce our patents or other intellectual property, which could be expensive, time consuming and unsuccessful.</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Litigation may be necessary to:</w:t>
      </w:r>
    </w:p>
    <w:p>
      <w:pPr>
        <w:spacing w:after="0" w:line="78" w:lineRule="exact"/>
        <w:rPr>
          <w:sz w:val="20"/>
          <w:szCs w:val="20"/>
          <w:color w:val="auto"/>
        </w:rPr>
      </w:pPr>
    </w:p>
    <w:p>
      <w:pPr>
        <w:ind w:left="640" w:hanging="324"/>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 and enforce our patents and any future patents issuing on our patent applications;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enforce or clarify the terms of the licenses we have granted or been granted or may grant or be granted in the future;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 and enforce trade secrets, know-how and other proprietary rights that we own or have licensed, or may license in the future; or</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enforceability, scope, and validity of the proprietary rights of third parties and defend against alleged patent infringement.</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Competitors may infringe our intellectual property. As a result, we may be required to file infringement claims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IPR, interference, derivation or other proceedings brought at the USPTO, may be necessary to determine the priority or patentability of inventions with respect to our patent applications or those of our licensors or potential collaborators. Litigation or USPTO proceedings brought by us may fail or may be invoked against us by third parties.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Some of our competitors may be able to sustain the costs of patent-related disputes, including patent litigation, more effectively than we can because they have substantially greater resources. In addition, any uncertainties resulting from the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4" w:name="page45"/>
    <w:bookmarkEnd w:id="4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initiation and continuation of any litigation could have a material adverse effect on our ability to raise the funds necessary to continue our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patent rights may prove to be an inadequate barrier to competition.</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our product candidates. Furthermore, even if our patents are held to be valid and broadly interpreted, third parties may find legitimate ways to compete with our product candidates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European Union (“E.U.”), where we hope to commercialize our product candidates, have a history of inconsistent, relatively lax or ineffective enforcement of patent rights. In such jurisdictions, even a valid patent may have limited value. Our failure to effectively enforce our patents would have a harmful impact on our ability to commercialize our product candidates in these jurisdictions.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enforce all of our intellectual property rights throughout the world.</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laws of some countries outside of the United States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56"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Beginning June 1, 2023, European patent applications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geopolitical actions in the United States and in foreign countries (such as the Russia and Ukraine conflict) could increase the uncertainties and costs surrounding the prosecution or maintenance of our patent applications or those of any future licensors and the maintenance, enforcement or defense of our issued patents which could impair our competitive intellectual property position.</w:t>
      </w:r>
    </w:p>
    <w:p>
      <w:pPr>
        <w:spacing w:after="0" w:line="39"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Patent terms may be inadequate to protect our competitive position on our product candidates for an adequate amount of time.</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5" w:name="page46"/>
    <w:bookmarkEnd w:id="4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sufficient rights to exclude others from commercializing products similar or identical to ours. If we do not have sufficient patent life to protect our products, our business, financial condition, results of operations, and prospects will be adversely affected.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do not obtain patent term extensions for our drug candidates, the length of our patent exclusivity will be shorter which may harm our business materially.</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Depending upon the timing, duration, and specifics of any FDA marketing approval of our drug candidates, one or more of our U.S. patents may be eligible for limited patent term extension under the Drug Price Competition and Patent Term Restoration Act of 1984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applicable to each regulatory review period may be granted an extension,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the original expiration dates of our patents, and our business may be materially harmed.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addition, we rely on the protection of our trade secrets, including unpatented know-how, technology and other proprietary information to maintain our competitive position. Any disclosure to or misappropriation by third parties of our confidential proprietary information could enable competitors to quickly duplicate or surpass our technological achievements, thus eroding our competitive position in the market.</w:t>
      </w:r>
    </w:p>
    <w:p>
      <w:pPr>
        <w:spacing w:after="0" w:line="3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Although we have taken steps to protect our trade secrets and unpatented know-how, including entering into confidentiality agreements with third parties, and confidential information and inventions assignment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claims that we or our employees, independent contractors, or consultants have wrongfully used or disclosed alleged confidential information or trade secrets.</w:t>
      </w:r>
    </w:p>
    <w:p>
      <w:pPr>
        <w:spacing w:after="0" w:line="82"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2"/>
          <w:szCs w:val="12"/>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Parties making claims against us may be able to sustain the costs of complex intellectual property litigation more effectively than we can because they may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be subject to claims that we have wrongfully hired an employee from a competitor or that we or our employees, independent contractors, or consultants have wrongfully used or disclosed alleged confidential information or trade secrets of their former employers.</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is common in the biotechnology and pharmaceutical industry, we employ individuals and engage the service of consultants, who were previously employed at, may have previously provided, or may be currently providing</w:t>
      </w:r>
    </w:p>
    <w:p>
      <w:pPr>
        <w:spacing w:after="0" w:line="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consulting services to, other biotechnology or pharmaceutical companies, including our competitors or potential competitors. Many of our employees were previously employed at universities or other biotechnology or pharmaceutical companies, including our competitors or potential competitors. Some of these individuals, including members of our senior management, executed proprietary rights, non-disclosure and non-competition agreements, or similar agreements, in connection with such previous employment. Although we use reasonable efforts to ensure that our employees, independent contractors, and consultants do not use the proprietary information or know-how of others in their work for us, we may be subject to claims that we or these individuals inadvertently or otherwise used or disclosed intellectual property, including trade secrets or other proprietary information, of any such former employers, clients, or third parties. These and other claims that we have misappropriated the confidential information or trade secrets of third parties can have a similar negative impact on our business to the infringement claims discussed above.</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patent protection and patent prosecution for some of our product candidates may be dependent on third parties.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future licensors or collaboration partners. If any of our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7" w:name="page48"/>
    <w:bookmarkEnd w:id="4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Employee Matters and Managing Growth</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need to expand our operations and increase the size of our company, and we may experience difficulties in managing growth.</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As we advance our drug candidates through preclinical studies and clinical trials and develop new drug candidates, we may need to increase our product development, scientific and administrative headcount to manage these programs. If we commercialize our products, we may need to expand our staff further, particularly in sales and marketing. See “—Risks Relating to the Development, Regulatory Approval, and Commercialization of Our Drug Candidates.” We do not presently have the capability to sell, distribute and market our drug candidates. If we are unable to establish an effective sales force and marketing infrastructure, or enter into acceptable third-party sales and marketing or licensing arrangements, we may not be able to commercialize our drug candidates successfully. In addition, to meet our obligations as a public company, we will need to increase our general and administrative capabilities. Our management, personnel and systems currently in place may not be adequate to support this future growth. Our need to effectively manage our operations, growth and various projects requires that we:</w:t>
      </w:r>
    </w:p>
    <w:p>
      <w:pPr>
        <w:spacing w:after="0" w:line="53" w:lineRule="exact"/>
        <w:rPr>
          <w:sz w:val="20"/>
          <w:szCs w:val="20"/>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successfully attract and recruit new employees with the expertise and experience we will require;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 our clinical programs effectively, which we anticipate being conducted at numerous clinical sites;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 a marketing, distribution and sales infrastructure if we seek to market our products directly, or successfully partner with a third-party organization that will oversee those efforts;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to improve our operational, manufacturing, financial and management controls, reporting systems and procedures.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If we are unable to successfully manage this growth and increased complexity of operations, our business may be adversely affected.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manage our business effectively if we are unable to attract and retain key personnel.</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may not be able to attract or retain qualified management, finance, scientific and clinical personnel in the future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Our industry has experienced a high rate of turnover of management personnel in recent years. We are highly dependent on the development, regulatory, commercialization and business development expertise of our executive officers and key employees. If we lose one or more of our executive officers or key personnel, our ability to implement our business strategy successfully could be seriously harmed. Any of our executive officers or key employees may terminate their employment at any time. Replacing executive officers and key employees may be difficult, will be costly and may take an extended period of time because of the limited number of individuals in our industry with the mix of skills and experience required to develop, gain regulatory approval of and commercialize products successfully. Competition to hire from this limited pool is intense, and we may be unable to hire, train, retain or motivate these additional key personnel. Our failure to attract and retain key personnel could materially harm our business.</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employees, independent contractors, principal investigators, CROs, consultants and collaborators may engage in misconduct or other improper activities, including noncompliance with legal, compliance or regulatory standards and requirements.</w:t>
      </w:r>
    </w:p>
    <w:p>
      <w:pPr>
        <w:spacing w:after="0" w:line="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We are exposed to the risk that our employees, independent contractors, principal investigators, CROs, consultants and collaborators may engage in fraudulent conduct or other illegal activity. Misconduct by these parties could include intentional, reckless and/or negligent conduct or unauthorized activities that violate the regulations of the FDA and non-U.S. regulators, including those laws requiring the reporting of true, complete and accurate information to the FDA and non-U.S. regulators, healthcare fraud and abuse laws and regulations in the United States and abroad, or laws that require the reporting of true and accurate financial information and data. In particular, sales, marketing and business arrangements in the healthcare industry are subject to extensive laws and regulations intended to prevent fraud, misconduct, kickbacks, self-dealing, pre-market promotion, and other abusive practices. These laws and regulations may restrict or prohibit a wide range of pricing, discounting, marketing and promotion, sales commission, customer incentive programs and other business arrangements. These activities also include the improper use or disclosure of information obtained in the course of clinical trials, which could result in regulatory sanctions and cause serious harm to our reputation. We have adopted new comprehensive compliance policies, and revised our code of conduct, but it is not always possible to identify and deter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8" w:name="page49"/>
    <w:bookmarkEnd w:id="4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employee or non-employee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federal healthcare programs, contractual damages, reputational harm, diminished profits and future earnings, and curtailment of our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Risks Relating to Our Business</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use our financial and human resources to pursue a particular research program or drug candidate and fail to capitalize on programs or drug candidates that may be more profitable or for which there is a greater likelihood of success.</w:t>
      </w:r>
    </w:p>
    <w:p>
      <w:pPr>
        <w:spacing w:after="0" w:line="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color w:val="auto"/>
        </w:rPr>
        <w:t xml:space="preserve">Because we have limited financial and human resources, we have here to date focused primarily on the regulatory approval of </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As a result, we may have foregone or delayed the pursuit of opportunities with other drug candidates or for other indications that could later prove to have had greater commercial potential. Our future resource allocation decisions may cause us to fail to capitalize on viable commercial products or profitable market opportunities. Our spending on existing and future drug candidates for specific indications may not yield any commercially viable products. If we do not accurately evaluate the commercial potential or target market for a particular drug candidate, we may relinquish valuable rights to that drug candidate through strategic alliance, licensing or other royalty arrangements in cases in which it would have been more advantageous for us to retain sole development and commercialization rights to such drug candidate, or we may allocate internal resources to a drug candidate in a therapeutic area in which it would have been more advantageous to enter into a partnering arrangement.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litigation or government investigations for a variety of claims, which could adversely affect our operating results, harm our reputation or otherwise negatively impact our business.</w:t>
      </w:r>
    </w:p>
    <w:p>
      <w:pPr>
        <w:spacing w:after="0" w:line="8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may be subject to litigation or government investigations. The outcome of any litigation or government investigation, regardless of its merits, is inherently uncertain. Any lawsuits or government investigations, and the disposition of such lawsuits and government investigations, could be time-consuming and expensive to resolve and divert management attention and resources. Any adverse determination related to litigation or government investigations could adversely affect our financial performance, harm our reputation or otherwise negatively impact our business. In addition, depending on the nature and timing of any such dispute, a resolution of a legal matter or government investigation could materially affect our future operating results, our cash flows or both.</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product liability lawsuits are brought against us, we may incur substantial liabilities and may be required to limit commercialization of any future products we develop.</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face an inherent risk of product liability as a result of the clinical testing of our drug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53" w:lineRule="exact"/>
        <w:rPr>
          <w:sz w:val="20"/>
          <w:szCs w:val="20"/>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demand for any drug candidates or products we develop;</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injury to our reputation and significant negative media attention;</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 of clinical trial participants or delay or cancellation of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to defend the related litigation;</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diversion of management’s time and our resources;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substantial monetary awards to trial participants or patients;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investigations, product recalls, withdrawals or labeling, marketing or promotional restrictions;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of revenue;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9" w:name="page50"/>
    <w:bookmarkEnd w:id="4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or delay in our ability to commercialize any products we develop;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decline in our share price.</w:t>
      </w:r>
    </w:p>
    <w:p>
      <w:pPr>
        <w:spacing w:after="0" w:line="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clinical trial liability insurance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for any drug product, we intend to expand our insurance coverage to include the sale of that product, however, we may be unable to obtain this liability insurance on commercially reasonable terms.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insurance policies are expensive and protect us only from some business risks, which will leave us exposed to significant uninsured liabilities.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do not carry insurance for all categories of risk that our business may encounter. Some of the policies we currently maintain include general liability, employment practices liability, property, auto, workers’ compensation, umbrella, clinical trial and directors’ and officers’ insurance. We do not know, however, if we will be able to maintain existing insurance with adequate levels of coverage. Any significant uninsured liability may require us to pay substantial amounts, which would adversely affect our cash position and results of operations.</w:t>
      </w:r>
    </w:p>
    <w:p>
      <w:pPr>
        <w:spacing w:after="0" w:line="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market for our proposed products is rapidly changing and competitive, and new drugs and new treatments that may be developed by others could impair our ability to maintain and grow our businesses and remain competitive.</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pharmaceutical and biotechnology industries are subject to rapid and substantial technological change. Developments by others may render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a company with nominal revenues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or less costly than our proposed products and, therefore, present a serious competitive threat to us.</w:t>
      </w:r>
    </w:p>
    <w:p>
      <w:pPr>
        <w:spacing w:after="0" w:line="47"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The potential widespread acceptance of therapies that are alternatives to ours may limit market acceptance of our drug candidates, even if commercialized. Some of our targeted diseases and conditions can also be treated by other medication. These treatments may be widely accepted in medical communities and have a longer history of use or be offered at a more competitive price. The established use of these competitive drugs may limit the potential for our technologies, formulations and products to receive widespread acceptance if commercialized.</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Therefore, changes in the market for our products and the availability of new or alternative treatments could have a material adverse effect on our businesses, financial conditions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and operations would suffer in the event of computer system failures, cyber-attacks or a deficiency in our cybersecurity.</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0" w:name="page51"/>
    <w:bookmarkEnd w:id="5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data. Also, confidential patient and other information may be compromised in a cyber-attack or cyber-intrusion.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drug candidates could be delayed.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maintain listing of our Class A common stock on the Nasdaq Capital Market or another national stock exchange, it may be more difficult for our stockholders to sell their Class A common stock.</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Nasdaq requires issuers to comply with certain standards in order to remain listed on its exchange. If we are unable to maintain our listing on Nasdaq, it may become more difficult for our stockholders to sell our Class A common stock in the public market, and the price of our Class A common stock may be adversely affected due to the likelihood of decreased liquidity resulting from delisting. In addition, it may inhibit or preclude our ability to raise additional financing.</w:t>
      </w:r>
    </w:p>
    <w:p>
      <w:pPr>
        <w:spacing w:after="0" w:line="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Affiliates of MacAndrews &amp; Forbes Incorporated (together with its affiliates “MacAndrews”) and the investor that participated in the Private Placement (the "Private Placement Investors," and together with MacAndres, our "Significant Investors") have substantial influence over our business, and their interests may differ from our interests or those of our other stockholders.</w:t>
      </w:r>
    </w:p>
    <w:p>
      <w:pPr>
        <w:spacing w:after="0" w:line="3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Our Significant Investors hold, directly or indirectly, a significant percentage of our combined voting power. Due to the Significant Investors' ownership and rights under the investor rights agreement (as amended the "Investor Rights Agreement") with an affiliate of MacAndrews, the securities purchase agreement (the "Securities Purchase Agreement") and registration rights agreement (the "Registration Rights Agreement) with the Private Placement Investors, our Amended and Restated Certificate of Incorporation, as amended (the "Certificate of Incorporation") and Second Amended and Restated By-laws (the "By-laws"), the Significant Investors have substantial influence over us and our subsidiaries.</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interests of our Significant Investors may differ from our interests or those of our other stockholders and the concentration of control in our Significant Investors will limit other stockholders’ ability to influence corporate matters. The concentration of ownership and voting power of our Significant Investors may also delay, defer or even prevent an acquisition by a third party or other change of control of our company and may make some transactions more difficult or impossible without the support of our Significant Investors, even if such events are in the best interests of our other stockholders. The concentration of voting power with our Significant Investors may have an adverse effect on the price of our Class A common stock. Our company may take actions that our other stockholders do not view as beneficial, which may adversely affect our results of operations and financial condition and cause the value of our Class A common stock to decline.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directors who have relationships with the Significant Investors may have conflicts of interest with respect to matters involving our company.</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One of our directors is affiliated with MacAndrews and two of our directors are associated with the Private Placement Investors. These directors will have fiduciary duties to us and in addition will have duties to MacAndrews and the Private Placement Investors, as applicable. In addition, our Certificate of Incorporation provides that none of MacAndrews, any of our non-employee directors who are employees, affiliates or consultants of MacAndrews or its affiliates (other than us or our subsidiaries) or any of their respective affiliates will be liable to us or our stockholders for breach of any fiduciary duty by reason of the fact that any such individual directs a corporate opportunity to MacAndrews or its affiliates instead of us, or does not communicate information regarding a corporate opportunity to us that such person or affiliate has directed to MacAndrews or its affiliates. As a result, such circumstances may entail real or apparent conflicts of interest with respect to matters affecting both us and MacAndrews or the Private Placement Investors, whose interests, in some circumstances, may be adverse to ours. In addition, as a result of MacAndrews’ and the Private Placement Investors’ indirect ownership interest, conflicts of interest could arise with respect to transactions involving business dealings between us and MacAndrews, the Private Placement Investors or any of their respective affiliates, including potential business transactions, potential acquisitions of businesses or properties, the issuance of additional securities, the payment of dividends by us and other matters.</w:t>
      </w:r>
    </w:p>
    <w:p>
      <w:pPr>
        <w:spacing w:after="0" w:line="4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Additionally, the Private Placement Investors have certain participation rights giving them the right to purchase their proportionate share of certain future financing transactions. Such participation rights could impact our ability to raise money and deter new investors who may not be able to acquire a large enough stake in the Company. Conversely, if the Private Placement Investors decline to exercise their participation rights it may adversely affect the way the market and potential investors view the Company.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1" w:name="page52"/>
    <w:bookmarkEnd w:id="5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do not anticipate paying cash dividends on our Class A common stock, and accordingly, stockholders must rely on stock appreciation for any return on their investment.</w:t>
      </w:r>
    </w:p>
    <w:p>
      <w:pPr>
        <w:spacing w:after="0" w:line="64"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We have never declared or paid any cash dividend on our Class A common stock and do not anticipate paying cash dividends on our Class A common stock in the future. As a result, the only return to stockholders will be appreciation in the price of our Class A common stock, which may never occur. Investors seeking cash dividends should not invest in our Class A common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share price may be volatile, which could subject us to securities class action litigation and result in substantial losses for our stockholders.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market price of shares of our Class A common stock could be subject to wide fluctuations in response to many risk factors listed in this section, and others beyond our control, including:</w:t>
      </w:r>
    </w:p>
    <w:p>
      <w:pPr>
        <w:spacing w:after="0" w:line="78" w:lineRule="exact"/>
        <w:rPr>
          <w:sz w:val="20"/>
          <w:szCs w:val="20"/>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and timing of our clinical trials and receipt of data from the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cash or financing to continue our clinical trials and other operations;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of clinical trials of our competitors’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or discontinuation of any of our research programs;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the development or commercialization of our potential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actions with respect to our products or our competitors’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financial condition and operating results;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changes in our growth rate relative to our competitors;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competitors’ operating results or changes in their growth rate;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from existing products or new products that may emerge;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by us or our competitors of significant acquisitions, strategic partnerships, joint ventures, collaborations or capital commitments;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issuance of new or updated research or reports by securities analysts;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the valuation of companies perceived by investors to be comparable to us;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 price and volume fluctuations attributable to inconsistent trading volume levels of our shares;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additions or departures of key management or scientific personnel;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disputes or other developments related to proprietary rights, including patents, litigation matters and our ability to obtain, maintain, defend or enforce proprietary rights relating to our products and technologies;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 or expectation of additional financing efforts;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our Class A common stock by us, our insiders or our other stockholders;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issues in manufacturing our potential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acceptance of our potential products;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conditions for biopharmaceutical stocks in general;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and market conditions.</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common stock at or above the price at which they purchased their shares.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2" w:name="page53"/>
    <w:bookmarkEnd w:id="5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trading market for our Class A common stock will be influenced by the research and reports that equity research analysts publish about us and our business.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substantial portion of our total outstanding shares may be sold into the market at any time. This could cause the market price of our Class A common stock to drop significantly, even if our business is doing well.</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market price of our Class A common stock could decline as a result of sales of a large number of shares of our Class A common stock or the perception that such sales could occur. These sales, or the possibility that these sales may occur, also might make it more difficult for us to sell equity securities in the future at a time and price that we deem appropriate.</w:t>
      </w:r>
    </w:p>
    <w:p>
      <w:pPr>
        <w:spacing w:after="0" w:line="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As of December 31, 2024, MacAndrews and its affiliates held 577,108 non-voting common units of vTv LLC (“vTv Units”) and the same number of shares of vTv Therapeutics Inc. Class B common stock as well as an aggregate of 912,982 shares of our Class A common stock. As a result, MacAndrews and its affiliates held shares representing approximately 46.7% of the combined voting power of our outstanding common stock. Pursuant to the terms of the Exchange Agreement among the Company, vTv LLC and the holders of vTv Units party thereto (the “Exchange Agreement”), vTv Units (along with the corresponding number of shares of our Class B common stock) will be exchangeable for (i) shares of our Class A common stock on a one-for-one basis or (ii) cash (based on the market price of the shares of Class A common stock), at our option (as the managing member of vTv Therapeutics LLC). Shares of our Class A common stock issuable upon an exchange of vTv Units as described above would be considered “restricted securities,” as that term is defined in Rule 144 under the Securities Act, unless the exchange is registered under the Securities Act.</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also have issued warrants to MacAndrews to purchase 40,639 shares of our Class A common stock.</w:t>
      </w:r>
    </w:p>
    <w:p>
      <w:pPr>
        <w:spacing w:after="0" w:line="7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February 27, 2024, we issued an aggregate of 464,377 shares of our Class A common stock to the Private Placement Investors. As a result, the Private Placement Investors hold shares representing approximately 14.9% of the combined voting power of our outstanding common stock. We also issued pre-funded warrants to purchase up to an aggregate of 3,853,997 shares of Class A common stock. Such pre-funded warrants provide that each Private Placement Investor will not have the right to exercise any portion of its pre-funded warrant if, together with its affiliates, such Private Placement Investor would beneficially own in excess of 4.99% or 9.99%, as applicable, of the number of shares of our common stock outstanding immediately after giving effect to such exercise (the “Beneficial Ownership Limitation”); provided, however, that each Private Placement Investor may increase the Beneficial Ownership Limitation by giving 61 days’ notice to us, but not to any percentage in excess of 19.99%.</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March 5, 2024, we entered into an exchange agreement pursuant to which the Private Placement Investors exchanged an aggregate of 116,493 shares for pre-funded warrants. As a result, following the exchange, the Private Placement Investors hold shares representing approximately 11.6% of the combined voting power of our outstanding common stock.</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Further, we have entered into the Investor Rights Agreement with an affiliate of MacAndrews providing certain governance and registration rights. Pursuant to the Investor Rights Agreement, we filed a shelf registration statement on Form S-3 in June 2019 to register certain shares previously issued to MacAndrews. The Investor Rights Agreement was amended on February 27, 2024 to alter MacAndrews' governance rights.</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Additionally, we entered into the Securities Purchase Agreement and the Registration Rights Agreement with the Private Placement Investors providing certain governance and registration rights.</w:t>
      </w:r>
    </w:p>
    <w:p>
      <w:pPr>
        <w:spacing w:after="0" w:line="78"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On February 23, 2024, the Board of Directors approved the adoption of an equity incentive plan (the "2024 Plan") to replace the existing 2015 Plan and the 2024 Plan was approved by the stockholders at our 2024 annual meeting of shareholders. The 2024 Plan authorizes us to issue equity awards relating to up to an additional 750,000 shares of our Class A Common Stock.</w:t>
      </w:r>
    </w:p>
    <w:p>
      <w:pPr>
        <w:spacing w:after="0" w:line="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Future sales and issuances of our Class A common stock or rights to purchase Class A common stock, including pursuant to our equity incentive plans or the exercise of outstanding warrants, could result in additional dilution of the percentage ownership of our stockholders and could cause our stock price to fall.</w:t>
      </w:r>
    </w:p>
    <w:p>
      <w:pPr>
        <w:spacing w:after="0" w:line="3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expect that significant additional capital will be needed in the future to continue our planned operations. To the extent we raise additional capital by issuing equity securities, our stockholders may experience substantial dilution. We may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3" w:name="page54"/>
    <w:bookmarkEnd w:id="5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sell Class A common stock, convertible securities or other equity securities, including under the TD Cowen ATM Offering, or pursuant to warrants issued to previous investors and lenders, and such sales could result in substantial dilution to existing investors.</w:t>
      </w:r>
    </w:p>
    <w:p>
      <w:pPr>
        <w:spacing w:after="0" w:line="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incur significant costs and devote substantial management time as a result of operating as a public company and additional resources would be required if we lose our “smaller reporting company” and “non-accelerated filer” status.</w:t>
      </w:r>
    </w:p>
    <w:p>
      <w:pPr>
        <w:spacing w:after="0" w:line="3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As a public company, we operate in an increasingly demanding regulatory environment, which requires us to comply with applicable provisions of the Sarbanes-Oxley Act of 2002 and the related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However, we are currently a “smaller reporting company” and “non-accelerated filer” under the current SEC rules. As such we take advantage of exemptions from certain reporting requirements including exemption from compliance with the auditor attestation requirements of Section 404 of the Sarbanes Oxley Act and reduced disclosure obligations regarding executive compensation in our periodic reports and proxy statements. Should we lose these statuses, we may no longer be exempt from these requirements and expect that compliance with the requirements will increase our legal and financial compliance costs and will make some activities more time consuming and costly. In addition,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404(b) of the Sarbanes-Oxley Act. In that regard, we currently do not have an internal audit function. We will continue to qualify as a smaller reporting company as long as 1) our public float is less than $250 million, or 2) we have less than $100 million in annual revenues and public float of less than $700 million. We cannot predict if investors will find our Class A common stock less attractive if we choose to rely on these exemptions.</w:t>
      </w:r>
    </w:p>
    <w:p>
      <w:pPr>
        <w:spacing w:after="0" w:line="54"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However, for as long as we remain a “smaller reporting company” and “non-accelerated filer”, we intend to take advantage of certain exemptions from various reporting requirements that are applicable to other public companies that do not qualify under these categories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intend to take advantage of these reporting exemptions as long as we remain eligible to do so under the related rules.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Provisions in our Certificate of Incorporation and By-laws and investor agreements, and provisions of Delaware law may delay or prevent our acquisition by a third party, which might diminish the value of our common stock.</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Certificate of Incorporation and By-laws contain several provisions that may make it more difficult or expensive for a third party to acquire control of us without the approval of the Board of Directors. These provisions also may delay, prevent or deter a merger, acquisition, tender offer, proxy contest or other transaction that might otherwise result in our stockholders receiving a premium over the market price for their common stock. The provisions include, among others:</w:t>
      </w:r>
    </w:p>
    <w:p>
      <w:pPr>
        <w:spacing w:after="0" w:line="47" w:lineRule="exact"/>
        <w:rPr>
          <w:sz w:val="20"/>
          <w:szCs w:val="20"/>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prohibition on actions by written consent of the stockholders;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authorized but unissued shares of common stock and preferred stock that will be available for future issuance;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Board of Directors to increase the size of the Board of Directors and fill vacancies without a stockholder vote;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provisions that have the same effect as a modified version of Section 203 of the Delaware General Corporation Law, an anti-takeover law (as further described below);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notice requirements for stockholder proposals and director nominations.</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have elected in our Certificate of Incorporation not to be subject to Section 203 of the Delaware General Corporation Law. Nevertheless, the Certificate of Incorporation contains provisions that have the same effect as Section 203 of the Delaware General Corporation Law, except that they provide that MacAndrews and its various successors and affiliates (and transferees of any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4" w:name="page55"/>
    <w:bookmarkEnd w:id="5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of them) will not be deemed to be “interested stockholders,” regardless of the percentage of our stock owned by them, and accordingly will not be subject to such restrictions. Further, the Private Placement Investors are also not deemed to be “interested stockholders,” regardless of the percentage of our stock owned by them, and accordingly will not be subject to the restrictions set forth in Section 203 of the Delaware General Corporation Law.</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provisions of our Certificate of Incorporation and By-laws, the significant common stock ownership of the Significant Investors and the ability of the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common stock.</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Additionally, pursuant to the Investor Rights Agreement with an affiliate of MacAndrews, MacAndrews has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pacing w:after="0" w:line="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will be required to pay M&amp;F TTP Holdings Two LLC (“M&amp;F”) for certain tax benefits we may claim. In certain circumstances, payments under the Tax Receivable Agreement may be accelerated and/or significantly exceed the actual tax benefits we realize.</w:t>
      </w:r>
    </w:p>
    <w:p>
      <w:pPr>
        <w:spacing w:after="0" w:line="3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only asset of the Company is its interest in vTv LLC. Class B common stock, together with the corresponding number of vTv Units, may be exchanged for shares of our Class A common stock, or for cash, at our option (as the managing member of vTv LLC). These exchanges of Class B common stock, together with the corresponding number of vTv LLC Units, may result in increases in the tax basis of the assets of vTv LLC that otherwise would not have been available. Such increases in tax basis are likely to increase (for tax purposes) depreciation and amortization deductions and therefore reduce the amount of income tax we would otherwise be required to pay in the future and may also decrease gain (or increase loss) on future dispositions of certain assets to the extent the increased tax basis is allocated to those assets. The IRS may challenge all or part of these tax basis increases and a court could sustain such a challenge.</w:t>
      </w:r>
    </w:p>
    <w:p>
      <w:pPr>
        <w:spacing w:after="0" w:line="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We have entered into a Tax Receivable Agreement with vTv Therapeutics Holdings (an entity which was dissolved in October 2015, but to which M&amp;F became a successor) that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 the nature of the assets, the extent to which such exchanges are taxable, the tax rates then applicable, and the amount and timing of our income, we expect that the payments that we may make to M&amp;F could be substantial.</w:t>
      </w:r>
    </w:p>
    <w:p>
      <w:pPr>
        <w:spacing w:after="0" w:line="5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M&amp;F generally will not reimburse us for any payments that may previously have been made under the Tax Receivable Agreement even if the IRS subsequently disallows the tax basis increase or any other relevant tax item. Instead, any excess cash payments made by us to M&amp;F will be netted against any future cash payments that we might otherwise be required to make under the terms of the Tax Receivable Agreement. However, we might not determine that we have effectively made an excess cash payment to M&amp;F for a number of years following the initial time of such payment. As a result, in certain circumstances we could make payments to M&amp;F under the Tax Receivable Agreement in excess of our cash tax savings. Our ability to achieve benefits from any tax basis increase and the payments to be made under the Tax Receivable Agreement, will depend upon a number of factors, including the timing and amount of our future income and the nature of our assets.</w:t>
      </w:r>
    </w:p>
    <w:p>
      <w:pPr>
        <w:spacing w:after="0" w:line="5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To the extent that we are unable to make payments under the Tax Receivable Agreement for any reason, such payments will be deferred and will accrue interest until paid. In addition, the Tax Receivable Agreement provides that, upon a merger, asset sale or other form of business combination or certain other changes of control or if, at any time, we elect an early termination of the Tax Receivable Agreement, our (or our successor’s) obligations under the Tax Receivable Agreement with respect to exchanged or acquired Class B common stock, together with the corresponding number of vTv Units (whether exchanged or acquired before or after such change of control or early termination), would be required to be paid significantly in advance of the actual realization, if any, of any future tax benefits and would be based on certain assumptions, including that we would have sufficient taxable income to fully utilize the deductions arising from the increased tax deductions and tax basis and other benefits related to entering into the Tax Receivable Agreement, and, in the case of</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5" w:name="page56"/>
    <w:bookmarkEnd w:id="5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certain early termination elections, that any Class B common stock, together with the corresponding number of vTv Units, that have not been exchanged will be deemed exchanged for the market value of the Class A common stock at the time of termination. Consequently, it is possible that the actual cash tax savings realized by us may be significantly less than the corresponding Tax Receivable Agreement payments.</w:t>
      </w:r>
    </w:p>
    <w:p>
      <w:pPr>
        <w:spacing w:after="0" w:line="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only asset of the Company is its interest in vTv LLC, and accordingly it will depend on distributions from vTv LLC to pay taxes and expenses, including payments under the Tax Receivable Agreement. vTv LLC’s ability to make such distributions may be subject to various limitations and restrictions.</w:t>
      </w:r>
    </w:p>
    <w:p>
      <w:pPr>
        <w:spacing w:after="0" w:line="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The Company is a holding company, has no material assets other than its ownership of vTv Units and has no independent means of generating revenue or cash flow. vTv LLC is treated as a partnership for U.S. federal income tax purposes and, as such, is not subject to any entity-level U.S. federal income tax. Instead, taxable income will be allocated to holders of its common units, including us. As a result, we will incur U.S. federal, state and local income taxes on our allocable share of any net taxable income of vTv LLC. Under the terms of vTv LLC’s Amended and Restated LLC Agreement, vTv LLC will be obligated to make tax distributions to holders of its common units, including us. In addition to tax expenses, we will also incur expenses related to our operations, including expenses under the Tax Receivable Agreement, which could be significant. We intend, as its managing member, to cause vTv LLC to make distributions in an amount sufficient to allow us to pay our taxes and operating expenses, including any payments due under the Tax Receivable Agreement. However, vTv LLC’s ability to make such distributions may be subject to various limitations and restrictions including, but not limited to, restrictions on distributions that would either violate any contract or agreement to which vTv LLC is then a party, including the Loan Agreement or any other potential debt agreements, or any applicable law, or that would have the effect of rendering vTv LLC insolvent. If vTv LLC does not distribute sufficient funds for us to pay our taxes or other liabilities, we may have to borrow funds, which could adversely affect our liquidity and subject us to various restrictions imposed by any such lenders. To the extent that we are unable to make payments under the Tax Receivable Agreement for any reason, such payments will be deferred and will accrue interest until paid.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organizational structure confers certain benefits upon M&amp;F and certain of its successors and assigns that will not benefit Class A common stockholders to the same extent as it will benefit M&amp;F.</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2"/>
          <w:szCs w:val="12"/>
          <w:color w:val="auto"/>
        </w:rPr>
        <w:t>Our organizational structure confers certain benefits upon M&amp;F that will not benefit the holders of our Class A common stock to the same extent as it will benefit M&amp;F. For example, the Tax Receivable Agreement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we will retain 15% of the amount of such tax benefits, it is possible that the interests of M&amp;F may in some circumstances conflict with our interests and the interests of our other stockholders. For example, M&amp;F may have different tax positions from us, especially in light of the Tax Receivable Agreement, that could influence their decisions regarding whether and when we should dispose of assets, whether and when we should incur new or refinance existing indebtedness, and whether and when we should terminate the Tax Receivable Agreement and accelerate our obligations thereunder. In addition, the determination of future tax reporting positions, the structuring of future transactions and the handling of any future challenges by any taxing authority to our tax reporting positions may take into consideration M&amp;F’s tax or other considerations, which may differ from the considerations of us or our other stockholders. To the extent that M&amp;F is dissolved or liquidated, MacAndrews and/or its affiliates will succeed to the rights and obligations of M&amp;F under the Tax Receivable Agreement, and the same considerations described above apply to any such successor parties.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6" w:name="page57"/>
    <w:bookmarkEnd w:id="5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1B.</w:t>
      </w:r>
      <w:r>
        <w:rPr>
          <w:sz w:val="20"/>
          <w:szCs w:val="20"/>
          <w:color w:val="auto"/>
        </w:rPr>
        <w:tab/>
      </w:r>
      <w:r>
        <w:rPr>
          <w:rFonts w:ascii="Times New Roman" w:cs="Times New Roman" w:eastAsia="Times New Roman" w:hAnsi="Times New Roman"/>
          <w:sz w:val="11"/>
          <w:szCs w:val="11"/>
          <w:b w:val="1"/>
          <w:bCs w:val="1"/>
          <w:color w:val="auto"/>
        </w:rPr>
        <w:t>UNRESOLVED STAFF COMMENTS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1C. CYBERSECURITY</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Audit Committee of our Board of Directors is responsible for overseeing management’s processes for identifying and mitigating risks that affect our operations, including cybersecurity risks. Procedures for assessing, identifying and managing cybersecurity-related risks are incorporated into our overall risk management framework. Senior leadership regularly briefs the Audit Committee and the full Board of Directors on our cybersecurity and information security posture and the Audit Committee is apprised of cybersecurity incidents deemed to pose a critical risk to our information technology ("IT") assets or business. We have an incident response playbook that outlines the steps to be followed from incident detection to mitigation, recovery and notification, including notifying key functional areas, such as legal and financial reporting, as well as senior leadership and the Audit Committee, as appropriate. We rely upon in-house and cybersecurity vendors to monitor our IT systems and assets and have a governance structure and processes to assess, identify, manage, and report cybersecurity risks.</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a biopharmaceutical company, we must comply with extensive regulations, including requirements imposed by the FDA related to adequately safeguarding patient information. We work with our in-house and cybersecurity vendors on assessing cybersecurity risk and on policies and practices aimed at mitigating these risks. We have engaged third-parties to conduct evaluations of our security controls, including through penetration testing, independent audits, and consulting on best practices to address new challenges. We require that our employees and subcontractors report cybersecurity incidents to us so that we can assess the impact of the incident on our systems and operations.</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currently have one full-time employee who manages our day-to-day information technology systems and the third-party vendors engaged to assist in such management, including monitoring and addressing cybersecurity matters and reports to our Chief Financial Officer. Our cybersecurity vendor, which has a SOC 2 Type II Report and is ISO 27001 certified, utilizes industry-leading processes to monitor in real-time cybersecurity threats and risks to our systems. Our in-house IT resource receives immediate notification of incidents and engages regularly with our cybersecurity vendor through weekly and monthly reports and quarterly meetings to address any issues identified through their processes and communicates such issues in accordance with our incident response plan.</w:t>
      </w:r>
    </w:p>
    <w:p>
      <w:pPr>
        <w:spacing w:after="0" w:line="5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Although we have not, as of the date of this Annual Report on Form 10-K, experienced a cybersecurity incident that materially affected our business, financial condition and results of operations, we can provide no assurance that we will not experience a material cybersecurity incident in the future. While we maintain cybersecurity insurance, the costs related to cybersecurity threats or disruptions may not be fully insured. For additional information regarding the risks we face from cybersecurity threats, please see the risk factor titled “Our business and operations would suffer in the event of computer system failures, cyber-attacks or a deficiency in our cybersecurity” included in Part I, Item 1A, Risk Factors of this Annual Report on Form 10-K.</w:t>
      </w:r>
    </w:p>
    <w:p>
      <w:pPr>
        <w:spacing w:after="0" w:line="13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PROPERTIES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corporate headquarters is located in High Point, North Carolina, where we lease 8,682 square feet of office space in the Premier Center office park. The term of the lease for this space continues through November 2025.</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LEGAL PROCEEDINGS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are not currently a party to any material legal proceedings.</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MINE SAFETY DISCLOSURES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7" w:name="page58"/>
    <w:bookmarkEnd w:id="5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240" w:lineRule="exact"/>
        <w:rPr>
          <w:sz w:val="20"/>
          <w:szCs w:val="20"/>
          <w:color w:val="auto"/>
        </w:rPr>
      </w:pPr>
    </w:p>
    <w:p>
      <w:pPr>
        <w:ind w:right="2680"/>
        <w:spacing w:after="0" w:line="379" w:lineRule="auto"/>
        <w:rPr>
          <w:sz w:val="20"/>
          <w:szCs w:val="20"/>
          <w:color w:val="auto"/>
        </w:rPr>
      </w:pPr>
      <w:r>
        <w:rPr>
          <w:rFonts w:ascii="Times New Roman" w:cs="Times New Roman" w:eastAsia="Times New Roman" w:hAnsi="Times New Roman"/>
          <w:sz w:val="12"/>
          <w:szCs w:val="12"/>
          <w:b w:val="1"/>
          <w:bCs w:val="1"/>
          <w:color w:val="auto"/>
        </w:rPr>
        <w:t>ITEM 5. MARKET FOR REGISTRANT’S COMMON EQUITY, RELATED STOCKHOLDER MATTERS AND ISSUER PURCHASES OF EQUITY SECURITIES Market Information</w:t>
      </w:r>
    </w:p>
    <w:p>
      <w:pPr>
        <w:ind w:left="320"/>
        <w:spacing w:after="0"/>
        <w:rPr>
          <w:sz w:val="20"/>
          <w:szCs w:val="20"/>
          <w:color w:val="auto"/>
        </w:rPr>
      </w:pPr>
      <w:r>
        <w:rPr>
          <w:rFonts w:ascii="Times New Roman" w:cs="Times New Roman" w:eastAsia="Times New Roman" w:hAnsi="Times New Roman"/>
          <w:sz w:val="12"/>
          <w:szCs w:val="12"/>
          <w:color w:val="auto"/>
        </w:rPr>
        <w:t>Our Class A common stock is listed on the Nasdaq Capital Market under the symbol “VTVT”.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 cash dividends have ever been declared or paid on the common equity to date by the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Holders</w:t>
      </w:r>
    </w:p>
    <w:p>
      <w:pPr>
        <w:spacing w:after="0" w:line="8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As of March 20, 2025, there were approximately 41 holders of record of our Class A common stock and 6 holders of record of our Class B common stock. Because almost all of the shares of our Class A common stock are held by brokers, nominees and other institutions, we are unable to estimate the total number of beneficial owners represented by these record holders.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There have been no repurchases of the Company’s common stock during the fourth fiscal quarter of fiscal 2024.</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color w:val="auto"/>
        </w:rPr>
        <w:t>RESERVED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58" w:name="page59"/>
    <w:bookmarkEnd w:id="5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color w:val="auto"/>
        </w:rPr>
        <w:t>MANAGEMENT’S DISCUSSION AND ANALYSIS OF FINANCIAL CONDITION AND RESULTS OF OPERATIONS</w:t>
      </w:r>
    </w:p>
    <w:p>
      <w:pPr>
        <w:spacing w:after="0" w:line="80"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2"/>
          <w:szCs w:val="12"/>
          <w:i w:val="1"/>
          <w:iCs w:val="1"/>
          <w:color w:val="auto"/>
        </w:rPr>
        <w:t>The following discussion and analysis should be read in conjunction with our consolidated financial statements and related notes included elsewhere in this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in Part I, Item 1A, “Risk Factors” in this Annual Report on Form 10-K. See the sections entitled “Risk Factors” and “Cautionary Note Regarding Forward-Looking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Company Overview</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We are a clinical stage pharmaceutical company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an orally administered, small molecule, liver-selective glucokinase activator (“GKA”) as an adjunctive therapy to insulin for the treatment of type 1 diabetes ("T1D").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Developments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 xml:space="preserve">In March 2025, the Company announced that the clinical hold placed by the FDA in July 2024 on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clinical program was lifted following the Company’s submission of a complete response letter.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Holding Company Structure</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Overview</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To date, we have not generated any revenue from drug sales. Our revenue has been primarily derived from milestone payments, up-front proceeds and research fees under collaboration and license agreements.</w:t>
      </w:r>
    </w:p>
    <w:p>
      <w:pPr>
        <w:spacing w:after="0" w:line="78"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9" w:name="page60"/>
    <w:bookmarkEnd w:id="5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research and development expenses by project for the years ended December 31, 2024, 2023 and 2022 were as follows (in thousands):</w:t>
      </w:r>
    </w:p>
    <w:p>
      <w:pPr>
        <w:spacing w:after="0" w:line="101"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21" w:lineRule="exact"/>
        <w:rPr>
          <w:sz w:val="20"/>
          <w:szCs w:val="20"/>
          <w:color w:val="auto"/>
        </w:rPr>
      </w:pPr>
    </w:p>
    <w:tbl>
      <w:tblPr>
        <w:tblLayout w:type="fixed"/>
        <w:tblInd w:w="100" w:type="dxa"/>
        <w:tblCellMar>
          <w:top w:w="0" w:type="dxa"/>
          <w:left w:w="0" w:type="dxa"/>
          <w:bottom w:w="0" w:type="dxa"/>
          <w:right w:w="0" w:type="dxa"/>
        </w:tblCellMar>
      </w:tblPr>
      <w:tr>
        <w:trPr>
          <w:trHeight w:val="124"/>
        </w:trPr>
        <w:tc>
          <w:tcPr>
            <w:tcW w:w="656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33"/>
        </w:trPr>
        <w:tc>
          <w:tcPr>
            <w:tcW w:w="6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Direct research and development expense:</w:t>
            </w:r>
          </w:p>
        </w:tc>
        <w:tc>
          <w:tcPr>
            <w:tcW w:w="9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3"/>
        </w:trPr>
        <w:tc>
          <w:tcPr>
            <w:tcW w:w="6560" w:type="dxa"/>
            <w:vAlign w:val="bottom"/>
          </w:tcPr>
          <w:p>
            <w:pPr>
              <w:ind w:left="80"/>
              <w:spacing w:after="0"/>
              <w:rPr>
                <w:sz w:val="20"/>
                <w:szCs w:val="20"/>
                <w:color w:val="auto"/>
              </w:rPr>
            </w:pPr>
            <w:r>
              <w:rPr>
                <w:rFonts w:ascii="Times New Roman" w:cs="Times New Roman" w:eastAsia="Times New Roman" w:hAnsi="Times New Roman"/>
                <w:sz w:val="12"/>
                <w:szCs w:val="12"/>
                <w:i w:val="1"/>
                <w:iCs w:val="1"/>
                <w:color w:val="auto"/>
              </w:rPr>
              <w:t>Cadisegliatin</w:t>
            </w:r>
          </w:p>
        </w:tc>
        <w:tc>
          <w:tcPr>
            <w:tcW w:w="960" w:type="dxa"/>
            <w:vAlign w:val="bottom"/>
          </w:tcPr>
          <w:p>
            <w:pPr>
              <w:jc w:val="right"/>
              <w:ind w:right="84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6,026</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10,182</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9,611</w:t>
            </w:r>
          </w:p>
        </w:tc>
      </w:tr>
      <w:tr>
        <w:trPr>
          <w:trHeight w:val="153"/>
        </w:trPr>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projects*</w:t>
            </w: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563</w:t>
            </w:r>
          </w:p>
        </w:tc>
      </w:tr>
      <w:tr>
        <w:trPr>
          <w:trHeight w:val="15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Indirect research and development expense</w:t>
            </w:r>
          </w:p>
        </w:tc>
        <w:tc>
          <w:tcPr>
            <w:tcW w:w="9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2,737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2,183</w:t>
            </w:r>
          </w:p>
        </w:tc>
      </w:tr>
      <w:tr>
        <w:trPr>
          <w:trHeight w:val="158"/>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research and development expense</w:t>
            </w:r>
          </w:p>
        </w:tc>
        <w:tc>
          <w:tcPr>
            <w:tcW w:w="96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11,546</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13,595</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12,357</w:t>
            </w:r>
          </w:p>
        </w:tc>
      </w:tr>
    </w:tbl>
    <w:p>
      <w:pPr>
        <w:spacing w:after="0" w:line="119" w:lineRule="exact"/>
        <w:rPr>
          <w:sz w:val="20"/>
          <w:szCs w:val="20"/>
          <w:color w:val="auto"/>
        </w:rPr>
      </w:pPr>
    </w:p>
    <w:p>
      <w:pPr>
        <w:ind w:left="420" w:hanging="212"/>
        <w:spacing w:after="0"/>
        <w:tabs>
          <w:tab w:leader="none" w:pos="420" w:val="left"/>
        </w:tabs>
        <w:numPr>
          <w:ilvl w:val="0"/>
          <w:numId w:val="4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Includes </w:t>
      </w:r>
      <w:r>
        <w:rPr>
          <w:rFonts w:ascii="Times New Roman" w:cs="Times New Roman" w:eastAsia="Times New Roman" w:hAnsi="Times New Roman"/>
          <w:sz w:val="10"/>
          <w:szCs w:val="10"/>
          <w:i w:val="1"/>
          <w:iCs w:val="1"/>
          <w:color w:val="auto"/>
        </w:rPr>
        <w:t>HPP737</w:t>
      </w:r>
      <w:r>
        <w:rPr>
          <w:rFonts w:ascii="Times New Roman" w:cs="Times New Roman" w:eastAsia="Times New Roman" w:hAnsi="Times New Roman"/>
          <w:sz w:val="10"/>
          <w:szCs w:val="10"/>
          <w:color w:val="auto"/>
        </w:rPr>
        <w:t xml:space="preserve"> and </w:t>
      </w:r>
      <w:r>
        <w:rPr>
          <w:rFonts w:ascii="Times New Roman" w:cs="Times New Roman" w:eastAsia="Times New Roman" w:hAnsi="Times New Roman"/>
          <w:sz w:val="10"/>
          <w:szCs w:val="10"/>
          <w:i w:val="1"/>
          <w:iCs w:val="1"/>
          <w:color w:val="auto"/>
        </w:rPr>
        <w:t>azeliragon</w:t>
      </w:r>
    </w:p>
    <w:p>
      <w:pPr>
        <w:spacing w:after="0" w:line="69"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We plan to continue to incur significant research and development expenses for the foreseeable future as we continue the development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and further advance the development of our other drug candidates, subject to the availability of additional funding.</w:t>
      </w:r>
    </w:p>
    <w:p>
      <w:pPr>
        <w:spacing w:after="0" w:line="3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47" w:lineRule="exact"/>
        <w:rPr>
          <w:sz w:val="20"/>
          <w:szCs w:val="20"/>
          <w:color w:val="auto"/>
        </w:rPr>
      </w:pPr>
    </w:p>
    <w:p>
      <w:pPr>
        <w:ind w:left="640" w:hanging="324"/>
        <w:spacing w:after="0"/>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rate of progress and expense of our clinical trials once resumed as well as any additional, clinical trials and other research and development activities;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benefits of our candidates over other therapies;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market, commercialize and achieve market acceptance for any of our drug candidates that we are developing or may develop in the future;</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clinical trial results;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enroll patients in our clinical trials;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receipt of any regulatory approvals;</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secure sufficient capital and cash resources, including access to available debt and equity financing and revenues from operations, to satisfy all of our short-term and longer-term cash requirements and other cash needs, at the times and in the amounts needed;</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legislation and regulatory actions and changes in laws or regulations;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filing, prosecuting, defending and enforcing of patent claims and other intellectual property rights, and the expense of doing so.</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General and administrative expenses consist primarily of salaries, benefits and related costs for employees in executive, finance, corporate development, human resources and administrative support functions. Other significant general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0" w:name="page61"/>
    <w:bookmarkEnd w:id="6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1800"/>
        <w:spacing w:after="0" w:line="375" w:lineRule="auto"/>
        <w:rPr>
          <w:sz w:val="20"/>
          <w:szCs w:val="20"/>
          <w:color w:val="auto"/>
        </w:rPr>
      </w:pPr>
      <w:r>
        <w:rPr>
          <w:rFonts w:ascii="Times New Roman" w:cs="Times New Roman" w:eastAsia="Times New Roman" w:hAnsi="Times New Roman"/>
          <w:sz w:val="12"/>
          <w:szCs w:val="12"/>
          <w:color w:val="auto"/>
        </w:rPr>
        <w:t xml:space="preserve">and administrative expenses include accounting and legal services, expenses associated with obtaining and maintaining patents, cost of various consultants, occupancy costs and information systems. </w:t>
      </w:r>
      <w:r>
        <w:rPr>
          <w:rFonts w:ascii="Times New Roman" w:cs="Times New Roman" w:eastAsia="Times New Roman" w:hAnsi="Times New Roman"/>
          <w:sz w:val="12"/>
          <w:szCs w:val="12"/>
          <w:b w:val="1"/>
          <w:bCs w:val="1"/>
          <w:i w:val="1"/>
          <w:iCs w:val="1"/>
          <w:color w:val="auto"/>
        </w:rPr>
        <w:t>Interest Income</w:t>
      </w:r>
    </w:p>
    <w:p>
      <w:pPr>
        <w:spacing w:after="0" w:line="1" w:lineRule="exact"/>
        <w:rPr>
          <w:sz w:val="20"/>
          <w:szCs w:val="20"/>
          <w:color w:val="auto"/>
        </w:rPr>
      </w:pPr>
    </w:p>
    <w:p>
      <w:pPr>
        <w:jc w:val="both"/>
        <w:ind w:firstLine="324"/>
        <w:spacing w:after="0" w:line="293" w:lineRule="auto"/>
        <w:rPr>
          <w:sz w:val="20"/>
          <w:szCs w:val="20"/>
          <w:color w:val="auto"/>
        </w:rPr>
      </w:pPr>
      <w:r>
        <w:rPr>
          <w:rFonts w:ascii="Times New Roman" w:cs="Times New Roman" w:eastAsia="Times New Roman" w:hAnsi="Times New Roman"/>
          <w:sz w:val="12"/>
          <w:szCs w:val="12"/>
          <w:color w:val="auto"/>
        </w:rPr>
        <w:t>Interest income represents noncash interest income related to the imputed interest from the G42 Promissory Note receivable using the effective interest method and cash interest income from dividends and interest from our money market account, all of which are recognized in our Consolidated Statement of Operations</w:t>
      </w:r>
      <w:r>
        <w:rPr>
          <w:rFonts w:ascii="Arial" w:cs="Arial" w:eastAsia="Arial" w:hAnsi="Arial"/>
          <w:sz w:val="14"/>
          <w:szCs w:val="14"/>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Income (Expense), Net</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Other Income (Expense), Net primarily consists of unrealized gains or losses attributable to the changes in fair value of the equity investments, the recognition of changes in fair value of the warrants to purchase shares of our Class A common stock, the loss from the G42 promissory note early redemption on February 28, 2023, the impairment charge from Anteris Bio, Inc. (“Anteris”) liquidation and dissolution and the Common Stock Repurchase Agreement (the "Repurchase Agreement") with Reneo Pharmaceuticals, Inc ("Reneo"), which was later acquired by OnKure in 2024.</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1" w:name="page62"/>
    <w:bookmarkEnd w:id="6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this section, we discuss the results of our operations for the year ended December 31, 2024 compared to the year ended December 31, 2023. For a discussion of the year ended December 31, 2023 compared to the year ended December 31, 2022, please refer to Part II, Item 7, “Management's Discussion and Analysis of Financial Condition and Results of Operations” in our Annual Report on Form 10-K for the year ended December 31,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years ended December 31, 2024 and 2023</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16"/>
        </w:trPr>
        <w:tc>
          <w:tcPr>
            <w:tcW w:w="1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The following table sets forth certain information concerning our results of operations for the periods shown:</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100" w:type="dxa"/>
            <w:vAlign w:val="bottom"/>
          </w:tcPr>
          <w:p>
            <w:pPr>
              <w:spacing w:after="0"/>
              <w:rPr>
                <w:sz w:val="21"/>
                <w:szCs w:val="21"/>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142"/>
        </w:trPr>
        <w:tc>
          <w:tcPr>
            <w:tcW w:w="100" w:type="dxa"/>
            <w:vAlign w:val="bottom"/>
          </w:tcPr>
          <w:p>
            <w:pPr>
              <w:spacing w:after="0"/>
              <w:rPr>
                <w:sz w:val="12"/>
                <w:szCs w:val="12"/>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Statement of operations data:</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100" w:type="dxa"/>
            <w:vAlign w:val="bottom"/>
          </w:tcPr>
          <w:p>
            <w:pPr>
              <w:spacing w:after="0"/>
              <w:rPr>
                <w:sz w:val="12"/>
                <w:szCs w:val="12"/>
                <w:color w:val="auto"/>
              </w:rPr>
            </w:pPr>
          </w:p>
        </w:tc>
        <w:tc>
          <w:tcPr>
            <w:tcW w:w="656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1,017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1,017</w:t>
            </w:r>
          </w:p>
        </w:tc>
      </w:tr>
      <w:tr>
        <w:trPr>
          <w:trHeight w:val="153"/>
        </w:trPr>
        <w:tc>
          <w:tcPr>
            <w:tcW w:w="100" w:type="dxa"/>
            <w:vAlign w:val="bottom"/>
          </w:tcPr>
          <w:p>
            <w:pPr>
              <w:spacing w:after="0"/>
              <w:rPr>
                <w:sz w:val="13"/>
                <w:szCs w:val="13"/>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Operating expenses: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11,546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13,595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(2,049)</w:t>
            </w:r>
          </w:p>
        </w:tc>
      </w:tr>
      <w:tr>
        <w:trPr>
          <w:trHeight w:val="153"/>
        </w:trPr>
        <w:tc>
          <w:tcPr>
            <w:tcW w:w="100" w:type="dxa"/>
            <w:vAlign w:val="bottom"/>
          </w:tcPr>
          <w:p>
            <w:pPr>
              <w:spacing w:after="0"/>
              <w:rPr>
                <w:sz w:val="13"/>
                <w:szCs w:val="13"/>
                <w:color w:val="auto"/>
              </w:rPr>
            </w:pPr>
          </w:p>
        </w:tc>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13,651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11,907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1,744</w:t>
            </w:r>
          </w:p>
        </w:tc>
      </w:tr>
      <w:tr>
        <w:trPr>
          <w:trHeight w:val="142"/>
        </w:trPr>
        <w:tc>
          <w:tcPr>
            <w:tcW w:w="100" w:type="dxa"/>
            <w:vAlign w:val="bottom"/>
          </w:tcPr>
          <w:p>
            <w:pPr>
              <w:spacing w:after="0"/>
              <w:rPr>
                <w:sz w:val="12"/>
                <w:szCs w:val="12"/>
                <w:color w:val="auto"/>
              </w:rPr>
            </w:pPr>
          </w:p>
        </w:tc>
        <w:tc>
          <w:tcPr>
            <w:tcW w:w="656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operating expenses</w:t>
            </w: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25,197</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25,502</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(305)</w:t>
            </w:r>
          </w:p>
        </w:tc>
      </w:tr>
      <w:tr>
        <w:trPr>
          <w:trHeight w:val="142"/>
        </w:trPr>
        <w:tc>
          <w:tcPr>
            <w:tcW w:w="100" w:type="dxa"/>
            <w:vAlign w:val="bottom"/>
          </w:tcPr>
          <w:p>
            <w:pPr>
              <w:spacing w:after="0"/>
              <w:rPr>
                <w:sz w:val="12"/>
                <w:szCs w:val="12"/>
                <w:color w:val="auto"/>
              </w:rPr>
            </w:pPr>
          </w:p>
        </w:tc>
        <w:tc>
          <w:tcPr>
            <w:tcW w:w="65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Operating loss</w:t>
            </w:r>
          </w:p>
        </w:tc>
        <w:tc>
          <w:tcPr>
            <w:tcW w:w="34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(24,180)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(25,502)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1,322</w:t>
            </w: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Interest income</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1,565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472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1,093</w:t>
            </w:r>
          </w:p>
        </w:tc>
      </w:tr>
      <w:tr>
        <w:trPr>
          <w:trHeight w:val="153"/>
        </w:trPr>
        <w:tc>
          <w:tcPr>
            <w:tcW w:w="100" w:type="dxa"/>
            <w:vAlign w:val="bottom"/>
          </w:tcPr>
          <w:p>
            <w:pPr>
              <w:spacing w:after="0"/>
              <w:rPr>
                <w:sz w:val="13"/>
                <w:szCs w:val="13"/>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 expense</w:t>
            </w:r>
          </w:p>
        </w:tc>
        <w:tc>
          <w:tcPr>
            <w:tcW w:w="34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w:t>
            </w: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income (expense), net</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(923)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933</w:t>
            </w:r>
          </w:p>
        </w:tc>
      </w:tr>
      <w:tr>
        <w:trPr>
          <w:trHeight w:val="142"/>
        </w:trPr>
        <w:tc>
          <w:tcPr>
            <w:tcW w:w="100" w:type="dxa"/>
            <w:vAlign w:val="bottom"/>
          </w:tcPr>
          <w:p>
            <w:pPr>
              <w:spacing w:after="0"/>
              <w:rPr>
                <w:sz w:val="12"/>
                <w:szCs w:val="12"/>
                <w:color w:val="auto"/>
              </w:rPr>
            </w:pPr>
          </w:p>
        </w:tc>
        <w:tc>
          <w:tcPr>
            <w:tcW w:w="65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Loss before income taxes and noncontrolling interest</w:t>
            </w:r>
          </w:p>
        </w:tc>
        <w:tc>
          <w:tcPr>
            <w:tcW w:w="34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(22,605)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(25,966)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3,361</w:t>
            </w: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Income tax provision</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w:t>
            </w:r>
          </w:p>
        </w:tc>
      </w:tr>
      <w:tr>
        <w:trPr>
          <w:trHeight w:val="142"/>
        </w:trPr>
        <w:tc>
          <w:tcPr>
            <w:tcW w:w="100" w:type="dxa"/>
            <w:vAlign w:val="bottom"/>
          </w:tcPr>
          <w:p>
            <w:pPr>
              <w:spacing w:after="0"/>
              <w:rPr>
                <w:sz w:val="12"/>
                <w:szCs w:val="12"/>
                <w:color w:val="auto"/>
              </w:rPr>
            </w:pPr>
          </w:p>
        </w:tc>
        <w:tc>
          <w:tcPr>
            <w:tcW w:w="65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Net loss before noncontrolling interest</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(22,705)</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(25,966)</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3,261</w:t>
            </w: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Less: Net loss attributable to noncontrolling interest</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(4,243)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(5,716)</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1,473</w:t>
            </w:r>
          </w:p>
        </w:tc>
      </w:tr>
      <w:tr>
        <w:trPr>
          <w:trHeight w:val="142"/>
        </w:trPr>
        <w:tc>
          <w:tcPr>
            <w:tcW w:w="100" w:type="dxa"/>
            <w:vAlign w:val="bottom"/>
          </w:tcPr>
          <w:p>
            <w:pPr>
              <w:spacing w:after="0"/>
              <w:rPr>
                <w:sz w:val="12"/>
                <w:szCs w:val="12"/>
                <w:color w:val="auto"/>
              </w:rPr>
            </w:pPr>
          </w:p>
        </w:tc>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loss attributable to vTv Therapeutics Inc.</w:t>
            </w: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(18,462)</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1,788</w:t>
            </w:r>
          </w:p>
        </w:tc>
      </w:tr>
      <w:tr>
        <w:trPr>
          <w:trHeight w:val="20"/>
        </w:trPr>
        <w:tc>
          <w:tcPr>
            <w:tcW w:w="1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Revenue for the year ended December 31, 2024 includes a $1.0 million increase to the transaction price for the license performance obligation under the Newsoara License Agreement due to the satisfaction of a development milestone and recognition of deferred Huadong revenue. There was no revenue for the year ended December 31, 2023.</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Research and development expenses were $11.5 million and $13.6 million for the years ended December 31, 2024 and 2023, respectively. The decrease in research and development expenses during this period of approximately $2.0 million, or 15.1%, was primarily driven by (i) lower spending on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of $4.2 million, due to decreases in toxicity studies and other clinical trial costs, drug manufacturing costs and (ii) other projects of $0.2 million, partially offset by (iii) an increase in indirect costs of $2.2 million due to increases in payroll and bonus costs.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expenses were $13.7 million and $11.9 million for the years ended December 31, 2024 and 2023, respectively. The increase in general and administrative expenses during this period of approximately $1.7 million, or 14.6%, was primarily driven by (i) an increase in payroll costs of $1.0 million, (ii) an increase in share-based expense of $0.8 million, (iii) an increase in other operating costs of $0.1 million, partially offset by (iv) a decrease of $0.2 million in legal expenses.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84"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Interest income for the year ended December 31, 2024 of $1.6 million is related to interest and dividend income from our money market account</w:t>
      </w:r>
      <w:r>
        <w:rPr>
          <w:rFonts w:ascii="Arial" w:cs="Arial" w:eastAsia="Arial" w:hAnsi="Arial"/>
          <w:sz w:val="14"/>
          <w:szCs w:val="14"/>
          <w:color w:val="auto"/>
        </w:rPr>
        <w:t>.</w:t>
      </w:r>
      <w:r>
        <w:rPr>
          <w:rFonts w:ascii="Times New Roman" w:cs="Times New Roman" w:eastAsia="Times New Roman" w:hAnsi="Times New Roman"/>
          <w:sz w:val="12"/>
          <w:szCs w:val="12"/>
          <w:color w:val="auto"/>
        </w:rPr>
        <w:t xml:space="preserve"> Interest income for the year ended December 31, 2023 of $0.5 million is related to the imputed interest on the G42 Promissory Note and dividend income from our money market account.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2" w:name="page63"/>
    <w:bookmarkEnd w:id="6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Income (Expense), Net</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Other income was immaterial for the year ended December 31, 2024. Other expense was $0.9 million for the year ended December 31, 2023, and was driven by the recording of an impairment charge on a cost-method investment of $4.2 million offset by a realized gain of $3.1 million related to the Company’s Repurchase Agreement with Reneo as well as the gains related to the change in the fair value of the outstanding warrants to purchase shares of our Class A common stock issued to related parties.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Liquidity and Going Concern</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of December 31, 2024, we had an accumulated deficit of $299.7 million. Since our inception, we have experienced a history of negative cash flows from operating activities. We anticipate that we will continue to incur losses and negative cash flow from operations for the foreseeable future as we continue our clinical trials. Further, we expect that we will need additional capital to continue to fund our operations. As of December 31, 2024, we had cash and cash equivalents of $36.7 million.</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 xml:space="preserve">On February 27, 2024, the Company closed a private placement financing of up to $51.0 million and additionally granted investors the right to purchase up to an additional $30.0 million of common stock up to 18 months following the closing of the private placement financing. The financing raised will allow the Company to further advance its lead program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w:t>
      </w:r>
    </w:p>
    <w:p>
      <w:pPr>
        <w:spacing w:after="0" w:line="3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color w:val="auto"/>
        </w:rPr>
        <w:t xml:space="preserve">To meet our future funding requirements into the first quarter of 2026, including funding the ongoing and future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TTP399</w:t>
      </w:r>
      <w:r>
        <w:rPr>
          <w:rFonts w:ascii="Times New Roman" w:cs="Times New Roman" w:eastAsia="Times New Roman" w:hAnsi="Times New Roman"/>
          <w:sz w:val="12"/>
          <w:szCs w:val="12"/>
          <w:color w:val="auto"/>
        </w:rPr>
        <w:t>), we are evaluating several financing strategies, including direct equity investments and the potential licensing and monetization of other Company programs. The timing and availability of such additional financing are not yet known and we can provide no assurance that these plans will be successful. If we are unable to raise additional capital as and when needed, or upon acceptable terms, such failure would have a significant negative impact on our financial condition. As such, these conditions raise substantial doubt about the Company’s ability to continue as a going concern.</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 We are evaluating several financing strategies to fund our planned and ongoing clinical trials, including direct equity investments and future public offerings of our common stock. The timing and availability of such additional financing are not yet known. These factors raise substantial doubt about our ability to continue as a going concern.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ATM Offering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TD Cowen Sales Agreement</w:t>
      </w:r>
    </w:p>
    <w:p>
      <w:pPr>
        <w:spacing w:after="0" w:line="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although we may only offer and sell under the TD Cowen ATM Offering up to one-third of the aggregate market value of our voting and non-voting common equity held by non-affiliates during any 12 calendar month period pursuant to General Instruction I.B.6 of Form S-3. We are not obligated to sell any shares under the TD Cowen Sales Agreement. Under the terms of the TD Cowen Sales Agreement, we will pay TD Cowen a commission of 3% of the aggregate proceeds from the sale of shares and reimburse certain legal fees or other disbursements. As of December 31, 2024, we have sold 179,400 shares of Class A common stock under the TD Cowen ATM Offering for net proceeds of $2.5 million, leaving $47.5 million available to be sold. The shares are offered and sold pursuant to the Company’s shelf registration statement on Form S-3. In no event will we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3" w:name="page64"/>
    <w:bookmarkEnd w:id="6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Flows</w:t>
      </w:r>
    </w:p>
    <w:p>
      <w:pPr>
        <w:spacing w:after="0" w:line="103"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81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900" w:type="dxa"/>
            <w:vAlign w:val="bottom"/>
            <w:tcBorders>
              <w:bottom w:val="single" w:sz="8" w:color="auto"/>
            </w:tcBorders>
          </w:tcPr>
          <w:p>
            <w:pPr>
              <w:spacing w:after="0"/>
              <w:rPr>
                <w:sz w:val="11"/>
                <w:szCs w:val="11"/>
                <w:color w:val="auto"/>
              </w:rPr>
            </w:pPr>
          </w:p>
        </w:tc>
      </w:tr>
      <w:tr>
        <w:trPr>
          <w:trHeight w:val="123"/>
        </w:trPr>
        <w:tc>
          <w:tcPr>
            <w:tcW w:w="8100" w:type="dxa"/>
            <w:vAlign w:val="bottom"/>
          </w:tcPr>
          <w:p>
            <w:pPr>
              <w:spacing w:after="0"/>
              <w:rPr>
                <w:sz w:val="10"/>
                <w:szCs w:val="10"/>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16"/>
        </w:trPr>
        <w:tc>
          <w:tcPr>
            <w:tcW w:w="810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2"/>
        </w:trPr>
        <w:tc>
          <w:tcPr>
            <w:tcW w:w="8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90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(25,307)</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(19,081)</w:t>
            </w:r>
          </w:p>
        </w:tc>
      </w:tr>
      <w:tr>
        <w:trPr>
          <w:trHeight w:val="153"/>
        </w:trPr>
        <w:tc>
          <w:tcPr>
            <w:tcW w:w="8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cash provided by investing activities</w:t>
            </w:r>
          </w:p>
        </w:tc>
        <w:tc>
          <w:tcPr>
            <w:tcW w:w="90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4,404</w:t>
            </w:r>
          </w:p>
        </w:tc>
      </w:tr>
      <w:tr>
        <w:trPr>
          <w:trHeight w:val="153"/>
        </w:trPr>
        <w:tc>
          <w:tcPr>
            <w:tcW w:w="8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9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52,607</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11,997</w:t>
            </w:r>
          </w:p>
        </w:tc>
      </w:tr>
      <w:tr>
        <w:trPr>
          <w:trHeight w:val="142"/>
        </w:trPr>
        <w:tc>
          <w:tcPr>
            <w:tcW w:w="81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90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27,300</w:t>
            </w: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(2,680)</w:t>
            </w:r>
          </w:p>
        </w:tc>
      </w:tr>
      <w:tr>
        <w:trPr>
          <w:trHeight w:val="20"/>
        </w:trPr>
        <w:tc>
          <w:tcPr>
            <w:tcW w:w="8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For the year ended December 31, 2024, our net cash used in operating activities increased by $6.2 million from the prior year. The significant contributor to the change in cash used during the year was working capital changes.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84" w:lineRule="exact"/>
        <w:rPr>
          <w:sz w:val="20"/>
          <w:szCs w:val="20"/>
          <w:color w:val="auto"/>
        </w:rPr>
      </w:pPr>
    </w:p>
    <w:p>
      <w:pPr>
        <w:ind w:right="240" w:firstLine="333"/>
        <w:spacing w:after="0" w:line="366" w:lineRule="auto"/>
        <w:rPr>
          <w:sz w:val="20"/>
          <w:szCs w:val="20"/>
          <w:color w:val="auto"/>
        </w:rPr>
      </w:pPr>
      <w:r>
        <w:rPr>
          <w:rFonts w:ascii="Times New Roman" w:cs="Times New Roman" w:eastAsia="Times New Roman" w:hAnsi="Times New Roman"/>
          <w:sz w:val="12"/>
          <w:szCs w:val="12"/>
          <w:color w:val="auto"/>
        </w:rPr>
        <w:t>There were no cash flows from investing activities for the year ended December 31, 2024</w:t>
      </w:r>
      <w:r>
        <w:rPr>
          <w:rFonts w:ascii="Arial" w:cs="Arial" w:eastAsia="Arial" w:hAnsi="Arial"/>
          <w:sz w:val="14"/>
          <w:szCs w:val="14"/>
          <w:color w:val="auto"/>
        </w:rPr>
        <w:t>.</w:t>
      </w:r>
      <w:r>
        <w:rPr>
          <w:rFonts w:ascii="Times New Roman" w:cs="Times New Roman" w:eastAsia="Times New Roman" w:hAnsi="Times New Roman"/>
          <w:sz w:val="12"/>
          <w:szCs w:val="12"/>
          <w:color w:val="auto"/>
        </w:rPr>
        <w:t xml:space="preserve"> For the year ended December 31, 2023, net cash provided by investing activities was driven by the sale of our investments in Reneo. </w:t>
      </w:r>
      <w:r>
        <w:rPr>
          <w:rFonts w:ascii="Times New Roman" w:cs="Times New Roman" w:eastAsia="Times New Roman" w:hAnsi="Times New Roman"/>
          <w:sz w:val="12"/>
          <w:szCs w:val="12"/>
          <w:b w:val="1"/>
          <w:bCs w:val="1"/>
          <w:i w:val="1"/>
          <w:iCs w:val="1"/>
          <w:color w:val="auto"/>
        </w:rPr>
        <w:t>Financing Activities</w:t>
      </w:r>
    </w:p>
    <w:p>
      <w:pPr>
        <w:spacing w:after="0" w:line="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For the year ended December 31, 2024, net cash provided by financing activities was driven by sales of our Class A common stock and proceeds from pre-funded warrants of $51.0 million from the Private Placement financing and proceeds from the TD Cowen ATM Offering of $2.5 million. For the year ended December 31, 2023, net cash provided by financing activities was driven by the receipt of proceeds of $12.0 million from the G42 Promissory Note early redemption.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Future Funding Requirements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4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 xml:space="preserve">We plan to finance our operations through the use of our cash and cash equivalents, including cash received from future funding activities. We continue to evaluate financing strategies to fund future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they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although we may sell shares of our Class A common stock pursuant to the TD Cowen ATM Offering, our ability to use this source of capital is dependent on a number of factors, including the prevailing market price of and the volume of trading in the Company’s Class A common stock.</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future capital requirements will depend on many factors, including:</w:t>
      </w:r>
    </w:p>
    <w:p>
      <w:pPr>
        <w:spacing w:after="0" w:line="76" w:lineRule="exact"/>
        <w:rPr>
          <w:sz w:val="20"/>
          <w:szCs w:val="20"/>
          <w:color w:val="auto"/>
        </w:rPr>
      </w:pPr>
    </w:p>
    <w:p>
      <w:pPr>
        <w:ind w:left="640" w:hanging="324"/>
        <w:spacing w:after="0"/>
        <w:tabs>
          <w:tab w:leader="none" w:pos="6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progress, costs, results and timing of restarting our trials to evaluate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as a potential adjunctive therapy for the treatment of type 1 diabetes;</w:t>
      </w:r>
    </w:p>
    <w:p>
      <w:pPr>
        <w:spacing w:after="0" w:line="80"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willingness of the FDA to rely upon our completed and planned clinical and preclinical studies and other work, as the basis for review and approval of our drug candidates;</w:t>
      </w:r>
    </w:p>
    <w:p>
      <w:pPr>
        <w:spacing w:after="0" w:line="76"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our ability to maintain control over our costs in line with our budget for our lead product candidate,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4" w:name="page65"/>
    <w:bookmarkEnd w:id="6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 costs and timing of seeking and obtaining FDA and any other regulatory approvals;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characteristics of drug candidates that we pursue, including our drug candidates in preclinical development;</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drug candidates to progress through clinical development successfully;</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expand our research and development activities;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associated with securing, establishing and maintaining commercialization capabilities;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acquiring, licensing or investing in businesses, products, drug candidates and technologies;</w:t>
      </w:r>
    </w:p>
    <w:p>
      <w:pPr>
        <w:spacing w:after="0" w:line="78" w:lineRule="exact"/>
        <w:rPr>
          <w:rFonts w:ascii="Times New Roman" w:cs="Times New Roman" w:eastAsia="Times New Roman" w:hAnsi="Times New Roman"/>
          <w:sz w:val="12"/>
          <w:szCs w:val="12"/>
          <w:color w:val="auto"/>
        </w:rPr>
      </w:pPr>
    </w:p>
    <w:p>
      <w:pPr>
        <w:ind w:left="640" w:hanging="324"/>
        <w:spacing w:after="0" w:line="279" w:lineRule="auto"/>
        <w:tabs>
          <w:tab w:leader="none" w:pos="637"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39"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and ability to hire additional management, scientific, and medical personnel;</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competing technological and market developments;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implement additional internal systems and infrastructure, including financial and reporting systems;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economic and other terms, timing and success of our existing licensing arrangements and any collaboration, licensing or other arrangements into which we may enter in the future;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payments we are required to make to M&amp;F TTP Holdings Two LLC in the future under the Tax Receivable Agreement.</w:t>
      </w:r>
    </w:p>
    <w:p>
      <w:pPr>
        <w:spacing w:after="0" w:line="7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December 31, 2024, we do not currently have outstanding any off-balance sheet arrangements as defined under SEC rules.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Discussion of Critical Accounting Policies and Estimates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Our management’s discussion and analysis of our financial condition and results of operations is based on our consolidated financial statements, which we have prepared in accordance with generally accepted accounting principles in the United States (“GAAP”). The preparation of our consolidated financial statements requires us to make estimates and assumptions that affect the reported amounts of assets and liabilities and the disclosure of contingent assets and liabilities at the date of our consolidated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3"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While our significant accounting policies are more fully described in Note 2, “Summary of Significant Accounting Policies,” to our audited consolidated financial statements, we believe that the following accounting policies related to revenue recognition, research and development, income taxes, and share-based compensation are the most critical for fully understanding and evaluating our financial condition and results of operations.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5" w:name="page66"/>
    <w:bookmarkEnd w:id="65"/>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majority of our revenue results from our license and collaboration agreements associated with the development of investigational drug products. We account for a contract when it has approval and commitment from both parties, the rights of the parties are identified, payment terms are identified, the contract has commercial substance and collectability of consideration is probable. For each contract meeting these criteria, we identify the performance obligations included within the contract. A performance obligation is a promise in a contract to transfer a distinct good or service to the customer. We then recognize revenue under each contract as the related performance obligations are satisfied.</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transaction price under the contract is determined based on the value of the consideration expected to be received in exchange for the transferred assets or services. Development, regulatory and sales milestones included in our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our best estimate of the standalone selling price of each distinct good or service in the contract. The primary method used to estimate standalone selling price is the expected cost plus margin approach. Revenue is recognized over the related period over which we expect the services to be provided using a proportional performance model or a straight-line method of recognition if there is no discernible pattern over which the services will be provided.</w:t>
      </w:r>
    </w:p>
    <w:p>
      <w:pPr>
        <w:spacing w:after="0" w:line="53" w:lineRule="exact"/>
        <w:rPr>
          <w:sz w:val="20"/>
          <w:szCs w:val="20"/>
          <w:color w:val="auto"/>
        </w:rPr>
      </w:pPr>
    </w:p>
    <w:p>
      <w:pPr>
        <w:ind w:right="2060" w:firstLine="432"/>
        <w:spacing w:after="0" w:line="375" w:lineRule="auto"/>
        <w:rPr>
          <w:sz w:val="20"/>
          <w:szCs w:val="20"/>
          <w:color w:val="auto"/>
        </w:rPr>
      </w:pPr>
      <w:r>
        <w:rPr>
          <w:rFonts w:ascii="Times New Roman" w:cs="Times New Roman" w:eastAsia="Times New Roman" w:hAnsi="Times New Roman"/>
          <w:sz w:val="12"/>
          <w:szCs w:val="12"/>
          <w:color w:val="auto"/>
        </w:rPr>
        <w:t xml:space="preserve">See Note 2 “Summary of Significant Accounting Policies”, to the Consolidated Financial Statements in Item 15 of Part IV of this Annual Report on Form 10-K for further information. </w:t>
      </w:r>
      <w:r>
        <w:rPr>
          <w:rFonts w:ascii="Times New Roman" w:cs="Times New Roman" w:eastAsia="Times New Roman" w:hAnsi="Times New Roman"/>
          <w:sz w:val="12"/>
          <w:szCs w:val="12"/>
          <w:b w:val="1"/>
          <w:bCs w:val="1"/>
          <w:i w:val="1"/>
          <w:iCs w:val="1"/>
          <w:color w:val="auto"/>
        </w:rPr>
        <w:t>Research and Development</w:t>
      </w:r>
    </w:p>
    <w:p>
      <w:pPr>
        <w:spacing w:after="0" w:line="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Major components of research and development costs include cash compensation to employees,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our behalf. Costs incurred in research and development are expensed as incurred.</w:t>
      </w:r>
    </w:p>
    <w:p>
      <w:pPr>
        <w:spacing w:after="0" w:line="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We record accruals based on estimates of the services received, efforts expended and amounts owed pursuant to contracts with numerous contract research organizations. In the normal course of business, we contract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our accrual policy is to match the recording of expenses in our consolidated financial statements to the actual services received and efforts expended. As such, expense accruals related to clinical studies are recognized based on our estimate of the degree of completion of the event or events specified in the specific clinical study.</w:t>
      </w:r>
    </w:p>
    <w:p>
      <w:pPr>
        <w:spacing w:after="0" w:line="53"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We record nonrefundable advance payments we make for future research and development activities as prepaid expenses. Prepaid expenses are recognized as expense in the statements of operations as we receive the related goods or services.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In connection with the Initial Public Offering, vTv Therapeutics Inc. was formed. From August 1, 2015, vTv Therapeutics Inc. has been subject to corporate level income taxes. Prior to July 30, 2015, our predecessor entities were taxed as partnerships and all their income and deductions flowed through and were subject to tax at the partner level.</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vTv Therapeutics Inc. holds vTv Units and is required to recognize deferred tax assets and liabilities for the difference between the financial reporting and tax basis of its investment in vTv LLC.</w:t>
      </w:r>
    </w:p>
    <w:p>
      <w:pPr>
        <w:spacing w:after="0" w:line="7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Our income tax expense, deferred tax assets and liabilities and reserves for unrecognized tax benefits reflect management’s best assessment of estimated future taxes to be paid. We are subject to income taxes in both the United States and various state jurisdictions. Significant judgments and estimates are required in determining the consolidated income tax expense.</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We account for income taxes under the asset and liability method, which requires the recognition of deferred tax assets and liabilities for the expected future tax consequences of events included in the consolidated financial statements. Under this method, we determine deferred tax assets and liabilities on the basis of differences between the consolidated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6" w:name="page67"/>
    <w:bookmarkEnd w:id="66"/>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We recognize deferred tax assets to the extent we believe these assets are more-likely-than-not to be realized. In making such a determination, we consider all available positive and negative evidence, including future reversals of existing taxable temporary differences, projected future taxable income, tax planning strategies and recent results of operations.</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We record uncertain tax positions on the basis of a two-step process in which (1) we determine whether it is more-likely-than-not that the tax positions will be sustained on the basis of the technical merits of the position and (2) for those tax positions meeting the more-likely-than-not recognition threshold, we recognize the largest amount of tax benefit that is more than 50% likely to be realized upon ultimate settlement with the related tax authority.</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Interest and penalties related to income taxes are included in the benefit (provision) for income taxes in our Consolidated Statement of Operations. We have not incurred any significant interest or penalties related to income taxes in any of the periods presented.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Share-Based Compensation</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Expected volatility is based on the historical volatility of the Company’s Class A common stock over the most recent period commensurate with the estimated expected term of the Company’s stock options offering period which is derived from historical experience. The risk-free rate is based on the U.S. Treasury yield curve in effect at the time of grant. Due to a lack of historical exercise data, we estimate the expected life of our outstanding stock options using the simplified method specified under Staff Accounting Bulletin Topic 14.D.2. The fair value of restricted stock units (“RSU”) grants is based on the market value of our Class A common stock on the date of grant. We also estimate the amount of share-based awards that are expected to be forfeited based on historical employee turnover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Recent Accounting Pronouncements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See discussion of recent accounting pronouncements in Note 2, “Summary of Significant Accounting Policies”, to the Consolidated Financial Statements in Item 15 of Part IV of this Annual Report on Form 10-K.</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7A.</w:t>
      </w:r>
      <w:r>
        <w:rPr>
          <w:sz w:val="20"/>
          <w:szCs w:val="20"/>
          <w:color w:val="auto"/>
        </w:rPr>
        <w:tab/>
      </w:r>
      <w:r>
        <w:rPr>
          <w:rFonts w:ascii="Times New Roman" w:cs="Times New Roman" w:eastAsia="Times New Roman" w:hAnsi="Times New Roman"/>
          <w:sz w:val="11"/>
          <w:szCs w:val="11"/>
          <w:b w:val="1"/>
          <w:bCs w:val="1"/>
          <w:color w:val="auto"/>
        </w:rPr>
        <w:t>QUANTITATIVE AND QUALITATIVE DISCLOSURES ABOUT MARKET RISK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Rate Risk</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do not currently have any material interest rate exposure.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Market Risk</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cash and cash equivalents with multiple financial institutions that management believes to be of high credit quality.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Risk</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We do not have any material foreign currency exposure.</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8.</w:t>
      </w:r>
      <w:r>
        <w:rPr>
          <w:sz w:val="20"/>
          <w:szCs w:val="20"/>
          <w:color w:val="auto"/>
        </w:rPr>
        <w:tab/>
      </w:r>
      <w:r>
        <w:rPr>
          <w:rFonts w:ascii="Times New Roman" w:cs="Times New Roman" w:eastAsia="Times New Roman" w:hAnsi="Times New Roman"/>
          <w:sz w:val="11"/>
          <w:szCs w:val="11"/>
          <w:b w:val="1"/>
          <w:bCs w:val="1"/>
          <w:color w:val="auto"/>
        </w:rPr>
        <w:t>FINANCIAL STATEMENTS AND SUPPLEMENTARY DATA</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information required by this Item is included in our Consolidated Financial Statements and Supplementary Data listed in Item 15 of Part IV of this Annual Report on Form 10-K.</w:t>
      </w:r>
    </w:p>
    <w:p>
      <w:pPr>
        <w:spacing w:after="0" w:line="16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CHANGES IN AND DISAGREEMENTS WITH ACCOUNTANTS ON ACCOUNTING AND FINANCIAL DISCLOSURE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None.</w:t>
      </w:r>
    </w:p>
    <w:p>
      <w:pPr>
        <w:spacing w:after="0" w:line="16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9A.</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7" w:name="page68"/>
    <w:bookmarkEnd w:id="67"/>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Under the supervision and with the participation of our Chief Executive Officer (our principal executive officer) and Chief Financial Officer (our principal financial officer), management has evaluated the effectiveness of the design and operation of our disclosure controls and procedures (as defined in Rules 13a-15(e) or 15d-15(e) of the Securities Exchange Act of 1934) as of December 31, 2024. Based upon that evaluation, our Chief Executive Officer and Chief Financial Officer concluded that, as of December 31, 2024,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with SEC disclosure obligations.</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3"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Annual Report on Internal Control Over Financial Reporting</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the consolidated financial statements for external reporting purposes in accordance with generally accepted accounting principles. Our internal control over financial reporting includes those written policies and procedures that:</w:t>
      </w:r>
    </w:p>
    <w:p>
      <w:pPr>
        <w:spacing w:after="0" w:line="47" w:lineRule="exact"/>
        <w:rPr>
          <w:sz w:val="20"/>
          <w:szCs w:val="20"/>
          <w:color w:val="auto"/>
        </w:rPr>
      </w:pPr>
    </w:p>
    <w:p>
      <w:pPr>
        <w:ind w:left="640" w:hanging="324"/>
        <w:spacing w:after="0"/>
        <w:tabs>
          <w:tab w:leader="none" w:pos="6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pertain to the maintenance of records that, in reasonable detail, accurately and fairly reflect the transactions and dispositions of assets;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transactions are recorded as necessary to permit preparation of the consolidated financial statements in accordance with generally accepted accounting principles;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receipts and expenditures are being made only in accordance with management and director authorization;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regarding prevention or timely detection of unauthorized acquisition, use or disposition of assets that could have a material effect on the consolidated financial statements.</w:t>
      </w:r>
    </w:p>
    <w:p>
      <w:pPr>
        <w:spacing w:after="0" w:line="51"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1"/>
          <w:szCs w:val="11"/>
          <w:color w:val="auto"/>
        </w:rPr>
        <w:t>Management assessed the effectiveness of our internal control over financial reporting as of December 31, 2024. Management based this assessment on criteria described in Internal Control - Integrated Framework (2013) issued by the Committee of Sponsoring Organizations of the Treadway Commission (COSO). Based on this assessment, management determined that as of December 31, 2024, we maintained effective internal control over financial reporting.</w:t>
      </w:r>
    </w:p>
    <w:p>
      <w:pPr>
        <w:spacing w:after="0"/>
        <w:rPr>
          <w:sz w:val="20"/>
          <w:szCs w:val="20"/>
          <w:color w:val="auto"/>
        </w:rPr>
      </w:pPr>
      <w:r>
        <w:rPr>
          <w:rFonts w:ascii="Times New Roman" w:cs="Times New Roman" w:eastAsia="Times New Roman" w:hAnsi="Times New Roman"/>
          <w:sz w:val="12"/>
          <w:szCs w:val="12"/>
          <w:b w:val="1"/>
          <w:bCs w:val="1"/>
          <w:color w:val="auto"/>
        </w:rPr>
        <w:t>Changes to Internal Control over Financial Reporting</w:t>
      </w:r>
    </w:p>
    <w:p>
      <w:pPr>
        <w:spacing w:after="0" w:line="55"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9B.</w:t>
      </w:r>
      <w:r>
        <w:rPr>
          <w:sz w:val="20"/>
          <w:szCs w:val="20"/>
          <w:color w:val="auto"/>
        </w:rPr>
        <w:tab/>
      </w:r>
      <w:r>
        <w:rPr>
          <w:rFonts w:ascii="Times New Roman" w:cs="Times New Roman" w:eastAsia="Times New Roman" w:hAnsi="Times New Roman"/>
          <w:sz w:val="11"/>
          <w:szCs w:val="11"/>
          <w:b w:val="1"/>
          <w:bCs w:val="1"/>
          <w:color w:val="auto"/>
        </w:rPr>
        <w:t>OTHER INFORMATION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8" w:name="page69"/>
    <w:bookmarkEnd w:id="68"/>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Rule 10b5-1 Trading Plans</w:t>
      </w:r>
    </w:p>
    <w:p>
      <w:pPr>
        <w:spacing w:after="0" w:line="64"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None of the Company's directors or Section 16 reporting officers adopted or terminated any Rule 10b5-1 trading arrangement or non-Rule 10b5-1 trading arrangement (as such terms are defined in Item 408 or Regulation S-K) during the quarter ended December 31, 2024.</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9C.</w:t>
      </w:r>
      <w:r>
        <w:rPr>
          <w:sz w:val="20"/>
          <w:szCs w:val="20"/>
          <w:color w:val="auto"/>
        </w:rPr>
        <w:tab/>
      </w:r>
      <w:r>
        <w:rPr>
          <w:rFonts w:ascii="Times New Roman" w:cs="Times New Roman" w:eastAsia="Times New Roman" w:hAnsi="Times New Roman"/>
          <w:sz w:val="11"/>
          <w:szCs w:val="11"/>
          <w:b w:val="1"/>
          <w:bCs w:val="1"/>
          <w:color w:val="auto"/>
        </w:rPr>
        <w:t>DISCLOSURE REGARDING FOREIGN JURISDICTIONS THAT PREVENT INSPECTIONS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9" w:name="page70"/>
    <w:bookmarkEnd w:id="69"/>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6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DIRECTORS, EXECUTIVE OFFICERS AND CORPORATE GOVERNANCE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2025 Annual Meeting of Stockholders to be filed with the SEC within 120 days of the fiscal year ended December 31, 2024.</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11.</w:t>
        <w:tab/>
        <w:t>EXECUTIVE COMPENSATION</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2025 Annual Meeting of Stockholders to be filed with the SEC within 120 days of the fiscal year ended December 31, 2024.</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color w:val="auto"/>
        </w:rPr>
        <w:t>SECURITY OWNERSHIP OF CERTAIN BENEFICIAL OWNERS AND MANAGEMENT AND RELATED STOCKHOLDER MATTERS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2025 Annual Meeting of Stockholders to be filed with the SEC within 120 days of the fiscal year ended December 31, 2024.</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color w:val="auto"/>
        </w:rPr>
        <w:t>CERTAIN RELATIONSHIPS AND RELATED TRANSACTIONS, AND DIRECTOR INDEPENDENCE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2025 Annual Meeting of Stockholders to be filed with the SEC within 120 days of the fiscal year ended December 31, 2024.</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1"/>
          <w:szCs w:val="11"/>
          <w:b w:val="1"/>
          <w:bCs w:val="1"/>
          <w:color w:val="auto"/>
        </w:rPr>
        <w:t>PRINCIPAL ACCOUNTANT FEES AND SERVICES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The information required by this item is incorporated by reference to our Proxy Statement for the 2025 Annual Meeting of Stockholders to be filed with the SEC within 120 days of the fiscal year ended December 31, 2024.</w:t>
      </w:r>
    </w:p>
    <w:p>
      <w:pPr>
        <w:spacing w:after="0" w:line="200" w:lineRule="exact"/>
        <w:rPr>
          <w:sz w:val="20"/>
          <w:szCs w:val="20"/>
          <w:color w:val="auto"/>
        </w:rPr>
      </w:pPr>
    </w:p>
    <w:p>
      <w:pPr>
        <w:spacing w:after="0" w:line="3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80"/>
          </w:cols>
          <w:pgMar w:left="300" w:top="201" w:right="619" w:bottom="1440" w:gutter="0" w:footer="0" w:header="0"/>
        </w:sectPr>
      </w:pPr>
    </w:p>
    <w:bookmarkStart w:id="70" w:name="page71"/>
    <w:bookmarkEnd w:id="70"/>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PART IV</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240" w:type="dxa"/>
            <w:vAlign w:val="bottom"/>
            <w:gridSpan w:val="31"/>
          </w:tcPr>
          <w:p>
            <w:pPr>
              <w:spacing w:after="0"/>
              <w:rPr>
                <w:sz w:val="20"/>
                <w:szCs w:val="20"/>
                <w:color w:val="auto"/>
              </w:rPr>
            </w:pPr>
            <w:r>
              <w:rPr>
                <w:rFonts w:ascii="Times New Roman" w:cs="Times New Roman" w:eastAsia="Times New Roman" w:hAnsi="Times New Roman"/>
                <w:sz w:val="12"/>
                <w:szCs w:val="12"/>
                <w:b w:val="1"/>
                <w:bCs w:val="1"/>
                <w:color w:val="auto"/>
              </w:rPr>
              <w:t>ITEM 15.  EXHIBITS AND FINANCIAL STATEMENT SCHEDULES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40" w:type="dxa"/>
            <w:vAlign w:val="bottom"/>
            <w:gridSpan w:val="31"/>
          </w:tcPr>
          <w:p>
            <w:pPr>
              <w:spacing w:after="0"/>
              <w:rPr>
                <w:sz w:val="20"/>
                <w:szCs w:val="20"/>
                <w:color w:val="auto"/>
              </w:rPr>
            </w:pPr>
            <w:r>
              <w:rPr>
                <w:rFonts w:ascii="Times New Roman" w:cs="Times New Roman" w:eastAsia="Times New Roman" w:hAnsi="Times New Roman"/>
                <w:sz w:val="12"/>
                <w:szCs w:val="12"/>
                <w:color w:val="auto"/>
              </w:rPr>
              <w:t>(a)(1) Financial Statements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9"/>
          </w:tcPr>
          <w:p>
            <w:pPr>
              <w:ind w:left="120"/>
              <w:spacing w:after="0"/>
              <w:rPr>
                <w:sz w:val="20"/>
                <w:szCs w:val="20"/>
                <w:color w:val="auto"/>
              </w:rPr>
            </w:pPr>
            <w:r>
              <w:rPr>
                <w:rFonts w:ascii="Times New Roman" w:cs="Times New Roman" w:eastAsia="Times New Roman" w:hAnsi="Times New Roman"/>
                <w:sz w:val="12"/>
                <w:szCs w:val="12"/>
                <w:color w:val="auto"/>
              </w:rPr>
              <w:t>The following documents are included on pages F-1 through F-32 attached hereto and are filed as part of this Annual Report on Form 10-K.</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10140" w:type="dxa"/>
            <w:vAlign w:val="bottom"/>
            <w:gridSpan w:val="30"/>
          </w:tcPr>
          <w:p>
            <w:pPr>
              <w:spacing w:after="0"/>
              <w:rPr>
                <w:sz w:val="20"/>
                <w:szCs w:val="20"/>
                <w:color w:val="auto"/>
              </w:rPr>
            </w:pPr>
            <w:r>
              <w:rPr>
                <w:rFonts w:ascii="Times New Roman" w:cs="Times New Roman" w:eastAsia="Times New Roman" w:hAnsi="Times New Roman"/>
                <w:sz w:val="12"/>
                <w:szCs w:val="12"/>
                <w:color w:val="auto"/>
              </w:rPr>
              <w:t>Report of Independent Registered Public Accounting Firm</w:t>
            </w: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F-2</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10140" w:type="dxa"/>
            <w:vAlign w:val="bottom"/>
            <w:gridSpan w:val="30"/>
          </w:tcPr>
          <w:p>
            <w:pPr>
              <w:spacing w:after="0" w:line="128" w:lineRule="exact"/>
              <w:rPr>
                <w:sz w:val="20"/>
                <w:szCs w:val="20"/>
                <w:color w:val="auto"/>
              </w:rPr>
            </w:pPr>
            <w:r>
              <w:rPr>
                <w:rFonts w:ascii="Times New Roman" w:cs="Times New Roman" w:eastAsia="Times New Roman" w:hAnsi="Times New Roman"/>
                <w:sz w:val="12"/>
                <w:szCs w:val="12"/>
                <w:color w:val="0000FF"/>
              </w:rPr>
              <w:t xml:space="preserve">Consolidated Balance Sheets as of </w:t>
            </w:r>
            <w:r>
              <w:rPr>
                <w:rFonts w:ascii="Times New Roman" w:cs="Times New Roman" w:eastAsia="Times New Roman" w:hAnsi="Times New Roman"/>
                <w:sz w:val="12"/>
                <w:szCs w:val="12"/>
                <w:color w:val="000000"/>
              </w:rPr>
              <w:t>December 31, 2024</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2023</w:t>
            </w:r>
          </w:p>
        </w:tc>
        <w:tc>
          <w:tcPr>
            <w:tcW w:w="1060" w:type="dxa"/>
            <w:vAlign w:val="bottom"/>
            <w:gridSpan w:val="2"/>
          </w:tcPr>
          <w:p>
            <w:pPr>
              <w:ind w:left="780"/>
              <w:spacing w:after="0" w:line="128" w:lineRule="exact"/>
              <w:rPr>
                <w:sz w:val="20"/>
                <w:szCs w:val="20"/>
                <w:color w:val="auto"/>
              </w:rPr>
            </w:pPr>
            <w:r>
              <w:rPr>
                <w:rFonts w:ascii="Times New Roman" w:cs="Times New Roman" w:eastAsia="Times New Roman" w:hAnsi="Times New Roman"/>
                <w:sz w:val="12"/>
                <w:szCs w:val="12"/>
                <w:color w:val="auto"/>
              </w:rPr>
              <w:t>F-4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 w:type="dxa"/>
            <w:vAlign w:val="bottom"/>
          </w:tcPr>
          <w:p>
            <w:pPr>
              <w:spacing w:after="0"/>
              <w:rPr>
                <w:sz w:val="11"/>
                <w:szCs w:val="11"/>
                <w:color w:val="auto"/>
              </w:rPr>
            </w:pPr>
          </w:p>
        </w:tc>
        <w:tc>
          <w:tcPr>
            <w:tcW w:w="10140" w:type="dxa"/>
            <w:vAlign w:val="bottom"/>
            <w:gridSpan w:val="30"/>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Operations for the Years Ended </w:t>
            </w:r>
            <w:r>
              <w:rPr>
                <w:rFonts w:ascii="Times New Roman" w:cs="Times New Roman" w:eastAsia="Times New Roman" w:hAnsi="Times New Roman"/>
                <w:sz w:val="12"/>
                <w:szCs w:val="12"/>
                <w:color w:val="000000"/>
              </w:rPr>
              <w:t>December 31, 2024</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2023</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2022</w:t>
            </w:r>
          </w:p>
        </w:tc>
        <w:tc>
          <w:tcPr>
            <w:tcW w:w="1060" w:type="dxa"/>
            <w:vAlign w:val="bottom"/>
            <w:gridSpan w:val="2"/>
          </w:tcPr>
          <w:p>
            <w:pPr>
              <w:ind w:left="780"/>
              <w:spacing w:after="0" w:line="133" w:lineRule="exact"/>
              <w:rPr>
                <w:sz w:val="20"/>
                <w:szCs w:val="20"/>
                <w:color w:val="auto"/>
              </w:rPr>
            </w:pPr>
            <w:r>
              <w:rPr>
                <w:rFonts w:ascii="Times New Roman" w:cs="Times New Roman" w:eastAsia="Times New Roman" w:hAnsi="Times New Roman"/>
                <w:sz w:val="12"/>
                <w:szCs w:val="12"/>
                <w:color w:val="auto"/>
              </w:rPr>
              <w:t>F-5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0" w:type="dxa"/>
            <w:vAlign w:val="bottom"/>
          </w:tcPr>
          <w:p>
            <w:pPr>
              <w:spacing w:after="0"/>
              <w:rPr>
                <w:sz w:val="11"/>
                <w:szCs w:val="11"/>
                <w:color w:val="auto"/>
              </w:rPr>
            </w:pPr>
          </w:p>
        </w:tc>
        <w:tc>
          <w:tcPr>
            <w:tcW w:w="10140" w:type="dxa"/>
            <w:vAlign w:val="bottom"/>
            <w:gridSpan w:val="30"/>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Changes in Redeemable Noncontrolling Interest and Stockholders’ Deficit for the Years Ended </w:t>
            </w:r>
            <w:r>
              <w:rPr>
                <w:rFonts w:ascii="Times New Roman" w:cs="Times New Roman" w:eastAsia="Times New Roman" w:hAnsi="Times New Roman"/>
                <w:sz w:val="12"/>
                <w:szCs w:val="12"/>
                <w:color w:val="000000"/>
              </w:rPr>
              <w:t>December 31, 2024</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2023</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2022</w:t>
            </w:r>
          </w:p>
        </w:tc>
        <w:tc>
          <w:tcPr>
            <w:tcW w:w="1060" w:type="dxa"/>
            <w:vAlign w:val="bottom"/>
            <w:gridSpan w:val="2"/>
          </w:tcPr>
          <w:p>
            <w:pPr>
              <w:ind w:left="780"/>
              <w:spacing w:after="0" w:line="133" w:lineRule="exact"/>
              <w:rPr>
                <w:sz w:val="20"/>
                <w:szCs w:val="20"/>
                <w:color w:val="auto"/>
              </w:rPr>
            </w:pPr>
            <w:r>
              <w:rPr>
                <w:rFonts w:ascii="Times New Roman" w:cs="Times New Roman" w:eastAsia="Times New Roman" w:hAnsi="Times New Roman"/>
                <w:sz w:val="12"/>
                <w:szCs w:val="12"/>
                <w:color w:val="auto"/>
              </w:rPr>
              <w:t>F-6</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6060" w:type="dxa"/>
            <w:vAlign w:val="bottom"/>
            <w:tcBorders>
              <w:top w:val="single" w:sz="8" w:color="0000FF"/>
            </w:tcBorders>
            <w:gridSpan w:val="22"/>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Cash Flows for the Years Ended </w:t>
            </w:r>
            <w:r>
              <w:rPr>
                <w:rFonts w:ascii="Times New Roman" w:cs="Times New Roman" w:eastAsia="Times New Roman" w:hAnsi="Times New Roman"/>
                <w:sz w:val="12"/>
                <w:szCs w:val="12"/>
                <w:color w:val="000000"/>
              </w:rPr>
              <w:t>December 31, 2024</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2023</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2022</w:t>
            </w:r>
          </w:p>
        </w:tc>
        <w:tc>
          <w:tcPr>
            <w:tcW w:w="1120" w:type="dxa"/>
            <w:vAlign w:val="bottom"/>
            <w:gridSpan w:val="2"/>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2720" w:type="dxa"/>
            <w:vAlign w:val="bottom"/>
            <w:gridSpan w:val="5"/>
          </w:tcPr>
          <w:p>
            <w:pPr>
              <w:spacing w:after="0"/>
              <w:rPr>
                <w:sz w:val="11"/>
                <w:szCs w:val="11"/>
                <w:color w:val="auto"/>
              </w:rPr>
            </w:pPr>
          </w:p>
        </w:tc>
        <w:tc>
          <w:tcPr>
            <w:tcW w:w="1060" w:type="dxa"/>
            <w:vAlign w:val="bottom"/>
            <w:gridSpan w:val="2"/>
          </w:tcPr>
          <w:p>
            <w:pPr>
              <w:ind w:left="780"/>
              <w:spacing w:after="0" w:line="133" w:lineRule="exact"/>
              <w:rPr>
                <w:sz w:val="20"/>
                <w:szCs w:val="20"/>
                <w:color w:val="auto"/>
              </w:rPr>
            </w:pPr>
            <w:r>
              <w:rPr>
                <w:rFonts w:ascii="Times New Roman" w:cs="Times New Roman" w:eastAsia="Times New Roman" w:hAnsi="Times New Roman"/>
                <w:sz w:val="12"/>
                <w:szCs w:val="12"/>
                <w:color w:val="auto"/>
              </w:rPr>
              <w:t>F-7</w:t>
            </w: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29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2"/>
                <w:szCs w:val="12"/>
                <w:color w:val="auto"/>
              </w:rPr>
              <w:t>Notes to Consolidated Financial Statements</w:t>
            </w:r>
          </w:p>
        </w:tc>
        <w:tc>
          <w:tcPr>
            <w:tcW w:w="1240" w:type="dxa"/>
            <w:vAlign w:val="bottom"/>
            <w:gridSpan w:val="2"/>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5740" w:type="dxa"/>
            <w:vAlign w:val="bottom"/>
            <w:gridSpan w:val="14"/>
          </w:tcPr>
          <w:p>
            <w:pPr>
              <w:spacing w:after="0"/>
              <w:rPr>
                <w:sz w:val="13"/>
                <w:szCs w:val="13"/>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F-8</w:t>
            </w:r>
          </w:p>
        </w:tc>
        <w:tc>
          <w:tcPr>
            <w:tcW w:w="0" w:type="dxa"/>
            <w:vAlign w:val="bottom"/>
          </w:tcPr>
          <w:p>
            <w:pPr>
              <w:spacing w:after="0"/>
              <w:rPr>
                <w:sz w:val="1"/>
                <w:szCs w:val="1"/>
                <w:color w:val="auto"/>
              </w:rPr>
            </w:pPr>
          </w:p>
        </w:tc>
      </w:tr>
      <w:tr>
        <w:trPr>
          <w:trHeight w:val="279"/>
        </w:trPr>
        <w:tc>
          <w:tcPr>
            <w:tcW w:w="10240" w:type="dxa"/>
            <w:vAlign w:val="bottom"/>
            <w:gridSpan w:val="31"/>
          </w:tcPr>
          <w:p>
            <w:pPr>
              <w:spacing w:after="0"/>
              <w:rPr>
                <w:sz w:val="20"/>
                <w:szCs w:val="20"/>
                <w:color w:val="auto"/>
              </w:rPr>
            </w:pPr>
            <w:r>
              <w:rPr>
                <w:rFonts w:ascii="Times New Roman" w:cs="Times New Roman" w:eastAsia="Times New Roman" w:hAnsi="Times New Roman"/>
                <w:sz w:val="12"/>
                <w:szCs w:val="12"/>
                <w:color w:val="auto"/>
              </w:rPr>
              <w:t>(a)(2) Financial Statement Schedules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Not applicable</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(a)(3) List of Exhibits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60" w:type="dxa"/>
            <w:vAlign w:val="bottom"/>
            <w:gridSpan w:val="11"/>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Number</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60" w:type="dxa"/>
            <w:vAlign w:val="bottom"/>
            <w:gridSpan w:val="11"/>
            <w:vMerge w:val="continue"/>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gridSpan w:val="2"/>
          </w:tcPr>
          <w:p>
            <w:pPr>
              <w:spacing w:after="0"/>
              <w:rPr>
                <w:sz w:val="15"/>
                <w:szCs w:val="15"/>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600" w:type="dxa"/>
            <w:vAlign w:val="bottom"/>
          </w:tcPr>
          <w:p>
            <w:pPr>
              <w:spacing w:after="0"/>
              <w:rPr>
                <w:sz w:val="15"/>
                <w:szCs w:val="15"/>
                <w:color w:val="auto"/>
              </w:rPr>
            </w:pPr>
          </w:p>
        </w:tc>
        <w:tc>
          <w:tcPr>
            <w:tcW w:w="10160" w:type="dxa"/>
            <w:vAlign w:val="bottom"/>
            <w:gridSpan w:val="29"/>
          </w:tcPr>
          <w:p>
            <w:pPr>
              <w:spacing w:after="0"/>
              <w:rPr>
                <w:rFonts w:ascii="Times New Roman" w:cs="Times New Roman" w:eastAsia="Times New Roman" w:hAnsi="Times New Roman"/>
                <w:sz w:val="12"/>
                <w:szCs w:val="12"/>
                <w:color w:val="0000FF"/>
              </w:rPr>
            </w:pPr>
            <w:hyperlink r:id="rId155">
              <w:r>
                <w:rPr>
                  <w:rFonts w:ascii="Times New Roman" w:cs="Times New Roman" w:eastAsia="Times New Roman" w:hAnsi="Times New Roman"/>
                  <w:sz w:val="12"/>
                  <w:szCs w:val="12"/>
                  <w:color w:val="0000FF"/>
                </w:rPr>
                <w:t>Sales Agreement, dated February 28, 2024, by and between vTv Therapeutics Inc. and Cowen and Company, LLC (incorporated by reference from Exhibit 1.1 to the Company’s Form 8-K, filed February 28,</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55">
              <w:r>
                <w:rPr>
                  <w:rFonts w:ascii="Times New Roman" w:cs="Times New Roman" w:eastAsia="Times New Roman" w:hAnsi="Times New Roman"/>
                  <w:sz w:val="11"/>
                  <w:szCs w:val="11"/>
                  <w:color w:val="0000FF"/>
                </w:rPr>
                <w:t>2024 (File No. 001-37524)).</w:t>
              </w:r>
            </w:hyperlink>
          </w:p>
        </w:tc>
        <w:tc>
          <w:tcPr>
            <w:tcW w:w="7740" w:type="dxa"/>
            <w:vAlign w:val="bottom"/>
            <w:tcBorders>
              <w:top w:val="single" w:sz="8" w:color="0000FF"/>
            </w:tcBorders>
            <w:gridSpan w:val="23"/>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3.1</w:t>
            </w:r>
          </w:p>
        </w:tc>
        <w:tc>
          <w:tcPr>
            <w:tcW w:w="600" w:type="dxa"/>
            <w:vAlign w:val="bottom"/>
          </w:tcPr>
          <w:p>
            <w:pPr>
              <w:spacing w:after="0"/>
              <w:rPr>
                <w:sz w:val="15"/>
                <w:szCs w:val="15"/>
                <w:color w:val="auto"/>
              </w:rPr>
            </w:pPr>
          </w:p>
        </w:tc>
        <w:tc>
          <w:tcPr>
            <w:tcW w:w="9100" w:type="dxa"/>
            <w:vAlign w:val="bottom"/>
            <w:tcBorders>
              <w:bottom w:val="single" w:sz="8" w:color="0000FF"/>
            </w:tcBorders>
            <w:gridSpan w:val="27"/>
          </w:tcPr>
          <w:p>
            <w:pPr>
              <w:spacing w:after="0"/>
              <w:rPr>
                <w:rFonts w:ascii="Times New Roman" w:cs="Times New Roman" w:eastAsia="Times New Roman" w:hAnsi="Times New Roman"/>
                <w:sz w:val="12"/>
                <w:szCs w:val="12"/>
                <w:color w:val="0000FF"/>
                <w:w w:val="99"/>
              </w:rPr>
            </w:pPr>
            <w:hyperlink r:id="rId156">
              <w:r>
                <w:rPr>
                  <w:rFonts w:ascii="Times New Roman" w:cs="Times New Roman" w:eastAsia="Times New Roman" w:hAnsi="Times New Roman"/>
                  <w:sz w:val="12"/>
                  <w:szCs w:val="12"/>
                  <w:color w:val="0000FF"/>
                  <w:w w:val="99"/>
                </w:rPr>
                <w:t>Amended and Restated Certificate of Incorporation dated July 29, 2015 (incorporated by reference from Exhibit 3.1 to the Company’s Form 8-K, filed August 4, 2015 (File No. 001-37524)).</w:t>
              </w:r>
            </w:hyperlink>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3.2</w:t>
            </w:r>
          </w:p>
        </w:tc>
        <w:tc>
          <w:tcPr>
            <w:tcW w:w="600" w:type="dxa"/>
            <w:vAlign w:val="bottom"/>
          </w:tcPr>
          <w:p>
            <w:pPr>
              <w:spacing w:after="0"/>
              <w:rPr>
                <w:sz w:val="14"/>
                <w:szCs w:val="14"/>
                <w:color w:val="auto"/>
              </w:rPr>
            </w:pPr>
          </w:p>
        </w:tc>
        <w:tc>
          <w:tcPr>
            <w:tcW w:w="10160" w:type="dxa"/>
            <w:vAlign w:val="bottom"/>
            <w:gridSpan w:val="29"/>
          </w:tcPr>
          <w:p>
            <w:pPr>
              <w:spacing w:after="0"/>
              <w:rPr>
                <w:rFonts w:ascii="Times New Roman" w:cs="Times New Roman" w:eastAsia="Times New Roman" w:hAnsi="Times New Roman"/>
                <w:sz w:val="12"/>
                <w:szCs w:val="12"/>
                <w:color w:val="0000FF"/>
              </w:rPr>
            </w:pPr>
            <w:hyperlink r:id="rId157">
              <w:r>
                <w:rPr>
                  <w:rFonts w:ascii="Times New Roman" w:cs="Times New Roman" w:eastAsia="Times New Roman" w:hAnsi="Times New Roman"/>
                  <w:sz w:val="12"/>
                  <w:szCs w:val="12"/>
                  <w:color w:val="0000FF"/>
                </w:rPr>
                <w:t>Certificate of Amendment to Certificate of Incorporation of vTv Therapeutics Inc. dated May 4, 2021 (incorporated by reference from Exhibit 3.1 to the Company’s Form 8-K, filed May 5, 2021 (File No.</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Borders>
              <w:top w:val="single" w:sz="8" w:color="0000FF"/>
              <w:bottom w:val="single" w:sz="8" w:color="0000FF"/>
            </w:tcBorders>
            <w:gridSpan w:val="2"/>
          </w:tcPr>
          <w:p>
            <w:pPr>
              <w:spacing w:after="0" w:line="97" w:lineRule="exact"/>
              <w:rPr>
                <w:rFonts w:ascii="Times New Roman" w:cs="Times New Roman" w:eastAsia="Times New Roman" w:hAnsi="Times New Roman"/>
                <w:sz w:val="11"/>
                <w:szCs w:val="11"/>
                <w:color w:val="0000FF"/>
              </w:rPr>
            </w:pPr>
            <w:hyperlink r:id="rId157">
              <w:r>
                <w:rPr>
                  <w:rFonts w:ascii="Times New Roman" w:cs="Times New Roman" w:eastAsia="Times New Roman" w:hAnsi="Times New Roman"/>
                  <w:sz w:val="11"/>
                  <w:szCs w:val="11"/>
                  <w:color w:val="0000FF"/>
                </w:rPr>
                <w:t>001-37524)).</w:t>
              </w:r>
            </w:hyperlink>
          </w:p>
        </w:tc>
        <w:tc>
          <w:tcPr>
            <w:tcW w:w="44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72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4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720" w:type="dxa"/>
            <w:vAlign w:val="bottom"/>
            <w:tcBorders>
              <w:top w:val="single" w:sz="8" w:color="0000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3.3</w:t>
            </w:r>
          </w:p>
        </w:tc>
        <w:tc>
          <w:tcPr>
            <w:tcW w:w="600" w:type="dxa"/>
            <w:vAlign w:val="bottom"/>
          </w:tcPr>
          <w:p>
            <w:pPr>
              <w:spacing w:after="0"/>
              <w:rPr>
                <w:sz w:val="15"/>
                <w:szCs w:val="15"/>
                <w:color w:val="auto"/>
              </w:rPr>
            </w:pPr>
          </w:p>
        </w:tc>
        <w:tc>
          <w:tcPr>
            <w:tcW w:w="10160" w:type="dxa"/>
            <w:vAlign w:val="bottom"/>
            <w:gridSpan w:val="29"/>
          </w:tcPr>
          <w:p>
            <w:pPr>
              <w:spacing w:after="0"/>
              <w:rPr>
                <w:rFonts w:ascii="Times New Roman" w:cs="Times New Roman" w:eastAsia="Times New Roman" w:hAnsi="Times New Roman"/>
                <w:sz w:val="12"/>
                <w:szCs w:val="12"/>
                <w:color w:val="0000FF"/>
              </w:rPr>
            </w:pPr>
            <w:hyperlink r:id="rId158">
              <w:r>
                <w:rPr>
                  <w:rFonts w:ascii="Times New Roman" w:cs="Times New Roman" w:eastAsia="Times New Roman" w:hAnsi="Times New Roman"/>
                  <w:sz w:val="12"/>
                  <w:szCs w:val="12"/>
                  <w:color w:val="0000FF"/>
                </w:rPr>
                <w:t>Certificate of Amendment of Certificate of Incorporation dated as of November 20, 2023 (incorporated by reference from Exhibit 3.3 to the Company’s Form 10-K, filed March 13, 2024 (File No. 001-</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rPr>
            </w:pPr>
            <w:hyperlink r:id="rId158">
              <w:r>
                <w:rPr>
                  <w:rFonts w:ascii="Times New Roman" w:cs="Times New Roman" w:eastAsia="Times New Roman" w:hAnsi="Times New Roman"/>
                  <w:sz w:val="11"/>
                  <w:szCs w:val="11"/>
                  <w:color w:val="0000FF"/>
                </w:rPr>
                <w:t>37524)</w:t>
              </w:r>
              <w:r>
                <w:rPr>
                  <w:rFonts w:ascii="Times New Roman" w:cs="Times New Roman" w:eastAsia="Times New Roman" w:hAnsi="Times New Roman"/>
                  <w:sz w:val="11"/>
                  <w:szCs w:val="11"/>
                  <w:u w:val="single" w:color="auto"/>
                  <w:color w:val="0000FF"/>
                </w:rPr>
                <w:t>)</w:t>
              </w:r>
              <w:r>
                <w:rPr>
                  <w:rFonts w:ascii="Times New Roman" w:cs="Times New Roman" w:eastAsia="Times New Roman" w:hAnsi="Times New Roman"/>
                  <w:sz w:val="11"/>
                  <w:szCs w:val="11"/>
                  <w:color w:val="0000FF"/>
                </w:rPr>
                <w:t>.</w:t>
              </w:r>
            </w:hyperlink>
          </w:p>
        </w:tc>
        <w:tc>
          <w:tcPr>
            <w:tcW w:w="24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72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94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20" w:type="dxa"/>
            <w:vAlign w:val="bottom"/>
            <w:tcBorders>
              <w:top w:val="single" w:sz="8" w:color="0000FF"/>
            </w:tcBorders>
          </w:tcPr>
          <w:p>
            <w:pPr>
              <w:spacing w:after="0"/>
              <w:rPr>
                <w:sz w:val="8"/>
                <w:szCs w:val="8"/>
                <w:color w:val="auto"/>
              </w:rPr>
            </w:pPr>
          </w:p>
        </w:tc>
        <w:tc>
          <w:tcPr>
            <w:tcW w:w="720" w:type="dxa"/>
            <w:vAlign w:val="bottom"/>
            <w:tcBorders>
              <w:top w:val="single" w:sz="8" w:color="0000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3.4</w:t>
            </w:r>
          </w:p>
        </w:tc>
        <w:tc>
          <w:tcPr>
            <w:tcW w:w="600" w:type="dxa"/>
            <w:vAlign w:val="bottom"/>
          </w:tcPr>
          <w:p>
            <w:pPr>
              <w:spacing w:after="0"/>
              <w:rPr>
                <w:sz w:val="15"/>
                <w:szCs w:val="15"/>
                <w:color w:val="auto"/>
              </w:rPr>
            </w:pPr>
          </w:p>
        </w:tc>
        <w:tc>
          <w:tcPr>
            <w:tcW w:w="9100" w:type="dxa"/>
            <w:vAlign w:val="bottom"/>
            <w:gridSpan w:val="27"/>
          </w:tcPr>
          <w:p>
            <w:pPr>
              <w:spacing w:after="0"/>
              <w:rPr>
                <w:rFonts w:ascii="Times New Roman" w:cs="Times New Roman" w:eastAsia="Times New Roman" w:hAnsi="Times New Roman"/>
                <w:sz w:val="12"/>
                <w:szCs w:val="12"/>
                <w:color w:val="0000FF"/>
              </w:rPr>
            </w:pPr>
            <w:hyperlink r:id="rId159">
              <w:r>
                <w:rPr>
                  <w:rFonts w:ascii="Times New Roman" w:cs="Times New Roman" w:eastAsia="Times New Roman" w:hAnsi="Times New Roman"/>
                  <w:sz w:val="12"/>
                  <w:szCs w:val="12"/>
                  <w:color w:val="0000FF"/>
                </w:rPr>
                <w:t>Second Amended and Restated By-laws (incorporated by reference from Exhibit 3.1 to the Company’s Form 8-K, filed March 3, 2022 (File No. 001-37524)).</w:t>
              </w:r>
            </w:hyperlink>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4.1*</w:t>
            </w:r>
          </w:p>
        </w:tc>
        <w:tc>
          <w:tcPr>
            <w:tcW w:w="600" w:type="dxa"/>
            <w:vAlign w:val="bottom"/>
          </w:tcPr>
          <w:p>
            <w:pPr>
              <w:spacing w:after="0"/>
              <w:rPr>
                <w:sz w:val="14"/>
                <w:szCs w:val="14"/>
                <w:color w:val="auto"/>
              </w:rPr>
            </w:pPr>
          </w:p>
        </w:tc>
        <w:tc>
          <w:tcPr>
            <w:tcW w:w="26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2"/>
                <w:szCs w:val="12"/>
                <w:color w:val="0000FF"/>
                <w:w w:val="98"/>
              </w:rPr>
              <w:t>Common Stock Purchase Warrant dated July 30, 2018.</w:t>
            </w:r>
          </w:p>
        </w:tc>
        <w:tc>
          <w:tcPr>
            <w:tcW w:w="4940" w:type="dxa"/>
            <w:vAlign w:val="bottom"/>
            <w:tcBorders>
              <w:top w:val="single" w:sz="8" w:color="0000FF"/>
            </w:tcBorders>
            <w:gridSpan w:val="15"/>
          </w:tcPr>
          <w:p>
            <w:pPr>
              <w:spacing w:after="0"/>
              <w:rPr>
                <w:sz w:val="14"/>
                <w:szCs w:val="14"/>
                <w:color w:val="auto"/>
              </w:rPr>
            </w:pPr>
          </w:p>
        </w:tc>
        <w:tc>
          <w:tcPr>
            <w:tcW w:w="154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4.2*</w:t>
            </w:r>
          </w:p>
        </w:tc>
        <w:tc>
          <w:tcPr>
            <w:tcW w:w="600" w:type="dxa"/>
            <w:vAlign w:val="bottom"/>
          </w:tcPr>
          <w:p>
            <w:pPr>
              <w:spacing w:after="0"/>
              <w:rPr>
                <w:sz w:val="14"/>
                <w:szCs w:val="14"/>
                <w:color w:val="auto"/>
              </w:rPr>
            </w:pPr>
          </w:p>
        </w:tc>
        <w:tc>
          <w:tcPr>
            <w:tcW w:w="35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2"/>
                <w:szCs w:val="12"/>
                <w:color w:val="0000FF"/>
                <w:w w:val="99"/>
              </w:rPr>
              <w:t>Amendment to Common Stock Purchase Warrant dated October 26, 2018.</w:t>
            </w:r>
          </w:p>
        </w:tc>
        <w:tc>
          <w:tcPr>
            <w:tcW w:w="5540" w:type="dxa"/>
            <w:vAlign w:val="bottom"/>
            <w:gridSpan w:val="13"/>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4.3</w:t>
            </w:r>
          </w:p>
        </w:tc>
        <w:tc>
          <w:tcPr>
            <w:tcW w:w="600" w:type="dxa"/>
            <w:vAlign w:val="bottom"/>
          </w:tcPr>
          <w:p>
            <w:pPr>
              <w:spacing w:after="0"/>
              <w:rPr>
                <w:sz w:val="14"/>
                <w:szCs w:val="14"/>
                <w:color w:val="auto"/>
              </w:rPr>
            </w:pPr>
          </w:p>
        </w:tc>
        <w:tc>
          <w:tcPr>
            <w:tcW w:w="9100" w:type="dxa"/>
            <w:vAlign w:val="bottom"/>
            <w:gridSpan w:val="27"/>
          </w:tcPr>
          <w:p>
            <w:pPr>
              <w:spacing w:after="0"/>
              <w:rPr>
                <w:rFonts w:ascii="Times New Roman" w:cs="Times New Roman" w:eastAsia="Times New Roman" w:hAnsi="Times New Roman"/>
                <w:sz w:val="12"/>
                <w:szCs w:val="12"/>
                <w:color w:val="0000FF"/>
              </w:rPr>
            </w:pPr>
            <w:hyperlink r:id="rId160">
              <w:r>
                <w:rPr>
                  <w:rFonts w:ascii="Times New Roman" w:cs="Times New Roman" w:eastAsia="Times New Roman" w:hAnsi="Times New Roman"/>
                  <w:sz w:val="12"/>
                  <w:szCs w:val="12"/>
                  <w:color w:val="0000FF"/>
                </w:rPr>
                <w:t>Form of Warrant Agreement dated December 11, 2018 (incorporated by reference from Exhibit 4.4 to the Company’s Form 10-K, filed March 13, 2024 (File No. 001-37524)).</w:t>
              </w:r>
            </w:hyperlink>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4.4</w:t>
            </w:r>
          </w:p>
        </w:tc>
        <w:tc>
          <w:tcPr>
            <w:tcW w:w="600" w:type="dxa"/>
            <w:vAlign w:val="bottom"/>
          </w:tcPr>
          <w:p>
            <w:pPr>
              <w:spacing w:after="0"/>
              <w:rPr>
                <w:sz w:val="14"/>
                <w:szCs w:val="14"/>
                <w:color w:val="auto"/>
              </w:rPr>
            </w:pPr>
          </w:p>
        </w:tc>
        <w:tc>
          <w:tcPr>
            <w:tcW w:w="7340" w:type="dxa"/>
            <w:vAlign w:val="bottom"/>
            <w:tcBorders>
              <w:top w:val="single" w:sz="8" w:color="0000FF"/>
              <w:bottom w:val="single" w:sz="8" w:color="0000FF"/>
            </w:tcBorders>
            <w:gridSpan w:val="24"/>
          </w:tcPr>
          <w:p>
            <w:pPr>
              <w:spacing w:after="0"/>
              <w:rPr>
                <w:rFonts w:ascii="Times New Roman" w:cs="Times New Roman" w:eastAsia="Times New Roman" w:hAnsi="Times New Roman"/>
                <w:sz w:val="12"/>
                <w:szCs w:val="12"/>
                <w:color w:val="0000FF"/>
                <w:w w:val="99"/>
              </w:rPr>
            </w:pPr>
            <w:hyperlink r:id="rId161">
              <w:r>
                <w:rPr>
                  <w:rFonts w:ascii="Times New Roman" w:cs="Times New Roman" w:eastAsia="Times New Roman" w:hAnsi="Times New Roman"/>
                  <w:sz w:val="12"/>
                  <w:szCs w:val="12"/>
                  <w:color w:val="0000FF"/>
                  <w:w w:val="99"/>
                </w:rPr>
                <w:t>Warrant to Purchase Common Stock (incorporated by reference from Exhibit 4.1 to the Company’s Form 8-K, filed July 25, 2022 (File No. 001-37524)).</w:t>
              </w:r>
            </w:hyperlink>
          </w:p>
        </w:tc>
        <w:tc>
          <w:tcPr>
            <w:tcW w:w="1040" w:type="dxa"/>
            <w:vAlign w:val="bottom"/>
            <w:tcBorders>
              <w:top w:val="single" w:sz="8" w:color="0000FF"/>
            </w:tcBorders>
            <w:gridSpan w:val="2"/>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4.5</w:t>
            </w:r>
          </w:p>
        </w:tc>
        <w:tc>
          <w:tcPr>
            <w:tcW w:w="600" w:type="dxa"/>
            <w:vAlign w:val="bottom"/>
          </w:tcPr>
          <w:p>
            <w:pPr>
              <w:spacing w:after="0"/>
              <w:rPr>
                <w:sz w:val="14"/>
                <w:szCs w:val="14"/>
                <w:color w:val="auto"/>
              </w:rPr>
            </w:pPr>
          </w:p>
        </w:tc>
        <w:tc>
          <w:tcPr>
            <w:tcW w:w="6920" w:type="dxa"/>
            <w:vAlign w:val="bottom"/>
            <w:tcBorders>
              <w:bottom w:val="single" w:sz="8" w:color="0000FF"/>
            </w:tcBorders>
            <w:gridSpan w:val="23"/>
          </w:tcPr>
          <w:p>
            <w:pPr>
              <w:spacing w:after="0"/>
              <w:rPr>
                <w:rFonts w:ascii="Times New Roman" w:cs="Times New Roman" w:eastAsia="Times New Roman" w:hAnsi="Times New Roman"/>
                <w:sz w:val="12"/>
                <w:szCs w:val="12"/>
                <w:color w:val="0000FF"/>
                <w:w w:val="99"/>
              </w:rPr>
            </w:pPr>
            <w:hyperlink r:id="rId162">
              <w:r>
                <w:rPr>
                  <w:rFonts w:ascii="Times New Roman" w:cs="Times New Roman" w:eastAsia="Times New Roman" w:hAnsi="Times New Roman"/>
                  <w:sz w:val="12"/>
                  <w:szCs w:val="12"/>
                  <w:color w:val="0000FF"/>
                  <w:w w:val="99"/>
                </w:rPr>
                <w:t>Form of Pre-Funded Warrant (incorporated by reference from Exhibit 4.1 to the Company's 8-K, filed February 28, 2024 (File No. 001-37524)).</w:t>
              </w:r>
            </w:hyperlink>
          </w:p>
        </w:tc>
        <w:tc>
          <w:tcPr>
            <w:tcW w:w="2180" w:type="dxa"/>
            <w:vAlign w:val="bottom"/>
            <w:gridSpan w:val="4"/>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4.6*</w:t>
            </w:r>
          </w:p>
        </w:tc>
        <w:tc>
          <w:tcPr>
            <w:tcW w:w="600" w:type="dxa"/>
            <w:vAlign w:val="bottom"/>
          </w:tcPr>
          <w:p>
            <w:pPr>
              <w:spacing w:after="0"/>
              <w:rPr>
                <w:sz w:val="14"/>
                <w:szCs w:val="14"/>
                <w:color w:val="auto"/>
              </w:rPr>
            </w:pPr>
          </w:p>
        </w:tc>
        <w:tc>
          <w:tcPr>
            <w:tcW w:w="1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2"/>
                <w:szCs w:val="12"/>
                <w:color w:val="0000FF"/>
                <w:w w:val="98"/>
              </w:rPr>
              <w:t>Description of Capital Stock.</w:t>
            </w:r>
          </w:p>
        </w:tc>
        <w:tc>
          <w:tcPr>
            <w:tcW w:w="7700" w:type="dxa"/>
            <w:vAlign w:val="bottom"/>
            <w:gridSpan w:val="22"/>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10.1</w:t>
            </w:r>
          </w:p>
        </w:tc>
        <w:tc>
          <w:tcPr>
            <w:tcW w:w="600" w:type="dxa"/>
            <w:vAlign w:val="bottom"/>
          </w:tcPr>
          <w:p>
            <w:pPr>
              <w:spacing w:after="0"/>
              <w:rPr>
                <w:sz w:val="14"/>
                <w:szCs w:val="14"/>
                <w:color w:val="auto"/>
              </w:rPr>
            </w:pPr>
          </w:p>
        </w:tc>
        <w:tc>
          <w:tcPr>
            <w:tcW w:w="10160" w:type="dxa"/>
            <w:vAlign w:val="bottom"/>
            <w:gridSpan w:val="29"/>
          </w:tcPr>
          <w:p>
            <w:pPr>
              <w:spacing w:after="0"/>
              <w:rPr>
                <w:rFonts w:ascii="Times New Roman" w:cs="Times New Roman" w:eastAsia="Times New Roman" w:hAnsi="Times New Roman"/>
                <w:sz w:val="12"/>
                <w:szCs w:val="12"/>
                <w:color w:val="0000FF"/>
              </w:rPr>
            </w:pPr>
            <w:hyperlink r:id="rId163">
              <w:r>
                <w:rPr>
                  <w:rFonts w:ascii="Times New Roman" w:cs="Times New Roman" w:eastAsia="Times New Roman" w:hAnsi="Times New Roman"/>
                  <w:sz w:val="12"/>
                  <w:szCs w:val="12"/>
                  <w:color w:val="0000FF"/>
                </w:rPr>
                <w:t>Reorganization Agreement, dated as of July 29, 2015, among vTv Therapeutics Inc., vTv Therapeutics LLC, vTvx Holdings I LLC, vTvx Holdings II LLC and vTv Therapeutics Holdings LLC (incorporated</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100" w:type="dxa"/>
            <w:vAlign w:val="bottom"/>
            <w:tcBorders>
              <w:top w:val="single" w:sz="8" w:color="0000FF"/>
            </w:tcBorders>
            <w:gridSpan w:val="27"/>
          </w:tcPr>
          <w:p>
            <w:pPr>
              <w:spacing w:after="0" w:line="97" w:lineRule="exact"/>
              <w:rPr>
                <w:rFonts w:ascii="Times New Roman" w:cs="Times New Roman" w:eastAsia="Times New Roman" w:hAnsi="Times New Roman"/>
                <w:sz w:val="11"/>
                <w:szCs w:val="11"/>
                <w:color w:val="0000FF"/>
              </w:rPr>
            </w:pPr>
            <w:hyperlink r:id="rId163">
              <w:r>
                <w:rPr>
                  <w:rFonts w:ascii="Times New Roman" w:cs="Times New Roman" w:eastAsia="Times New Roman" w:hAnsi="Times New Roman"/>
                  <w:sz w:val="11"/>
                  <w:szCs w:val="11"/>
                  <w:color w:val="0000FF"/>
                </w:rPr>
                <w:t>by reference from Exhibit 10.1 to the Company’s Form 8-K, filed August 4, 2015 (File No. 001-37524)).</w:t>
              </w:r>
            </w:hyperlink>
          </w:p>
        </w:tc>
        <w:tc>
          <w:tcPr>
            <w:tcW w:w="84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060" w:type="dxa"/>
            <w:vAlign w:val="bottom"/>
            <w:gridSpan w:val="12"/>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10.2</w:t>
            </w:r>
          </w:p>
        </w:tc>
        <w:tc>
          <w:tcPr>
            <w:tcW w:w="600" w:type="dxa"/>
            <w:vAlign w:val="bottom"/>
          </w:tcPr>
          <w:p>
            <w:pPr>
              <w:spacing w:after="0"/>
              <w:rPr>
                <w:sz w:val="15"/>
                <w:szCs w:val="15"/>
                <w:color w:val="auto"/>
              </w:rPr>
            </w:pPr>
          </w:p>
        </w:tc>
        <w:tc>
          <w:tcPr>
            <w:tcW w:w="10160" w:type="dxa"/>
            <w:vAlign w:val="bottom"/>
            <w:gridSpan w:val="29"/>
          </w:tcPr>
          <w:p>
            <w:pPr>
              <w:spacing w:after="0"/>
              <w:rPr>
                <w:rFonts w:ascii="Times New Roman" w:cs="Times New Roman" w:eastAsia="Times New Roman" w:hAnsi="Times New Roman"/>
                <w:sz w:val="12"/>
                <w:szCs w:val="12"/>
                <w:color w:val="0000FF"/>
              </w:rPr>
            </w:pPr>
            <w:hyperlink r:id="rId164">
              <w:r>
                <w:rPr>
                  <w:rFonts w:ascii="Times New Roman" w:cs="Times New Roman" w:eastAsia="Times New Roman" w:hAnsi="Times New Roman"/>
                  <w:sz w:val="12"/>
                  <w:szCs w:val="12"/>
                  <w:color w:val="0000FF"/>
                </w:rPr>
                <w:t>Amended and Restated Limited Liability Company Agreement of vTv Therapeutics LLC, dated July 29, 2015 (incorporated by reference from Exhibit 10.2 to the Company’s Form 8-K, filed August 4, 2015</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100" w:type="dxa"/>
            <w:vAlign w:val="bottom"/>
            <w:tcBorders>
              <w:top w:val="single" w:sz="8" w:color="0000FF"/>
            </w:tcBorders>
            <w:gridSpan w:val="27"/>
          </w:tcPr>
          <w:p>
            <w:pPr>
              <w:spacing w:after="0" w:line="97" w:lineRule="exact"/>
              <w:rPr>
                <w:rFonts w:ascii="Times New Roman" w:cs="Times New Roman" w:eastAsia="Times New Roman" w:hAnsi="Times New Roman"/>
                <w:sz w:val="11"/>
                <w:szCs w:val="11"/>
                <w:color w:val="0000FF"/>
              </w:rPr>
            </w:pPr>
            <w:hyperlink r:id="rId164">
              <w:r>
                <w:rPr>
                  <w:rFonts w:ascii="Times New Roman" w:cs="Times New Roman" w:eastAsia="Times New Roman" w:hAnsi="Times New Roman"/>
                  <w:sz w:val="11"/>
                  <w:szCs w:val="11"/>
                  <w:color w:val="0000FF"/>
                </w:rPr>
                <w:t>(File No. 001-37524)).</w:t>
              </w:r>
            </w:hyperlink>
          </w:p>
        </w:tc>
        <w:tc>
          <w:tcPr>
            <w:tcW w:w="84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060" w:type="dxa"/>
            <w:vAlign w:val="bottom"/>
            <w:gridSpan w:val="12"/>
          </w:tcPr>
          <w:p>
            <w:pPr>
              <w:spacing w:after="0" w:line="20" w:lineRule="exact"/>
              <w:rPr>
                <w:sz w:val="1"/>
                <w:szCs w:val="1"/>
                <w:color w:val="auto"/>
              </w:rPr>
            </w:pPr>
          </w:p>
        </w:tc>
        <w:tc>
          <w:tcPr>
            <w:tcW w:w="580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10.3</w:t>
            </w:r>
          </w:p>
        </w:tc>
        <w:tc>
          <w:tcPr>
            <w:tcW w:w="600" w:type="dxa"/>
            <w:vAlign w:val="bottom"/>
          </w:tcPr>
          <w:p>
            <w:pPr>
              <w:spacing w:after="0"/>
              <w:rPr>
                <w:sz w:val="15"/>
                <w:szCs w:val="15"/>
                <w:color w:val="auto"/>
              </w:rPr>
            </w:pPr>
          </w:p>
        </w:tc>
        <w:tc>
          <w:tcPr>
            <w:tcW w:w="10160" w:type="dxa"/>
            <w:vAlign w:val="bottom"/>
            <w:gridSpan w:val="29"/>
          </w:tcPr>
          <w:p>
            <w:pPr>
              <w:spacing w:after="0"/>
              <w:rPr>
                <w:rFonts w:ascii="Times New Roman" w:cs="Times New Roman" w:eastAsia="Times New Roman" w:hAnsi="Times New Roman"/>
                <w:sz w:val="12"/>
                <w:szCs w:val="12"/>
                <w:color w:val="0000FF"/>
              </w:rPr>
            </w:pPr>
            <w:hyperlink r:id="rId165">
              <w:r>
                <w:rPr>
                  <w:rFonts w:ascii="Times New Roman" w:cs="Times New Roman" w:eastAsia="Times New Roman" w:hAnsi="Times New Roman"/>
                  <w:sz w:val="12"/>
                  <w:szCs w:val="12"/>
                  <w:color w:val="0000FF"/>
                </w:rPr>
                <w:t>Investor Rights Agreement, dated as of July 29, 2015, among vTv Therapeutics Inc., vTv Therapeutics Holdings LLC and other stockholders party thereto from time to time (incorporated by reference from</w:t>
              </w:r>
            </w:hyperlink>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140" w:type="dxa"/>
            <w:vAlign w:val="bottom"/>
            <w:tcBorders>
              <w:top w:val="single" w:sz="8" w:color="0000FF"/>
              <w:bottom w:val="single" w:sz="8" w:color="0000FF"/>
            </w:tcBorders>
            <w:gridSpan w:val="15"/>
          </w:tcPr>
          <w:p>
            <w:pPr>
              <w:spacing w:after="0" w:line="97" w:lineRule="exact"/>
              <w:rPr>
                <w:rFonts w:ascii="Times New Roman" w:cs="Times New Roman" w:eastAsia="Times New Roman" w:hAnsi="Times New Roman"/>
                <w:sz w:val="11"/>
                <w:szCs w:val="11"/>
                <w:color w:val="0000FF"/>
              </w:rPr>
            </w:pPr>
            <w:hyperlink r:id="rId165">
              <w:r>
                <w:rPr>
                  <w:rFonts w:ascii="Times New Roman" w:cs="Times New Roman" w:eastAsia="Times New Roman" w:hAnsi="Times New Roman"/>
                  <w:sz w:val="11"/>
                  <w:szCs w:val="11"/>
                  <w:color w:val="0000FF"/>
                </w:rPr>
                <w:t>Exhibit 10.3 to the Company’s Form 8-K, filed August 4, 2015 (File No. 001-37524)).</w:t>
              </w:r>
            </w:hyperlink>
          </w:p>
        </w:tc>
        <w:tc>
          <w:tcPr>
            <w:tcW w:w="4960" w:type="dxa"/>
            <w:vAlign w:val="bottom"/>
            <w:tcBorders>
              <w:top w:val="single" w:sz="8" w:color="0000FF"/>
            </w:tcBorders>
            <w:gridSpan w:val="12"/>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7"/>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40" w:type="dxa"/>
            <w:vAlign w:val="bottom"/>
            <w:gridSpan w:val="17"/>
          </w:tcPr>
          <w:p>
            <w:pPr>
              <w:ind w:left="4440"/>
              <w:spacing w:after="0"/>
              <w:rPr>
                <w:sz w:val="20"/>
                <w:szCs w:val="20"/>
                <w:color w:val="auto"/>
              </w:rPr>
            </w:pPr>
            <w:r>
              <w:rPr>
                <w:rFonts w:ascii="Times New Roman" w:cs="Times New Roman" w:eastAsia="Times New Roman" w:hAnsi="Times New Roman"/>
                <w:sz w:val="12"/>
                <w:szCs w:val="12"/>
                <w:color w:val="auto"/>
              </w:rPr>
              <w:t>71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1" w:name="page72"/>
    <w:bookmarkEnd w:id="71"/>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500" w:type="dxa"/>
            <w:vAlign w:val="bottom"/>
            <w:gridSpan w:val="2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940" w:type="dxa"/>
            <w:vAlign w:val="bottom"/>
            <w:gridSpan w:val="2"/>
          </w:tcPr>
          <w:p>
            <w:pPr>
              <w:spacing w:after="0" w:line="78" w:lineRule="exact"/>
              <w:rPr>
                <w:sz w:val="20"/>
                <w:szCs w:val="20"/>
                <w:color w:val="auto"/>
              </w:rPr>
            </w:pPr>
            <w:r>
              <w:rPr>
                <w:rFonts w:ascii="Times New Roman" w:cs="Times New Roman" w:eastAsia="Times New Roman" w:hAnsi="Times New Roman"/>
                <w:sz w:val="8"/>
                <w:szCs w:val="8"/>
                <w:b w:val="1"/>
                <w:bCs w:val="1"/>
                <w:color w:val="auto"/>
              </w:rPr>
              <w:t>Number</w:t>
            </w: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500" w:type="dxa"/>
            <w:vAlign w:val="bottom"/>
            <w:gridSpan w:val="2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600" w:type="dxa"/>
            <w:vAlign w:val="bottom"/>
          </w:tcPr>
          <w:p>
            <w:pPr>
              <w:spacing w:after="0"/>
              <w:rPr>
                <w:sz w:val="15"/>
                <w:szCs w:val="15"/>
                <w:color w:val="auto"/>
              </w:rPr>
            </w:pPr>
          </w:p>
        </w:tc>
        <w:tc>
          <w:tcPr>
            <w:tcW w:w="10200" w:type="dxa"/>
            <w:vAlign w:val="bottom"/>
            <w:gridSpan w:val="33"/>
          </w:tcPr>
          <w:p>
            <w:pPr>
              <w:spacing w:after="0"/>
              <w:rPr>
                <w:rFonts w:ascii="Times New Roman" w:cs="Times New Roman" w:eastAsia="Times New Roman" w:hAnsi="Times New Roman"/>
                <w:sz w:val="12"/>
                <w:szCs w:val="12"/>
                <w:color w:val="0000FF"/>
              </w:rPr>
            </w:pPr>
            <w:hyperlink r:id="rId169">
              <w:r>
                <w:rPr>
                  <w:rFonts w:ascii="Times New Roman" w:cs="Times New Roman" w:eastAsia="Times New Roman" w:hAnsi="Times New Roman"/>
                  <w:sz w:val="12"/>
                  <w:szCs w:val="12"/>
                  <w:color w:val="0000FF"/>
                </w:rPr>
                <w:t>Exchange Agreement, dated as of July 29, 2015, among vTv Therapeutics LLC, vTv Therapeutics Inc. and vTv Therapeutics Holdings LLC (incorporated by reference from Exhibit 10.4 to the Company’s</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40" w:type="dxa"/>
            <w:vAlign w:val="bottom"/>
            <w:tcBorders>
              <w:top w:val="single" w:sz="8" w:color="0000FF"/>
              <w:bottom w:val="single" w:sz="8" w:color="0000FF"/>
            </w:tcBorders>
            <w:gridSpan w:val="8"/>
          </w:tcPr>
          <w:p>
            <w:pPr>
              <w:spacing w:after="0" w:line="97" w:lineRule="exact"/>
              <w:rPr>
                <w:rFonts w:ascii="Times New Roman" w:cs="Times New Roman" w:eastAsia="Times New Roman" w:hAnsi="Times New Roman"/>
                <w:sz w:val="11"/>
                <w:szCs w:val="11"/>
                <w:color w:val="0000FF"/>
              </w:rPr>
            </w:pPr>
            <w:hyperlink r:id="rId169">
              <w:r>
                <w:rPr>
                  <w:rFonts w:ascii="Times New Roman" w:cs="Times New Roman" w:eastAsia="Times New Roman" w:hAnsi="Times New Roman"/>
                  <w:sz w:val="11"/>
                  <w:szCs w:val="11"/>
                  <w:color w:val="0000FF"/>
                </w:rPr>
                <w:t>Form 8-K, filed August 4, 2015 (File No. 001-37524)).</w:t>
              </w:r>
            </w:hyperlink>
          </w:p>
        </w:tc>
        <w:tc>
          <w:tcPr>
            <w:tcW w:w="7460" w:type="dxa"/>
            <w:vAlign w:val="bottom"/>
            <w:tcBorders>
              <w:top w:val="single" w:sz="8" w:color="0000FF"/>
            </w:tcBorders>
            <w:gridSpan w:val="20"/>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10.5</w:t>
            </w:r>
          </w:p>
        </w:tc>
        <w:tc>
          <w:tcPr>
            <w:tcW w:w="600" w:type="dxa"/>
            <w:vAlign w:val="bottom"/>
          </w:tcPr>
          <w:p>
            <w:pPr>
              <w:spacing w:after="0"/>
              <w:rPr>
                <w:sz w:val="15"/>
                <w:szCs w:val="15"/>
                <w:color w:val="auto"/>
              </w:rPr>
            </w:pPr>
          </w:p>
        </w:tc>
        <w:tc>
          <w:tcPr>
            <w:tcW w:w="10200" w:type="dxa"/>
            <w:vAlign w:val="bottom"/>
            <w:gridSpan w:val="33"/>
          </w:tcPr>
          <w:p>
            <w:pPr>
              <w:spacing w:after="0"/>
              <w:rPr>
                <w:rFonts w:ascii="Times New Roman" w:cs="Times New Roman" w:eastAsia="Times New Roman" w:hAnsi="Times New Roman"/>
                <w:sz w:val="12"/>
                <w:szCs w:val="12"/>
                <w:color w:val="0000FF"/>
              </w:rPr>
            </w:pPr>
            <w:hyperlink r:id="rId170">
              <w:r>
                <w:rPr>
                  <w:rFonts w:ascii="Times New Roman" w:cs="Times New Roman" w:eastAsia="Times New Roman" w:hAnsi="Times New Roman"/>
                  <w:sz w:val="12"/>
                  <w:szCs w:val="12"/>
                  <w:color w:val="0000FF"/>
                </w:rPr>
                <w:t>Tax Receivable Agreement, dated as of July 29, 2015, among vTv Therapeutics Inc. and the other persons named therein (incorporated by reference from Exhibit 10.5 to the Company’s Form 8-K, filed</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80" w:type="dxa"/>
            <w:vAlign w:val="bottom"/>
            <w:tcBorders>
              <w:top w:val="single" w:sz="8" w:color="0000FF"/>
              <w:bottom w:val="single" w:sz="8" w:color="0000FF"/>
            </w:tcBorders>
            <w:gridSpan w:val="6"/>
          </w:tcPr>
          <w:p>
            <w:pPr>
              <w:spacing w:after="0" w:line="97" w:lineRule="exact"/>
              <w:rPr>
                <w:rFonts w:ascii="Times New Roman" w:cs="Times New Roman" w:eastAsia="Times New Roman" w:hAnsi="Times New Roman"/>
                <w:sz w:val="11"/>
                <w:szCs w:val="11"/>
                <w:color w:val="0000FF"/>
              </w:rPr>
            </w:pPr>
            <w:hyperlink r:id="rId170">
              <w:r>
                <w:rPr>
                  <w:rFonts w:ascii="Times New Roman" w:cs="Times New Roman" w:eastAsia="Times New Roman" w:hAnsi="Times New Roman"/>
                  <w:sz w:val="11"/>
                  <w:szCs w:val="11"/>
                  <w:color w:val="0000FF"/>
                </w:rPr>
                <w:t>August 4, 2015 (File No. 001-37524)).</w:t>
              </w:r>
            </w:hyperlink>
          </w:p>
        </w:tc>
        <w:tc>
          <w:tcPr>
            <w:tcW w:w="8080" w:type="dxa"/>
            <w:vAlign w:val="bottom"/>
            <w:tcBorders>
              <w:top w:val="single" w:sz="8" w:color="0000FF"/>
            </w:tcBorders>
            <w:gridSpan w:val="15"/>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10.6</w:t>
            </w:r>
          </w:p>
        </w:tc>
        <w:tc>
          <w:tcPr>
            <w:tcW w:w="600" w:type="dxa"/>
            <w:vAlign w:val="bottom"/>
          </w:tcPr>
          <w:p>
            <w:pPr>
              <w:spacing w:after="0"/>
              <w:rPr>
                <w:sz w:val="15"/>
                <w:szCs w:val="15"/>
                <w:color w:val="auto"/>
              </w:rPr>
            </w:pPr>
          </w:p>
        </w:tc>
        <w:tc>
          <w:tcPr>
            <w:tcW w:w="9800" w:type="dxa"/>
            <w:vAlign w:val="bottom"/>
            <w:tcBorders>
              <w:bottom w:val="single" w:sz="8" w:color="0000FF"/>
            </w:tcBorders>
            <w:gridSpan w:val="19"/>
          </w:tcPr>
          <w:p>
            <w:pPr>
              <w:spacing w:after="0"/>
              <w:rPr>
                <w:rFonts w:ascii="Times New Roman" w:cs="Times New Roman" w:eastAsia="Times New Roman" w:hAnsi="Times New Roman"/>
                <w:sz w:val="12"/>
                <w:szCs w:val="12"/>
                <w:color w:val="0000FF"/>
                <w:w w:val="99"/>
              </w:rPr>
            </w:pPr>
            <w:hyperlink r:id="rId171">
              <w:r>
                <w:rPr>
                  <w:rFonts w:ascii="Times New Roman" w:cs="Times New Roman" w:eastAsia="Times New Roman" w:hAnsi="Times New Roman"/>
                  <w:sz w:val="12"/>
                  <w:szCs w:val="12"/>
                  <w:color w:val="0000FF"/>
                  <w:w w:val="99"/>
                </w:rPr>
                <w:t>Form of Indemnification Agreement (incorporated by reference from Exhibit 10.7 to Amendment No. 4 to the Company’s Registration Statement on Form S-1, dated July 23, 2015 (File No. 333-204951)).</w:t>
              </w:r>
            </w:hyperlink>
          </w:p>
        </w:tc>
        <w:tc>
          <w:tcPr>
            <w:tcW w:w="40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10.7†</w:t>
            </w:r>
          </w:p>
        </w:tc>
        <w:tc>
          <w:tcPr>
            <w:tcW w:w="8600" w:type="dxa"/>
            <w:vAlign w:val="bottom"/>
            <w:tcBorders>
              <w:bottom w:val="single" w:sz="8" w:color="0000FF"/>
            </w:tcBorders>
            <w:gridSpan w:val="15"/>
          </w:tcPr>
          <w:p>
            <w:pPr>
              <w:spacing w:after="0"/>
              <w:rPr>
                <w:rFonts w:ascii="Times New Roman" w:cs="Times New Roman" w:eastAsia="Times New Roman" w:hAnsi="Times New Roman"/>
                <w:sz w:val="12"/>
                <w:szCs w:val="12"/>
                <w:color w:val="0000FF"/>
                <w:w w:val="99"/>
              </w:rPr>
            </w:pPr>
            <w:hyperlink r:id="rId172">
              <w:r>
                <w:rPr>
                  <w:rFonts w:ascii="Times New Roman" w:cs="Times New Roman" w:eastAsia="Times New Roman" w:hAnsi="Times New Roman"/>
                  <w:sz w:val="12"/>
                  <w:szCs w:val="12"/>
                  <w:color w:val="0000FF"/>
                  <w:w w:val="99"/>
                </w:rPr>
                <w:t>vTv Therapeutics Inc. 2015 Omnibus Equity Incentive Plan (incorporated by reference from Exhibit 10.6 to the Company’s Form 8-K, filed August 4, 2015 (File No. 001-37524)).</w:t>
              </w:r>
            </w:hyperlink>
          </w:p>
        </w:tc>
        <w:tc>
          <w:tcPr>
            <w:tcW w:w="160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10.8†</w:t>
            </w:r>
          </w:p>
        </w:tc>
        <w:tc>
          <w:tcPr>
            <w:tcW w:w="10200" w:type="dxa"/>
            <w:vAlign w:val="bottom"/>
            <w:gridSpan w:val="33"/>
          </w:tcPr>
          <w:p>
            <w:pPr>
              <w:spacing w:after="0"/>
              <w:rPr>
                <w:rFonts w:ascii="Times New Roman" w:cs="Times New Roman" w:eastAsia="Times New Roman" w:hAnsi="Times New Roman"/>
                <w:sz w:val="12"/>
                <w:szCs w:val="12"/>
                <w:color w:val="0000FF"/>
              </w:rPr>
            </w:pPr>
            <w:hyperlink r:id="rId173">
              <w:r>
                <w:rPr>
                  <w:rFonts w:ascii="Times New Roman" w:cs="Times New Roman" w:eastAsia="Times New Roman" w:hAnsi="Times New Roman"/>
                  <w:sz w:val="12"/>
                  <w:szCs w:val="12"/>
                  <w:color w:val="0000FF"/>
                </w:rPr>
                <w:t>vTv Therapeutics Inc. Form of Nonqualified Option Award Agreement (incorporated by reference from Exhibit 10.7 to the Company’s Form 8-K, filed August 4, 2015 (File No. 001-37524)).</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10.9†</w:t>
            </w:r>
          </w:p>
        </w:tc>
        <w:tc>
          <w:tcPr>
            <w:tcW w:w="9660" w:type="dxa"/>
            <w:vAlign w:val="bottom"/>
            <w:tcBorders>
              <w:bottom w:val="single" w:sz="8" w:color="0000FF"/>
            </w:tcBorders>
            <w:gridSpan w:val="18"/>
          </w:tcPr>
          <w:p>
            <w:pPr>
              <w:spacing w:after="0"/>
              <w:rPr>
                <w:rFonts w:ascii="Times New Roman" w:cs="Times New Roman" w:eastAsia="Times New Roman" w:hAnsi="Times New Roman"/>
                <w:sz w:val="12"/>
                <w:szCs w:val="12"/>
                <w:color w:val="0000FF"/>
                <w:w w:val="99"/>
              </w:rPr>
            </w:pPr>
            <w:hyperlink r:id="rId174">
              <w:r>
                <w:rPr>
                  <w:rFonts w:ascii="Times New Roman" w:cs="Times New Roman" w:eastAsia="Times New Roman" w:hAnsi="Times New Roman"/>
                  <w:sz w:val="12"/>
                  <w:szCs w:val="12"/>
                  <w:color w:val="0000FF"/>
                  <w:w w:val="99"/>
                </w:rPr>
                <w:t>vTv Therapeutics Inc. 2024 Equity Incentive Plan (incorporated by reference from Exhibit 4.5 to the Company’s Registration Statement on Form S-8, dated September 23, 2024 (File No. 333-282290)).</w:t>
              </w:r>
            </w:hyperlink>
          </w:p>
        </w:tc>
        <w:tc>
          <w:tcPr>
            <w:tcW w:w="5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10.10††</w:t>
            </w:r>
          </w:p>
        </w:tc>
        <w:tc>
          <w:tcPr>
            <w:tcW w:w="10200" w:type="dxa"/>
            <w:vAlign w:val="bottom"/>
            <w:gridSpan w:val="33"/>
          </w:tcPr>
          <w:p>
            <w:pPr>
              <w:spacing w:after="0"/>
              <w:rPr>
                <w:rFonts w:ascii="Times New Roman" w:cs="Times New Roman" w:eastAsia="Times New Roman" w:hAnsi="Times New Roman"/>
                <w:sz w:val="12"/>
                <w:szCs w:val="12"/>
                <w:color w:val="0000FF"/>
              </w:rPr>
            </w:pPr>
            <w:hyperlink r:id="rId175">
              <w:r>
                <w:rPr>
                  <w:rFonts w:ascii="Times New Roman" w:cs="Times New Roman" w:eastAsia="Times New Roman" w:hAnsi="Times New Roman"/>
                  <w:sz w:val="12"/>
                  <w:szCs w:val="12"/>
                  <w:color w:val="0000FF"/>
                </w:rPr>
                <w:t>Agreement Concerning Glucokinase Activator Project, dated as of February 20, 2007, by and between Novo Nordisk A/S and TransTech Pharma, Inc. (incorporated by reference from Exhibit 10.8 to</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140" w:type="dxa"/>
            <w:vAlign w:val="bottom"/>
            <w:tcBorders>
              <w:top w:val="single" w:sz="8" w:color="0000FF"/>
            </w:tcBorders>
            <w:gridSpan w:val="30"/>
          </w:tcPr>
          <w:p>
            <w:pPr>
              <w:spacing w:after="0" w:line="97" w:lineRule="exact"/>
              <w:rPr>
                <w:rFonts w:ascii="Times New Roman" w:cs="Times New Roman" w:eastAsia="Times New Roman" w:hAnsi="Times New Roman"/>
                <w:sz w:val="11"/>
                <w:szCs w:val="11"/>
                <w:color w:val="0000FF"/>
              </w:rPr>
            </w:pPr>
            <w:hyperlink r:id="rId175">
              <w:r>
                <w:rPr>
                  <w:rFonts w:ascii="Times New Roman" w:cs="Times New Roman" w:eastAsia="Times New Roman" w:hAnsi="Times New Roman"/>
                  <w:sz w:val="11"/>
                  <w:szCs w:val="11"/>
                  <w:color w:val="0000FF"/>
                </w:rPr>
                <w:t>Amendment No. 1 to the Company’s Registration Statement on Form S-1, dated June 19, 2015 (File No. 333-204951)).</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10.11††</w:t>
            </w:r>
          </w:p>
        </w:tc>
        <w:tc>
          <w:tcPr>
            <w:tcW w:w="10200" w:type="dxa"/>
            <w:vAlign w:val="bottom"/>
            <w:gridSpan w:val="33"/>
          </w:tcPr>
          <w:p>
            <w:pPr>
              <w:spacing w:after="0"/>
              <w:rPr>
                <w:rFonts w:ascii="Times New Roman" w:cs="Times New Roman" w:eastAsia="Times New Roman" w:hAnsi="Times New Roman"/>
                <w:sz w:val="12"/>
                <w:szCs w:val="12"/>
                <w:color w:val="0000FF"/>
              </w:rPr>
            </w:pPr>
            <w:hyperlink r:id="rId176">
              <w:r>
                <w:rPr>
                  <w:rFonts w:ascii="Times New Roman" w:cs="Times New Roman" w:eastAsia="Times New Roman" w:hAnsi="Times New Roman"/>
                  <w:sz w:val="12"/>
                  <w:szCs w:val="12"/>
                  <w:color w:val="0000FF"/>
                </w:rPr>
                <w:t>License Agreement, dated as of May 31, 2018, by and between Newsoara Biopharma Co., Ltd. and vTv Therapeutics LLC (incorporated by reference from Exhibit 10.1 to the Company’s Form 10-Q, filed</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60" w:type="dxa"/>
            <w:vAlign w:val="bottom"/>
            <w:tcBorders>
              <w:top w:val="single" w:sz="8" w:color="0000FF"/>
              <w:bottom w:val="single" w:sz="8" w:color="0000FF"/>
            </w:tcBorders>
            <w:gridSpan w:val="5"/>
          </w:tcPr>
          <w:p>
            <w:pPr>
              <w:spacing w:after="0" w:line="97" w:lineRule="exact"/>
              <w:rPr>
                <w:rFonts w:ascii="Times New Roman" w:cs="Times New Roman" w:eastAsia="Times New Roman" w:hAnsi="Times New Roman"/>
                <w:sz w:val="11"/>
                <w:szCs w:val="11"/>
                <w:color w:val="0000FF"/>
              </w:rPr>
            </w:pPr>
            <w:hyperlink r:id="rId176">
              <w:r>
                <w:rPr>
                  <w:rFonts w:ascii="Times New Roman" w:cs="Times New Roman" w:eastAsia="Times New Roman" w:hAnsi="Times New Roman"/>
                  <w:sz w:val="11"/>
                  <w:szCs w:val="11"/>
                  <w:color w:val="0000FF"/>
                </w:rPr>
                <w:t>August 3, 2018 (File No. 001-37524)).</w:t>
              </w:r>
            </w:hyperlink>
          </w:p>
        </w:tc>
        <w:tc>
          <w:tcPr>
            <w:tcW w:w="8200" w:type="dxa"/>
            <w:vAlign w:val="bottom"/>
            <w:tcBorders>
              <w:top w:val="single" w:sz="8" w:color="0000FF"/>
            </w:tcBorders>
            <w:gridSpan w:val="21"/>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10.12</w:t>
            </w:r>
          </w:p>
        </w:tc>
        <w:tc>
          <w:tcPr>
            <w:tcW w:w="600" w:type="dxa"/>
            <w:vAlign w:val="bottom"/>
          </w:tcPr>
          <w:p>
            <w:pPr>
              <w:spacing w:after="0"/>
              <w:rPr>
                <w:sz w:val="15"/>
                <w:szCs w:val="15"/>
                <w:color w:val="auto"/>
              </w:rPr>
            </w:pPr>
          </w:p>
        </w:tc>
        <w:tc>
          <w:tcPr>
            <w:tcW w:w="9580" w:type="dxa"/>
            <w:vAlign w:val="bottom"/>
            <w:tcBorders>
              <w:bottom w:val="single" w:sz="8" w:color="0000FF"/>
            </w:tcBorders>
            <w:gridSpan w:val="17"/>
          </w:tcPr>
          <w:p>
            <w:pPr>
              <w:spacing w:after="0"/>
              <w:rPr>
                <w:rFonts w:ascii="Times New Roman" w:cs="Times New Roman" w:eastAsia="Times New Roman" w:hAnsi="Times New Roman"/>
                <w:sz w:val="12"/>
                <w:szCs w:val="12"/>
                <w:color w:val="0000FF"/>
                <w:w w:val="99"/>
              </w:rPr>
            </w:pPr>
            <w:hyperlink r:id="rId177">
              <w:r>
                <w:rPr>
                  <w:rFonts w:ascii="Times New Roman" w:cs="Times New Roman" w:eastAsia="Times New Roman" w:hAnsi="Times New Roman"/>
                  <w:sz w:val="12"/>
                  <w:szCs w:val="12"/>
                  <w:color w:val="0000FF"/>
                  <w:w w:val="99"/>
                </w:rPr>
                <w:t>First Amendment to vTv Therapeutics Inc. 2015 Omnibus Equity Incentive Plan (incorporated by reference from Exhibit 3.5 to the Company’s Form S-8, filed August 3, 2020 (File No. 333-240304)).</w:t>
              </w:r>
            </w:hyperlink>
          </w:p>
        </w:tc>
        <w:tc>
          <w:tcPr>
            <w:tcW w:w="62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10.13</w:t>
            </w:r>
          </w:p>
        </w:tc>
        <w:tc>
          <w:tcPr>
            <w:tcW w:w="600" w:type="dxa"/>
            <w:vAlign w:val="bottom"/>
          </w:tcPr>
          <w:p>
            <w:pPr>
              <w:spacing w:after="0"/>
              <w:rPr>
                <w:sz w:val="14"/>
                <w:szCs w:val="14"/>
                <w:color w:val="auto"/>
              </w:rPr>
            </w:pPr>
          </w:p>
        </w:tc>
        <w:tc>
          <w:tcPr>
            <w:tcW w:w="10200" w:type="dxa"/>
            <w:vAlign w:val="bottom"/>
            <w:gridSpan w:val="33"/>
          </w:tcPr>
          <w:p>
            <w:pPr>
              <w:spacing w:after="0"/>
              <w:rPr>
                <w:rFonts w:ascii="Times New Roman" w:cs="Times New Roman" w:eastAsia="Times New Roman" w:hAnsi="Times New Roman"/>
                <w:sz w:val="12"/>
                <w:szCs w:val="12"/>
                <w:color w:val="0000FF"/>
              </w:rPr>
            </w:pPr>
            <w:hyperlink r:id="rId178">
              <w:r>
                <w:rPr>
                  <w:rFonts w:ascii="Times New Roman" w:cs="Times New Roman" w:eastAsia="Times New Roman" w:hAnsi="Times New Roman"/>
                  <w:sz w:val="12"/>
                  <w:szCs w:val="12"/>
                  <w:color w:val="0000FF"/>
                </w:rPr>
                <w:t>Common Stock Purchase Agreement, dated as of May 31, 2022, by and between vTv Therapeutics Inc. and G42 Investments AI Holding RSC Ltd. (incorporated by reference from Exhibit 1.1 to the</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40" w:type="dxa"/>
            <w:vAlign w:val="bottom"/>
            <w:tcBorders>
              <w:top w:val="single" w:sz="8" w:color="0000FF"/>
            </w:tcBorders>
            <w:gridSpan w:val="25"/>
          </w:tcPr>
          <w:p>
            <w:pPr>
              <w:spacing w:after="0" w:line="97" w:lineRule="exact"/>
              <w:rPr>
                <w:rFonts w:ascii="Times New Roman" w:cs="Times New Roman" w:eastAsia="Times New Roman" w:hAnsi="Times New Roman"/>
                <w:sz w:val="11"/>
                <w:szCs w:val="11"/>
                <w:color w:val="0000FF"/>
              </w:rPr>
            </w:pPr>
            <w:hyperlink r:id="rId178">
              <w:r>
                <w:rPr>
                  <w:rFonts w:ascii="Times New Roman" w:cs="Times New Roman" w:eastAsia="Times New Roman" w:hAnsi="Times New Roman"/>
                  <w:sz w:val="11"/>
                  <w:szCs w:val="11"/>
                  <w:color w:val="0000FF"/>
                </w:rPr>
                <w:t>Company’s Form 8-K, filed June 1, 2022 (File No. 001-37524)).</w:t>
              </w:r>
            </w:hyperlink>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10.14</w:t>
            </w:r>
          </w:p>
        </w:tc>
        <w:tc>
          <w:tcPr>
            <w:tcW w:w="600" w:type="dxa"/>
            <w:vAlign w:val="bottom"/>
          </w:tcPr>
          <w:p>
            <w:pPr>
              <w:spacing w:after="0"/>
              <w:rPr>
                <w:sz w:val="15"/>
                <w:szCs w:val="15"/>
                <w:color w:val="auto"/>
              </w:rPr>
            </w:pPr>
          </w:p>
        </w:tc>
        <w:tc>
          <w:tcPr>
            <w:tcW w:w="10200" w:type="dxa"/>
            <w:vAlign w:val="bottom"/>
            <w:gridSpan w:val="33"/>
          </w:tcPr>
          <w:p>
            <w:pPr>
              <w:spacing w:after="0"/>
              <w:rPr>
                <w:rFonts w:ascii="Times New Roman" w:cs="Times New Roman" w:eastAsia="Times New Roman" w:hAnsi="Times New Roman"/>
                <w:sz w:val="12"/>
                <w:szCs w:val="12"/>
                <w:color w:val="0000FF"/>
              </w:rPr>
            </w:pPr>
            <w:hyperlink r:id="rId179">
              <w:r>
                <w:rPr>
                  <w:rFonts w:ascii="Times New Roman" w:cs="Times New Roman" w:eastAsia="Times New Roman" w:hAnsi="Times New Roman"/>
                  <w:sz w:val="12"/>
                  <w:szCs w:val="12"/>
                  <w:color w:val="0000FF"/>
                </w:rPr>
                <w:t>Common Stock and Warrant Purchase Agreement, dated as of July 22, 2022, by and among vTv Therapeutics Inc., CinPax, LLC and CinRx Pharma, LLC (incorporated by reference from Exhibit 10.1 to the</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160" w:type="dxa"/>
            <w:vAlign w:val="bottom"/>
            <w:tcBorders>
              <w:top w:val="single" w:sz="8" w:color="0000FF"/>
            </w:tcBorders>
            <w:gridSpan w:val="31"/>
          </w:tcPr>
          <w:p>
            <w:pPr>
              <w:spacing w:after="0" w:line="97" w:lineRule="exact"/>
              <w:rPr>
                <w:rFonts w:ascii="Times New Roman" w:cs="Times New Roman" w:eastAsia="Times New Roman" w:hAnsi="Times New Roman"/>
                <w:sz w:val="11"/>
                <w:szCs w:val="11"/>
                <w:color w:val="0000FF"/>
              </w:rPr>
            </w:pPr>
            <w:hyperlink r:id="rId179">
              <w:r>
                <w:rPr>
                  <w:rFonts w:ascii="Times New Roman" w:cs="Times New Roman" w:eastAsia="Times New Roman" w:hAnsi="Times New Roman"/>
                  <w:sz w:val="11"/>
                  <w:szCs w:val="11"/>
                  <w:color w:val="0000FF"/>
                </w:rPr>
                <w:t>Company’s Form 8-K, filed July 25, 2022 (File No. 001-37524).</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10.15†</w:t>
            </w:r>
          </w:p>
        </w:tc>
        <w:tc>
          <w:tcPr>
            <w:tcW w:w="10200" w:type="dxa"/>
            <w:vAlign w:val="bottom"/>
            <w:gridSpan w:val="33"/>
          </w:tcPr>
          <w:p>
            <w:pPr>
              <w:spacing w:after="0"/>
              <w:rPr>
                <w:rFonts w:ascii="Times New Roman" w:cs="Times New Roman" w:eastAsia="Times New Roman" w:hAnsi="Times New Roman"/>
                <w:sz w:val="12"/>
                <w:szCs w:val="12"/>
                <w:color w:val="0000FF"/>
              </w:rPr>
            </w:pPr>
            <w:hyperlink r:id="rId180">
              <w:r>
                <w:rPr>
                  <w:rFonts w:ascii="Times New Roman" w:cs="Times New Roman" w:eastAsia="Times New Roman" w:hAnsi="Times New Roman"/>
                  <w:sz w:val="12"/>
                  <w:szCs w:val="12"/>
                  <w:color w:val="0000FF"/>
                </w:rPr>
                <w:t>Employment Agreement, dated as of July 25, 2022, by and between vTv Therapeutics LLC and Paul Sekhri (incorporated by reference from Exhibit 10.1 to the Company’s Form 8-K, filed July 27, 2022</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120" w:type="dxa"/>
            <w:vAlign w:val="bottom"/>
            <w:tcBorders>
              <w:top w:val="single" w:sz="8" w:color="0000FF"/>
            </w:tcBorders>
            <w:gridSpan w:val="29"/>
          </w:tcPr>
          <w:p>
            <w:pPr>
              <w:spacing w:after="0" w:line="97" w:lineRule="exact"/>
              <w:rPr>
                <w:rFonts w:ascii="Times New Roman" w:cs="Times New Roman" w:eastAsia="Times New Roman" w:hAnsi="Times New Roman"/>
                <w:sz w:val="11"/>
                <w:szCs w:val="11"/>
                <w:color w:val="0000FF"/>
              </w:rPr>
            </w:pPr>
            <w:hyperlink r:id="rId180">
              <w:r>
                <w:rPr>
                  <w:rFonts w:ascii="Times New Roman" w:cs="Times New Roman" w:eastAsia="Times New Roman" w:hAnsi="Times New Roman"/>
                  <w:sz w:val="11"/>
                  <w:szCs w:val="11"/>
                  <w:color w:val="0000FF"/>
                </w:rPr>
                <w:t>(File No. 001-37524)).</w:t>
              </w:r>
            </w:hyperlink>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10.16†</w:t>
            </w:r>
          </w:p>
        </w:tc>
        <w:tc>
          <w:tcPr>
            <w:tcW w:w="10200" w:type="dxa"/>
            <w:vAlign w:val="bottom"/>
            <w:gridSpan w:val="33"/>
          </w:tcPr>
          <w:p>
            <w:pPr>
              <w:spacing w:after="0"/>
              <w:rPr>
                <w:rFonts w:ascii="Times New Roman" w:cs="Times New Roman" w:eastAsia="Times New Roman" w:hAnsi="Times New Roman"/>
                <w:sz w:val="12"/>
                <w:szCs w:val="12"/>
                <w:color w:val="0000FF"/>
              </w:rPr>
            </w:pPr>
            <w:hyperlink r:id="rId181">
              <w:r>
                <w:rPr>
                  <w:rFonts w:ascii="Times New Roman" w:cs="Times New Roman" w:eastAsia="Times New Roman" w:hAnsi="Times New Roman"/>
                  <w:sz w:val="12"/>
                  <w:szCs w:val="12"/>
                  <w:color w:val="0000FF"/>
                </w:rPr>
                <w:t>Inducement Award Agreement, dated as of July 26, 2022, by and between vTv Therapeutics Inc. and Paul Sekhri (incorporated by reference from Exhibit 10.2 to the Company’s Form 8-K, filed July 27,</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Borders>
              <w:top w:val="single" w:sz="8" w:color="0000FF"/>
              <w:bottom w:val="single" w:sz="8" w:color="0000FF"/>
            </w:tcBorders>
            <w:gridSpan w:val="2"/>
          </w:tcPr>
          <w:p>
            <w:pPr>
              <w:spacing w:after="0" w:line="97" w:lineRule="exact"/>
              <w:rPr>
                <w:rFonts w:ascii="Times New Roman" w:cs="Times New Roman" w:eastAsia="Times New Roman" w:hAnsi="Times New Roman"/>
                <w:sz w:val="11"/>
                <w:szCs w:val="11"/>
                <w:color w:val="0000FF"/>
              </w:rPr>
            </w:pPr>
            <w:hyperlink r:id="rId181">
              <w:r>
                <w:rPr>
                  <w:rFonts w:ascii="Times New Roman" w:cs="Times New Roman" w:eastAsia="Times New Roman" w:hAnsi="Times New Roman"/>
                  <w:sz w:val="11"/>
                  <w:szCs w:val="11"/>
                  <w:color w:val="0000FF"/>
                </w:rPr>
                <w:t>2022 (File No. 001-37524)).</w:t>
              </w:r>
            </w:hyperlink>
          </w:p>
        </w:tc>
        <w:tc>
          <w:tcPr>
            <w:tcW w:w="8640" w:type="dxa"/>
            <w:vAlign w:val="bottom"/>
            <w:tcBorders>
              <w:top w:val="single" w:sz="8" w:color="0000FF"/>
            </w:tcBorders>
            <w:gridSpan w:val="21"/>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10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10.17†</w:t>
            </w:r>
          </w:p>
        </w:tc>
        <w:tc>
          <w:tcPr>
            <w:tcW w:w="10200" w:type="dxa"/>
            <w:vAlign w:val="bottom"/>
            <w:gridSpan w:val="33"/>
          </w:tcPr>
          <w:p>
            <w:pPr>
              <w:spacing w:after="0"/>
              <w:rPr>
                <w:rFonts w:ascii="Times New Roman" w:cs="Times New Roman" w:eastAsia="Times New Roman" w:hAnsi="Times New Roman"/>
                <w:sz w:val="12"/>
                <w:szCs w:val="12"/>
                <w:color w:val="0000FF"/>
              </w:rPr>
            </w:pPr>
            <w:hyperlink r:id="rId182">
              <w:r>
                <w:rPr>
                  <w:rFonts w:ascii="Times New Roman" w:cs="Times New Roman" w:eastAsia="Times New Roman" w:hAnsi="Times New Roman"/>
                  <w:sz w:val="12"/>
                  <w:szCs w:val="12"/>
                  <w:color w:val="0000FF"/>
                </w:rPr>
                <w:t>Employment Agreement, dated as of December 8, 2022, by and between vTv Therapeutics LLC and Steven Tuch (incorporated by reference from Exhibit 10.1 to the Company’s Form 8-K, filed December</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180" w:type="dxa"/>
            <w:vAlign w:val="bottom"/>
            <w:tcBorders>
              <w:top w:val="single" w:sz="8" w:color="0000FF"/>
            </w:tcBorders>
            <w:gridSpan w:val="32"/>
          </w:tcPr>
          <w:p>
            <w:pPr>
              <w:spacing w:after="0" w:line="97" w:lineRule="exact"/>
              <w:rPr>
                <w:rFonts w:ascii="Times New Roman" w:cs="Times New Roman" w:eastAsia="Times New Roman" w:hAnsi="Times New Roman"/>
                <w:sz w:val="11"/>
                <w:szCs w:val="11"/>
                <w:color w:val="0000FF"/>
              </w:rPr>
            </w:pPr>
            <w:hyperlink r:id="rId182">
              <w:r>
                <w:rPr>
                  <w:rFonts w:ascii="Times New Roman" w:cs="Times New Roman" w:eastAsia="Times New Roman" w:hAnsi="Times New Roman"/>
                  <w:sz w:val="11"/>
                  <w:szCs w:val="11"/>
                  <w:color w:val="0000FF"/>
                </w:rPr>
                <w:t>13, 2022(File No. 001-37524)).</w:t>
              </w:r>
            </w:hyperlink>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10.18</w:t>
            </w:r>
          </w:p>
        </w:tc>
        <w:tc>
          <w:tcPr>
            <w:tcW w:w="600" w:type="dxa"/>
            <w:vAlign w:val="bottom"/>
          </w:tcPr>
          <w:p>
            <w:pPr>
              <w:spacing w:after="0"/>
              <w:rPr>
                <w:sz w:val="15"/>
                <w:szCs w:val="15"/>
                <w:color w:val="auto"/>
              </w:rPr>
            </w:pPr>
          </w:p>
        </w:tc>
        <w:tc>
          <w:tcPr>
            <w:tcW w:w="10200" w:type="dxa"/>
            <w:vAlign w:val="bottom"/>
            <w:gridSpan w:val="33"/>
          </w:tcPr>
          <w:p>
            <w:pPr>
              <w:spacing w:after="0"/>
              <w:rPr>
                <w:rFonts w:ascii="Times New Roman" w:cs="Times New Roman" w:eastAsia="Times New Roman" w:hAnsi="Times New Roman"/>
                <w:sz w:val="12"/>
                <w:szCs w:val="12"/>
                <w:color w:val="0000FF"/>
              </w:rPr>
            </w:pPr>
            <w:hyperlink r:id="rId183">
              <w:r>
                <w:rPr>
                  <w:rFonts w:ascii="Times New Roman" w:cs="Times New Roman" w:eastAsia="Times New Roman" w:hAnsi="Times New Roman"/>
                  <w:sz w:val="12"/>
                  <w:szCs w:val="12"/>
                  <w:color w:val="0000FF"/>
                </w:rPr>
                <w:t>Collaboration and License Agreement, dated as of May 31, 2022, by and between vTv Therapeutics, LLC and Cogna Technology Solutions LLC (incorporated by reference from Exhibit 10.1 to the</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20" w:type="dxa"/>
            <w:vAlign w:val="bottom"/>
            <w:tcBorders>
              <w:top w:val="single" w:sz="8" w:color="0000FF"/>
            </w:tcBorders>
            <w:gridSpan w:val="24"/>
          </w:tcPr>
          <w:p>
            <w:pPr>
              <w:spacing w:after="0" w:line="97" w:lineRule="exact"/>
              <w:rPr>
                <w:rFonts w:ascii="Times New Roman" w:cs="Times New Roman" w:eastAsia="Times New Roman" w:hAnsi="Times New Roman"/>
                <w:sz w:val="11"/>
                <w:szCs w:val="11"/>
                <w:color w:val="0000FF"/>
              </w:rPr>
            </w:pPr>
            <w:hyperlink r:id="rId183">
              <w:r>
                <w:rPr>
                  <w:rFonts w:ascii="Times New Roman" w:cs="Times New Roman" w:eastAsia="Times New Roman" w:hAnsi="Times New Roman"/>
                  <w:sz w:val="11"/>
                  <w:szCs w:val="11"/>
                  <w:color w:val="0000FF"/>
                </w:rPr>
                <w:t>Company’s Form 10-Q, filed on August 15, 2022 (File No. 001-37524)).</w:t>
              </w:r>
            </w:hyperlink>
          </w:p>
        </w:tc>
        <w:tc>
          <w:tcPr>
            <w:tcW w:w="60" w:type="dxa"/>
            <w:vAlign w:val="bottom"/>
            <w:gridSpan w:val="3"/>
          </w:tcPr>
          <w:p>
            <w:pPr>
              <w:spacing w:after="0"/>
              <w:rPr>
                <w:sz w:val="8"/>
                <w:szCs w:val="8"/>
                <w:color w:val="auto"/>
              </w:rPr>
            </w:pPr>
          </w:p>
        </w:tc>
        <w:tc>
          <w:tcPr>
            <w:tcW w:w="120" w:type="dxa"/>
            <w:vAlign w:val="bottom"/>
            <w:gridSpan w:val="6"/>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10.19</w:t>
            </w:r>
          </w:p>
        </w:tc>
        <w:tc>
          <w:tcPr>
            <w:tcW w:w="600" w:type="dxa"/>
            <w:vAlign w:val="bottom"/>
          </w:tcPr>
          <w:p>
            <w:pPr>
              <w:spacing w:after="0"/>
              <w:rPr>
                <w:sz w:val="15"/>
                <w:szCs w:val="15"/>
                <w:color w:val="auto"/>
              </w:rPr>
            </w:pPr>
          </w:p>
        </w:tc>
        <w:tc>
          <w:tcPr>
            <w:tcW w:w="10200" w:type="dxa"/>
            <w:vAlign w:val="bottom"/>
            <w:gridSpan w:val="33"/>
          </w:tcPr>
          <w:p>
            <w:pPr>
              <w:spacing w:after="0"/>
              <w:rPr>
                <w:rFonts w:ascii="Times New Roman" w:cs="Times New Roman" w:eastAsia="Times New Roman" w:hAnsi="Times New Roman"/>
                <w:sz w:val="12"/>
                <w:szCs w:val="12"/>
                <w:color w:val="0000FF"/>
              </w:rPr>
            </w:pPr>
            <w:hyperlink r:id="rId184">
              <w:r>
                <w:rPr>
                  <w:rFonts w:ascii="Times New Roman" w:cs="Times New Roman" w:eastAsia="Times New Roman" w:hAnsi="Times New Roman"/>
                  <w:sz w:val="12"/>
                  <w:szCs w:val="12"/>
                  <w:color w:val="0000FF"/>
                </w:rPr>
                <w:t>Deed of Novation, dated as of December 21, 2022, by and between vTv Therapeutics LLC, G42 Healthcare Technology Projects LLC and G42 Healthcare Technology Solutions LLC (f/k/a Cogna</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980" w:type="dxa"/>
            <w:vAlign w:val="bottom"/>
            <w:tcBorders>
              <w:top w:val="single" w:sz="8" w:color="0000FF"/>
            </w:tcBorders>
            <w:gridSpan w:val="22"/>
          </w:tcPr>
          <w:p>
            <w:pPr>
              <w:spacing w:after="0" w:line="97" w:lineRule="exact"/>
              <w:rPr>
                <w:rFonts w:ascii="Times New Roman" w:cs="Times New Roman" w:eastAsia="Times New Roman" w:hAnsi="Times New Roman"/>
                <w:sz w:val="11"/>
                <w:szCs w:val="11"/>
                <w:color w:val="0000FF"/>
              </w:rPr>
            </w:pPr>
            <w:hyperlink r:id="rId184">
              <w:r>
                <w:rPr>
                  <w:rFonts w:ascii="Times New Roman" w:cs="Times New Roman" w:eastAsia="Times New Roman" w:hAnsi="Times New Roman"/>
                  <w:sz w:val="11"/>
                  <w:szCs w:val="11"/>
                  <w:color w:val="0000FF"/>
                </w:rPr>
                <w:t>Technology Solutions LLC) (incorporated by reference from Exhibit 10.36 (File No. 001-37524)).</w:t>
              </w:r>
            </w:hyperlink>
          </w:p>
        </w:tc>
        <w:tc>
          <w:tcPr>
            <w:tcW w:w="100" w:type="dxa"/>
            <w:vAlign w:val="bottom"/>
            <w:gridSpan w:val="5"/>
          </w:tcPr>
          <w:p>
            <w:pPr>
              <w:spacing w:after="0"/>
              <w:rPr>
                <w:sz w:val="8"/>
                <w:szCs w:val="8"/>
                <w:color w:val="auto"/>
              </w:rPr>
            </w:pPr>
          </w:p>
        </w:tc>
        <w:tc>
          <w:tcPr>
            <w:tcW w:w="120" w:type="dxa"/>
            <w:vAlign w:val="bottom"/>
            <w:gridSpan w:val="6"/>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524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10.20</w:t>
            </w:r>
          </w:p>
        </w:tc>
        <w:tc>
          <w:tcPr>
            <w:tcW w:w="600" w:type="dxa"/>
            <w:vAlign w:val="bottom"/>
          </w:tcPr>
          <w:p>
            <w:pPr>
              <w:spacing w:after="0"/>
              <w:rPr>
                <w:sz w:val="15"/>
                <w:szCs w:val="15"/>
                <w:color w:val="auto"/>
              </w:rPr>
            </w:pPr>
          </w:p>
        </w:tc>
        <w:tc>
          <w:tcPr>
            <w:tcW w:w="10200" w:type="dxa"/>
            <w:vAlign w:val="bottom"/>
            <w:gridSpan w:val="33"/>
          </w:tcPr>
          <w:p>
            <w:pPr>
              <w:spacing w:after="0"/>
              <w:rPr>
                <w:rFonts w:ascii="Times New Roman" w:cs="Times New Roman" w:eastAsia="Times New Roman" w:hAnsi="Times New Roman"/>
                <w:sz w:val="12"/>
                <w:szCs w:val="12"/>
                <w:color w:val="0000FF"/>
              </w:rPr>
            </w:pPr>
            <w:hyperlink r:id="rId185">
              <w:r>
                <w:rPr>
                  <w:rFonts w:ascii="Times New Roman" w:cs="Times New Roman" w:eastAsia="Times New Roman" w:hAnsi="Times New Roman"/>
                  <w:sz w:val="12"/>
                  <w:szCs w:val="12"/>
                  <w:color w:val="0000FF"/>
                </w:rPr>
                <w:t>Deed of Variation, dated as of February 28, 2023, by and between vTv Therapeutics Inc., G42 Investments AI Holding RSC Ltd., and Group 42 Holding Limited (incorporated by reference from Exhibit</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80" w:type="dxa"/>
            <w:vAlign w:val="bottom"/>
            <w:tcBorders>
              <w:top w:val="single" w:sz="8" w:color="0000FF"/>
            </w:tcBorders>
            <w:gridSpan w:val="27"/>
          </w:tcPr>
          <w:p>
            <w:pPr>
              <w:spacing w:after="0" w:line="97" w:lineRule="exact"/>
              <w:rPr>
                <w:rFonts w:ascii="Times New Roman" w:cs="Times New Roman" w:eastAsia="Times New Roman" w:hAnsi="Times New Roman"/>
                <w:sz w:val="11"/>
                <w:szCs w:val="11"/>
                <w:color w:val="0000FF"/>
              </w:rPr>
            </w:pPr>
            <w:hyperlink r:id="rId185">
              <w:r>
                <w:rPr>
                  <w:rFonts w:ascii="Times New Roman" w:cs="Times New Roman" w:eastAsia="Times New Roman" w:hAnsi="Times New Roman"/>
                  <w:sz w:val="11"/>
                  <w:szCs w:val="11"/>
                  <w:color w:val="0000FF"/>
                </w:rPr>
                <w:t>10.</w:t>
              </w:r>
              <w:r>
                <w:rPr>
                  <w:rFonts w:ascii="Times New Roman" w:cs="Times New Roman" w:eastAsia="Times New Roman" w:hAnsi="Times New Roman"/>
                  <w:sz w:val="11"/>
                  <w:szCs w:val="11"/>
                  <w:u w:val="single" w:color="auto"/>
                  <w:color w:val="0000FF"/>
                </w:rPr>
                <w:t>37</w:t>
              </w:r>
              <w:r>
                <w:rPr>
                  <w:rFonts w:ascii="Times New Roman" w:cs="Times New Roman" w:eastAsia="Times New Roman" w:hAnsi="Times New Roman"/>
                  <w:sz w:val="11"/>
                  <w:szCs w:val="11"/>
                  <w:color w:val="0000FF"/>
                </w:rPr>
                <w:t xml:space="preserve"> (File No. 001-37524)).</w:t>
              </w:r>
            </w:hyperlink>
          </w:p>
        </w:tc>
        <w:tc>
          <w:tcPr>
            <w:tcW w:w="120" w:type="dxa"/>
            <w:vAlign w:val="bottom"/>
            <w:gridSpan w:val="6"/>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7940" w:type="dxa"/>
            <w:vAlign w:val="bottom"/>
            <w:gridSpan w:val="1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10.21</w:t>
            </w:r>
          </w:p>
        </w:tc>
        <w:tc>
          <w:tcPr>
            <w:tcW w:w="600" w:type="dxa"/>
            <w:vAlign w:val="bottom"/>
          </w:tcPr>
          <w:p>
            <w:pPr>
              <w:spacing w:after="0"/>
              <w:rPr>
                <w:sz w:val="15"/>
                <w:szCs w:val="15"/>
                <w:color w:val="auto"/>
              </w:rPr>
            </w:pPr>
          </w:p>
        </w:tc>
        <w:tc>
          <w:tcPr>
            <w:tcW w:w="10200" w:type="dxa"/>
            <w:vAlign w:val="bottom"/>
            <w:gridSpan w:val="33"/>
          </w:tcPr>
          <w:p>
            <w:pPr>
              <w:spacing w:after="0"/>
              <w:rPr>
                <w:rFonts w:ascii="Times New Roman" w:cs="Times New Roman" w:eastAsia="Times New Roman" w:hAnsi="Times New Roman"/>
                <w:sz w:val="12"/>
                <w:szCs w:val="12"/>
                <w:color w:val="0000FF"/>
              </w:rPr>
            </w:pPr>
            <w:hyperlink r:id="rId186">
              <w:r>
                <w:rPr>
                  <w:rFonts w:ascii="Times New Roman" w:cs="Times New Roman" w:eastAsia="Times New Roman" w:hAnsi="Times New Roman"/>
                  <w:sz w:val="12"/>
                  <w:szCs w:val="12"/>
                  <w:color w:val="0000FF"/>
                </w:rPr>
                <w:t>Securities Purchase Agreement, dated February 27, 2024, by and among vTv Therapeutics Inc. and the investors party thereto (incorporated by reference from Exhibit 10.1 to the Company's 8-K, filed</w:t>
              </w:r>
            </w:hyperlink>
          </w:p>
        </w:tc>
        <w:tc>
          <w:tcPr>
            <w:tcW w:w="0" w:type="dxa"/>
            <w:vAlign w:val="bottom"/>
          </w:tcPr>
          <w:p>
            <w:pPr>
              <w:spacing w:after="0"/>
              <w:rPr>
                <w:sz w:val="1"/>
                <w:szCs w:val="1"/>
                <w:color w:val="auto"/>
              </w:rPr>
            </w:pPr>
          </w:p>
        </w:tc>
      </w:tr>
      <w:tr>
        <w:trPr>
          <w:trHeight w:val="97"/>
        </w:trPr>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0" w:type="dxa"/>
            <w:vAlign w:val="bottom"/>
            <w:tcBorders>
              <w:top w:val="single" w:sz="8" w:color="0000FF"/>
              <w:bottom w:val="single" w:sz="8" w:color="0000FF"/>
            </w:tcBorders>
            <w:gridSpan w:val="7"/>
          </w:tcPr>
          <w:p>
            <w:pPr>
              <w:spacing w:after="0" w:line="97" w:lineRule="exact"/>
              <w:rPr>
                <w:rFonts w:ascii="Times New Roman" w:cs="Times New Roman" w:eastAsia="Times New Roman" w:hAnsi="Times New Roman"/>
                <w:sz w:val="11"/>
                <w:szCs w:val="11"/>
                <w:color w:val="0000FF"/>
              </w:rPr>
            </w:pPr>
            <w:hyperlink r:id="rId186">
              <w:r>
                <w:rPr>
                  <w:rFonts w:ascii="Times New Roman" w:cs="Times New Roman" w:eastAsia="Times New Roman" w:hAnsi="Times New Roman"/>
                  <w:sz w:val="11"/>
                  <w:szCs w:val="11"/>
                  <w:color w:val="0000FF"/>
                </w:rPr>
                <w:t>February 28, 2024 (File No. 001-37524)).</w:t>
              </w:r>
            </w:hyperlink>
          </w:p>
        </w:tc>
        <w:tc>
          <w:tcPr>
            <w:tcW w:w="7940" w:type="dxa"/>
            <w:vAlign w:val="bottom"/>
            <w:tcBorders>
              <w:top w:val="single" w:sz="8" w:color="0000FF"/>
            </w:tcBorders>
            <w:gridSpan w:val="13"/>
          </w:tcPr>
          <w:p>
            <w:pPr>
              <w:spacing w:after="0"/>
              <w:rPr>
                <w:sz w:val="8"/>
                <w:szCs w:val="8"/>
                <w:color w:val="auto"/>
              </w:rPr>
            </w:pPr>
          </w:p>
        </w:tc>
        <w:tc>
          <w:tcPr>
            <w:tcW w:w="260" w:type="dxa"/>
            <w:vAlign w:val="bottom"/>
            <w:gridSpan w:val="13"/>
          </w:tcPr>
          <w:p>
            <w:pPr>
              <w:spacing w:after="0"/>
              <w:rPr>
                <w:sz w:val="8"/>
                <w:szCs w:val="8"/>
                <w:color w:val="auto"/>
              </w:rPr>
            </w:pPr>
          </w:p>
        </w:tc>
        <w:tc>
          <w:tcPr>
            <w:tcW w:w="0" w:type="dxa"/>
            <w:vAlign w:val="bottom"/>
          </w:tcPr>
          <w:p>
            <w:pPr>
              <w:spacing w:after="0"/>
              <w:rPr>
                <w:sz w:val="1"/>
                <w:szCs w:val="1"/>
                <w:color w:val="auto"/>
              </w:rPr>
            </w:pPr>
          </w:p>
        </w:tc>
      </w:tr>
      <w:tr>
        <w:trPr>
          <w:trHeight w:val="763"/>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00" w:type="dxa"/>
            <w:vAlign w:val="bottom"/>
            <w:gridSpan w:val="11"/>
          </w:tcPr>
          <w:p>
            <w:pPr>
              <w:ind w:left="4440"/>
              <w:spacing w:after="0"/>
              <w:rPr>
                <w:sz w:val="20"/>
                <w:szCs w:val="20"/>
                <w:color w:val="auto"/>
              </w:rPr>
            </w:pPr>
            <w:r>
              <w:rPr>
                <w:rFonts w:ascii="Times New Roman" w:cs="Times New Roman" w:eastAsia="Times New Roman" w:hAnsi="Times New Roman"/>
                <w:sz w:val="12"/>
                <w:szCs w:val="12"/>
                <w:color w:val="auto"/>
              </w:rPr>
              <w:t>72</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8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2" w:name="page73"/>
    <w:bookmarkEnd w:id="72"/>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200" w:type="dxa"/>
        <w:tblCellMar>
          <w:top w:w="0" w:type="dxa"/>
          <w:left w:w="0" w:type="dxa"/>
          <w:bottom w:w="0" w:type="dxa"/>
          <w:right w:w="0" w:type="dxa"/>
        </w:tblCellMar>
      </w:tblPr>
      <w:tr>
        <w:trPr>
          <w:trHeight w:val="115"/>
        </w:trPr>
        <w:tc>
          <w:tcPr>
            <w:tcW w:w="9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0" w:type="dxa"/>
            <w:vAlign w:val="bottom"/>
            <w:gridSpan w:val="14"/>
            <w:vMerge w:val="restart"/>
          </w:tcPr>
          <w:p>
            <w:pPr>
              <w:ind w:left="50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97"/>
        </w:trPr>
        <w:tc>
          <w:tcPr>
            <w:tcW w:w="940" w:type="dxa"/>
            <w:vAlign w:val="bottom"/>
            <w:gridSpan w:val="2"/>
          </w:tcPr>
          <w:p>
            <w:pPr>
              <w:spacing w:after="0" w:line="78" w:lineRule="exact"/>
              <w:rPr>
                <w:sz w:val="20"/>
                <w:szCs w:val="20"/>
                <w:color w:val="auto"/>
              </w:rPr>
            </w:pPr>
            <w:r>
              <w:rPr>
                <w:rFonts w:ascii="Times New Roman" w:cs="Times New Roman" w:eastAsia="Times New Roman" w:hAnsi="Times New Roman"/>
                <w:sz w:val="8"/>
                <w:szCs w:val="8"/>
                <w:b w:val="1"/>
                <w:bCs w:val="1"/>
                <w:color w:val="auto"/>
              </w:rPr>
              <w:t>Number</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10.22</w:t>
            </w:r>
          </w:p>
        </w:tc>
        <w:tc>
          <w:tcPr>
            <w:tcW w:w="600" w:type="dxa"/>
            <w:vAlign w:val="bottom"/>
          </w:tcPr>
          <w:p>
            <w:pPr>
              <w:spacing w:after="0"/>
              <w:rPr>
                <w:sz w:val="12"/>
                <w:szCs w:val="12"/>
                <w:color w:val="auto"/>
              </w:rPr>
            </w:pPr>
          </w:p>
        </w:tc>
        <w:tc>
          <w:tcPr>
            <w:tcW w:w="10040" w:type="dxa"/>
            <w:vAlign w:val="bottom"/>
            <w:gridSpan w:val="21"/>
          </w:tcPr>
          <w:p>
            <w:pPr>
              <w:spacing w:after="0"/>
              <w:rPr>
                <w:rFonts w:ascii="Times New Roman" w:cs="Times New Roman" w:eastAsia="Times New Roman" w:hAnsi="Times New Roman"/>
                <w:sz w:val="12"/>
                <w:szCs w:val="12"/>
                <w:color w:val="0000FF"/>
              </w:rPr>
            </w:pPr>
            <w:hyperlink r:id="rId190">
              <w:r>
                <w:rPr>
                  <w:rFonts w:ascii="Times New Roman" w:cs="Times New Roman" w:eastAsia="Times New Roman" w:hAnsi="Times New Roman"/>
                  <w:sz w:val="12"/>
                  <w:szCs w:val="12"/>
                  <w:color w:val="0000FF"/>
                </w:rPr>
                <w:t>Registration Rights Agreement, dated February 27, 2024, by and among vTv Therapeutics Inc. and the investors party thereto (incorporated by reference from Exhibit 10.2 to the Company's 8-K, filed</w:t>
              </w:r>
            </w:hyperlink>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190">
              <w:r>
                <w:rPr>
                  <w:rFonts w:ascii="Times New Roman" w:cs="Times New Roman" w:eastAsia="Times New Roman" w:hAnsi="Times New Roman"/>
                  <w:sz w:val="11"/>
                  <w:szCs w:val="11"/>
                  <w:color w:val="0000FF"/>
                </w:rPr>
                <w:t>February 28, 2024 (File No. 001-37524)).</w:t>
              </w:r>
            </w:hyperlink>
          </w:p>
        </w:tc>
        <w:tc>
          <w:tcPr>
            <w:tcW w:w="7960" w:type="dxa"/>
            <w:vAlign w:val="bottom"/>
            <w:tcBorders>
              <w:top w:val="single" w:sz="8" w:color="0000FF"/>
            </w:tcBorders>
            <w:gridSpan w:val="1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10.23</w:t>
            </w:r>
          </w:p>
        </w:tc>
        <w:tc>
          <w:tcPr>
            <w:tcW w:w="600" w:type="dxa"/>
            <w:vAlign w:val="bottom"/>
          </w:tcPr>
          <w:p>
            <w:pPr>
              <w:spacing w:after="0"/>
              <w:rPr>
                <w:sz w:val="15"/>
                <w:szCs w:val="15"/>
                <w:color w:val="auto"/>
              </w:rPr>
            </w:pPr>
          </w:p>
        </w:tc>
        <w:tc>
          <w:tcPr>
            <w:tcW w:w="10040" w:type="dxa"/>
            <w:vAlign w:val="bottom"/>
            <w:gridSpan w:val="21"/>
          </w:tcPr>
          <w:p>
            <w:pPr>
              <w:spacing w:after="0"/>
              <w:rPr>
                <w:rFonts w:ascii="Times New Roman" w:cs="Times New Roman" w:eastAsia="Times New Roman" w:hAnsi="Times New Roman"/>
                <w:sz w:val="12"/>
                <w:szCs w:val="12"/>
                <w:color w:val="0000FF"/>
              </w:rPr>
            </w:pPr>
            <w:hyperlink r:id="rId191">
              <w:r>
                <w:rPr>
                  <w:rFonts w:ascii="Times New Roman" w:cs="Times New Roman" w:eastAsia="Times New Roman" w:hAnsi="Times New Roman"/>
                  <w:sz w:val="12"/>
                  <w:szCs w:val="12"/>
                  <w:color w:val="0000FF"/>
                </w:rPr>
                <w:t>Amendment to Common Stock and Warrant Purchase Agreement, dated February 27, 2024, by and between vTv Therapeutics Inc. and G42 Investments AI Holdings RSC Ltd (incorporated by reference</w:t>
              </w:r>
            </w:hyperlink>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0" w:type="dxa"/>
            <w:vAlign w:val="bottom"/>
            <w:tcBorders>
              <w:top w:val="single" w:sz="8" w:color="0000FF"/>
            </w:tcBorders>
            <w:gridSpan w:val="19"/>
          </w:tcPr>
          <w:p>
            <w:pPr>
              <w:spacing w:after="0" w:line="97" w:lineRule="exact"/>
              <w:rPr>
                <w:rFonts w:ascii="Times New Roman" w:cs="Times New Roman" w:eastAsia="Times New Roman" w:hAnsi="Times New Roman"/>
                <w:sz w:val="11"/>
                <w:szCs w:val="11"/>
                <w:color w:val="0000FF"/>
              </w:rPr>
            </w:pPr>
            <w:hyperlink r:id="rId191">
              <w:r>
                <w:rPr>
                  <w:rFonts w:ascii="Times New Roman" w:cs="Times New Roman" w:eastAsia="Times New Roman" w:hAnsi="Times New Roman"/>
                  <w:sz w:val="11"/>
                  <w:szCs w:val="11"/>
                  <w:color w:val="0000FF"/>
                </w:rPr>
                <w:t>from Exhibit 10.3 to the Company's 8-K, filed February 28, 2024 (File No. 001-37524)).</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10.24</w:t>
            </w:r>
          </w:p>
        </w:tc>
        <w:tc>
          <w:tcPr>
            <w:tcW w:w="600" w:type="dxa"/>
            <w:vAlign w:val="bottom"/>
          </w:tcPr>
          <w:p>
            <w:pPr>
              <w:spacing w:after="0"/>
              <w:rPr>
                <w:sz w:val="15"/>
                <w:szCs w:val="15"/>
                <w:color w:val="auto"/>
              </w:rPr>
            </w:pPr>
          </w:p>
        </w:tc>
        <w:tc>
          <w:tcPr>
            <w:tcW w:w="10040" w:type="dxa"/>
            <w:vAlign w:val="bottom"/>
            <w:gridSpan w:val="21"/>
          </w:tcPr>
          <w:p>
            <w:pPr>
              <w:spacing w:after="0"/>
              <w:rPr>
                <w:rFonts w:ascii="Times New Roman" w:cs="Times New Roman" w:eastAsia="Times New Roman" w:hAnsi="Times New Roman"/>
                <w:sz w:val="12"/>
                <w:szCs w:val="12"/>
                <w:color w:val="0000FF"/>
              </w:rPr>
            </w:pPr>
            <w:hyperlink r:id="rId192">
              <w:r>
                <w:rPr>
                  <w:rFonts w:ascii="Times New Roman" w:cs="Times New Roman" w:eastAsia="Times New Roman" w:hAnsi="Times New Roman"/>
                  <w:sz w:val="12"/>
                  <w:szCs w:val="12"/>
                  <w:color w:val="0000FF"/>
                </w:rPr>
                <w:t>Amendment to Common Stock Purchase Agreement, dated February 27, 2024, by and among vTv Therapeutics Inc., CinPax, LLC and CinRx Pharma, LLC (incorporated by reference from Exhibit 10.4 to</w:t>
              </w:r>
            </w:hyperlink>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40" w:type="dxa"/>
            <w:vAlign w:val="bottom"/>
            <w:tcBorders>
              <w:top w:val="single" w:sz="8" w:color="0000FF"/>
              <w:bottom w:val="single" w:sz="8" w:color="0000FF"/>
            </w:tcBorders>
            <w:gridSpan w:val="5"/>
          </w:tcPr>
          <w:p>
            <w:pPr>
              <w:spacing w:after="0" w:line="97" w:lineRule="exact"/>
              <w:rPr>
                <w:rFonts w:ascii="Times New Roman" w:cs="Times New Roman" w:eastAsia="Times New Roman" w:hAnsi="Times New Roman"/>
                <w:sz w:val="11"/>
                <w:szCs w:val="11"/>
                <w:color w:val="0000FF"/>
              </w:rPr>
            </w:pPr>
            <w:hyperlink r:id="rId192">
              <w:r>
                <w:rPr>
                  <w:rFonts w:ascii="Times New Roman" w:cs="Times New Roman" w:eastAsia="Times New Roman" w:hAnsi="Times New Roman"/>
                  <w:sz w:val="11"/>
                  <w:szCs w:val="11"/>
                  <w:color w:val="0000FF"/>
                </w:rPr>
                <w:t>the Company's 8-K, filed February 28, 2024 (File No. 001-37524)).</w:t>
              </w:r>
            </w:hyperlink>
          </w:p>
        </w:tc>
        <w:tc>
          <w:tcPr>
            <w:tcW w:w="6780" w:type="dxa"/>
            <w:vAlign w:val="bottom"/>
            <w:tcBorders>
              <w:top w:val="single" w:sz="8" w:color="0000FF"/>
            </w:tcBorders>
            <w:gridSpan w:val="1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10.25</w:t>
            </w:r>
          </w:p>
        </w:tc>
        <w:tc>
          <w:tcPr>
            <w:tcW w:w="600" w:type="dxa"/>
            <w:vAlign w:val="bottom"/>
          </w:tcPr>
          <w:p>
            <w:pPr>
              <w:spacing w:after="0"/>
              <w:rPr>
                <w:sz w:val="15"/>
                <w:szCs w:val="15"/>
                <w:color w:val="auto"/>
              </w:rPr>
            </w:pPr>
          </w:p>
        </w:tc>
        <w:tc>
          <w:tcPr>
            <w:tcW w:w="10040" w:type="dxa"/>
            <w:vAlign w:val="bottom"/>
            <w:gridSpan w:val="21"/>
          </w:tcPr>
          <w:p>
            <w:pPr>
              <w:spacing w:after="0"/>
              <w:rPr>
                <w:rFonts w:ascii="Times New Roman" w:cs="Times New Roman" w:eastAsia="Times New Roman" w:hAnsi="Times New Roman"/>
                <w:sz w:val="12"/>
                <w:szCs w:val="12"/>
                <w:color w:val="0000FF"/>
              </w:rPr>
            </w:pPr>
            <w:hyperlink r:id="rId193">
              <w:r>
                <w:rPr>
                  <w:rFonts w:ascii="Times New Roman" w:cs="Times New Roman" w:eastAsia="Times New Roman" w:hAnsi="Times New Roman"/>
                  <w:sz w:val="12"/>
                  <w:szCs w:val="12"/>
                  <w:color w:val="0000FF"/>
                </w:rPr>
                <w:t>Amendment to Investor Rights Agreement, dated February 27, 2024, by and between vTv Therapeutics Inc. and M&amp;F TTP Holdings Two LLC (as successor in interest to vTv Therapeutics Holdings LLC)</w:t>
              </w:r>
            </w:hyperlink>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940" w:type="dxa"/>
            <w:vAlign w:val="bottom"/>
            <w:tcBorders>
              <w:top w:val="single" w:sz="8" w:color="0000FF"/>
            </w:tcBorders>
            <w:gridSpan w:val="16"/>
          </w:tcPr>
          <w:p>
            <w:pPr>
              <w:spacing w:after="0" w:line="97" w:lineRule="exact"/>
              <w:rPr>
                <w:rFonts w:ascii="Times New Roman" w:cs="Times New Roman" w:eastAsia="Times New Roman" w:hAnsi="Times New Roman"/>
                <w:sz w:val="11"/>
                <w:szCs w:val="11"/>
                <w:color w:val="0000FF"/>
              </w:rPr>
            </w:pPr>
            <w:hyperlink r:id="rId193">
              <w:r>
                <w:rPr>
                  <w:rFonts w:ascii="Times New Roman" w:cs="Times New Roman" w:eastAsia="Times New Roman" w:hAnsi="Times New Roman"/>
                  <w:sz w:val="11"/>
                  <w:szCs w:val="11"/>
                  <w:color w:val="0000FF"/>
                </w:rPr>
                <w:t>(incorporated by reference from Exhibit 10.5 to the Company's 8-K, filed February 28, 2024 (File No. 001-37524)).</w:t>
              </w:r>
            </w:hyperlink>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w w:val="96"/>
              </w:rPr>
              <w:t>10.26*</w:t>
            </w:r>
          </w:p>
        </w:tc>
        <w:tc>
          <w:tcPr>
            <w:tcW w:w="600" w:type="dxa"/>
            <w:vAlign w:val="bottom"/>
          </w:tcPr>
          <w:p>
            <w:pPr>
              <w:spacing w:after="0"/>
              <w:rPr>
                <w:sz w:val="15"/>
                <w:szCs w:val="15"/>
                <w:color w:val="auto"/>
              </w:rPr>
            </w:pPr>
          </w:p>
        </w:tc>
        <w:tc>
          <w:tcPr>
            <w:tcW w:w="10040" w:type="dxa"/>
            <w:vAlign w:val="bottom"/>
            <w:gridSpan w:val="21"/>
          </w:tcPr>
          <w:p>
            <w:pPr>
              <w:spacing w:after="0"/>
              <w:rPr>
                <w:sz w:val="20"/>
                <w:szCs w:val="20"/>
                <w:color w:val="auto"/>
              </w:rPr>
            </w:pPr>
            <w:r>
              <w:rPr>
                <w:rFonts w:ascii="Times New Roman" w:cs="Times New Roman" w:eastAsia="Times New Roman" w:hAnsi="Times New Roman"/>
                <w:sz w:val="12"/>
                <w:szCs w:val="12"/>
                <w:color w:val="0000FF"/>
              </w:rPr>
              <w:t>First Amendment to License Agreement, dated as of November 11, 2020, by and between Newsoara Biopharma Co., Ltd., and vTv Therapeutics LLC.</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w w:val="96"/>
              </w:rPr>
              <w:t>10.27*</w:t>
            </w:r>
          </w:p>
        </w:tc>
        <w:tc>
          <w:tcPr>
            <w:tcW w:w="600" w:type="dxa"/>
            <w:vAlign w:val="bottom"/>
          </w:tcPr>
          <w:p>
            <w:pPr>
              <w:spacing w:after="0"/>
              <w:rPr>
                <w:sz w:val="14"/>
                <w:szCs w:val="14"/>
                <w:color w:val="auto"/>
              </w:rPr>
            </w:pPr>
          </w:p>
        </w:tc>
        <w:tc>
          <w:tcPr>
            <w:tcW w:w="70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2"/>
                <w:szCs w:val="12"/>
                <w:color w:val="0000FF"/>
                <w:w w:val="99"/>
              </w:rPr>
              <w:t>Second Amendment to License Agreement, dated as of June 24, 2024, by and between Newsoara Biopharma Co., Ltd., and vTv Therapeutics LLC.</w:t>
            </w:r>
          </w:p>
        </w:tc>
        <w:tc>
          <w:tcPr>
            <w:tcW w:w="140" w:type="dxa"/>
            <w:vAlign w:val="bottom"/>
            <w:tcBorders>
              <w:top w:val="single" w:sz="8" w:color="0000FF"/>
            </w:tcBorders>
          </w:tcPr>
          <w:p>
            <w:pPr>
              <w:spacing w:after="0"/>
              <w:rPr>
                <w:sz w:val="14"/>
                <w:szCs w:val="14"/>
                <w:color w:val="auto"/>
              </w:rPr>
            </w:pPr>
          </w:p>
        </w:tc>
        <w:tc>
          <w:tcPr>
            <w:tcW w:w="28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19.1*</w:t>
            </w:r>
          </w:p>
        </w:tc>
        <w:tc>
          <w:tcPr>
            <w:tcW w:w="600" w:type="dxa"/>
            <w:vAlign w:val="bottom"/>
          </w:tcPr>
          <w:p>
            <w:pPr>
              <w:spacing w:after="0"/>
              <w:rPr>
                <w:sz w:val="14"/>
                <w:szCs w:val="14"/>
                <w:color w:val="auto"/>
              </w:rPr>
            </w:pPr>
          </w:p>
        </w:tc>
        <w:tc>
          <w:tcPr>
            <w:tcW w:w="10040" w:type="dxa"/>
            <w:vAlign w:val="bottom"/>
            <w:gridSpan w:val="21"/>
          </w:tcPr>
          <w:p>
            <w:pPr>
              <w:spacing w:after="0"/>
              <w:rPr>
                <w:sz w:val="20"/>
                <w:szCs w:val="20"/>
                <w:color w:val="auto"/>
              </w:rPr>
            </w:pPr>
            <w:r>
              <w:rPr>
                <w:rFonts w:ascii="Times New Roman" w:cs="Times New Roman" w:eastAsia="Times New Roman" w:hAnsi="Times New Roman"/>
                <w:sz w:val="12"/>
                <w:szCs w:val="12"/>
                <w:color w:val="0000FF"/>
              </w:rPr>
              <w:t>Securities Trading Policy of vTv Therapeutics Inc.</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21.1*</w:t>
            </w:r>
          </w:p>
        </w:tc>
        <w:tc>
          <w:tcPr>
            <w:tcW w:w="60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Subsidiaries of vTv Therapeutics Inc.</w:t>
            </w:r>
          </w:p>
        </w:tc>
        <w:tc>
          <w:tcPr>
            <w:tcW w:w="620" w:type="dxa"/>
            <w:vAlign w:val="bottom"/>
            <w:tcBorders>
              <w:top w:val="single" w:sz="8" w:color="0000FF"/>
            </w:tcBorders>
            <w:gridSpan w:val="2"/>
          </w:tcPr>
          <w:p>
            <w:pPr>
              <w:spacing w:after="0"/>
              <w:rPr>
                <w:sz w:val="14"/>
                <w:szCs w:val="14"/>
                <w:color w:val="auto"/>
              </w:rPr>
            </w:pPr>
          </w:p>
        </w:tc>
        <w:tc>
          <w:tcPr>
            <w:tcW w:w="762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23.1*</w:t>
            </w:r>
          </w:p>
        </w:tc>
        <w:tc>
          <w:tcPr>
            <w:tcW w:w="600" w:type="dxa"/>
            <w:vAlign w:val="bottom"/>
          </w:tcPr>
          <w:p>
            <w:pPr>
              <w:spacing w:after="0"/>
              <w:rPr>
                <w:sz w:val="14"/>
                <w:szCs w:val="14"/>
                <w:color w:val="auto"/>
              </w:rPr>
            </w:pPr>
          </w:p>
        </w:tc>
        <w:tc>
          <w:tcPr>
            <w:tcW w:w="3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w w:val="98"/>
              </w:rPr>
              <w:t>Consent of Ernst &amp; Young LLP, Independent Registered Public Accounting Firm.</w:t>
            </w:r>
          </w:p>
        </w:tc>
        <w:tc>
          <w:tcPr>
            <w:tcW w:w="612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31.1*</w:t>
            </w:r>
          </w:p>
        </w:tc>
        <w:tc>
          <w:tcPr>
            <w:tcW w:w="600" w:type="dxa"/>
            <w:vAlign w:val="bottom"/>
          </w:tcPr>
          <w:p>
            <w:pPr>
              <w:spacing w:after="0"/>
              <w:rPr>
                <w:sz w:val="14"/>
                <w:szCs w:val="14"/>
                <w:color w:val="auto"/>
              </w:rPr>
            </w:pPr>
          </w:p>
        </w:tc>
        <w:tc>
          <w:tcPr>
            <w:tcW w:w="10040" w:type="dxa"/>
            <w:vAlign w:val="bottom"/>
            <w:gridSpan w:val="21"/>
          </w:tcPr>
          <w:p>
            <w:pPr>
              <w:spacing w:after="0"/>
              <w:rPr>
                <w:sz w:val="20"/>
                <w:szCs w:val="20"/>
                <w:color w:val="auto"/>
              </w:rPr>
            </w:pPr>
            <w:r>
              <w:rPr>
                <w:rFonts w:ascii="Times New Roman" w:cs="Times New Roman" w:eastAsia="Times New Roman" w:hAnsi="Times New Roman"/>
                <w:sz w:val="12"/>
                <w:szCs w:val="12"/>
                <w:color w:val="0000FF"/>
              </w:rPr>
              <w:t>Certification of President and Chief Executive Officer required by Rule 13a-14(a)/15d-14(a) under the Securities Exchange Act of 1934, as amended, as adopted pursuant to Section 302 of the Sarbanes-</w:t>
            </w:r>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Borders>
              <w:top w:val="single" w:sz="8" w:color="0000FF"/>
              <w:bottom w:val="single" w:sz="8" w:color="0000FF"/>
            </w:tcBorders>
          </w:tcPr>
          <w:p>
            <w:pPr>
              <w:spacing w:after="0" w:line="97" w:lineRule="exact"/>
              <w:rPr>
                <w:sz w:val="20"/>
                <w:szCs w:val="20"/>
                <w:color w:val="auto"/>
              </w:rPr>
            </w:pPr>
            <w:r>
              <w:rPr>
                <w:rFonts w:ascii="Times New Roman" w:cs="Times New Roman" w:eastAsia="Times New Roman" w:hAnsi="Times New Roman"/>
                <w:sz w:val="11"/>
                <w:szCs w:val="11"/>
                <w:color w:val="0000FF"/>
              </w:rPr>
              <w:t>Oxley Act of 2002.</w:t>
            </w:r>
          </w:p>
        </w:tc>
        <w:tc>
          <w:tcPr>
            <w:tcW w:w="9060" w:type="dxa"/>
            <w:vAlign w:val="bottom"/>
            <w:tcBorders>
              <w:top w:val="single" w:sz="8" w:color="0000FF"/>
            </w:tcBorders>
            <w:gridSpan w:val="17"/>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600" w:type="dxa"/>
            <w:vAlign w:val="bottom"/>
          </w:tcPr>
          <w:p>
            <w:pPr>
              <w:spacing w:after="0"/>
              <w:rPr>
                <w:sz w:val="15"/>
                <w:szCs w:val="15"/>
                <w:color w:val="auto"/>
              </w:rPr>
            </w:pPr>
          </w:p>
        </w:tc>
        <w:tc>
          <w:tcPr>
            <w:tcW w:w="99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2"/>
                <w:szCs w:val="12"/>
                <w:color w:val="0000FF"/>
                <w:w w:val="99"/>
              </w:rPr>
              <w:t>Certification of Chief Financial Officer required by Rule 13a-14(a)/15d-14(a) under the Securities Exchange Act of 1934, as amended, as adopted pursuant to Section 302 of the Sarbanes-Oxley Act of 2002.</w:t>
            </w:r>
          </w:p>
        </w:tc>
        <w:tc>
          <w:tcPr>
            <w:tcW w:w="1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32.1*</w:t>
            </w:r>
          </w:p>
        </w:tc>
        <w:tc>
          <w:tcPr>
            <w:tcW w:w="600" w:type="dxa"/>
            <w:vAlign w:val="bottom"/>
          </w:tcPr>
          <w:p>
            <w:pPr>
              <w:spacing w:after="0"/>
              <w:rPr>
                <w:sz w:val="14"/>
                <w:szCs w:val="14"/>
                <w:color w:val="auto"/>
              </w:rPr>
            </w:pPr>
          </w:p>
        </w:tc>
        <w:tc>
          <w:tcPr>
            <w:tcW w:w="10040" w:type="dxa"/>
            <w:vAlign w:val="bottom"/>
            <w:gridSpan w:val="21"/>
          </w:tcPr>
          <w:p>
            <w:pPr>
              <w:spacing w:after="0"/>
              <w:rPr>
                <w:sz w:val="20"/>
                <w:szCs w:val="20"/>
                <w:color w:val="auto"/>
              </w:rPr>
            </w:pPr>
            <w:r>
              <w:rPr>
                <w:rFonts w:ascii="Times New Roman" w:cs="Times New Roman" w:eastAsia="Times New Roman" w:hAnsi="Times New Roman"/>
                <w:sz w:val="12"/>
                <w:szCs w:val="12"/>
                <w:color w:val="0000FF"/>
              </w:rPr>
              <w:t>Certification of President and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32.2*</w:t>
            </w:r>
          </w:p>
        </w:tc>
        <w:tc>
          <w:tcPr>
            <w:tcW w:w="600" w:type="dxa"/>
            <w:vAlign w:val="bottom"/>
          </w:tcPr>
          <w:p>
            <w:pPr>
              <w:spacing w:after="0"/>
              <w:rPr>
                <w:sz w:val="14"/>
                <w:szCs w:val="14"/>
                <w:color w:val="auto"/>
              </w:rPr>
            </w:pPr>
          </w:p>
        </w:tc>
        <w:tc>
          <w:tcPr>
            <w:tcW w:w="70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2"/>
                <w:szCs w:val="12"/>
                <w:color w:val="0000FF"/>
                <w:w w:val="99"/>
              </w:rPr>
              <w:t>Certification of Chief Financial Officer pursuant to 18 U.S.C. Section 1350, as adopted pursuant to Section 906 of the Sarbanes-Oxley Act of 2002.</w:t>
            </w:r>
          </w:p>
        </w:tc>
        <w:tc>
          <w:tcPr>
            <w:tcW w:w="700" w:type="dxa"/>
            <w:vAlign w:val="bottom"/>
            <w:tcBorders>
              <w:top w:val="single" w:sz="8" w:color="0000FF"/>
            </w:tcBorders>
            <w:gridSpan w:val="2"/>
          </w:tcPr>
          <w:p>
            <w:pPr>
              <w:spacing w:after="0"/>
              <w:rPr>
                <w:sz w:val="14"/>
                <w:szCs w:val="14"/>
                <w:color w:val="auto"/>
              </w:rPr>
            </w:pPr>
          </w:p>
        </w:tc>
        <w:tc>
          <w:tcPr>
            <w:tcW w:w="22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97.1</w:t>
            </w:r>
          </w:p>
        </w:tc>
        <w:tc>
          <w:tcPr>
            <w:tcW w:w="600" w:type="dxa"/>
            <w:vAlign w:val="bottom"/>
          </w:tcPr>
          <w:p>
            <w:pPr>
              <w:spacing w:after="0"/>
              <w:rPr>
                <w:sz w:val="14"/>
                <w:szCs w:val="14"/>
                <w:color w:val="auto"/>
              </w:rPr>
            </w:pPr>
          </w:p>
        </w:tc>
        <w:tc>
          <w:tcPr>
            <w:tcW w:w="8000" w:type="dxa"/>
            <w:vAlign w:val="bottom"/>
            <w:tcBorders>
              <w:bottom w:val="single" w:sz="8" w:color="0000FF"/>
            </w:tcBorders>
            <w:gridSpan w:val="14"/>
          </w:tcPr>
          <w:p>
            <w:pPr>
              <w:spacing w:after="0"/>
              <w:rPr>
                <w:rFonts w:ascii="Times New Roman" w:cs="Times New Roman" w:eastAsia="Times New Roman" w:hAnsi="Times New Roman"/>
                <w:sz w:val="12"/>
                <w:szCs w:val="12"/>
                <w:color w:val="0000FF"/>
                <w:w w:val="99"/>
              </w:rPr>
            </w:pPr>
            <w:hyperlink r:id="rId194">
              <w:r>
                <w:rPr>
                  <w:rFonts w:ascii="Times New Roman" w:cs="Times New Roman" w:eastAsia="Times New Roman" w:hAnsi="Times New Roman"/>
                  <w:sz w:val="12"/>
                  <w:szCs w:val="12"/>
                  <w:color w:val="0000FF"/>
                  <w:w w:val="99"/>
                </w:rPr>
                <w:t>Clawback Policy dated as of October 2, 2023 (incorporated by reference from Exhibit 97.1 to the Company’s Form 10-K, filed March 13, 2024 (File No. 001-37524)).</w:t>
              </w:r>
            </w:hyperlink>
          </w:p>
        </w:tc>
        <w:tc>
          <w:tcPr>
            <w:tcW w:w="20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101*</w:t>
            </w:r>
          </w:p>
        </w:tc>
        <w:tc>
          <w:tcPr>
            <w:tcW w:w="600" w:type="dxa"/>
            <w:vAlign w:val="bottom"/>
          </w:tcPr>
          <w:p>
            <w:pPr>
              <w:spacing w:after="0"/>
              <w:rPr>
                <w:sz w:val="16"/>
                <w:szCs w:val="16"/>
                <w:color w:val="auto"/>
              </w:rPr>
            </w:pPr>
          </w:p>
        </w:tc>
        <w:tc>
          <w:tcPr>
            <w:tcW w:w="10040" w:type="dxa"/>
            <w:vAlign w:val="bottom"/>
            <w:gridSpan w:val="21"/>
          </w:tcPr>
          <w:p>
            <w:pPr>
              <w:spacing w:after="0"/>
              <w:rPr>
                <w:sz w:val="20"/>
                <w:szCs w:val="20"/>
                <w:color w:val="auto"/>
              </w:rPr>
            </w:pPr>
            <w:r>
              <w:rPr>
                <w:rFonts w:ascii="Times New Roman" w:cs="Times New Roman" w:eastAsia="Times New Roman" w:hAnsi="Times New Roman"/>
                <w:sz w:val="12"/>
                <w:szCs w:val="12"/>
                <w:color w:val="auto"/>
              </w:rPr>
              <w:t>The following materials from the Company’s Annual Report on Form 10-K for the year ended December 31, 2024, formatted in iXBRL (Inline Extensible Business Reporting Language): (i) Consolidated</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40" w:type="dxa"/>
            <w:vAlign w:val="bottom"/>
            <w:gridSpan w:val="21"/>
          </w:tcPr>
          <w:p>
            <w:pPr>
              <w:spacing w:after="0"/>
              <w:rPr>
                <w:sz w:val="20"/>
                <w:szCs w:val="20"/>
                <w:color w:val="auto"/>
              </w:rPr>
            </w:pPr>
            <w:r>
              <w:rPr>
                <w:rFonts w:ascii="Times New Roman" w:cs="Times New Roman" w:eastAsia="Times New Roman" w:hAnsi="Times New Roman"/>
                <w:sz w:val="12"/>
                <w:szCs w:val="12"/>
                <w:color w:val="auto"/>
              </w:rPr>
              <w:t>Balance Sheets (unaudited), (ii) Consolidated Statements of Operations (unaudited), (iii) Consolidated Statements of Changes in Redeemable Noncontrolling Interest and Stockholders’ Deficit (unaudited),</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40" w:type="dxa"/>
            <w:vAlign w:val="bottom"/>
            <w:gridSpan w:val="21"/>
          </w:tcPr>
          <w:p>
            <w:pPr>
              <w:spacing w:after="0"/>
              <w:rPr>
                <w:sz w:val="20"/>
                <w:szCs w:val="20"/>
                <w:color w:val="auto"/>
              </w:rPr>
            </w:pPr>
            <w:r>
              <w:rPr>
                <w:rFonts w:ascii="Times New Roman" w:cs="Times New Roman" w:eastAsia="Times New Roman" w:hAnsi="Times New Roman"/>
                <w:sz w:val="12"/>
                <w:szCs w:val="12"/>
                <w:color w:val="auto"/>
              </w:rPr>
              <w:t>(iv) Consolidated Statements of Cash Flows (unaudited) and (v) Notes to Consolidated Financial Statements (unaudited), tagged as blocks of text and including detailed tags</w:t>
            </w:r>
          </w:p>
        </w:tc>
        <w:tc>
          <w:tcPr>
            <w:tcW w:w="0" w:type="dxa"/>
            <w:vAlign w:val="bottom"/>
          </w:tcPr>
          <w:p>
            <w:pPr>
              <w:spacing w:after="0"/>
              <w:rPr>
                <w:sz w:val="1"/>
                <w:szCs w:val="1"/>
                <w:color w:val="auto"/>
              </w:rPr>
            </w:pPr>
          </w:p>
        </w:tc>
      </w:t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600" w:type="dxa"/>
            <w:vAlign w:val="bottom"/>
          </w:tcPr>
          <w:p>
            <w:pPr>
              <w:spacing w:after="0"/>
              <w:rPr>
                <w:sz w:val="18"/>
                <w:szCs w:val="18"/>
                <w:color w:val="auto"/>
              </w:rPr>
            </w:pPr>
          </w:p>
        </w:tc>
        <w:tc>
          <w:tcPr>
            <w:tcW w:w="10040" w:type="dxa"/>
            <w:vAlign w:val="bottom"/>
            <w:gridSpan w:val="21"/>
          </w:tcPr>
          <w:p>
            <w:pPr>
              <w:spacing w:after="0"/>
              <w:rPr>
                <w:sz w:val="20"/>
                <w:szCs w:val="20"/>
                <w:color w:val="auto"/>
              </w:rPr>
            </w:pPr>
            <w:r>
              <w:rPr>
                <w:rFonts w:ascii="Times New Roman" w:cs="Times New Roman" w:eastAsia="Times New Roman" w:hAnsi="Times New Roman"/>
                <w:sz w:val="12"/>
                <w:szCs w:val="12"/>
                <w:color w:val="auto"/>
              </w:rPr>
              <w:t>The cover page from this Annual Report on Form 10-K for the year ended December 31, 2024, formatted in Inline XBRL</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w:t>
      </w:r>
    </w:p>
    <w:p>
      <w:pPr>
        <w:spacing w:after="0" w:line="105" w:lineRule="exact"/>
        <w:rPr>
          <w:sz w:val="20"/>
          <w:szCs w:val="20"/>
          <w:color w:val="auto"/>
        </w:rPr>
      </w:pPr>
    </w:p>
    <w:p>
      <w:pPr>
        <w:ind w:left="360" w:hanging="356"/>
        <w:spacing w:after="0"/>
        <w:tabs>
          <w:tab w:leader="none" w:pos="36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contract or compensatory plan or arrangement</w:t>
      </w:r>
    </w:p>
    <w:p>
      <w:pPr>
        <w:spacing w:after="0" w:line="17" w:lineRule="exact"/>
        <w:rPr>
          <w:sz w:val="20"/>
          <w:szCs w:val="20"/>
          <w:color w:val="auto"/>
        </w:rPr>
      </w:pPr>
    </w:p>
    <w:p>
      <w:pPr>
        <w:ind w:left="360" w:hanging="356"/>
        <w:spacing w:after="0"/>
        <w:tabs>
          <w:tab w:leader="none" w:pos="3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Confidential treatment received with respect to portions of this exhibit.</w:t>
      </w:r>
    </w:p>
    <w:p>
      <w:pPr>
        <w:spacing w:after="0" w:line="15"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27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16.</w:t>
      </w:r>
      <w:r>
        <w:rPr>
          <w:sz w:val="20"/>
          <w:szCs w:val="20"/>
          <w:color w:val="auto"/>
        </w:rPr>
        <w:tab/>
      </w:r>
      <w:r>
        <w:rPr>
          <w:rFonts w:ascii="Times New Roman" w:cs="Times New Roman" w:eastAsia="Times New Roman" w:hAnsi="Times New Roman"/>
          <w:sz w:val="11"/>
          <w:szCs w:val="11"/>
          <w:b w:val="1"/>
          <w:bCs w:val="1"/>
          <w:color w:val="auto"/>
        </w:rPr>
        <w:t>FORM 10-K SUMMARY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3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300" w:top="201" w:right="519" w:bottom="1440" w:gutter="0" w:footer="0" w:header="0"/>
        </w:sectPr>
      </w:pPr>
    </w:p>
    <w:bookmarkStart w:id="73" w:name="page74"/>
    <w:bookmarkEnd w:id="73"/>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20, 2025</w:t>
      </w:r>
    </w:p>
    <w:p>
      <w:pPr>
        <w:spacing w:after="0" w:line="114" w:lineRule="exact"/>
        <w:rPr>
          <w:sz w:val="20"/>
          <w:szCs w:val="20"/>
          <w:color w:val="auto"/>
        </w:rPr>
      </w:pPr>
    </w:p>
    <w:tbl>
      <w:tblPr>
        <w:tblLayout w:type="fixed"/>
        <w:tblInd w:w="6720" w:type="dxa"/>
        <w:tblCellMar>
          <w:top w:w="0" w:type="dxa"/>
          <w:left w:w="0" w:type="dxa"/>
          <w:bottom w:w="0" w:type="dxa"/>
          <w:right w:w="0" w:type="dxa"/>
        </w:tblCellMar>
      </w:tblPr>
      <w:tr>
        <w:trPr>
          <w:trHeight w:val="155"/>
        </w:trPr>
        <w:tc>
          <w:tcPr>
            <w:tcW w:w="540" w:type="dxa"/>
            <w:vAlign w:val="bottom"/>
          </w:tcPr>
          <w:p>
            <w:pPr>
              <w:spacing w:after="0"/>
              <w:rPr>
                <w:sz w:val="13"/>
                <w:szCs w:val="13"/>
                <w:color w:val="auto"/>
              </w:rPr>
            </w:pPr>
          </w:p>
        </w:tc>
        <w:tc>
          <w:tcPr>
            <w:tcW w:w="404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VTV THERAPEUTICS INC.</w:t>
            </w:r>
          </w:p>
        </w:tc>
      </w:tr>
      <w:tr>
        <w:trPr>
          <w:trHeight w:val="180"/>
        </w:trPr>
        <w:tc>
          <w:tcPr>
            <w:tcW w:w="540" w:type="dxa"/>
            <w:vAlign w:val="bottom"/>
          </w:tcPr>
          <w:p>
            <w:pPr>
              <w:spacing w:after="0"/>
              <w:rPr>
                <w:sz w:val="15"/>
                <w:szCs w:val="15"/>
                <w:color w:val="auto"/>
              </w:rPr>
            </w:pPr>
          </w:p>
        </w:tc>
        <w:tc>
          <w:tcPr>
            <w:tcW w:w="404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(Registrant)</w:t>
            </w:r>
          </w:p>
        </w:tc>
      </w:tr>
      <w:tr>
        <w:trPr>
          <w:trHeight w:val="279"/>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Paul J. Sekhri</w:t>
            </w:r>
          </w:p>
        </w:tc>
      </w:tr>
      <w:tr>
        <w:trPr>
          <w:trHeight w:val="140"/>
        </w:trPr>
        <w:tc>
          <w:tcPr>
            <w:tcW w:w="540" w:type="dxa"/>
            <w:vAlign w:val="bottom"/>
          </w:tcPr>
          <w:p>
            <w:pPr>
              <w:spacing w:after="0"/>
              <w:rPr>
                <w:sz w:val="12"/>
                <w:szCs w:val="12"/>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Paul J. Sekhri</w:t>
            </w:r>
          </w:p>
        </w:tc>
      </w:tr>
      <w:tr>
        <w:trPr>
          <w:trHeight w:val="155"/>
        </w:trPr>
        <w:tc>
          <w:tcPr>
            <w:tcW w:w="540" w:type="dxa"/>
            <w:vAlign w:val="bottom"/>
          </w:tcPr>
          <w:p>
            <w:pPr>
              <w:spacing w:after="0"/>
              <w:rPr>
                <w:sz w:val="13"/>
                <w:szCs w:val="13"/>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Chief Executive Officer and Executive Chairperson</w:t>
            </w:r>
          </w:p>
        </w:tc>
      </w:tr>
      <w:tr>
        <w:trPr>
          <w:trHeight w:val="261"/>
        </w:trPr>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Steven Tuch</w:t>
            </w:r>
          </w:p>
        </w:tc>
      </w:tr>
      <w:tr>
        <w:trPr>
          <w:trHeight w:val="140"/>
        </w:trPr>
        <w:tc>
          <w:tcPr>
            <w:tcW w:w="540" w:type="dxa"/>
            <w:vAlign w:val="bottom"/>
          </w:tcPr>
          <w:p>
            <w:pPr>
              <w:spacing w:after="0"/>
              <w:rPr>
                <w:sz w:val="12"/>
                <w:szCs w:val="12"/>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Steven Tuch</w:t>
            </w:r>
          </w:p>
        </w:tc>
      </w:tr>
      <w:tr>
        <w:trPr>
          <w:trHeight w:val="155"/>
        </w:trPr>
        <w:tc>
          <w:tcPr>
            <w:tcW w:w="540" w:type="dxa"/>
            <w:vAlign w:val="bottom"/>
          </w:tcPr>
          <w:p>
            <w:pPr>
              <w:spacing w:after="0"/>
              <w:rPr>
                <w:sz w:val="13"/>
                <w:szCs w:val="13"/>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r>
    </w:tbl>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J. Sekhri</w:t>
            </w:r>
          </w:p>
        </w:tc>
        <w:tc>
          <w:tcPr>
            <w:tcW w:w="5200" w:type="dxa"/>
            <w:vAlign w:val="bottom"/>
          </w:tcPr>
          <w:p>
            <w:pPr>
              <w:spacing w:after="0"/>
              <w:rPr>
                <w:sz w:val="20"/>
                <w:szCs w:val="20"/>
                <w:color w:val="auto"/>
              </w:rPr>
            </w:pPr>
            <w:r>
              <w:rPr>
                <w:rFonts w:ascii="Times New Roman" w:cs="Times New Roman" w:eastAsia="Times New Roman" w:hAnsi="Times New Roman"/>
                <w:sz w:val="12"/>
                <w:szCs w:val="12"/>
                <w:color w:val="auto"/>
              </w:rPr>
              <w:t>President, Chief Executive Officer and Executive Chairperson</w:t>
            </w:r>
          </w:p>
        </w:tc>
        <w:tc>
          <w:tcPr>
            <w:tcW w:w="312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March 20, 2025</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Paul J. Sekhri</w:t>
            </w:r>
          </w:p>
        </w:tc>
        <w:tc>
          <w:tcPr>
            <w:tcW w:w="5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(Principal Executive Officer)</w:t>
            </w:r>
          </w:p>
        </w:tc>
        <w:tc>
          <w:tcPr>
            <w:tcW w:w="3120" w:type="dxa"/>
            <w:vAlign w:val="bottom"/>
          </w:tcPr>
          <w:p>
            <w:pPr>
              <w:spacing w:after="0"/>
              <w:rPr>
                <w:sz w:val="12"/>
                <w:szCs w:val="12"/>
                <w:color w:val="auto"/>
              </w:rPr>
            </w:pPr>
          </w:p>
        </w:tc>
      </w:tr>
      <w:tr>
        <w:trPr>
          <w:trHeight w:val="259"/>
        </w:trPr>
        <w:tc>
          <w:tcPr>
            <w:tcW w:w="240" w:type="dxa"/>
            <w:vAlign w:val="bottom"/>
          </w:tcPr>
          <w:p>
            <w:pPr>
              <w:spacing w:after="0"/>
              <w:rPr>
                <w:sz w:val="22"/>
                <w:szCs w:val="22"/>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Tuch</w:t>
            </w:r>
          </w:p>
        </w:tc>
        <w:tc>
          <w:tcPr>
            <w:tcW w:w="520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c>
          <w:tcPr>
            <w:tcW w:w="312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March 20, 2025</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Steven Tuch</w:t>
            </w:r>
          </w:p>
        </w:tc>
        <w:tc>
          <w:tcPr>
            <w:tcW w:w="5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(Principal Financial Officer)</w:t>
            </w:r>
          </w:p>
        </w:tc>
        <w:tc>
          <w:tcPr>
            <w:tcW w:w="3120" w:type="dxa"/>
            <w:vAlign w:val="bottom"/>
          </w:tcPr>
          <w:p>
            <w:pPr>
              <w:spacing w:after="0"/>
              <w:rPr>
                <w:sz w:val="12"/>
                <w:szCs w:val="12"/>
                <w:color w:val="auto"/>
              </w:rPr>
            </w:pPr>
          </w:p>
        </w:tc>
      </w:tr>
      <w:tr>
        <w:trPr>
          <w:trHeight w:val="250"/>
        </w:trPr>
        <w:tc>
          <w:tcPr>
            <w:tcW w:w="240" w:type="dxa"/>
            <w:vAlign w:val="bottom"/>
          </w:tcPr>
          <w:p>
            <w:pPr>
              <w:spacing w:after="0"/>
              <w:rPr>
                <w:sz w:val="21"/>
                <w:szCs w:val="21"/>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Anne M. Phillips</w:t>
            </w:r>
          </w:p>
        </w:tc>
        <w:tc>
          <w:tcPr>
            <w:tcW w:w="5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Director</w:t>
            </w:r>
          </w:p>
        </w:tc>
        <w:tc>
          <w:tcPr>
            <w:tcW w:w="312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March 20, 2025</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Anne M. Phillips</w:t>
            </w:r>
          </w:p>
        </w:tc>
        <w:tc>
          <w:tcPr>
            <w:tcW w:w="5200" w:type="dxa"/>
            <w:vAlign w:val="bottom"/>
          </w:tcPr>
          <w:p>
            <w:pPr>
              <w:spacing w:after="0"/>
              <w:rPr>
                <w:sz w:val="12"/>
                <w:szCs w:val="12"/>
                <w:color w:val="auto"/>
              </w:rPr>
            </w:pPr>
          </w:p>
        </w:tc>
        <w:tc>
          <w:tcPr>
            <w:tcW w:w="3120" w:type="dxa"/>
            <w:vAlign w:val="bottom"/>
          </w:tcPr>
          <w:p>
            <w:pPr>
              <w:spacing w:after="0"/>
              <w:rPr>
                <w:sz w:val="12"/>
                <w:szCs w:val="12"/>
                <w:color w:val="auto"/>
              </w:rPr>
            </w:pPr>
          </w:p>
        </w:tc>
      </w:tr>
      <w:tr>
        <w:trPr>
          <w:trHeight w:val="259"/>
        </w:trPr>
        <w:tc>
          <w:tcPr>
            <w:tcW w:w="240" w:type="dxa"/>
            <w:vAlign w:val="bottom"/>
          </w:tcPr>
          <w:p>
            <w:pPr>
              <w:spacing w:after="0"/>
              <w:rPr>
                <w:sz w:val="22"/>
                <w:szCs w:val="22"/>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Daniel K. Spiegelman</w:t>
            </w:r>
          </w:p>
        </w:tc>
        <w:tc>
          <w:tcPr>
            <w:tcW w:w="5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Director</w:t>
            </w:r>
          </w:p>
        </w:tc>
        <w:tc>
          <w:tcPr>
            <w:tcW w:w="312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March 20, 2025</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Daniel K. Spiegelman</w:t>
            </w:r>
          </w:p>
        </w:tc>
        <w:tc>
          <w:tcPr>
            <w:tcW w:w="5200" w:type="dxa"/>
            <w:vAlign w:val="bottom"/>
          </w:tcPr>
          <w:p>
            <w:pPr>
              <w:spacing w:after="0"/>
              <w:rPr>
                <w:sz w:val="12"/>
                <w:szCs w:val="12"/>
                <w:color w:val="auto"/>
              </w:rPr>
            </w:pPr>
          </w:p>
        </w:tc>
        <w:tc>
          <w:tcPr>
            <w:tcW w:w="3120" w:type="dxa"/>
            <w:vAlign w:val="bottom"/>
          </w:tcPr>
          <w:p>
            <w:pPr>
              <w:spacing w:after="0"/>
              <w:rPr>
                <w:sz w:val="12"/>
                <w:szCs w:val="12"/>
                <w:color w:val="auto"/>
              </w:rPr>
            </w:pPr>
          </w:p>
        </w:tc>
      </w:tr>
      <w:tr>
        <w:trPr>
          <w:trHeight w:val="259"/>
        </w:trPr>
        <w:tc>
          <w:tcPr>
            <w:tcW w:w="240" w:type="dxa"/>
            <w:vAlign w:val="bottom"/>
          </w:tcPr>
          <w:p>
            <w:pPr>
              <w:spacing w:after="0"/>
              <w:rPr>
                <w:sz w:val="22"/>
                <w:szCs w:val="22"/>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Richard Nelson</w:t>
            </w:r>
          </w:p>
        </w:tc>
        <w:tc>
          <w:tcPr>
            <w:tcW w:w="5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Director and Executive Vice President, Corporate Development</w:t>
            </w:r>
          </w:p>
        </w:tc>
        <w:tc>
          <w:tcPr>
            <w:tcW w:w="312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March 20, 2025</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Richard Nelson</w:t>
            </w:r>
          </w:p>
        </w:tc>
        <w:tc>
          <w:tcPr>
            <w:tcW w:w="5200" w:type="dxa"/>
            <w:vAlign w:val="bottom"/>
          </w:tcPr>
          <w:p>
            <w:pPr>
              <w:spacing w:after="0"/>
              <w:rPr>
                <w:sz w:val="12"/>
                <w:szCs w:val="12"/>
                <w:color w:val="auto"/>
              </w:rPr>
            </w:pPr>
          </w:p>
        </w:tc>
        <w:tc>
          <w:tcPr>
            <w:tcW w:w="3120" w:type="dxa"/>
            <w:vAlign w:val="bottom"/>
          </w:tcPr>
          <w:p>
            <w:pPr>
              <w:spacing w:after="0"/>
              <w:rPr>
                <w:sz w:val="12"/>
                <w:szCs w:val="12"/>
                <w:color w:val="auto"/>
              </w:rPr>
            </w:pPr>
          </w:p>
        </w:tc>
      </w:tr>
      <w:tr>
        <w:trPr>
          <w:trHeight w:val="259"/>
        </w:trPr>
        <w:tc>
          <w:tcPr>
            <w:tcW w:w="240" w:type="dxa"/>
            <w:vAlign w:val="bottom"/>
          </w:tcPr>
          <w:p>
            <w:pPr>
              <w:spacing w:after="0"/>
              <w:rPr>
                <w:sz w:val="22"/>
                <w:szCs w:val="22"/>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Fahed Al Marzooqi</w:t>
            </w:r>
          </w:p>
        </w:tc>
        <w:tc>
          <w:tcPr>
            <w:tcW w:w="5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Director</w:t>
            </w:r>
          </w:p>
        </w:tc>
        <w:tc>
          <w:tcPr>
            <w:tcW w:w="312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March 20, 2025</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Fahed Al Marzooqi</w:t>
            </w:r>
          </w:p>
        </w:tc>
        <w:tc>
          <w:tcPr>
            <w:tcW w:w="5200" w:type="dxa"/>
            <w:vAlign w:val="bottom"/>
          </w:tcPr>
          <w:p>
            <w:pPr>
              <w:spacing w:after="0"/>
              <w:rPr>
                <w:sz w:val="12"/>
                <w:szCs w:val="12"/>
                <w:color w:val="auto"/>
              </w:rPr>
            </w:pPr>
          </w:p>
        </w:tc>
        <w:tc>
          <w:tcPr>
            <w:tcW w:w="3120" w:type="dxa"/>
            <w:vAlign w:val="bottom"/>
          </w:tcPr>
          <w:p>
            <w:pPr>
              <w:spacing w:after="0"/>
              <w:rPr>
                <w:sz w:val="12"/>
                <w:szCs w:val="12"/>
                <w:color w:val="auto"/>
              </w:rPr>
            </w:pPr>
          </w:p>
        </w:tc>
      </w:tr>
      <w:tr>
        <w:trPr>
          <w:trHeight w:val="331"/>
        </w:trPr>
        <w:tc>
          <w:tcPr>
            <w:tcW w:w="240" w:type="dxa"/>
            <w:vAlign w:val="bottom"/>
          </w:tcPr>
          <w:p>
            <w:pPr>
              <w:spacing w:after="0"/>
              <w:rPr>
                <w:sz w:val="24"/>
                <w:szCs w:val="24"/>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Raymond Cheong</w:t>
            </w:r>
          </w:p>
        </w:tc>
        <w:tc>
          <w:tcPr>
            <w:tcW w:w="5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Director</w:t>
            </w:r>
          </w:p>
        </w:tc>
        <w:tc>
          <w:tcPr>
            <w:tcW w:w="312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March 20, 2025</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Raymond Cheong</w:t>
            </w:r>
          </w:p>
        </w:tc>
        <w:tc>
          <w:tcPr>
            <w:tcW w:w="5200" w:type="dxa"/>
            <w:vAlign w:val="bottom"/>
          </w:tcPr>
          <w:p>
            <w:pPr>
              <w:spacing w:after="0"/>
              <w:rPr>
                <w:sz w:val="12"/>
                <w:szCs w:val="12"/>
                <w:color w:val="auto"/>
              </w:rPr>
            </w:pPr>
          </w:p>
        </w:tc>
        <w:tc>
          <w:tcPr>
            <w:tcW w:w="3120" w:type="dxa"/>
            <w:vAlign w:val="bottom"/>
          </w:tcPr>
          <w:p>
            <w:pPr>
              <w:spacing w:after="0"/>
              <w:rPr>
                <w:sz w:val="12"/>
                <w:szCs w:val="12"/>
                <w:color w:val="auto"/>
              </w:rPr>
            </w:pPr>
          </w:p>
        </w:tc>
      </w:tr>
      <w:tr>
        <w:trPr>
          <w:trHeight w:val="331"/>
        </w:trPr>
        <w:tc>
          <w:tcPr>
            <w:tcW w:w="240" w:type="dxa"/>
            <w:vAlign w:val="bottom"/>
          </w:tcPr>
          <w:p>
            <w:pPr>
              <w:spacing w:after="0"/>
              <w:rPr>
                <w:sz w:val="24"/>
                <w:szCs w:val="24"/>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Srinivas Akkaraju</w:t>
            </w:r>
          </w:p>
        </w:tc>
        <w:tc>
          <w:tcPr>
            <w:tcW w:w="5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Director</w:t>
            </w:r>
          </w:p>
        </w:tc>
        <w:tc>
          <w:tcPr>
            <w:tcW w:w="312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March 20, 2025</w:t>
            </w:r>
          </w:p>
        </w:tc>
      </w:tr>
      <w:tr>
        <w:trPr>
          <w:trHeight w:val="144"/>
        </w:trPr>
        <w:tc>
          <w:tcPr>
            <w:tcW w:w="240" w:type="dxa"/>
            <w:vAlign w:val="bottom"/>
          </w:tcPr>
          <w:p>
            <w:pPr>
              <w:spacing w:after="0"/>
              <w:rPr>
                <w:sz w:val="12"/>
                <w:szCs w:val="12"/>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Srinivas Akkaraju</w:t>
            </w:r>
          </w:p>
        </w:tc>
        <w:tc>
          <w:tcPr>
            <w:tcW w:w="5200" w:type="dxa"/>
            <w:vAlign w:val="bottom"/>
          </w:tcPr>
          <w:p>
            <w:pPr>
              <w:spacing w:after="0"/>
              <w:rPr>
                <w:sz w:val="12"/>
                <w:szCs w:val="12"/>
                <w:color w:val="auto"/>
              </w:rPr>
            </w:pPr>
          </w:p>
        </w:tc>
        <w:tc>
          <w:tcPr>
            <w:tcW w:w="3120" w:type="dxa"/>
            <w:vAlign w:val="bottom"/>
          </w:tcPr>
          <w:p>
            <w:pPr>
              <w:spacing w:after="0"/>
              <w:rPr>
                <w:sz w:val="12"/>
                <w:szCs w:val="12"/>
                <w:color w:val="auto"/>
              </w:rPr>
            </w:pPr>
          </w:p>
        </w:tc>
      </w:tr>
      <w:tr>
        <w:trPr>
          <w:trHeight w:val="709"/>
        </w:trPr>
        <w:tc>
          <w:tcPr>
            <w:tcW w:w="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200" w:type="dxa"/>
            <w:vAlign w:val="bottom"/>
          </w:tcPr>
          <w:p>
            <w:pPr>
              <w:ind w:left="2600"/>
              <w:spacing w:after="0"/>
              <w:rPr>
                <w:sz w:val="20"/>
                <w:szCs w:val="20"/>
                <w:color w:val="auto"/>
              </w:rPr>
            </w:pPr>
            <w:r>
              <w:rPr>
                <w:rFonts w:ascii="Times New Roman" w:cs="Times New Roman" w:eastAsia="Times New Roman" w:hAnsi="Times New Roman"/>
                <w:sz w:val="12"/>
                <w:szCs w:val="12"/>
                <w:color w:val="auto"/>
              </w:rPr>
              <w:t>74</w:t>
            </w:r>
          </w:p>
        </w:tc>
        <w:tc>
          <w:tcPr>
            <w:tcW w:w="3120" w:type="dxa"/>
            <w:vAlign w:val="bottom"/>
          </w:tcPr>
          <w:p>
            <w:pPr>
              <w:spacing w:after="0"/>
              <w:rPr>
                <w:sz w:val="24"/>
                <w:szCs w:val="24"/>
                <w:color w:val="auto"/>
              </w:rPr>
            </w:pPr>
          </w:p>
        </w:tc>
      </w:tr>
      <w:tr>
        <w:trPr>
          <w:trHeight w:val="63"/>
        </w:trPr>
        <w:tc>
          <w:tcPr>
            <w:tcW w:w="240" w:type="dxa"/>
            <w:vAlign w:val="bottom"/>
            <w:tcBorders>
              <w:bottom w:val="single" w:sz="8" w:color="9A9A9A"/>
            </w:tcBorders>
          </w:tcPr>
          <w:p>
            <w:pPr>
              <w:spacing w:after="0"/>
              <w:rPr>
                <w:sz w:val="5"/>
                <w:szCs w:val="5"/>
                <w:color w:val="auto"/>
              </w:rPr>
            </w:pPr>
          </w:p>
        </w:tc>
        <w:tc>
          <w:tcPr>
            <w:tcW w:w="2740" w:type="dxa"/>
            <w:vAlign w:val="bottom"/>
            <w:tcBorders>
              <w:bottom w:val="single" w:sz="8" w:color="9A9A9A"/>
            </w:tcBorders>
          </w:tcPr>
          <w:p>
            <w:pPr>
              <w:spacing w:after="0"/>
              <w:rPr>
                <w:sz w:val="5"/>
                <w:szCs w:val="5"/>
                <w:color w:val="auto"/>
              </w:rPr>
            </w:pPr>
          </w:p>
        </w:tc>
        <w:tc>
          <w:tcPr>
            <w:tcW w:w="5200" w:type="dxa"/>
            <w:vAlign w:val="bottom"/>
            <w:tcBorders>
              <w:bottom w:val="single" w:sz="8" w:color="9A9A9A"/>
            </w:tcBorders>
          </w:tcPr>
          <w:p>
            <w:pPr>
              <w:spacing w:after="0"/>
              <w:rPr>
                <w:sz w:val="5"/>
                <w:szCs w:val="5"/>
                <w:color w:val="auto"/>
              </w:rPr>
            </w:pPr>
          </w:p>
        </w:tc>
        <w:tc>
          <w:tcPr>
            <w:tcW w:w="31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4" w:name="page75"/>
    <w:bookmarkEnd w:id="74"/>
    <w:p>
      <w:pPr>
        <w:ind w:left="320"/>
        <w:spacing w:after="0"/>
        <w:rPr>
          <w:sz w:val="20"/>
          <w:szCs w:val="20"/>
          <w:color w:val="auto"/>
        </w:rPr>
      </w:pPr>
      <w:r>
        <w:rPr>
          <w:rFonts w:ascii="Times New Roman" w:cs="Times New Roman" w:eastAsia="Times New Roman" w:hAnsi="Times New Roman"/>
          <w:sz w:val="12"/>
          <w:szCs w:val="12"/>
          <w:color w:val="auto"/>
        </w:rPr>
        <w:t xml:space="preserve">Table </w:t>
      </w:r>
      <w:r>
        <w:rPr>
          <w:rFonts w:ascii="Times New Roman" w:cs="Times New Roman" w:eastAsia="Times New Roman" w:hAnsi="Times New Roman"/>
          <w:sz w:val="12"/>
          <w:szCs w:val="12"/>
          <w:color w:val="0000FF"/>
        </w:rPr>
        <w:t>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-5715</wp:posOffset>
            </wp:positionV>
            <wp:extent cx="37211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372110" cy="571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INDEX TO FINANCIAL STATEMENTS</w:t>
      </w:r>
    </w:p>
    <w:p>
      <w:pPr>
        <w:spacing w:after="0" w:line="103" w:lineRule="exact"/>
        <w:rPr>
          <w:sz w:val="20"/>
          <w:szCs w:val="20"/>
          <w:color w:val="auto"/>
        </w:rPr>
      </w:pPr>
    </w:p>
    <w:tbl>
      <w:tblPr>
        <w:tblLayout w:type="fixed"/>
        <w:tblInd w:w="100" w:type="dxa"/>
        <w:tblCellMar>
          <w:top w:w="0" w:type="dxa"/>
          <w:left w:w="0" w:type="dxa"/>
          <w:bottom w:w="0" w:type="dxa"/>
          <w:right w:w="0" w:type="dxa"/>
        </w:tblCellMar>
      </w:tblPr>
      <w:tr>
        <w:trPr>
          <w:trHeight w:val="131"/>
        </w:trPr>
        <w:tc>
          <w:tcPr>
            <w:tcW w:w="2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297"/>
        </w:trPr>
        <w:tc>
          <w:tcPr>
            <w:tcW w:w="10420" w:type="dxa"/>
            <w:vAlign w:val="bottom"/>
            <w:gridSpan w:val="15"/>
          </w:tcPr>
          <w:p>
            <w:pPr>
              <w:spacing w:after="0"/>
              <w:rPr>
                <w:sz w:val="20"/>
                <w:szCs w:val="20"/>
                <w:color w:val="auto"/>
              </w:rPr>
            </w:pPr>
            <w:r>
              <w:rPr>
                <w:rFonts w:ascii="Times New Roman" w:cs="Times New Roman" w:eastAsia="Times New Roman" w:hAnsi="Times New Roman"/>
                <w:sz w:val="12"/>
                <w:szCs w:val="12"/>
                <w:b w:val="1"/>
                <w:bCs w:val="1"/>
                <w:color w:val="0000FF"/>
              </w:rPr>
              <w:t xml:space="preserve">Report of Independent Registered Public Accounting Firm </w:t>
            </w:r>
            <w:r>
              <w:rPr>
                <w:rFonts w:ascii="Times New Roman" w:cs="Times New Roman" w:eastAsia="Times New Roman" w:hAnsi="Times New Roman"/>
                <w:sz w:val="12"/>
                <w:szCs w:val="12"/>
                <w:b w:val="1"/>
                <w:bCs w:val="1"/>
                <w:color w:val="000000"/>
              </w:rPr>
              <w:t>PCAOB ID No. (42</w:t>
            </w:r>
            <w:r>
              <w:rPr>
                <w:rFonts w:ascii="Times New Roman" w:cs="Times New Roman" w:eastAsia="Times New Roman" w:hAnsi="Times New Roman"/>
                <w:sz w:val="12"/>
                <w:szCs w:val="12"/>
                <w:b w:val="1"/>
                <w:bCs w:val="1"/>
                <w:u w:val="single" w:color="auto"/>
                <w:color w:val="000000"/>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2"/>
                <w:szCs w:val="12"/>
                <w:color w:val="auto"/>
                <w:w w:val="95"/>
              </w:rPr>
              <w:t>F-2</w:t>
            </w:r>
          </w:p>
        </w:tc>
      </w:tr>
      <w:tr>
        <w:trPr>
          <w:trHeight w:val="338"/>
        </w:trPr>
        <w:tc>
          <w:tcPr>
            <w:tcW w:w="30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2"/>
                <w:szCs w:val="12"/>
                <w:b w:val="1"/>
                <w:bCs w:val="1"/>
                <w:color w:val="auto"/>
              </w:rPr>
              <w:t>Financial Statements:</w:t>
            </w:r>
          </w:p>
        </w:tc>
        <w:tc>
          <w:tcPr>
            <w:tcW w:w="860" w:type="dxa"/>
            <w:vAlign w:val="bottom"/>
            <w:tcBorders>
              <w:top w:val="single" w:sz="8" w:color="auto"/>
            </w:tcBorders>
            <w:gridSpan w:val="3"/>
          </w:tcPr>
          <w:p>
            <w:pPr>
              <w:spacing w:after="0"/>
              <w:rPr>
                <w:sz w:val="24"/>
                <w:szCs w:val="24"/>
                <w:color w:val="auto"/>
              </w:rPr>
            </w:pPr>
          </w:p>
        </w:tc>
        <w:tc>
          <w:tcPr>
            <w:tcW w:w="652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r>
      <w:tr>
        <w:trPr>
          <w:trHeight w:val="128"/>
        </w:trPr>
        <w:tc>
          <w:tcPr>
            <w:tcW w:w="280" w:type="dxa"/>
            <w:vAlign w:val="bottom"/>
          </w:tcPr>
          <w:p>
            <w:pPr>
              <w:spacing w:after="0"/>
              <w:rPr>
                <w:sz w:val="11"/>
                <w:szCs w:val="11"/>
                <w:color w:val="auto"/>
              </w:rPr>
            </w:pPr>
          </w:p>
        </w:tc>
        <w:tc>
          <w:tcPr>
            <w:tcW w:w="10140" w:type="dxa"/>
            <w:vAlign w:val="bottom"/>
            <w:gridSpan w:val="14"/>
          </w:tcPr>
          <w:p>
            <w:pPr>
              <w:spacing w:after="0" w:line="128" w:lineRule="exact"/>
              <w:rPr>
                <w:sz w:val="20"/>
                <w:szCs w:val="20"/>
                <w:color w:val="auto"/>
              </w:rPr>
            </w:pPr>
            <w:r>
              <w:rPr>
                <w:rFonts w:ascii="Times New Roman" w:cs="Times New Roman" w:eastAsia="Times New Roman" w:hAnsi="Times New Roman"/>
                <w:sz w:val="12"/>
                <w:szCs w:val="12"/>
                <w:color w:val="0000FF"/>
              </w:rPr>
              <w:t>Consolidated Balance Sheets as of December 31, 2024 and 2023</w:t>
            </w:r>
          </w:p>
        </w:tc>
        <w:tc>
          <w:tcPr>
            <w:tcW w:w="680" w:type="dxa"/>
            <w:vAlign w:val="bottom"/>
          </w:tcPr>
          <w:p>
            <w:pPr>
              <w:ind w:left="500"/>
              <w:spacing w:after="0" w:line="128" w:lineRule="exact"/>
              <w:rPr>
                <w:sz w:val="20"/>
                <w:szCs w:val="20"/>
                <w:color w:val="auto"/>
              </w:rPr>
            </w:pPr>
            <w:r>
              <w:rPr>
                <w:rFonts w:ascii="Times New Roman" w:cs="Times New Roman" w:eastAsia="Times New Roman" w:hAnsi="Times New Roman"/>
                <w:sz w:val="12"/>
                <w:szCs w:val="12"/>
                <w:color w:val="auto"/>
                <w:w w:val="95"/>
              </w:rPr>
              <w:t>F-4</w:t>
            </w:r>
          </w:p>
        </w:tc>
      </w:tr>
      <w:tr>
        <w:trPr>
          <w:trHeight w:val="20"/>
        </w:trPr>
        <w:tc>
          <w:tcPr>
            <w:tcW w:w="28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10140" w:type="dxa"/>
            <w:vAlign w:val="bottom"/>
            <w:gridSpan w:val="14"/>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Operations for the Years Ended </w:t>
            </w:r>
            <w:r>
              <w:rPr>
                <w:rFonts w:ascii="Times New Roman" w:cs="Times New Roman" w:eastAsia="Times New Roman" w:hAnsi="Times New Roman"/>
                <w:sz w:val="12"/>
                <w:szCs w:val="12"/>
                <w:color w:val="000000"/>
              </w:rPr>
              <w:t>December 31, 2024</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2023</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2022</w:t>
            </w:r>
          </w:p>
        </w:tc>
        <w:tc>
          <w:tcPr>
            <w:tcW w:w="680" w:type="dxa"/>
            <w:vAlign w:val="bottom"/>
          </w:tcPr>
          <w:p>
            <w:pPr>
              <w:ind w:left="500"/>
              <w:spacing w:after="0" w:line="133" w:lineRule="exact"/>
              <w:rPr>
                <w:sz w:val="20"/>
                <w:szCs w:val="20"/>
                <w:color w:val="auto"/>
              </w:rPr>
            </w:pPr>
            <w:r>
              <w:rPr>
                <w:rFonts w:ascii="Times New Roman" w:cs="Times New Roman" w:eastAsia="Times New Roman" w:hAnsi="Times New Roman"/>
                <w:sz w:val="12"/>
                <w:szCs w:val="12"/>
                <w:color w:val="auto"/>
                <w:w w:val="95"/>
              </w:rPr>
              <w:t>F-5</w:t>
            </w:r>
          </w:p>
        </w:tc>
      </w:tr>
      <w:tr>
        <w:trPr>
          <w:trHeight w:val="20"/>
        </w:trPr>
        <w:tc>
          <w:tcPr>
            <w:tcW w:w="28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240" w:type="dxa"/>
            <w:vAlign w:val="bottom"/>
            <w:tcBorders>
              <w:righ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10140" w:type="dxa"/>
            <w:vAlign w:val="bottom"/>
            <w:gridSpan w:val="14"/>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Changes in Redeemable Noncontrolling Interest and Stockholders’ Equity (Deficit) for the Years Ended </w:t>
            </w:r>
            <w:r>
              <w:rPr>
                <w:rFonts w:ascii="Times New Roman" w:cs="Times New Roman" w:eastAsia="Times New Roman" w:hAnsi="Times New Roman"/>
                <w:sz w:val="12"/>
                <w:szCs w:val="12"/>
                <w:color w:val="000000"/>
              </w:rPr>
              <w:t>December 31, 2024</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2023</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2022</w:t>
            </w:r>
          </w:p>
        </w:tc>
        <w:tc>
          <w:tcPr>
            <w:tcW w:w="680" w:type="dxa"/>
            <w:vAlign w:val="bottom"/>
          </w:tcPr>
          <w:p>
            <w:pPr>
              <w:ind w:left="500"/>
              <w:spacing w:after="0" w:line="133" w:lineRule="exact"/>
              <w:rPr>
                <w:sz w:val="20"/>
                <w:szCs w:val="20"/>
                <w:color w:val="auto"/>
              </w:rPr>
            </w:pPr>
            <w:r>
              <w:rPr>
                <w:rFonts w:ascii="Times New Roman" w:cs="Times New Roman" w:eastAsia="Times New Roman" w:hAnsi="Times New Roman"/>
                <w:sz w:val="12"/>
                <w:szCs w:val="12"/>
                <w:color w:val="auto"/>
                <w:w w:val="95"/>
              </w:rPr>
              <w:t>F-6</w:t>
            </w:r>
          </w:p>
        </w:tc>
      </w:tr>
      <w:tr>
        <w:trPr>
          <w:trHeight w:val="133"/>
        </w:trPr>
        <w:tc>
          <w:tcPr>
            <w:tcW w:w="280" w:type="dxa"/>
            <w:vAlign w:val="bottom"/>
          </w:tcPr>
          <w:p>
            <w:pPr>
              <w:spacing w:after="0"/>
              <w:rPr>
                <w:sz w:val="11"/>
                <w:szCs w:val="11"/>
                <w:color w:val="auto"/>
              </w:rPr>
            </w:pPr>
          </w:p>
        </w:tc>
        <w:tc>
          <w:tcPr>
            <w:tcW w:w="7840" w:type="dxa"/>
            <w:vAlign w:val="bottom"/>
            <w:tcBorders>
              <w:top w:val="single" w:sz="8" w:color="0000FF"/>
            </w:tcBorders>
            <w:gridSpan w:val="13"/>
          </w:tcPr>
          <w:p>
            <w:pPr>
              <w:spacing w:after="0" w:line="133" w:lineRule="exact"/>
              <w:rPr>
                <w:sz w:val="20"/>
                <w:szCs w:val="20"/>
                <w:color w:val="auto"/>
              </w:rPr>
            </w:pPr>
            <w:r>
              <w:rPr>
                <w:rFonts w:ascii="Times New Roman" w:cs="Times New Roman" w:eastAsia="Times New Roman" w:hAnsi="Times New Roman"/>
                <w:sz w:val="12"/>
                <w:szCs w:val="12"/>
                <w:color w:val="0000FF"/>
              </w:rPr>
              <w:t xml:space="preserve">Consolidated Statements of Cash Flows for the Years Ended </w:t>
            </w:r>
            <w:r>
              <w:rPr>
                <w:rFonts w:ascii="Times New Roman" w:cs="Times New Roman" w:eastAsia="Times New Roman" w:hAnsi="Times New Roman"/>
                <w:sz w:val="12"/>
                <w:szCs w:val="12"/>
                <w:color w:val="000000"/>
              </w:rPr>
              <w:t>December 31, 2024</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2023</w:t>
            </w:r>
            <w:r>
              <w:rPr>
                <w:rFonts w:ascii="Times New Roman" w:cs="Times New Roman" w:eastAsia="Times New Roman" w:hAnsi="Times New Roman"/>
                <w:sz w:val="12"/>
                <w:szCs w:val="12"/>
                <w:color w:val="0000FF"/>
              </w:rPr>
              <w:t xml:space="preserve"> and </w:t>
            </w:r>
            <w:r>
              <w:rPr>
                <w:rFonts w:ascii="Times New Roman" w:cs="Times New Roman" w:eastAsia="Times New Roman" w:hAnsi="Times New Roman"/>
                <w:sz w:val="12"/>
                <w:szCs w:val="12"/>
                <w:color w:val="000000"/>
              </w:rPr>
              <w:t>2022</w:t>
            </w:r>
          </w:p>
        </w:tc>
        <w:tc>
          <w:tcPr>
            <w:tcW w:w="2300" w:type="dxa"/>
            <w:vAlign w:val="bottom"/>
          </w:tcPr>
          <w:p>
            <w:pPr>
              <w:spacing w:after="0"/>
              <w:rPr>
                <w:sz w:val="11"/>
                <w:szCs w:val="11"/>
                <w:color w:val="auto"/>
              </w:rPr>
            </w:pPr>
          </w:p>
        </w:tc>
        <w:tc>
          <w:tcPr>
            <w:tcW w:w="680" w:type="dxa"/>
            <w:vAlign w:val="bottom"/>
          </w:tcPr>
          <w:p>
            <w:pPr>
              <w:ind w:left="500"/>
              <w:spacing w:after="0" w:line="133" w:lineRule="exact"/>
              <w:rPr>
                <w:sz w:val="20"/>
                <w:szCs w:val="20"/>
                <w:color w:val="auto"/>
              </w:rPr>
            </w:pPr>
            <w:r>
              <w:rPr>
                <w:rFonts w:ascii="Times New Roman" w:cs="Times New Roman" w:eastAsia="Times New Roman" w:hAnsi="Times New Roman"/>
                <w:sz w:val="12"/>
                <w:szCs w:val="12"/>
                <w:color w:val="auto"/>
                <w:w w:val="95"/>
              </w:rPr>
              <w:t>F-7</w:t>
            </w:r>
          </w:p>
        </w:tc>
      </w:tr>
      <w:tr>
        <w:trPr>
          <w:trHeight w:val="20"/>
        </w:trPr>
        <w:tc>
          <w:tcPr>
            <w:tcW w:w="28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3"/>
        </w:trPr>
        <w:tc>
          <w:tcPr>
            <w:tcW w:w="2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b w:val="1"/>
                <w:bCs w:val="1"/>
                <w:color w:val="0000FF"/>
                <w:w w:val="99"/>
              </w:rPr>
              <w:t>Notes to Consolidated Financial Statements</w:t>
            </w:r>
          </w:p>
        </w:tc>
        <w:tc>
          <w:tcPr>
            <w:tcW w:w="8180" w:type="dxa"/>
            <w:vAlign w:val="bottom"/>
            <w:gridSpan w:val="12"/>
          </w:tcPr>
          <w:p>
            <w:pPr>
              <w:spacing w:after="0"/>
              <w:rPr>
                <w:sz w:val="24"/>
                <w:szCs w:val="2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2"/>
                <w:szCs w:val="12"/>
                <w:color w:val="auto"/>
                <w:w w:val="95"/>
              </w:rPr>
              <w:t>F-8</w:t>
            </w:r>
          </w:p>
        </w:tc>
      </w:tr>
    </w:tbl>
    <w:p>
      <w:pPr>
        <w:spacing w:after="0" w:line="14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Annual Report on Form 10-K to the “Company”, “we”, “us” and “our” refer to vTv Therapeutics Inc. and its consolidated subsidiaries.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Shareholders and the Board of Directors of vTv Therapeutics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10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vTv Therapeutics Inc. (the Company) as of December 31, 2024 and 2023, the related consolidated statements of operations, changes in redeemable noncontrolling interest and stockholders’ equity (deficit)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Company’s Ability to Continue as a Going Concern</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0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4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Critical Audit Matter</w:t>
      </w:r>
    </w:p>
    <w:p>
      <w:pPr>
        <w:spacing w:after="0" w:line="9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2"/>
          <w:szCs w:val="12"/>
          <w:b w:val="1"/>
          <w:bCs w:val="1"/>
          <w:i w:val="1"/>
          <w:iCs w:val="1"/>
          <w:color w:val="333333"/>
        </w:rPr>
        <w:t>Accrued Development Costs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Description of the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i w:val="1"/>
          <w:iCs w:val="1"/>
          <w:color w:val="auto"/>
        </w:rPr>
        <w:t>How We Addressed</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i w:val="1"/>
          <w:iCs w:val="1"/>
          <w:color w:val="auto"/>
        </w:rPr>
        <w:t>the Matter in Our</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i w:val="1"/>
          <w:iCs w:val="1"/>
          <w:color w:val="auto"/>
        </w:rPr>
        <w:t>Audit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Ernst &amp; Young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2000.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Raleigh, North Carolina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20, 2025</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As discussed in Notes 2 and 7 to the consolidated financial statements, the Company has recorded $2.3 million of accrued development costs at December 31, 2024, which includes costs for clinical trial and contract manufacturing activities (together, clinical related activities) based upon estimates of expenses incurred through the balance sheet date that have yet to be invoiced by the contract research organizations, clinical study sites, contract manufacturing organizations, or other vendors (together, clinical vendors). This accrual process involves identifying services that have been performed and estimating the level of service performed and the associated cost when the Company has not yet been invoiced or otherwise notified of actual cost incurred.</w:t>
      </w:r>
    </w:p>
    <w:p>
      <w:pPr>
        <w:spacing w:after="0" w:line="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Auditing the Company’s accrued development costs is judgmental because the timing and pattern of vendor invoicing may not correspond to the level of services provided and the estimate can incorporate significant assumptions such as expected patient enrollment, site activation, and estimated project duration.</w:t>
      </w:r>
    </w:p>
    <w:p>
      <w:pPr>
        <w:spacing w:after="0" w:line="318" w:lineRule="exact"/>
        <w:rPr>
          <w:sz w:val="20"/>
          <w:szCs w:val="20"/>
          <w:color w:val="auto"/>
        </w:rPr>
      </w:pPr>
    </w:p>
    <w:p>
      <w:pPr>
        <w:jc w:val="both"/>
        <w:ind w:left="20" w:right="40"/>
        <w:spacing w:after="0" w:line="221" w:lineRule="auto"/>
        <w:rPr>
          <w:sz w:val="20"/>
          <w:szCs w:val="20"/>
          <w:color w:val="auto"/>
        </w:rPr>
      </w:pPr>
      <w:r>
        <w:rPr>
          <w:rFonts w:ascii="Times New Roman" w:cs="Times New Roman" w:eastAsia="Times New Roman" w:hAnsi="Times New Roman"/>
          <w:sz w:val="12"/>
          <w:szCs w:val="12"/>
          <w:color w:val="auto"/>
        </w:rPr>
        <w:t>To evaluate the accrued development costs, our audit procedures included, among others, reading the Company’s contracts with clinical vendors (including pending change orders), testing the completeness and accuracy of the underlying data used in the estimate of the level of service provided, including evaluating the</w:t>
      </w:r>
    </w:p>
    <w:p>
      <w:pPr>
        <w:spacing w:after="0" w:line="1" w:lineRule="exact"/>
        <w:rPr>
          <w:sz w:val="20"/>
          <w:szCs w:val="20"/>
          <w:color w:val="auto"/>
        </w:rPr>
      </w:pPr>
    </w:p>
    <w:p>
      <w:pPr>
        <w:jc w:val="both"/>
        <w:ind w:left="20" w:right="40"/>
        <w:spacing w:after="0" w:line="218" w:lineRule="auto"/>
        <w:rPr>
          <w:sz w:val="20"/>
          <w:szCs w:val="20"/>
          <w:color w:val="auto"/>
        </w:rPr>
      </w:pPr>
      <w:r>
        <w:rPr>
          <w:rFonts w:ascii="Times New Roman" w:cs="Times New Roman" w:eastAsia="Times New Roman" w:hAnsi="Times New Roman"/>
          <w:sz w:val="12"/>
          <w:szCs w:val="12"/>
          <w:color w:val="auto"/>
        </w:rPr>
        <w:t>applicable significant assumptions as discussed above for the in-process contracts with clinical vendors. To assess the significant assumptions, we corroborated the progress of clinical related activities through inquiry with the Company’s operations personnel that oversee the clinical trials and contract manufacturing activities and with information obtained from third party clinical vendors, as well as tested invoices received from clinical vendors subsequent to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-2163445</wp:posOffset>
            </wp:positionH>
            <wp:positionV relativeFrom="paragraph">
              <wp:posOffset>43815</wp:posOffset>
            </wp:positionV>
            <wp:extent cx="720344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3100" w:space="280"/>
            <w:col w:w="7900"/>
          </w:cols>
          <w:pgMar w:left="300" w:top="1061"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(dollars in thousands, except per share and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60" w:type="dxa"/>
            <w:vAlign w:val="bottom"/>
          </w:tcPr>
          <w:p>
            <w:pPr>
              <w:spacing w:after="0"/>
              <w:rPr>
                <w:sz w:val="10"/>
                <w:szCs w:val="10"/>
                <w:color w:val="auto"/>
              </w:rPr>
            </w:pPr>
          </w:p>
        </w:tc>
        <w:tc>
          <w:tcPr>
            <w:tcW w:w="1200" w:type="dxa"/>
            <w:vAlign w:val="bottom"/>
          </w:tcPr>
          <w:p>
            <w:pPr>
              <w:jc w:val="right"/>
              <w:ind w:right="401"/>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9"/>
        </w:trPr>
        <w:tc>
          <w:tcPr>
            <w:tcW w:w="8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64"/>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36,746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9,446</w:t>
            </w:r>
          </w:p>
        </w:tc>
      </w:tr>
      <w:tr>
        <w:trPr>
          <w:trHeight w:val="153"/>
        </w:trPr>
        <w:tc>
          <w:tcPr>
            <w:tcW w:w="82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Accounts receivable, net</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102</w:t>
            </w: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1,044</w:t>
            </w:r>
          </w:p>
        </w:tc>
      </w:tr>
      <w:tr>
        <w:trPr>
          <w:trHeight w:val="153"/>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Current deposits</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65</w:t>
            </w:r>
          </w:p>
        </w:tc>
      </w:tr>
      <w:tr>
        <w:trPr>
          <w:trHeight w:val="1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38,113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10,657</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117</w:t>
            </w:r>
          </w:p>
        </w:tc>
      </w:tr>
      <w:tr>
        <w:trPr>
          <w:trHeight w:val="1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244</w:t>
            </w:r>
          </w:p>
        </w:tc>
      </w:tr>
      <w:tr>
        <w:trPr>
          <w:trHeight w:val="158"/>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38,266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11,018</w:t>
            </w:r>
          </w:p>
        </w:tc>
      </w:tr>
      <w:tr>
        <w:trPr>
          <w:trHeight w:val="135"/>
        </w:trPr>
        <w:tc>
          <w:tcPr>
            <w:tcW w:w="8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Redeemable Noncontrolling Interest and Stockholders’ Equity (Deficit)</w:t>
            </w: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10,242</w:t>
            </w:r>
          </w:p>
        </w:tc>
      </w:tr>
      <w:tr>
        <w:trPr>
          <w:trHeight w:val="153"/>
        </w:trPr>
        <w:tc>
          <w:tcPr>
            <w:tcW w:w="82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169</w:t>
            </w: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Current portion of contract liabilities</w:t>
            </w:r>
          </w:p>
        </w:tc>
        <w:tc>
          <w:tcPr>
            <w:tcW w:w="2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w:t>
            </w:r>
          </w:p>
        </w:tc>
      </w:tr>
      <w:tr>
        <w:trPr>
          <w:trHeight w:val="153"/>
        </w:trPr>
        <w:tc>
          <w:tcPr>
            <w:tcW w:w="82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Current portion of notes payable</w:t>
            </w:r>
          </w:p>
        </w:tc>
        <w:tc>
          <w:tcPr>
            <w:tcW w:w="26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191</w:t>
            </w:r>
          </w:p>
        </w:tc>
      </w:tr>
      <w:tr>
        <w:trPr>
          <w:trHeight w:val="142"/>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5,196</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10,619</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Contract liabilities, net of current portion</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18,669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18,669</w:t>
            </w:r>
          </w:p>
        </w:tc>
      </w:tr>
      <w:tr>
        <w:trPr>
          <w:trHeight w:val="1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lease liabilities, net of current portion</w:t>
            </w:r>
          </w:p>
        </w:tc>
        <w:tc>
          <w:tcPr>
            <w:tcW w:w="2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169</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Warrant liability, related party</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110</w:t>
            </w:r>
          </w:p>
        </w:tc>
      </w:tr>
      <w:tr>
        <w:trPr>
          <w:trHeight w:val="1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Warrant liability</w:t>
            </w: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23,965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29,567</w:t>
            </w:r>
          </w:p>
        </w:tc>
      </w:tr>
      <w:tr>
        <w:trPr>
          <w:trHeight w:val="1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Commitments and contingencies</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Redeemable noncontrolling interest</w:t>
            </w:r>
          </w:p>
        </w:tc>
        <w:tc>
          <w:tcPr>
            <w:tcW w:w="26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6,131</w:t>
            </w:r>
          </w:p>
        </w:tc>
      </w:tr>
      <w:tr>
        <w:trPr>
          <w:trHeight w:val="1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Stockholders’ equity (deficit):</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82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Class A common stock, $0.01 par value; 200,000,000 shares authorized, 2,612,257 and 2,084,973 shares outstanding as of December 31, 2024 and 2023, respectively</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21</w:t>
            </w: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Class B common stock, $0.01 par value; 100,000,000 shares authorized, and 577,349 outstanding as of December 31, 2024 and 2023</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w:t>
            </w:r>
          </w:p>
        </w:tc>
      </w:tr>
      <w:tr>
        <w:trPr>
          <w:trHeight w:val="153"/>
        </w:trPr>
        <w:tc>
          <w:tcPr>
            <w:tcW w:w="82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311,885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256,335</w:t>
            </w:r>
          </w:p>
        </w:tc>
      </w:tr>
      <w:tr>
        <w:trPr>
          <w:trHeight w:val="1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(299,718)</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(281,042)</w:t>
            </w:r>
          </w:p>
        </w:tc>
      </w:tr>
      <w:tr>
        <w:trPr>
          <w:trHeight w:val="142"/>
        </w:trPr>
        <w:tc>
          <w:tcPr>
            <w:tcW w:w="8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stockholders’ equity (deficit) attributable to vTv Therapeutics Inc.</w:t>
            </w:r>
          </w:p>
        </w:tc>
        <w:tc>
          <w:tcPr>
            <w:tcW w:w="2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12,199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(24,680)</w:t>
            </w:r>
          </w:p>
        </w:tc>
      </w:tr>
      <w:tr>
        <w:trPr>
          <w:trHeight w:val="153"/>
        </w:trPr>
        <w:tc>
          <w:tcPr>
            <w:tcW w:w="8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Noncontrolling interest</w:t>
            </w: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stockholders’ equity (deficit)</w:t>
            </w: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14,301</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(24,680)</w:t>
            </w:r>
          </w:p>
        </w:tc>
      </w:tr>
      <w:tr>
        <w:trPr>
          <w:trHeight w:val="15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liabilities, redeemable noncontrolling interest and stockholders’ equity (deficit)</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38,266</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11,018</w:t>
            </w: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43815</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40" w:top="935" w:right="359" w:bottom="1440" w:gutter="0" w:footer="0" w:header="0"/>
        </w:sectPr>
      </w:pPr>
    </w:p>
    <w:bookmarkStart w:id="78" w:name="page79"/>
    <w:bookmarkEnd w:id="7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per share and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Years Ending December 31,</w:t>
            </w: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5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2022(*)</w:t>
            </w:r>
          </w:p>
        </w:tc>
        <w:tc>
          <w:tcPr>
            <w:tcW w:w="0" w:type="dxa"/>
            <w:vAlign w:val="bottom"/>
          </w:tcPr>
          <w:p>
            <w:pPr>
              <w:spacing w:after="0"/>
              <w:rPr>
                <w:sz w:val="1"/>
                <w:szCs w:val="1"/>
                <w:color w:val="auto"/>
              </w:rPr>
            </w:pPr>
          </w:p>
        </w:tc>
      </w:tr>
      <w:tr>
        <w:trPr>
          <w:trHeight w:val="15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88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2,018</w:t>
            </w:r>
          </w:p>
        </w:tc>
        <w:tc>
          <w:tcPr>
            <w:tcW w:w="0" w:type="dxa"/>
            <w:vAlign w:val="bottom"/>
          </w:tcPr>
          <w:p>
            <w:pPr>
              <w:spacing w:after="0"/>
              <w:rPr>
                <w:sz w:val="1"/>
                <w:szCs w:val="1"/>
                <w:color w:val="auto"/>
              </w:rPr>
            </w:pP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11,546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13,595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12,357</w:t>
            </w:r>
          </w:p>
        </w:tc>
        <w:tc>
          <w:tcPr>
            <w:tcW w:w="0" w:type="dxa"/>
            <w:vAlign w:val="bottom"/>
          </w:tcPr>
          <w:p>
            <w:pPr>
              <w:spacing w:after="0"/>
              <w:rPr>
                <w:sz w:val="1"/>
                <w:szCs w:val="1"/>
                <w:color w:val="auto"/>
              </w:rPr>
            </w:pPr>
          </w:p>
        </w:tc>
      </w:tr>
      <w:tr>
        <w:trPr>
          <w:trHeight w:val="153"/>
        </w:trPr>
        <w:tc>
          <w:tcPr>
            <w:tcW w:w="6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13,651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11,907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12,201</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Total operating expenses</w:t>
            </w:r>
          </w:p>
        </w:tc>
        <w:tc>
          <w:tcPr>
            <w:tcW w:w="8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25,197</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25,502</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24,558</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8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(25,502)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(22,540)</w:t>
            </w:r>
          </w:p>
        </w:tc>
        <w:tc>
          <w:tcPr>
            <w:tcW w:w="0" w:type="dxa"/>
            <w:vAlign w:val="bottom"/>
          </w:tcPr>
          <w:p>
            <w:pPr>
              <w:spacing w:after="0"/>
              <w:rPr>
                <w:sz w:val="1"/>
                <w:szCs w:val="1"/>
                <w:color w:val="auto"/>
              </w:rPr>
            </w:pPr>
          </w:p>
        </w:tc>
      </w:tr>
      <w:tr>
        <w:trPr>
          <w:trHeight w:val="15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(3,616)</w:t>
            </w:r>
          </w:p>
        </w:tc>
        <w:tc>
          <w:tcPr>
            <w:tcW w:w="0" w:type="dxa"/>
            <w:vAlign w:val="bottom"/>
          </w:tcPr>
          <w:p>
            <w:pPr>
              <w:spacing w:after="0"/>
              <w:rPr>
                <w:sz w:val="1"/>
                <w:szCs w:val="1"/>
                <w:color w:val="auto"/>
              </w:rPr>
            </w:pP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income – related party</w:t>
            </w:r>
          </w:p>
        </w:tc>
        <w:tc>
          <w:tcPr>
            <w:tcW w:w="8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574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946</w:t>
            </w:r>
          </w:p>
        </w:tc>
        <w:tc>
          <w:tcPr>
            <w:tcW w:w="0" w:type="dxa"/>
            <w:vAlign w:val="bottom"/>
          </w:tcPr>
          <w:p>
            <w:pPr>
              <w:spacing w:after="0"/>
              <w:rPr>
                <w:sz w:val="1"/>
                <w:szCs w:val="1"/>
                <w:color w:val="auto"/>
              </w:rPr>
            </w:pPr>
          </w:p>
        </w:tc>
      </w:tr>
      <w:tr>
        <w:trPr>
          <w:trHeight w:val="15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472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352</w:t>
            </w:r>
          </w:p>
        </w:tc>
        <w:tc>
          <w:tcPr>
            <w:tcW w:w="0" w:type="dxa"/>
            <w:vAlign w:val="bottom"/>
          </w:tcPr>
          <w:p>
            <w:pPr>
              <w:spacing w:after="0"/>
              <w:rPr>
                <w:sz w:val="1"/>
                <w:szCs w:val="1"/>
                <w:color w:val="auto"/>
              </w:rPr>
            </w:pP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42"/>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income taxes and noncontrolling interest</w:t>
            </w:r>
          </w:p>
        </w:tc>
        <w:tc>
          <w:tcPr>
            <w:tcW w:w="8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(22,605)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(25,966)</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(24,873)</w:t>
            </w:r>
          </w:p>
        </w:tc>
        <w:tc>
          <w:tcPr>
            <w:tcW w:w="0" w:type="dxa"/>
            <w:vAlign w:val="bottom"/>
          </w:tcPr>
          <w:p>
            <w:pPr>
              <w:spacing w:after="0"/>
              <w:rPr>
                <w:sz w:val="1"/>
                <w:szCs w:val="1"/>
                <w:color w:val="auto"/>
              </w:rPr>
            </w:pP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Income tax provision</w:t>
            </w:r>
          </w:p>
        </w:tc>
        <w:tc>
          <w:tcPr>
            <w:tcW w:w="8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200</w:t>
            </w:r>
          </w:p>
        </w:tc>
        <w:tc>
          <w:tcPr>
            <w:tcW w:w="0" w:type="dxa"/>
            <w:vAlign w:val="bottom"/>
          </w:tcPr>
          <w:p>
            <w:pPr>
              <w:spacing w:after="0"/>
              <w:rPr>
                <w:sz w:val="1"/>
                <w:szCs w:val="1"/>
                <w:color w:val="auto"/>
              </w:rPr>
            </w:pPr>
          </w:p>
        </w:tc>
      </w:tr>
      <w:tr>
        <w:trPr>
          <w:trHeight w:val="142"/>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before noncontrolling interest</w:t>
            </w:r>
          </w:p>
        </w:tc>
        <w:tc>
          <w:tcPr>
            <w:tcW w:w="8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(25,966)</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(25,073)</w:t>
            </w:r>
          </w:p>
        </w:tc>
        <w:tc>
          <w:tcPr>
            <w:tcW w:w="0" w:type="dxa"/>
            <w:vAlign w:val="bottom"/>
          </w:tcPr>
          <w:p>
            <w:pPr>
              <w:spacing w:after="0"/>
              <w:rPr>
                <w:sz w:val="1"/>
                <w:szCs w:val="1"/>
                <w:color w:val="auto"/>
              </w:rPr>
            </w:pPr>
          </w:p>
        </w:tc>
      </w:tr>
      <w:tr>
        <w:trPr>
          <w:trHeight w:val="15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net loss attributable to noncontrolling interest</w:t>
            </w: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(4,243)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(5,716)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(5,909)</w:t>
            </w:r>
          </w:p>
        </w:tc>
        <w:tc>
          <w:tcPr>
            <w:tcW w:w="0" w:type="dxa"/>
            <w:vAlign w:val="bottom"/>
          </w:tcPr>
          <w:p>
            <w:pPr>
              <w:spacing w:after="0"/>
              <w:rPr>
                <w:sz w:val="1"/>
                <w:szCs w:val="1"/>
                <w:color w:val="auto"/>
              </w:rPr>
            </w:pPr>
          </w:p>
        </w:tc>
      </w:tr>
      <w:tr>
        <w:trPr>
          <w:trHeight w:val="158"/>
        </w:trPr>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attributable to vTv Therapeutics Inc.</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(18,462)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(19,164)</w:t>
            </w:r>
          </w:p>
        </w:tc>
        <w:tc>
          <w:tcPr>
            <w:tcW w:w="0" w:type="dxa"/>
            <w:vAlign w:val="bottom"/>
          </w:tcPr>
          <w:p>
            <w:pPr>
              <w:spacing w:after="0"/>
              <w:rPr>
                <w:sz w:val="1"/>
                <w:szCs w:val="1"/>
                <w:color w:val="auto"/>
              </w:rPr>
            </w:pPr>
          </w:p>
        </w:tc>
      </w:tr>
      <w:tr>
        <w:trPr>
          <w:trHeight w:val="169"/>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loss attributable to vTv Therapeutics Inc. common shareholders</w:t>
            </w:r>
          </w:p>
        </w:tc>
        <w:tc>
          <w:tcPr>
            <w:tcW w:w="880" w:type="dxa"/>
            <w:vAlign w:val="bottom"/>
            <w:tcBorders>
              <w:bottom w:val="single" w:sz="8" w:color="auto"/>
            </w:tcBorders>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(18,462)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(19,164)</w:t>
            </w:r>
          </w:p>
        </w:tc>
        <w:tc>
          <w:tcPr>
            <w:tcW w:w="0" w:type="dxa"/>
            <w:vAlign w:val="bottom"/>
          </w:tcPr>
          <w:p>
            <w:pPr>
              <w:spacing w:after="0"/>
              <w:rPr>
                <w:sz w:val="1"/>
                <w:szCs w:val="1"/>
                <w:color w:val="auto"/>
              </w:rPr>
            </w:pPr>
          </w:p>
        </w:tc>
      </w:tr>
      <w:tr>
        <w:trPr>
          <w:trHeight w:val="169"/>
        </w:trPr>
        <w:tc>
          <w:tcPr>
            <w:tcW w:w="6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Net loss per share of vTv Therapeutics Inc. Class A common stock, basic and diluted</w:t>
            </w:r>
          </w:p>
        </w:tc>
        <w:tc>
          <w:tcPr>
            <w:tcW w:w="880" w:type="dxa"/>
            <w:vAlign w:val="bottom"/>
            <w:tcBorders>
              <w:bottom w:val="single" w:sz="8" w:color="auto"/>
            </w:tcBorders>
            <w:shd w:val="clear" w:color="auto" w:fill="CCEEFF"/>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(9.98)</w:t>
            </w:r>
          </w:p>
        </w:tc>
        <w:tc>
          <w:tcPr>
            <w:tcW w:w="0" w:type="dxa"/>
            <w:vAlign w:val="bottom"/>
          </w:tcPr>
          <w:p>
            <w:pPr>
              <w:spacing w:after="0"/>
              <w:rPr>
                <w:sz w:val="1"/>
                <w:szCs w:val="1"/>
                <w:color w:val="auto"/>
              </w:rPr>
            </w:pPr>
          </w:p>
        </w:tc>
      </w:tr>
      <w:tr>
        <w:trPr>
          <w:trHeight w:val="153"/>
        </w:trPr>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Weighted average number of vTv Therapeutics Inc. Class A common stock, basic and diluted</w:t>
            </w: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5,771,052</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2,084,973</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1,919,788</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 Adjusted retroactively for reverse stock split</w:t>
            </w: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656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43815</wp:posOffset>
            </wp:positionV>
            <wp:extent cx="720344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400" w:top="773" w:right="399" w:bottom="1440" w:gutter="0" w:footer="0" w:header="0"/>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Changes in Redeemable Noncontrolling Interest and Stockholders’ Equity (Deficit)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right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5"/>
          </w:tcPr>
          <w:p>
            <w:pPr>
              <w:ind w:left="400"/>
              <w:spacing w:after="0"/>
              <w:rPr>
                <w:sz w:val="20"/>
                <w:szCs w:val="20"/>
                <w:color w:val="auto"/>
              </w:rPr>
            </w:pPr>
            <w:r>
              <w:rPr>
                <w:rFonts w:ascii="Times New Roman" w:cs="Times New Roman" w:eastAsia="Times New Roman" w:hAnsi="Times New Roman"/>
                <w:sz w:val="8"/>
                <w:szCs w:val="8"/>
                <w:b w:val="1"/>
                <w:bCs w:val="1"/>
                <w:color w:val="auto"/>
              </w:rPr>
              <w:t>Class A Common Stock</w:t>
            </w:r>
          </w:p>
        </w:tc>
        <w:tc>
          <w:tcPr>
            <w:tcW w:w="1440" w:type="dxa"/>
            <w:vAlign w:val="bottom"/>
            <w:tcBorders>
              <w:top w:val="single" w:sz="8" w:color="auto"/>
            </w:tcBorders>
            <w:gridSpan w:val="3"/>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Class B Common Stock</w:t>
            </w: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Total vTv</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right w:val="single" w:sz="8" w:color="auto"/>
            </w:tcBorders>
          </w:tcPr>
          <w:p>
            <w:pPr>
              <w:jc w:val="center"/>
              <w:ind w:right="138"/>
              <w:spacing w:after="0"/>
              <w:rPr>
                <w:sz w:val="20"/>
                <w:szCs w:val="20"/>
                <w:color w:val="auto"/>
              </w:rPr>
            </w:pPr>
            <w:r>
              <w:rPr>
                <w:rFonts w:ascii="Times New Roman" w:cs="Times New Roman" w:eastAsia="Times New Roman" w:hAnsi="Times New Roman"/>
                <w:sz w:val="8"/>
                <w:szCs w:val="8"/>
                <w:b w:val="1"/>
                <w:bCs w:val="1"/>
                <w:color w:val="auto"/>
              </w:rPr>
              <w:t>Redeemable</w:t>
            </w: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Therapeutics Inc</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right w:val="single" w:sz="8" w:color="auto"/>
            </w:tcBorders>
          </w:tcPr>
          <w:p>
            <w:pPr>
              <w:jc w:val="center"/>
              <w:ind w:right="118"/>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Stockholders’ Equity</w:t>
            </w:r>
          </w:p>
        </w:tc>
        <w:tc>
          <w:tcPr>
            <w:tcW w:w="100" w:type="dxa"/>
            <w:vAlign w:val="bottom"/>
          </w:tcPr>
          <w:p>
            <w:pPr>
              <w:spacing w:after="0"/>
              <w:rPr>
                <w:sz w:val="8"/>
                <w:szCs w:val="8"/>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40" w:type="dxa"/>
            <w:vAlign w:val="bottom"/>
          </w:tcPr>
          <w:p>
            <w:pPr>
              <w:spacing w:after="0"/>
              <w:rPr>
                <w:sz w:val="8"/>
                <w:szCs w:val="8"/>
                <w:color w:val="auto"/>
              </w:rPr>
            </w:pP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8"/>
                <w:szCs w:val="8"/>
                <w:b w:val="1"/>
                <w:bCs w:val="1"/>
                <w:color w:val="auto"/>
              </w:rPr>
              <w:t>Total Stockholders'</w:t>
            </w: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right w:val="single" w:sz="8" w:color="auto"/>
            </w:tcBorders>
          </w:tcPr>
          <w:p>
            <w:pPr>
              <w:jc w:val="center"/>
              <w:ind w:right="138"/>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40" w:type="dxa"/>
            <w:vAlign w:val="bottom"/>
          </w:tcPr>
          <w:p>
            <w:pPr>
              <w:spacing w:after="0"/>
              <w:rPr>
                <w:sz w:val="11"/>
                <w:szCs w:val="11"/>
                <w:color w:val="auto"/>
              </w:rPr>
            </w:pP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8"/>
                <w:szCs w:val="8"/>
                <w:b w:val="1"/>
                <w:bCs w:val="1"/>
                <w:color w:val="auto"/>
              </w:rPr>
              <w:t>Shares</w:t>
            </w:r>
          </w:p>
        </w:tc>
        <w:tc>
          <w:tcPr>
            <w:tcW w:w="16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8"/>
                <w:szCs w:val="8"/>
                <w:b w:val="1"/>
                <w:bCs w:val="1"/>
                <w:color w:val="auto"/>
              </w:rPr>
              <w:t>Amount</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8"/>
                <w:szCs w:val="8"/>
                <w:b w:val="1"/>
                <w:bCs w:val="1"/>
                <w:color w:val="auto"/>
              </w:rPr>
              <w:t>Accumulated Deficit</w:t>
            </w:r>
          </w:p>
        </w:tc>
        <w:tc>
          <w:tcPr>
            <w:tcW w:w="80" w:type="dxa"/>
            <w:vAlign w:val="bottom"/>
          </w:tcPr>
          <w:p>
            <w:pPr>
              <w:spacing w:after="0"/>
              <w:rPr>
                <w:sz w:val="11"/>
                <w:szCs w:val="11"/>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00" w:type="dxa"/>
            <w:vAlign w:val="bottom"/>
          </w:tcPr>
          <w:p>
            <w:pPr>
              <w:spacing w:after="0"/>
              <w:rPr>
                <w:sz w:val="11"/>
                <w:szCs w:val="11"/>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40" w:type="dxa"/>
            <w:vAlign w:val="bottom"/>
          </w:tcPr>
          <w:p>
            <w:pPr>
              <w:spacing w:after="0"/>
              <w:rPr>
                <w:sz w:val="11"/>
                <w:szCs w:val="11"/>
                <w:color w:val="auto"/>
              </w:rPr>
            </w:pPr>
          </w:p>
        </w:tc>
        <w:tc>
          <w:tcPr>
            <w:tcW w:w="76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Equity (Deficit)</w:t>
            </w:r>
          </w:p>
        </w:tc>
        <w:tc>
          <w:tcPr>
            <w:tcW w:w="0" w:type="dxa"/>
            <w:vAlign w:val="bottom"/>
          </w:tcPr>
          <w:p>
            <w:pPr>
              <w:spacing w:after="0"/>
              <w:rPr>
                <w:sz w:val="1"/>
                <w:szCs w:val="1"/>
                <w:color w:val="auto"/>
              </w:rPr>
            </w:pPr>
          </w:p>
        </w:tc>
      </w:tr>
      <w:tr>
        <w:trPr>
          <w:trHeight w:val="112"/>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Balances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80" w:type="dxa"/>
            <w:vAlign w:val="bottom"/>
            <w:tcBorders>
              <w:top w:val="single" w:sz="8" w:color="auto"/>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24,962</w:t>
            </w:r>
          </w:p>
        </w:tc>
        <w:tc>
          <w:tcPr>
            <w:tcW w:w="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1,721,452</w:t>
            </w: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17</w:t>
            </w:r>
          </w:p>
        </w:tc>
        <w:tc>
          <w:tcPr>
            <w:tcW w:w="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577,349</w:t>
            </w:r>
          </w:p>
        </w:tc>
        <w:tc>
          <w:tcPr>
            <w:tcW w:w="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w:t>
            </w: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239,071</w:t>
            </w:r>
          </w:p>
        </w:tc>
        <w:tc>
          <w:tcPr>
            <w:tcW w:w="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(248,834)</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(9,740)</w:t>
            </w: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(9,740)</w:t>
            </w:r>
          </w:p>
        </w:tc>
        <w:tc>
          <w:tcPr>
            <w:tcW w:w="0" w:type="dxa"/>
            <w:vAlign w:val="bottom"/>
          </w:tcPr>
          <w:p>
            <w:pPr>
              <w:spacing w:after="0"/>
              <w:rPr>
                <w:sz w:val="1"/>
                <w:szCs w:val="1"/>
                <w:color w:val="auto"/>
              </w:rPr>
            </w:pPr>
          </w:p>
        </w:tc>
      </w:tr>
      <w:tr>
        <w:trPr>
          <w:trHeight w:val="112"/>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Net loss</w:t>
            </w:r>
          </w:p>
        </w:tc>
        <w:tc>
          <w:tcPr>
            <w:tcW w:w="100" w:type="dxa"/>
            <w:vAlign w:val="bottom"/>
          </w:tcPr>
          <w:p>
            <w:pPr>
              <w:spacing w:after="0"/>
              <w:rPr>
                <w:sz w:val="9"/>
                <w:szCs w:val="9"/>
                <w:color w:val="auto"/>
              </w:rPr>
            </w:pPr>
          </w:p>
        </w:tc>
        <w:tc>
          <w:tcPr>
            <w:tcW w:w="780" w:type="dxa"/>
            <w:vAlign w:val="bottom"/>
            <w:tcBorders>
              <w:right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(5,909)</w:t>
            </w:r>
          </w:p>
        </w:tc>
        <w:tc>
          <w:tcPr>
            <w:tcW w:w="40" w:type="dxa"/>
            <w:vAlign w:val="bottom"/>
          </w:tcPr>
          <w:p>
            <w:pPr>
              <w:spacing w:after="0"/>
              <w:rPr>
                <w:sz w:val="9"/>
                <w:szCs w:val="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9"/>
                <w:szCs w:val="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(19,164)</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(19,164)</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(19,164)</w:t>
            </w:r>
          </w:p>
        </w:tc>
        <w:tc>
          <w:tcPr>
            <w:tcW w:w="0" w:type="dxa"/>
            <w:vAlign w:val="bottom"/>
          </w:tcPr>
          <w:p>
            <w:pPr>
              <w:spacing w:after="0"/>
              <w:rPr>
                <w:sz w:val="1"/>
                <w:szCs w:val="1"/>
                <w:color w:val="auto"/>
              </w:rPr>
            </w:pPr>
          </w:p>
        </w:tc>
      </w:tr>
      <w:tr>
        <w:trPr>
          <w:trHeight w:val="122"/>
        </w:trPr>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Share-based compensation</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1,272</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1,272</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1,272</w:t>
            </w:r>
          </w:p>
        </w:tc>
        <w:tc>
          <w:tcPr>
            <w:tcW w:w="0" w:type="dxa"/>
            <w:vAlign w:val="bottom"/>
          </w:tcPr>
          <w:p>
            <w:pPr>
              <w:spacing w:after="0"/>
              <w:rPr>
                <w:sz w:val="1"/>
                <w:szCs w:val="1"/>
                <w:color w:val="auto"/>
              </w:rPr>
            </w:pPr>
          </w:p>
        </w:tc>
      </w:tr>
      <w:tr>
        <w:trPr>
          <w:trHeight w:val="81"/>
        </w:trPr>
        <w:tc>
          <w:tcPr>
            <w:tcW w:w="2760" w:type="dxa"/>
            <w:vAlign w:val="bottom"/>
          </w:tcPr>
          <w:p>
            <w:pPr>
              <w:ind w:left="160"/>
              <w:spacing w:after="0" w:line="81" w:lineRule="exact"/>
              <w:rPr>
                <w:sz w:val="20"/>
                <w:szCs w:val="20"/>
                <w:color w:val="auto"/>
              </w:rPr>
            </w:pPr>
            <w:r>
              <w:rPr>
                <w:rFonts w:ascii="Times New Roman" w:cs="Times New Roman" w:eastAsia="Times New Roman" w:hAnsi="Times New Roman"/>
                <w:sz w:val="8"/>
                <w:szCs w:val="8"/>
                <w:color w:val="auto"/>
              </w:rPr>
              <w:t>Issuance of Class A common stock to collaboration agreement, net of</w:t>
            </w:r>
          </w:p>
        </w:tc>
        <w:tc>
          <w:tcPr>
            <w:tcW w:w="100" w:type="dxa"/>
            <w:vAlign w:val="bottom"/>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760" w:type="dxa"/>
            <w:vAlign w:val="bottom"/>
          </w:tcPr>
          <w:p>
            <w:pPr>
              <w:ind w:left="220"/>
              <w:spacing w:after="0"/>
              <w:rPr>
                <w:sz w:val="20"/>
                <w:szCs w:val="20"/>
                <w:color w:val="auto"/>
              </w:rPr>
            </w:pPr>
            <w:r>
              <w:rPr>
                <w:rFonts w:ascii="Times New Roman" w:cs="Times New Roman" w:eastAsia="Times New Roman" w:hAnsi="Times New Roman"/>
                <w:sz w:val="8"/>
                <w:szCs w:val="8"/>
                <w:color w:val="auto"/>
              </w:rPr>
              <w:t>offering costs</w:t>
            </w:r>
          </w:p>
        </w:tc>
        <w:tc>
          <w:tcPr>
            <w:tcW w:w="100" w:type="dxa"/>
            <w:vAlign w:val="bottom"/>
          </w:tcPr>
          <w:p>
            <w:pPr>
              <w:spacing w:after="0"/>
              <w:rPr>
                <w:sz w:val="10"/>
                <w:szCs w:val="10"/>
                <w:color w:val="auto"/>
              </w:rPr>
            </w:pP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259,657</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60" w:type="dxa"/>
            <w:vAlign w:val="bottom"/>
          </w:tcPr>
          <w:p>
            <w:pPr>
              <w:spacing w:after="0"/>
              <w:rPr>
                <w:sz w:val="10"/>
                <w:szCs w:val="1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5,037</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5,040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5,040</w:t>
            </w:r>
          </w:p>
        </w:tc>
        <w:tc>
          <w:tcPr>
            <w:tcW w:w="0" w:type="dxa"/>
            <w:vAlign w:val="bottom"/>
          </w:tcPr>
          <w:p>
            <w:pPr>
              <w:spacing w:after="0"/>
              <w:rPr>
                <w:sz w:val="1"/>
                <w:szCs w:val="1"/>
                <w:color w:val="auto"/>
              </w:rPr>
            </w:pPr>
          </w:p>
        </w:tc>
      </w:tr>
      <w:tr>
        <w:trPr>
          <w:trHeight w:val="87"/>
        </w:trPr>
        <w:tc>
          <w:tcPr>
            <w:tcW w:w="2760" w:type="dxa"/>
            <w:vAlign w:val="bottom"/>
            <w:shd w:val="clear" w:color="auto" w:fill="CCEEFF"/>
          </w:tcPr>
          <w:p>
            <w:pPr>
              <w:ind w:left="160"/>
              <w:spacing w:after="0" w:line="87" w:lineRule="exact"/>
              <w:rPr>
                <w:sz w:val="20"/>
                <w:szCs w:val="20"/>
                <w:color w:val="auto"/>
              </w:rPr>
            </w:pPr>
            <w:r>
              <w:rPr>
                <w:rFonts w:ascii="Times New Roman" w:cs="Times New Roman" w:eastAsia="Times New Roman" w:hAnsi="Times New Roman"/>
                <w:sz w:val="8"/>
                <w:szCs w:val="8"/>
                <w:color w:val="auto"/>
              </w:rPr>
              <w:t>Issuance of Class A common stock under CinRx purchase agreement, net of</w:t>
            </w:r>
          </w:p>
        </w:tc>
        <w:tc>
          <w:tcPr>
            <w:tcW w:w="100" w:type="dxa"/>
            <w:vAlign w:val="bottom"/>
            <w:shd w:val="clear" w:color="auto" w:fill="CCEEFF"/>
          </w:tcPr>
          <w:p>
            <w:pPr>
              <w:spacing w:after="0"/>
              <w:rPr>
                <w:sz w:val="7"/>
                <w:szCs w:val="7"/>
                <w:color w:val="auto"/>
              </w:rPr>
            </w:pPr>
          </w:p>
        </w:tc>
        <w:tc>
          <w:tcPr>
            <w:tcW w:w="780" w:type="dxa"/>
            <w:vAlign w:val="bottom"/>
            <w:tcBorders>
              <w:right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offering costs</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103,864</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9,377</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9,378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9,378</w:t>
            </w:r>
          </w:p>
        </w:tc>
        <w:tc>
          <w:tcPr>
            <w:tcW w:w="0" w:type="dxa"/>
            <w:vAlign w:val="bottom"/>
          </w:tcPr>
          <w:p>
            <w:pPr>
              <w:spacing w:after="0"/>
              <w:rPr>
                <w:sz w:val="1"/>
                <w:szCs w:val="1"/>
                <w:color w:val="auto"/>
              </w:rPr>
            </w:pPr>
          </w:p>
        </w:tc>
      </w:tr>
      <w:tr>
        <w:trPr>
          <w:trHeight w:val="112"/>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Change in redemption value of noncontrolling interest</w:t>
            </w:r>
          </w:p>
        </w:tc>
        <w:tc>
          <w:tcPr>
            <w:tcW w:w="100" w:type="dxa"/>
            <w:vAlign w:val="bottom"/>
          </w:tcPr>
          <w:p>
            <w:pPr>
              <w:spacing w:after="0"/>
              <w:rPr>
                <w:sz w:val="9"/>
                <w:szCs w:val="9"/>
                <w:color w:val="auto"/>
              </w:rPr>
            </w:pPr>
          </w:p>
        </w:tc>
        <w:tc>
          <w:tcPr>
            <w:tcW w:w="780" w:type="dxa"/>
            <w:vAlign w:val="bottom"/>
            <w:tcBorders>
              <w:right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(2,474)</w:t>
            </w:r>
          </w:p>
        </w:tc>
        <w:tc>
          <w:tcPr>
            <w:tcW w:w="40" w:type="dxa"/>
            <w:vAlign w:val="bottom"/>
          </w:tcPr>
          <w:p>
            <w:pPr>
              <w:spacing w:after="0"/>
              <w:rPr>
                <w:sz w:val="9"/>
                <w:szCs w:val="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9"/>
                <w:szCs w:val="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2,474</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2,474</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2,474</w:t>
            </w:r>
          </w:p>
        </w:tc>
        <w:tc>
          <w:tcPr>
            <w:tcW w:w="0" w:type="dxa"/>
            <w:vAlign w:val="bottom"/>
          </w:tcPr>
          <w:p>
            <w:pPr>
              <w:spacing w:after="0"/>
              <w:rPr>
                <w:sz w:val="1"/>
                <w:szCs w:val="1"/>
                <w:color w:val="auto"/>
              </w:rPr>
            </w:pPr>
          </w:p>
        </w:tc>
      </w:tr>
      <w:tr>
        <w:trPr>
          <w:trHeight w:val="111"/>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Balances at December 31, 2022</w:t>
            </w:r>
          </w:p>
        </w:tc>
        <w:tc>
          <w:tcPr>
            <w:tcW w:w="100" w:type="dxa"/>
            <w:vAlign w:val="bottom"/>
            <w:tcBorders>
              <w:top w:val="single" w:sz="8" w:color="auto"/>
              <w:bottom w:val="single" w:sz="8" w:color="auto"/>
            </w:tcBorders>
            <w:shd w:val="clear" w:color="auto" w:fill="CCEEFF"/>
          </w:tcPr>
          <w:p>
            <w:pPr>
              <w:spacing w:after="0"/>
              <w:rPr>
                <w:sz w:val="9"/>
                <w:szCs w:val="9"/>
                <w:color w:val="auto"/>
              </w:rPr>
            </w:pPr>
          </w:p>
        </w:tc>
        <w:tc>
          <w:tcPr>
            <w:tcW w:w="780" w:type="dxa"/>
            <w:vAlign w:val="bottom"/>
            <w:tcBorders>
              <w:top w:val="single" w:sz="8" w:color="auto"/>
              <w:bottom w:val="single" w:sz="8" w:color="auto"/>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16,579</w:t>
            </w:r>
          </w:p>
        </w:tc>
        <w:tc>
          <w:tcPr>
            <w:tcW w:w="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2,084,973</w:t>
            </w: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21</w:t>
            </w:r>
          </w:p>
        </w:tc>
        <w:tc>
          <w:tcPr>
            <w:tcW w:w="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577,349</w:t>
            </w:r>
          </w:p>
        </w:tc>
        <w:tc>
          <w:tcPr>
            <w:tcW w:w="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auto"/>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w:t>
            </w: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254,757</w:t>
            </w:r>
          </w:p>
        </w:tc>
        <w:tc>
          <w:tcPr>
            <w:tcW w:w="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auto"/>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(265,524)</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(10,740)</w:t>
            </w: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spacing w:after="0"/>
              <w:rPr>
                <w:sz w:val="9"/>
                <w:szCs w:val="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(10,740)</w:t>
            </w:r>
          </w:p>
        </w:tc>
        <w:tc>
          <w:tcPr>
            <w:tcW w:w="0" w:type="dxa"/>
            <w:vAlign w:val="bottom"/>
          </w:tcPr>
          <w:p>
            <w:pPr>
              <w:spacing w:after="0"/>
              <w:rPr>
                <w:sz w:val="1"/>
                <w:szCs w:val="1"/>
                <w:color w:val="auto"/>
              </w:rPr>
            </w:pPr>
          </w:p>
        </w:tc>
      </w:tr>
      <w:tr>
        <w:trPr>
          <w:trHeight w:val="101"/>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Net loss</w:t>
            </w:r>
          </w:p>
        </w:tc>
        <w:tc>
          <w:tcPr>
            <w:tcW w:w="100" w:type="dxa"/>
            <w:vAlign w:val="bottom"/>
          </w:tcPr>
          <w:p>
            <w:pPr>
              <w:spacing w:after="0"/>
              <w:rPr>
                <w:sz w:val="8"/>
                <w:szCs w:val="8"/>
                <w:color w:val="auto"/>
              </w:rPr>
            </w:pPr>
          </w:p>
        </w:tc>
        <w:tc>
          <w:tcPr>
            <w:tcW w:w="780" w:type="dxa"/>
            <w:vAlign w:val="bottom"/>
            <w:tcBorders>
              <w:right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(5,716)</w:t>
            </w:r>
          </w:p>
        </w:tc>
        <w:tc>
          <w:tcPr>
            <w:tcW w:w="4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(20,250)</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(20,250)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(20,250)</w:t>
            </w:r>
          </w:p>
        </w:tc>
        <w:tc>
          <w:tcPr>
            <w:tcW w:w="0" w:type="dxa"/>
            <w:vAlign w:val="bottom"/>
          </w:tcPr>
          <w:p>
            <w:pPr>
              <w:spacing w:after="0"/>
              <w:rPr>
                <w:sz w:val="1"/>
                <w:szCs w:val="1"/>
                <w:color w:val="auto"/>
              </w:rPr>
            </w:pPr>
          </w:p>
        </w:tc>
      </w:tr>
      <w:tr>
        <w:trPr>
          <w:trHeight w:val="122"/>
        </w:trPr>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Share-based compensation</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1,578</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1,578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1,578</w:t>
            </w:r>
          </w:p>
        </w:tc>
        <w:tc>
          <w:tcPr>
            <w:tcW w:w="0" w:type="dxa"/>
            <w:vAlign w:val="bottom"/>
          </w:tcPr>
          <w:p>
            <w:pPr>
              <w:spacing w:after="0"/>
              <w:rPr>
                <w:sz w:val="1"/>
                <w:szCs w:val="1"/>
                <w:color w:val="auto"/>
              </w:rPr>
            </w:pPr>
          </w:p>
        </w:tc>
      </w:tr>
      <w:tr>
        <w:trPr>
          <w:trHeight w:val="112"/>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Change in redemption value of noncontrolling interest</w:t>
            </w:r>
          </w:p>
        </w:tc>
        <w:tc>
          <w:tcPr>
            <w:tcW w:w="100" w:type="dxa"/>
            <w:vAlign w:val="bottom"/>
          </w:tcPr>
          <w:p>
            <w:pPr>
              <w:spacing w:after="0"/>
              <w:rPr>
                <w:sz w:val="9"/>
                <w:szCs w:val="9"/>
                <w:color w:val="auto"/>
              </w:rPr>
            </w:pPr>
          </w:p>
        </w:tc>
        <w:tc>
          <w:tcPr>
            <w:tcW w:w="780" w:type="dxa"/>
            <w:vAlign w:val="bottom"/>
            <w:tcBorders>
              <w:right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(4,732)</w:t>
            </w:r>
          </w:p>
        </w:tc>
        <w:tc>
          <w:tcPr>
            <w:tcW w:w="40" w:type="dxa"/>
            <w:vAlign w:val="bottom"/>
          </w:tcPr>
          <w:p>
            <w:pPr>
              <w:spacing w:after="0"/>
              <w:rPr>
                <w:sz w:val="9"/>
                <w:szCs w:val="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9"/>
                <w:szCs w:val="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4,732</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4,732</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4,732</w:t>
            </w:r>
          </w:p>
        </w:tc>
        <w:tc>
          <w:tcPr>
            <w:tcW w:w="0" w:type="dxa"/>
            <w:vAlign w:val="bottom"/>
          </w:tcPr>
          <w:p>
            <w:pPr>
              <w:spacing w:after="0"/>
              <w:rPr>
                <w:sz w:val="1"/>
                <w:szCs w:val="1"/>
                <w:color w:val="auto"/>
              </w:rPr>
            </w:pPr>
          </w:p>
        </w:tc>
      </w:tr>
      <w:tr>
        <w:trPr>
          <w:trHeight w:val="111"/>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Balances at December 31, 2023</w:t>
            </w:r>
          </w:p>
        </w:tc>
        <w:tc>
          <w:tcPr>
            <w:tcW w:w="100" w:type="dxa"/>
            <w:vAlign w:val="bottom"/>
            <w:tcBorders>
              <w:top w:val="single" w:sz="8" w:color="auto"/>
              <w:bottom w:val="single" w:sz="8" w:color="auto"/>
            </w:tcBorders>
            <w:shd w:val="clear" w:color="auto" w:fill="CCEEFF"/>
          </w:tcPr>
          <w:p>
            <w:pPr>
              <w:spacing w:after="0"/>
              <w:rPr>
                <w:sz w:val="9"/>
                <w:szCs w:val="9"/>
                <w:color w:val="auto"/>
              </w:rPr>
            </w:pPr>
          </w:p>
        </w:tc>
        <w:tc>
          <w:tcPr>
            <w:tcW w:w="780" w:type="dxa"/>
            <w:vAlign w:val="bottom"/>
            <w:tcBorders>
              <w:top w:val="single" w:sz="8" w:color="auto"/>
              <w:bottom w:val="single" w:sz="8" w:color="auto"/>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6,131</w:t>
            </w:r>
          </w:p>
        </w:tc>
        <w:tc>
          <w:tcPr>
            <w:tcW w:w="4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2,084,973</w:t>
            </w: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21</w:t>
            </w:r>
          </w:p>
        </w:tc>
        <w:tc>
          <w:tcPr>
            <w:tcW w:w="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577,349</w:t>
            </w:r>
          </w:p>
        </w:tc>
        <w:tc>
          <w:tcPr>
            <w:tcW w:w="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auto"/>
            </w:tcBorders>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w:t>
            </w: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256,335</w:t>
            </w:r>
          </w:p>
        </w:tc>
        <w:tc>
          <w:tcPr>
            <w:tcW w:w="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auto"/>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(281,042)</w:t>
            </w: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auto"/>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(24,680)</w:t>
            </w: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w:t>
            </w: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auto"/>
            </w:tcBorders>
            <w:shd w:val="clear" w:color="auto" w:fill="CCEEFF"/>
          </w:tcPr>
          <w:p>
            <w:pPr>
              <w:spacing w:after="0"/>
              <w:rPr>
                <w:sz w:val="9"/>
                <w:szCs w:val="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(24,680)</w:t>
            </w:r>
          </w:p>
        </w:tc>
        <w:tc>
          <w:tcPr>
            <w:tcW w:w="0" w:type="dxa"/>
            <w:vAlign w:val="bottom"/>
          </w:tcPr>
          <w:p>
            <w:pPr>
              <w:spacing w:after="0"/>
              <w:rPr>
                <w:sz w:val="1"/>
                <w:szCs w:val="1"/>
                <w:color w:val="auto"/>
              </w:rPr>
            </w:pPr>
          </w:p>
        </w:tc>
      </w:tr>
      <w:tr>
        <w:trPr>
          <w:trHeight w:val="101"/>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Net loss attributable to vTv Therapeutics Inc.</w:t>
            </w:r>
          </w:p>
        </w:tc>
        <w:tc>
          <w:tcPr>
            <w:tcW w:w="100" w:type="dxa"/>
            <w:vAlign w:val="bottom"/>
          </w:tcPr>
          <w:p>
            <w:pPr>
              <w:spacing w:after="0"/>
              <w:rPr>
                <w:sz w:val="8"/>
                <w:szCs w:val="8"/>
                <w:color w:val="auto"/>
              </w:rPr>
            </w:pP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(18,462)</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(18,462)</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(18,462)</w:t>
            </w:r>
          </w:p>
        </w:tc>
        <w:tc>
          <w:tcPr>
            <w:tcW w:w="0" w:type="dxa"/>
            <w:vAlign w:val="bottom"/>
          </w:tcPr>
          <w:p>
            <w:pPr>
              <w:spacing w:after="0"/>
              <w:rPr>
                <w:sz w:val="1"/>
                <w:szCs w:val="1"/>
                <w:color w:val="auto"/>
              </w:rPr>
            </w:pPr>
          </w:p>
        </w:tc>
      </w:tr>
      <w:tr>
        <w:trPr>
          <w:trHeight w:val="140"/>
        </w:trPr>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Net loss attributable to redeemable noncontrolling interest</w:t>
            </w:r>
            <w:r>
              <w:rPr>
                <w:rFonts w:ascii="Times New Roman" w:cs="Times New Roman" w:eastAsia="Times New Roman" w:hAnsi="Times New Roman"/>
                <w:sz w:val="10"/>
                <w:szCs w:val="10"/>
                <w:color w:val="auto"/>
                <w:vertAlign w:val="superscript"/>
              </w:rPr>
              <w:t>(*)</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rPr>
              <w:t>(1,085)</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Change in redemption value of redeemable noncontrolling interest</w:t>
            </w:r>
          </w:p>
        </w:tc>
        <w:tc>
          <w:tcPr>
            <w:tcW w:w="100" w:type="dxa"/>
            <w:vAlign w:val="bottom"/>
          </w:tcPr>
          <w:p>
            <w:pPr>
              <w:spacing w:after="0"/>
              <w:rPr>
                <w:sz w:val="11"/>
                <w:szCs w:val="11"/>
                <w:color w:val="auto"/>
              </w:rPr>
            </w:pP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214</w:t>
            </w:r>
          </w:p>
        </w:tc>
        <w:tc>
          <w:tcPr>
            <w:tcW w:w="40" w:type="dxa"/>
            <w:vAlign w:val="bottom"/>
          </w:tcPr>
          <w:p>
            <w:pPr>
              <w:spacing w:after="0"/>
              <w:rPr>
                <w:sz w:val="11"/>
                <w:szCs w:val="11"/>
                <w:color w:val="auto"/>
              </w:rPr>
            </w:pPr>
          </w:p>
        </w:tc>
        <w:tc>
          <w:tcPr>
            <w:tcW w:w="840" w:type="dxa"/>
            <w:vAlign w:val="bottom"/>
            <w:gridSpan w:val="2"/>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(214)</w:t>
            </w:r>
          </w:p>
        </w:tc>
        <w:tc>
          <w:tcPr>
            <w:tcW w:w="0" w:type="dxa"/>
            <w:vAlign w:val="bottom"/>
          </w:tcPr>
          <w:p>
            <w:pPr>
              <w:spacing w:after="0"/>
              <w:rPr>
                <w:sz w:val="1"/>
                <w:szCs w:val="1"/>
                <w:color w:val="auto"/>
              </w:rPr>
            </w:pPr>
          </w:p>
        </w:tc>
      </w:tr>
      <w:tr>
        <w:trPr>
          <w:trHeight w:val="87"/>
        </w:trPr>
        <w:tc>
          <w:tcPr>
            <w:tcW w:w="2760" w:type="dxa"/>
            <w:vAlign w:val="bottom"/>
            <w:shd w:val="clear" w:color="auto" w:fill="CCEEFF"/>
          </w:tcPr>
          <w:p>
            <w:pPr>
              <w:ind w:left="160"/>
              <w:spacing w:after="0" w:line="87" w:lineRule="exact"/>
              <w:rPr>
                <w:sz w:val="20"/>
                <w:szCs w:val="20"/>
                <w:color w:val="auto"/>
              </w:rPr>
            </w:pPr>
            <w:r>
              <w:rPr>
                <w:rFonts w:ascii="Times New Roman" w:cs="Times New Roman" w:eastAsia="Times New Roman" w:hAnsi="Times New Roman"/>
                <w:sz w:val="8"/>
                <w:szCs w:val="8"/>
                <w:color w:val="auto"/>
              </w:rPr>
              <w:t>Reclassification of redeemable noncontrolling interest to permanent equity</w:t>
            </w:r>
          </w:p>
        </w:tc>
        <w:tc>
          <w:tcPr>
            <w:tcW w:w="100" w:type="dxa"/>
            <w:vAlign w:val="bottom"/>
            <w:shd w:val="clear" w:color="auto" w:fill="CCEEFF"/>
          </w:tcPr>
          <w:p>
            <w:pPr>
              <w:spacing w:after="0"/>
              <w:rPr>
                <w:sz w:val="7"/>
                <w:szCs w:val="7"/>
                <w:color w:val="auto"/>
              </w:rPr>
            </w:pPr>
          </w:p>
        </w:tc>
        <w:tc>
          <w:tcPr>
            <w:tcW w:w="780" w:type="dxa"/>
            <w:vAlign w:val="bottom"/>
            <w:tcBorders>
              <w:right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spacing w:after="0"/>
              <w:rPr>
                <w:sz w:val="7"/>
                <w:szCs w:val="7"/>
                <w:color w:val="auto"/>
              </w:rPr>
            </w:pPr>
          </w:p>
        </w:tc>
        <w:tc>
          <w:tcPr>
            <w:tcW w:w="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7"/>
                <w:szCs w:val="7"/>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(See Note 12)</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rPr>
              <w:t>(5,260)</w:t>
            </w:r>
          </w:p>
        </w:tc>
        <w:tc>
          <w:tcPr>
            <w:tcW w:w="4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5,260</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5,260</w:t>
            </w:r>
          </w:p>
        </w:tc>
        <w:tc>
          <w:tcPr>
            <w:tcW w:w="0" w:type="dxa"/>
            <w:vAlign w:val="bottom"/>
          </w:tcPr>
          <w:p>
            <w:pPr>
              <w:spacing w:after="0"/>
              <w:rPr>
                <w:sz w:val="1"/>
                <w:szCs w:val="1"/>
                <w:color w:val="auto"/>
              </w:rPr>
            </w:pPr>
          </w:p>
        </w:tc>
      </w:tr>
      <w:tr>
        <w:trPr>
          <w:trHeight w:val="112"/>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Share-based compensation</w:t>
            </w:r>
          </w:p>
        </w:tc>
        <w:tc>
          <w:tcPr>
            <w:tcW w:w="100" w:type="dxa"/>
            <w:vAlign w:val="bottom"/>
          </w:tcPr>
          <w:p>
            <w:pPr>
              <w:spacing w:after="0"/>
              <w:rPr>
                <w:sz w:val="9"/>
                <w:szCs w:val="9"/>
                <w:color w:val="auto"/>
              </w:rPr>
            </w:pP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9"/>
                <w:szCs w:val="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9"/>
                <w:szCs w:val="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2,757</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2,757</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2,757</w:t>
            </w:r>
          </w:p>
        </w:tc>
        <w:tc>
          <w:tcPr>
            <w:tcW w:w="0" w:type="dxa"/>
            <w:vAlign w:val="bottom"/>
          </w:tcPr>
          <w:p>
            <w:pPr>
              <w:spacing w:after="0"/>
              <w:rPr>
                <w:sz w:val="1"/>
                <w:szCs w:val="1"/>
                <w:color w:val="auto"/>
              </w:rPr>
            </w:pPr>
          </w:p>
        </w:tc>
      </w:tr>
      <w:tr>
        <w:trPr>
          <w:trHeight w:val="86"/>
        </w:trPr>
        <w:tc>
          <w:tcPr>
            <w:tcW w:w="2760" w:type="dxa"/>
            <w:vAlign w:val="bottom"/>
            <w:shd w:val="clear" w:color="auto" w:fill="CCEEFF"/>
          </w:tcPr>
          <w:p>
            <w:pPr>
              <w:ind w:left="160"/>
              <w:spacing w:after="0" w:line="86" w:lineRule="exact"/>
              <w:rPr>
                <w:sz w:val="20"/>
                <w:szCs w:val="20"/>
                <w:color w:val="auto"/>
              </w:rPr>
            </w:pPr>
            <w:r>
              <w:rPr>
                <w:rFonts w:ascii="Times New Roman" w:cs="Times New Roman" w:eastAsia="Times New Roman" w:hAnsi="Times New Roman"/>
                <w:sz w:val="8"/>
                <w:szCs w:val="8"/>
                <w:color w:val="auto"/>
              </w:rPr>
              <w:t>Issuance of Class A common stock and pre-funded warrants, net offering</w:t>
            </w:r>
          </w:p>
        </w:tc>
        <w:tc>
          <w:tcPr>
            <w:tcW w:w="100" w:type="dxa"/>
            <w:vAlign w:val="bottom"/>
            <w:shd w:val="clear" w:color="auto" w:fill="CCEEFF"/>
          </w:tcPr>
          <w:p>
            <w:pPr>
              <w:spacing w:after="0"/>
              <w:rPr>
                <w:sz w:val="7"/>
                <w:szCs w:val="7"/>
                <w:color w:val="auto"/>
              </w:rPr>
            </w:pPr>
          </w:p>
        </w:tc>
        <w:tc>
          <w:tcPr>
            <w:tcW w:w="780" w:type="dxa"/>
            <w:vAlign w:val="bottom"/>
            <w:tcBorders>
              <w:right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costs</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347,884</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50,332</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50,335</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50,335</w:t>
            </w:r>
          </w:p>
        </w:tc>
        <w:tc>
          <w:tcPr>
            <w:tcW w:w="0" w:type="dxa"/>
            <w:vAlign w:val="bottom"/>
          </w:tcPr>
          <w:p>
            <w:pPr>
              <w:spacing w:after="0"/>
              <w:rPr>
                <w:sz w:val="1"/>
                <w:szCs w:val="1"/>
                <w:color w:val="auto"/>
              </w:rPr>
            </w:pPr>
          </w:p>
        </w:tc>
      </w:tr>
      <w:tr>
        <w:trPr>
          <w:trHeight w:val="112"/>
        </w:trPr>
        <w:tc>
          <w:tcPr>
            <w:tcW w:w="2760" w:type="dxa"/>
            <w:vAlign w:val="bottom"/>
          </w:tcPr>
          <w:p>
            <w:pPr>
              <w:ind w:left="160"/>
              <w:spacing w:after="0"/>
              <w:rPr>
                <w:sz w:val="20"/>
                <w:szCs w:val="20"/>
                <w:color w:val="auto"/>
              </w:rPr>
            </w:pPr>
            <w:r>
              <w:rPr>
                <w:rFonts w:ascii="Times New Roman" w:cs="Times New Roman" w:eastAsia="Times New Roman" w:hAnsi="Times New Roman"/>
                <w:sz w:val="8"/>
                <w:szCs w:val="8"/>
                <w:color w:val="auto"/>
              </w:rPr>
              <w:t>Issuance of Class A Common Stock under ATM offering</w:t>
            </w:r>
          </w:p>
        </w:tc>
        <w:tc>
          <w:tcPr>
            <w:tcW w:w="100" w:type="dxa"/>
            <w:vAlign w:val="bottom"/>
          </w:tcPr>
          <w:p>
            <w:pPr>
              <w:spacing w:after="0"/>
              <w:rPr>
                <w:sz w:val="9"/>
                <w:szCs w:val="9"/>
                <w:color w:val="auto"/>
              </w:rPr>
            </w:pPr>
          </w:p>
        </w:tc>
        <w:tc>
          <w:tcPr>
            <w:tcW w:w="780" w:type="dxa"/>
            <w:vAlign w:val="bottom"/>
            <w:tcBorders>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179,400</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60" w:type="dxa"/>
            <w:vAlign w:val="bottom"/>
          </w:tcPr>
          <w:p>
            <w:pPr>
              <w:spacing w:after="0"/>
              <w:rPr>
                <w:sz w:val="9"/>
                <w:szCs w:val="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spacing w:after="0"/>
              <w:rPr>
                <w:sz w:val="9"/>
                <w:szCs w:val="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2,461</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2,463</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2,463</w:t>
            </w:r>
          </w:p>
        </w:tc>
        <w:tc>
          <w:tcPr>
            <w:tcW w:w="0" w:type="dxa"/>
            <w:vAlign w:val="bottom"/>
          </w:tcPr>
          <w:p>
            <w:pPr>
              <w:spacing w:after="0"/>
              <w:rPr>
                <w:sz w:val="1"/>
                <w:szCs w:val="1"/>
                <w:color w:val="auto"/>
              </w:rPr>
            </w:pPr>
          </w:p>
        </w:tc>
      </w:tr>
      <w:tr>
        <w:trPr>
          <w:trHeight w:val="122"/>
        </w:trPr>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Net loss attributable to noncontrolling interest</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(3,158)</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(3,158)</w:t>
            </w:r>
          </w:p>
        </w:tc>
        <w:tc>
          <w:tcPr>
            <w:tcW w:w="0" w:type="dxa"/>
            <w:vAlign w:val="bottom"/>
          </w:tcPr>
          <w:p>
            <w:pPr>
              <w:spacing w:after="0"/>
              <w:rPr>
                <w:sz w:val="1"/>
                <w:szCs w:val="1"/>
                <w:color w:val="auto"/>
              </w:rPr>
            </w:pPr>
          </w:p>
        </w:tc>
      </w:tr>
      <w:tr>
        <w:trPr>
          <w:trHeight w:val="106"/>
        </w:trPr>
        <w:tc>
          <w:tcPr>
            <w:tcW w:w="27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Balances at December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80" w:type="dxa"/>
            <w:vAlign w:val="bottom"/>
            <w:tcBorders>
              <w:top w:val="single" w:sz="8" w:color="auto"/>
              <w:bottom w:val="single" w:sz="8" w:color="auto"/>
              <w:right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w:t>
            </w:r>
          </w:p>
        </w:tc>
        <w:tc>
          <w:tcPr>
            <w:tcW w:w="40" w:type="dxa"/>
            <w:vAlign w:val="bottom"/>
          </w:tcPr>
          <w:p>
            <w:pPr>
              <w:spacing w:after="0"/>
              <w:rPr>
                <w:sz w:val="9"/>
                <w:szCs w:val="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2,612,257</w:t>
            </w:r>
          </w:p>
        </w:tc>
        <w:tc>
          <w:tcPr>
            <w:tcW w:w="4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26</w:t>
            </w:r>
          </w:p>
        </w:tc>
        <w:tc>
          <w:tcPr>
            <w:tcW w:w="6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577,349</w:t>
            </w:r>
          </w:p>
        </w:tc>
        <w:tc>
          <w:tcPr>
            <w:tcW w:w="6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6</w:t>
            </w:r>
          </w:p>
        </w:tc>
        <w:tc>
          <w:tcPr>
            <w:tcW w:w="6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311,885</w:t>
            </w:r>
          </w:p>
        </w:tc>
        <w:tc>
          <w:tcPr>
            <w:tcW w:w="40" w:type="dxa"/>
            <w:vAlign w:val="bottom"/>
          </w:tcPr>
          <w:p>
            <w:pPr>
              <w:spacing w:after="0"/>
              <w:rPr>
                <w:sz w:val="9"/>
                <w:szCs w:val="9"/>
                <w:color w:val="auto"/>
              </w:rPr>
            </w:pPr>
          </w:p>
        </w:tc>
        <w:tc>
          <w:tcPr>
            <w:tcW w:w="26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(299,718)</w:t>
            </w:r>
          </w:p>
        </w:tc>
        <w:tc>
          <w:tcPr>
            <w:tcW w:w="4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12,199</w:t>
            </w:r>
          </w:p>
        </w:tc>
        <w:tc>
          <w:tcPr>
            <w:tcW w:w="6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2,102</w:t>
            </w:r>
          </w:p>
        </w:tc>
        <w:tc>
          <w:tcPr>
            <w:tcW w:w="6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14,301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78040" cy="85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0"/>
          <w:szCs w:val="10"/>
          <w:b w:val="1"/>
          <w:bCs w:val="1"/>
          <w:color w:val="auto"/>
        </w:rPr>
        <w:t>(*) Allocation of NCI net loss was a result from the reclassification to permanent equity on February 27, 2024 (See Note 12)</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4"/>
              </w:rPr>
              <w:t>Twelve Months Ended December 31,</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1"/>
        </w:trPr>
        <w:tc>
          <w:tcPr>
            <w:tcW w:w="6680" w:type="dxa"/>
            <w:vAlign w:val="bottom"/>
          </w:tcPr>
          <w:p>
            <w:pPr>
              <w:spacing w:after="0"/>
              <w:rPr>
                <w:sz w:val="12"/>
                <w:szCs w:val="12"/>
                <w:color w:val="auto"/>
              </w:rPr>
            </w:pPr>
          </w:p>
        </w:tc>
        <w:tc>
          <w:tcPr>
            <w:tcW w:w="8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44"/>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 before noncontrolling interest</w:t>
            </w:r>
          </w:p>
        </w:tc>
        <w:tc>
          <w:tcPr>
            <w:tcW w:w="86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(22,705)</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(25,073)</w:t>
            </w:r>
          </w:p>
        </w:tc>
      </w:tr>
      <w:tr>
        <w:trPr>
          <w:trHeight w:val="153"/>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loss before noncontrolling interest to net cash used in operating activities: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Depreciation expense</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Loss from G42 Promissory Note early redemption</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Non-cash interest income</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w:t>
            </w: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 expense</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1,578</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1,272</w:t>
            </w: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in fair value of investments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3,585</w:t>
            </w: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Realized gain on sale of investment in Reneo Pharmaceuticals, Inc.</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Impairment of investments in Anteris Bio, Inc.</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Change in fair value of warrants, related party</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w:t>
            </w: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in fair value of warrants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receivable</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w:t>
            </w: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assets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(856)</w:t>
            </w: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Contract liabilities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6,760</w:t>
            </w: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liabilities</w:t>
            </w:r>
          </w:p>
        </w:tc>
        <w:tc>
          <w:tcPr>
            <w:tcW w:w="8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(25,307)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(19,081)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(16,022)</w:t>
            </w:r>
          </w:p>
        </w:tc>
      </w:tr>
      <w:tr>
        <w:trPr>
          <w:trHeight w:val="1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3"/>
        </w:trPr>
        <w:tc>
          <w:tcPr>
            <w:tcW w:w="66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Proceed from sale of investments in Reneo Pharmaceuticals, Inc.</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42"/>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4,404</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sale of Class A common stock and pre-funded warrants, net of offering costs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50,335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issuance of Class A common stock, net of offering costs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sale of Class A common stock to collaboration partner, net of offering costs</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12,030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5,040</w:t>
            </w:r>
          </w:p>
        </w:tc>
      </w:tr>
      <w:tr>
        <w:trPr>
          <w:trHeight w:val="15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sale of Class A common stock and warrants, net of offering costs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9,746</w:t>
            </w: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debt issuance</w:t>
            </w:r>
          </w:p>
        </w:tc>
        <w:tc>
          <w:tcPr>
            <w:tcW w:w="8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w:t>
            </w:r>
          </w:p>
        </w:tc>
      </w:tr>
      <w:tr>
        <w:trPr>
          <w:trHeight w:val="15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Repayment of notes payable</w:t>
            </w:r>
          </w:p>
        </w:tc>
        <w:tc>
          <w:tcPr>
            <w:tcW w:w="8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(599)</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w:t>
            </w:r>
          </w:p>
        </w:tc>
      </w:tr>
      <w:tr>
        <w:trPr>
          <w:trHeight w:val="142"/>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8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52,607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14,754</w:t>
            </w:r>
          </w:p>
        </w:tc>
      </w:tr>
      <w:tr>
        <w:trPr>
          <w:trHeight w:val="1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increase (decrease) in cash, cash equivalents</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27,300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(1,289)</w:t>
            </w:r>
          </w:p>
        </w:tc>
      </w:tr>
      <w:tr>
        <w:trPr>
          <w:trHeight w:val="15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Total cash and cash equivalents, beginning of year</w:t>
            </w: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9,446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12,126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13,415</w:t>
            </w:r>
          </w:p>
        </w:tc>
      </w:tr>
      <w:tr>
        <w:trPr>
          <w:trHeight w:val="162"/>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cash and cash equivalents, end of year</w:t>
            </w:r>
          </w:p>
        </w:tc>
        <w:tc>
          <w:tcPr>
            <w:tcW w:w="86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36,746</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9,446</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12,126</w:t>
            </w:r>
          </w:p>
        </w:tc>
      </w:tr>
      <w:tr>
        <w:trPr>
          <w:trHeight w:val="149"/>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Supplemental cash flow information:</w:t>
            </w: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80"/>
        </w:trPr>
        <w:tc>
          <w:tcPr>
            <w:tcW w:w="6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Cash paid for interest</w:t>
            </w:r>
          </w:p>
        </w:tc>
        <w:tc>
          <w:tcPr>
            <w:tcW w:w="86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58"/>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Cash paid for income taxes</w:t>
            </w:r>
          </w:p>
        </w:tc>
        <w:tc>
          <w:tcPr>
            <w:tcW w:w="860" w:type="dxa"/>
            <w:vAlign w:val="bottom"/>
            <w:tcBorders>
              <w:top w:val="single" w:sz="8" w:color="auto"/>
              <w:bottom w:val="single" w:sz="8" w:color="auto"/>
            </w:tcBorders>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w:t>
            </w:r>
          </w:p>
        </w:tc>
      </w:tr>
      <w:tr>
        <w:trPr>
          <w:trHeight w:val="90"/>
        </w:trPr>
        <w:tc>
          <w:tcPr>
            <w:tcW w:w="66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r>
      <w:tr>
        <w:trPr>
          <w:trHeight w:val="153"/>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Non-cash activities:</w:t>
            </w: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Notes receivable recorded at fair value from collaboration partner</w:t>
            </w:r>
          </w:p>
        </w:tc>
        <w:tc>
          <w:tcPr>
            <w:tcW w:w="86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11,891</w:t>
            </w: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Change in redemption value of noncontrolling interest</w:t>
            </w:r>
          </w:p>
        </w:tc>
        <w:tc>
          <w:tcPr>
            <w:tcW w:w="860" w:type="dxa"/>
            <w:vAlign w:val="bottom"/>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(4,732)</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(2,474)</w:t>
            </w:r>
          </w:p>
        </w:tc>
      </w:tr>
      <w:tr>
        <w:trPr>
          <w:trHeight w:val="153"/>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Reclassification of noncontrolling interest to additional paid-in capital</w:t>
            </w:r>
          </w:p>
        </w:tc>
        <w:tc>
          <w:tcPr>
            <w:tcW w:w="86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5,260</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consolidated financial statements.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43815</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20"/>
          </w:cols>
          <w:pgMar w:left="480" w:top="701" w:right="49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2"/>
          <w:szCs w:val="12"/>
          <w:b w:val="1"/>
          <w:bCs w:val="1"/>
          <w:color w:val="auto"/>
        </w:rPr>
        <w:t>vTv Therapeutics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(dollar amounts are in thousands, unless otherwise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Description of Business, Basis of Presentation and Going Concern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Description of Business</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vTv Therapeutics Inc. (the “Company,” the “Registrant,” “we” or “us”) was incorporated in the state of Delaware in April 2015. The Company is a clinical stage pharmaceutical company focused on treating metabolic diseases to minimize their long-term complications through end-organ protection.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Principles of Consolidation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vTv Therapeutics Inc. is a holding company, and its principal asset is a controlling equity interest in vTv Therapeutics LLC (“vTv LLC”), the Company’s principal operating subsidiary, which is a clinical stage pharmaceutical company engaged in the discovery and development of orally administered small molecule drug candidates to fill significant unmet medical needs.</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Consolidated Financial Statements. The assets and liabilities of vTv LLC represent substantially all of the Company's consolidated assets and liabilities with the exception of the Warrants and $29.2 million of cash and cash equivalents.</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1"/>
          <w:szCs w:val="11"/>
          <w:color w:val="auto"/>
        </w:rPr>
        <w:t>Various holders own non-voting interests in vTv LLC, representing a 18.1% economic interest in vTv LLC, effectively restricting vTv Therapeutics Inc.’s interest to 81.9%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per share (the “Class B common stock”)) for shares of Class A common stock (or cash) pursuant to the Exchange Agreement (as defined in Note 13). vTv Therapeutics Inc. has provided financial and other support to vTv LLC in the form of its purchase of vTv Units with the net proceeds of the Company’s initial public offering (“IPO”) in 2015, its registered direct offering in March 2019, and its agreeing to be a co-borrower under the Venture Loan and Security Agreement (the “Loan Agreement”) with Horizon Technology Finance Corporation and Silicon Valley Bank (together, the “Lenders”) which was entered into in 2016. vTv Therapeutics Inc. entered into the letter agreements with MacAndrews and Forbes Group LLC (“M&amp;F Group”), a related party and an affiliate of MacAndrews &amp; Forbes Incorporated (together with its affiliates “MacAndrews”) in December 2017, July 2018, December 2018, March 2019, September 2019, and December 2019 (each a “Letter Agreement” and collectively, the “Letter Agreements”). vTv Therapeutics Inc. entered into a common stock purchase agreement with G42 Investments AI Holding RSC Ltd (“G42 Investments”) (the “G42 Purchase Agreement”), the common stock and warrant purchase agreement with CinPax, LLC and CinRx, LLC, respectively (the “CinRx Purchase Agreement”). In addition vTv Therapeutics Inc also entered into a Securities Purchase Agreement with Private Placement Investors and the sales agreement with Cowen and Company, LLC (“TD Cowen”) (“TD Cowen Sales Agreement”). vTv Therapeutics Inc. will not be required to provide financial or other support for vTv LLC. 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Reverse Stock Split</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November 14, 2023, the Board of Directors of the Company approved a reverse stock split at a ratio of 1-for-40, such that every 40 shares of the Company’s Class A common stock, par value $0.01 per share (the “Class A common stock”), would be combined into one issued and outstanding share of Class A common stock, and every 40 shares of the Company’s Class B common stock, par value $0.01 per share (the “Class B common stock”), would be combined into one issued and outstanding share of Class B Common Stock (together, the “Reverse Stock Split”).</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On November 20, 2023, the Company filed a Certificate of Amendment to the Company’s amended and restated certificate of incorporation, as amended, with the Secretary of State of the State of Delaware, which effected a reverse stock split of our Class A common stock and Class B common stock at a ratio of 1-for-40. No fractional shares were issued in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82" w:name="page83"/>
    <w:bookmarkEnd w:id="82"/>
    <w:p>
      <w:pPr>
        <w:jc w:val="both"/>
        <w:spacing w:after="0" w:line="265" w:lineRule="auto"/>
        <w:rPr>
          <w:sz w:val="20"/>
          <w:szCs w:val="20"/>
          <w:color w:val="auto"/>
        </w:rPr>
      </w:pPr>
      <w:r>
        <w:rPr>
          <w:rFonts w:ascii="Times New Roman" w:cs="Times New Roman" w:eastAsia="Times New Roman" w:hAnsi="Times New Roman"/>
          <w:sz w:val="12"/>
          <w:szCs w:val="12"/>
          <w:color w:val="auto"/>
        </w:rPr>
        <w:t>connection with the Reverse Stock Split. Any fractional shares of Class A common stock and Class B common stock to which a stockholder was entitled resulting from the Reverse Stock Split were rounded up to the nearest whole share. The Class A common stock began trading on a reverse split-adjusted basis on the Nasdaq on November 21, 2023. The Company’s Class A common stock will continue trading under the symbol “VTVT,” and the new CUSIP number for the Class A common stock following the Reverse Stock Split is 91835204.</w:t>
      </w:r>
    </w:p>
    <w:p>
      <w:pPr>
        <w:spacing w:after="0" w:line="47" w:lineRule="exact"/>
        <w:rPr>
          <w:sz w:val="20"/>
          <w:szCs w:val="20"/>
          <w:color w:val="auto"/>
        </w:rPr>
      </w:pPr>
    </w:p>
    <w:p>
      <w:pPr>
        <w:jc w:val="both"/>
        <w:ind w:firstLine="324"/>
        <w:spacing w:after="0" w:line="326" w:lineRule="auto"/>
        <w:rPr>
          <w:sz w:val="20"/>
          <w:szCs w:val="20"/>
          <w:color w:val="auto"/>
        </w:rPr>
      </w:pPr>
      <w:r>
        <w:rPr>
          <w:rFonts w:ascii="Times New Roman" w:cs="Times New Roman" w:eastAsia="Times New Roman" w:hAnsi="Times New Roman"/>
          <w:sz w:val="12"/>
          <w:szCs w:val="12"/>
          <w:color w:val="auto"/>
        </w:rPr>
        <w:t>The Reverse Stock Split did not reduce the number of authorized shares of Class A and Class B common stock, which remains at 200,000,000 and 100,000,000, respectively and did not change the par value of the common stock, which remains at $0.01 per share.</w:t>
      </w:r>
    </w:p>
    <w:p>
      <w:pPr>
        <w:spacing w:after="0" w:line="1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retroactively adjusted its consolidated financial statements to reflect the Reverse Stock Split. All issued and outstanding common stock and per share amounts contained in the consolidated financial statements have been retroactively adjusted to reflect this Reverse Stock Split for all periods presented. In addition, a proportionate adjustment was made to the per share exercise price and the number of shares issuable upon the exercise and/or vesting of all warrants to purchase shares of common stock.</w:t>
      </w:r>
    </w:p>
    <w:p>
      <w:pPr>
        <w:spacing w:after="0" w:line="74"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 proportionate adjustment was also made to the number of shares reserved for issuance pursuant to the Company’s equity incentive compensation plans to reflect the Reverse Stock Split. The common stock and additional paid-in-capital line items contained in the consolidated financial statements were adjusted to account for the Reverse Stock Split for all periods presented.</w:t>
      </w:r>
    </w:p>
    <w:p>
      <w:pPr>
        <w:spacing w:after="0" w:line="39"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reverse stock split did not have any effect on the number of authorized shares of the Company’s preferred stock, par value of $0.01 per share, remains at 50,000,000 shares. Currently no shares of preferred stock are outstanding.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Going Concern and Liquidity</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To date, the Company has not generated any product revenue and has not achieved profitable operations. The continuing development of our drug candidates will require additional financing. From its inception through December 31, 2024,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December 31, 2024, the Company had an accumulated deficit of $299.7 million and has generated net losses in each year of its existence. As of December 31, 2024, the Company's liquidity sources included cash and cash equivalents of $36.7 million.</w:t>
      </w:r>
    </w:p>
    <w:p>
      <w:pPr>
        <w:spacing w:after="0" w:line="48"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To meet our future funding requirements into the first quarter of 2026, including funding the ongoing and future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TTP399</w:t>
      </w:r>
      <w:r>
        <w:rPr>
          <w:rFonts w:ascii="Times New Roman" w:cs="Times New Roman" w:eastAsia="Times New Roman" w:hAnsi="Times New Roman"/>
          <w:sz w:val="12"/>
          <w:szCs w:val="12"/>
          <w:color w:val="auto"/>
        </w:rPr>
        <w:t>), we are evaluating several financing strategies, including direct equity investments and the potential licensing and monetization of other Company programs.</w:t>
      </w:r>
    </w:p>
    <w:p>
      <w:pPr>
        <w:spacing w:after="0" w:line="3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February 27, 2024, we entered into a securities purchase agreement (the “Securities Purchase Agreement”) with certain institutional accredited investors (the “Private Placement Investors”), pursuant to which we agreed to issue and sell to the Private Placement Investors in a private placement (the “Private Placement”) (i) an aggregate of 464,377 shares (the “Private Placement Shares”) of our Class A common stock, at a purchase price of $11.81 per share, and (ii) pre-funded warrants (the “Private Placement Pre-Funded Warrants”) to purchase up to an aggregate of 3,853,997 shares of our Class A common stock (the “Private Placement Warrant Shares”) at a purchase price of $11.80 per Private Placement Pre-Funded Warrant (representing the $11.81 per Private Placement Share purchase price less the exercise price of $0.01 per Private Placement Warrant Share). We received aggregate gross proceeds from the Private Placement of approximately $51.0 million, before deducting offering expenses payable by us. The Private Placement Pre-Funded Warrants are exercisable at any time after their original issuance and will not expire.</w:t>
      </w:r>
    </w:p>
    <w:p>
      <w:pPr>
        <w:spacing w:after="0" w:line="53"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February 28, 2024, we entered into the TD Cowen Sales Agreement,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 On September 17, 2024,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color w:val="auto"/>
        </w:rPr>
        <w:t>Company sold 179,400 shares of Class A common stock under the TD Cowen ATM Offering for net proceeds of $2.5 million.</w:t>
      </w:r>
    </w:p>
    <w:p>
      <w:pPr>
        <w:spacing w:after="0" w:line="78"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If we are unable to raise additional capital as and when needed, or upon acceptable terms, such failure would have a significant negative impact on our financial condition. As such, these conditions raise substantial doubt about the Company’s ability to continue as a going concern.</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Company’s financial statements have been prepared assuming the Company will continue as a going concern, which contemplates, among other things, the realization of assets and satisfaction of liabilities in the normal course of business. The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Summary of Significant Accounting Policies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preparation of the consolidated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from those estimates.</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an ongoing basis, the Company evaluates its estimates, including those related to the grant date fair value of equity awards, the fair value of warrants to purchase shares of its Class A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Concentration of Credit Risk</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Financial instruments that potentially expose the Company to concentrations of credit risk consist principally of cash on deposit with multiple financial institutions. The balance of the cash account frequently exceeds insured limits. The associated risk of concentration for cash and cash equivalents is mitigated by transferring a majority of our cash to a AAA rated money market account with a creditworthy institution.</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Two collaboration partners represented 100% of the revenue earned during the year ended December 31, 2024 and was attributable from the satisfaction of a development milestone from the Newsoara License Agreement and the satisfaction of a performance obligation from the First Huadong Amendment (as defined herein). One collaboration partner represented 100% of the revenue during the year ended December 31, 2022. The Company did not have any revenue during the year ended December 31, 2023.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and Cash Equivalents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considers any highly liquid investments with an original maturity of three months or less to be cash and cash equivalents.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Collaboration Revenue and Accounts Receivable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majority of the Company’s collaboration revenue and accounts receivable relates to its agreements to license certain of its potential drug products for development. See Note 3 for further discussion of the Company’s collaboration agreements.</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Accounts receivable are stated at net realizable value. On a periodic basis, the Company evaluates its accounts receivable and establishes an allowance based on its history of collections and write-offs and the current status of all receivables.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Property and Equipment and other Long-lived Assets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records property and equipment at cost less accumulated depreciation.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seven years. Leasehold improvements are depreciated over the shorter of the useful life of the asset or the term of the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color w:val="auto"/>
        </w:rPr>
        <w:t>related lease. Upon retirement or disposition of assets, the costs and related accumulated depreciation are removed from the accounts with the resulting gains or losses, if any, reflected in results of operations.</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estimated useful lives of property and equipment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660" w:type="dxa"/>
            <w:vAlign w:val="bottom"/>
          </w:tcPr>
          <w:p>
            <w:pPr>
              <w:ind w:left="2980"/>
              <w:spacing w:after="0"/>
              <w:rPr>
                <w:sz w:val="20"/>
                <w:szCs w:val="20"/>
                <w:color w:val="auto"/>
              </w:rPr>
            </w:pPr>
            <w:r>
              <w:rPr>
                <w:rFonts w:ascii="Times New Roman" w:cs="Times New Roman" w:eastAsia="Times New Roman" w:hAnsi="Times New Roman"/>
                <w:sz w:val="10"/>
                <w:szCs w:val="10"/>
                <w:b w:val="1"/>
                <w:bCs w:val="1"/>
                <w:color w:val="auto"/>
              </w:rPr>
              <w:t>Asset Category</w:t>
            </w:r>
          </w:p>
        </w:tc>
        <w:tc>
          <w:tcPr>
            <w:tcW w:w="5420" w:type="dxa"/>
            <w:vAlign w:val="bottom"/>
          </w:tcPr>
          <w:p>
            <w:pPr>
              <w:jc w:val="center"/>
              <w:ind w:left="902"/>
              <w:spacing w:after="0"/>
              <w:rPr>
                <w:sz w:val="20"/>
                <w:szCs w:val="20"/>
                <w:color w:val="auto"/>
              </w:rPr>
            </w:pPr>
            <w:r>
              <w:rPr>
                <w:rFonts w:ascii="Times New Roman" w:cs="Times New Roman" w:eastAsia="Times New Roman" w:hAnsi="Times New Roman"/>
                <w:sz w:val="10"/>
                <w:szCs w:val="10"/>
                <w:b w:val="1"/>
                <w:bCs w:val="1"/>
                <w:color w:val="auto"/>
                <w:w w:val="95"/>
              </w:rPr>
              <w:t>Useful Life (in years)</w:t>
            </w:r>
          </w:p>
        </w:tc>
      </w:tr>
      <w:tr>
        <w:trPr>
          <w:trHeight w:val="161"/>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Computers and hardware</w:t>
            </w:r>
          </w:p>
        </w:tc>
        <w:tc>
          <w:tcPr>
            <w:tcW w:w="5420" w:type="dxa"/>
            <w:vAlign w:val="bottom"/>
            <w:shd w:val="clear" w:color="auto" w:fill="CCEEFF"/>
          </w:tcPr>
          <w:p>
            <w:pPr>
              <w:jc w:val="center"/>
              <w:ind w:left="882"/>
              <w:spacing w:after="0"/>
              <w:rPr>
                <w:sz w:val="20"/>
                <w:szCs w:val="20"/>
                <w:color w:val="auto"/>
              </w:rPr>
            </w:pPr>
            <w:r>
              <w:rPr>
                <w:rFonts w:ascii="Times New Roman" w:cs="Times New Roman" w:eastAsia="Times New Roman" w:hAnsi="Times New Roman"/>
                <w:sz w:val="12"/>
                <w:szCs w:val="12"/>
                <w:color w:val="auto"/>
                <w:w w:val="99"/>
              </w:rPr>
              <w:t>3-5</w:t>
            </w:r>
          </w:p>
        </w:tc>
      </w:tr>
      <w:tr>
        <w:trPr>
          <w:trHeight w:val="153"/>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Furniture and office equipment</w:t>
            </w:r>
          </w:p>
        </w:tc>
        <w:tc>
          <w:tcPr>
            <w:tcW w:w="5420" w:type="dxa"/>
            <w:vAlign w:val="bottom"/>
          </w:tcPr>
          <w:p>
            <w:pPr>
              <w:jc w:val="center"/>
              <w:ind w:left="882"/>
              <w:spacing w:after="0"/>
              <w:rPr>
                <w:sz w:val="20"/>
                <w:szCs w:val="20"/>
                <w:color w:val="auto"/>
              </w:rPr>
            </w:pPr>
            <w:r>
              <w:rPr>
                <w:rFonts w:ascii="Times New Roman" w:cs="Times New Roman" w:eastAsia="Times New Roman" w:hAnsi="Times New Roman"/>
                <w:sz w:val="12"/>
                <w:szCs w:val="12"/>
                <w:color w:val="auto"/>
                <w:w w:val="99"/>
              </w:rPr>
              <w:t>3-7</w:t>
            </w:r>
          </w:p>
        </w:tc>
      </w:tr>
      <w:tr>
        <w:trPr>
          <w:trHeight w:val="15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Software</w:t>
            </w:r>
          </w:p>
        </w:tc>
        <w:tc>
          <w:tcPr>
            <w:tcW w:w="5420" w:type="dxa"/>
            <w:vAlign w:val="bottom"/>
            <w:shd w:val="clear" w:color="auto" w:fill="CCEEFF"/>
          </w:tcPr>
          <w:p>
            <w:pPr>
              <w:jc w:val="center"/>
              <w:ind w:left="902"/>
              <w:spacing w:after="0"/>
              <w:rPr>
                <w:sz w:val="20"/>
                <w:szCs w:val="20"/>
                <w:color w:val="auto"/>
              </w:rPr>
            </w:pPr>
            <w:r>
              <w:rPr>
                <w:rFonts w:ascii="Times New Roman" w:cs="Times New Roman" w:eastAsia="Times New Roman" w:hAnsi="Times New Roman"/>
                <w:sz w:val="12"/>
                <w:szCs w:val="12"/>
                <w:color w:val="auto"/>
                <w:w w:val="99"/>
              </w:rPr>
              <w:t>3</w:t>
            </w:r>
          </w:p>
        </w:tc>
      </w:tr>
      <w:tr>
        <w:trPr>
          <w:trHeight w:val="155"/>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5420" w:type="dxa"/>
            <w:vAlign w:val="bottom"/>
          </w:tcPr>
          <w:p>
            <w:pPr>
              <w:jc w:val="center"/>
              <w:ind w:left="882"/>
              <w:spacing w:after="0"/>
              <w:rPr>
                <w:sz w:val="20"/>
                <w:szCs w:val="20"/>
                <w:color w:val="auto"/>
              </w:rPr>
            </w:pPr>
            <w:r>
              <w:rPr>
                <w:rFonts w:ascii="Times New Roman" w:cs="Times New Roman" w:eastAsia="Times New Roman" w:hAnsi="Times New Roman"/>
                <w:sz w:val="12"/>
                <w:szCs w:val="12"/>
                <w:color w:val="auto"/>
                <w:w w:val="99"/>
              </w:rPr>
              <w:t>Shorter of useful life or remaining term of lease</w:t>
            </w:r>
          </w:p>
        </w:tc>
      </w:tr>
    </w:tbl>
    <w:p>
      <w:pPr>
        <w:spacing w:after="0" w:line="12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periodically assesses its property and equipment and other long-lived assets for impairment in accordance with the relevant accounting guidance. No such charges were recognized during the years ended December 31, 2024, 2023 or 2022. There were no assets held for sale at December 31, 2024 or 2023.</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Investments</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Consolidated Statements of Operations.</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As of December 31, 2024, the Company has no investments.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 xml:space="preserve">The Company uses the revenue recognition guidance established by ASC 606, “Revenue From Contracts With Customers” (“ASC 606”). When an agreement falls under the scope of other standards, such as ASC 808, </w:t>
      </w:r>
      <w:r>
        <w:rPr>
          <w:rFonts w:ascii="Times New Roman" w:cs="Times New Roman" w:eastAsia="Times New Roman" w:hAnsi="Times New Roman"/>
          <w:sz w:val="12"/>
          <w:szCs w:val="12"/>
          <w:i w:val="1"/>
          <w:iCs w:val="1"/>
          <w:color w:val="auto"/>
        </w:rPr>
        <w:t xml:space="preserve">Collaborative Arrangements </w:t>
      </w:r>
      <w:r>
        <w:rPr>
          <w:rFonts w:ascii="Times New Roman" w:cs="Times New Roman" w:eastAsia="Times New Roman" w:hAnsi="Times New Roman"/>
          <w:sz w:val="12"/>
          <w:szCs w:val="12"/>
          <w:color w:val="auto"/>
        </w:rPr>
        <w:t>(“ASC 808”), the Company will apply the recognition, measurement, presentation, and disclosure guidance in ASC 606 to the performance obligations in the agreements if those performance obligations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a customer. Revenue recognized by analogizing to ASC 606, is recorded as collaboration revenue on the statements of operations.</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 The Company will recognize collaboration revenue under ASC 808 as a stand-ready obligation under ASC 606 over time based on the estimated period of performance.</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discernible pattern over which the services will be provided.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of Financial Instruments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uses a three-tier fair value hierarchy to classify and disclose all assets and liabilities measured at fair value on a recurring basis, as well as assets and liabilities measured at fair value on a non-recurring basis, in periods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color w:val="auto"/>
        </w:rPr>
        <w:t>subsequent to their initial measurement. The hierarchy requires the Company to use observable inputs when available, and to minimize the use of unobservable inputs, when determining fair value. The three tiers are defined as follows:</w:t>
      </w:r>
    </w:p>
    <w:p>
      <w:pPr>
        <w:spacing w:after="0" w:line="78" w:lineRule="exact"/>
        <w:rPr>
          <w:sz w:val="20"/>
          <w:szCs w:val="20"/>
          <w:color w:val="auto"/>
        </w:rPr>
      </w:pPr>
    </w:p>
    <w:p>
      <w:pPr>
        <w:ind w:left="640" w:hanging="324"/>
        <w:spacing w:after="0"/>
        <w:tabs>
          <w:tab w:leader="none" w:pos="6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1—Observable inputs that reflect quoted market prices (unadjusted) for identical assets or liabilities in active markets;</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2—Observable inputs other than quoted prices in active markets that are observable either directly or indirectly in the marketplace for identical or similar assets and liabilities; and</w:t>
      </w:r>
    </w:p>
    <w:p>
      <w:pPr>
        <w:spacing w:after="0" w:line="78"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3—Unobservable inputs that are supported by little or no market data, which require the Company to develop its own assumptions.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Major components of research and development costs include cash compensation to employees, depreciation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Research and development costs are expensed as incurred.</w:t>
      </w:r>
    </w:p>
    <w:p>
      <w:pPr>
        <w:spacing w:after="0" w:line="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Company records accruals based on estimates of the services received, efforts expended and amounts owed pursuant to contracts with numerous contract research and manufacturing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consolidated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records nonrefundable advance payments it makes for future research and development activities as prepaid expenses. Prepaid expenses are recognized as expenses in the Consolidated Statements of Operations as the Company receives the related goods or services.</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Research and development costs that are reimbursed under a cost-sharing arrangement are reflected as a reduction of research and development expense.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Patent Costs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Patent costs, including related legal costs, are expensed as incurred and recorded within general and administrative operating expenses on the Consolidated Statements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From its formation on August 1, 2015, vTv Therapeutics Inc. has been subject to corporate level income taxes. Prior to July 30, 2015, the Company’s predecessor entities were taxed as partnerships and all their income and deductions flowed through and were subject to tax at the partner level.</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vTv Therapeutics Inc. is required to recognize deferred tax assets and liabilities for the difference between the financial reporting and tax basis of its investment in vTv LLC.</w:t>
      </w:r>
    </w:p>
    <w:p>
      <w:pPr>
        <w:spacing w:after="0" w:line="78"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Company’s income tax expense, deferred tax assets and liabilities and reserves for unrecognized tax benefits reflect management’s best assessment of estimated future taxes to be paid. The Company is subject to income taxes in both the United States and various state jurisdictions. Significant judgments and estimates are required in determining the consolidated income tax expense.</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accounts for income taxes under the asset and liability method, which requires the recognition of deferred tax assets and liabilities for the expected future tax consequences of events included in the consolidated financial statements. Under this method, the Company determines deferred tax assets and liabilities on the basis of differences between the consolidated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recognizes deferred tax assets to the extent it believes these assets are more-likely-than-not to be realized. In making such a determination, the Company considers all available positive and negative evidence, including</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color w:val="auto"/>
        </w:rPr>
        <w:t>future reversals of existing taxable temporary differences, projected future taxable income, tax planning strategies and recent results of operations.</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records uncertain tax positions on the basis of a two-step process in which (1) it determines whether it is more-likely-than-not that the tax positions will be sustained on the basis of the technical merits of the position and (2) for those tax positions meeting the more-likely-than-not recognition threshold, it recognizes the largest amount of tax benefit that is more than 50% likely to be realized upon ultimate settlement with the related tax authority.</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Interest and penalties related to income taxes are included in the benefit (provision) for income taxes in the Company’s Consolidated Statements of Operations. The Company has not incurred any significant interest or penalties related to income taxes in any of the periods presented.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Noncontrolling Interest</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Non-controlling interests have been recorded to reflect the various holders of non-voting interests in vTv LLC, representing an 18.1% economic interest. This non-controlling interest is presented as a separate component of equity in the consolidated balance sheets and as a loss in the consolidated statements of operations.</w:t>
      </w:r>
    </w:p>
    <w:p>
      <w:pPr>
        <w:spacing w:after="0" w:line="39"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Prior to February 27, 2024, the Company recorded the noncontrolling interest represented by the vTv Units and the Class B common stock at the higher of (1) its initial fair value plus accumulated earnings/losses associated with the noncontrolling interest or (2) the redemption value as of the balance sheet date. See discussion and additional detail of the noncontrolling interest at Note 12.</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Segment and Geographic Information</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Operating segments are defined as an enterprise’s components (business activities from which it earns revenue and incurs expenses) for which discrete financial information is (1) available; and (2) is regularly reviewed by the chief operating decision maker (“CODM”) in deciding how to allocate resources and in assessing performance. The Company’s CODM is its President and Chief Executive Officer. All of the Company's principal operations, assets, and decision-making functions are based in the U.S., and as a result, all of our financial information is derived from domestic sources. The Company’s business operates in one reportable segment comprised of one operating segment.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Company determines if an arrangement is a lease at inception. Balances recognized related to operating leases are included in operating lease right-of-use assets and operating lease liabilities in the Consolidated Balance Sheets. Operating lease right-of-use assets and operating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operating lease right-of-use asset also includes any lease payments made and excludes lease incentives and initial direct costs incurred. The Company has elected a practical expedient to not separate its lease and non-lease components and instead account for them as a single lease component.</w:t>
      </w:r>
    </w:p>
    <w:p>
      <w:pPr>
        <w:spacing w:after="0" w:line="53"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Share-Based Compensation</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Expected volatility is based on the historical volatility of the Company’s common stock over the most recent period commensurate with the estimated expected term of the Company’s stock options offering period which is derived from historical experience.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w:t>
      </w:r>
    </w:p>
    <w:p>
      <w:pPr>
        <w:spacing w:after="0" w:line="5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In the event the participant’s employment by or engagement with (as a director or otherwise) the Company terminates before exercise of the options granted, the stock options granted to the participant shall immediately expire and all rights to purchase shares there under shall immediately cease and expire and be of no further force or effect, other than applicable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color w:val="auto"/>
        </w:rPr>
        <w:t>exercise rights for vested shares that may extend past the termination date as provided for in the participant’s applicable option award agreement.</w:t>
      </w:r>
    </w:p>
    <w:p>
      <w:pPr>
        <w:spacing w:after="0" w:line="78"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The fair value of restricted stock units (“RSU”) grants is based on the market value of the Class A common stock on the date of grant. The Company also estimates the amount of share-based awards that are expected to be forfeited based on historical employee turnover rates.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Comprehensive Income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does not have any components of other comprehensive income recorded within its Consolidated Financial Statements, and, therefore, does not separately present a statement of comprehensive income in its Consolidated Financial Statements.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Accounting Pronouncements Adopted During the Current Year</w:t>
      </w:r>
    </w:p>
    <w:p>
      <w:pPr>
        <w:spacing w:after="0" w:line="7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2"/>
          <w:szCs w:val="12"/>
          <w:b w:val="1"/>
          <w:bCs w:val="1"/>
          <w:color w:val="auto"/>
        </w:rPr>
        <w:t>Segment Reporting</w:t>
      </w:r>
      <w:r>
        <w:rPr>
          <w:rFonts w:ascii="Times New Roman" w:cs="Times New Roman" w:eastAsia="Times New Roman" w:hAnsi="Times New Roman"/>
          <w:sz w:val="12"/>
          <w:szCs w:val="12"/>
          <w:color w:val="auto"/>
        </w:rPr>
        <w:t>: In November 2023, the FASB issued ASU 2023-07, Segment Reporting (Topic 280): “</w:t>
      </w:r>
      <w:r>
        <w:rPr>
          <w:rFonts w:ascii="Times New Roman" w:cs="Times New Roman" w:eastAsia="Times New Roman" w:hAnsi="Times New Roman"/>
          <w:sz w:val="12"/>
          <w:szCs w:val="12"/>
          <w:i w:val="1"/>
          <w:iCs w:val="1"/>
          <w:color w:val="auto"/>
        </w:rPr>
        <w:t>Improvements to Reportable Segment Disclosures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(ASU 2023-07)</w:t>
      </w:r>
      <w:r>
        <w:rPr>
          <w:rFonts w:ascii="Times New Roman" w:cs="Times New Roman" w:eastAsia="Times New Roman" w:hAnsi="Times New Roman"/>
          <w:sz w:val="12"/>
          <w:szCs w:val="12"/>
          <w:color w:val="auto"/>
        </w:rPr>
        <w:t>. The ASU expands public entities' segment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disclosures by requiring disclosures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For public entities, the provisions within ASU 2023-07 are effective for fiscal years beginning after December 15, 2023, and for interim periods of fiscal years beginning after December 15, 2024. The Company adopted ASU 2023-07 effective December 31, 2024, on a retrospective basis. The adoption of 2023-07 did not change the way that the Company identifies its reportable segments and, as a result, did not have a material impact on the Company’s segment-related disclosures. Refer to Note 14 for further information on the Company's reportable segment.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Issued Accounting Pronouncements Not Yet Adopted</w:t>
      </w:r>
    </w:p>
    <w:p>
      <w:pPr>
        <w:spacing w:after="0" w:line="7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2"/>
          <w:szCs w:val="12"/>
          <w:b w:val="1"/>
          <w:bCs w:val="1"/>
          <w:color w:val="auto"/>
        </w:rPr>
        <w:t>Income Taxes</w:t>
      </w:r>
      <w:r>
        <w:rPr>
          <w:rFonts w:ascii="Times New Roman" w:cs="Times New Roman" w:eastAsia="Times New Roman" w:hAnsi="Times New Roman"/>
          <w:sz w:val="12"/>
          <w:szCs w:val="12"/>
          <w:color w:val="auto"/>
        </w:rPr>
        <w:t>: In December 2023, the FASB issued ASU 2023-09: “</w:t>
      </w:r>
      <w:r>
        <w:rPr>
          <w:rFonts w:ascii="Times New Roman" w:cs="Times New Roman" w:eastAsia="Times New Roman" w:hAnsi="Times New Roman"/>
          <w:sz w:val="12"/>
          <w:szCs w:val="12"/>
          <w:i w:val="1"/>
          <w:iCs w:val="1"/>
          <w:color w:val="auto"/>
        </w:rPr>
        <w:t>Improvements to Income Tax Disclosures</w:t>
      </w:r>
      <w:r>
        <w:rPr>
          <w:rFonts w:ascii="Times New Roman" w:cs="Times New Roman" w:eastAsia="Times New Roman" w:hAnsi="Times New Roman"/>
          <w:sz w:val="12"/>
          <w:szCs w:val="12"/>
          <w:color w:val="auto"/>
        </w:rPr>
        <w:t>” (“ASU 2023-09”). The ASU is intended to enhance the transparency and decision usefulness of income tax</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disclosures. The amendments in the ASU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the Company's Consolidated Financial Statements and disclosures, but we expect considerable changes to our income tax disclosures.</w:t>
      </w:r>
    </w:p>
    <w:p>
      <w:pPr>
        <w:spacing w:after="0" w:line="4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Disaggregation of Income Statement Expenses: </w:t>
      </w:r>
      <w:r>
        <w:rPr>
          <w:rFonts w:ascii="Times New Roman" w:cs="Times New Roman" w:eastAsia="Times New Roman" w:hAnsi="Times New Roman"/>
          <w:sz w:val="12"/>
          <w:szCs w:val="12"/>
          <w:color w:val="auto"/>
        </w:rPr>
        <w:t>In November 2024, the FASB issued ASU No. 2024-03,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“Income Statement—Reporting Comprehensive Income—Expense Disaggregation Disclosures: Disaggregation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Income Statement Expenses”</w:t>
      </w:r>
      <w:r>
        <w:rPr>
          <w:rFonts w:ascii="Times New Roman" w:cs="Times New Roman" w:eastAsia="Times New Roman" w:hAnsi="Times New Roman"/>
          <w:sz w:val="12"/>
          <w:szCs w:val="12"/>
          <w:color w:val="auto"/>
        </w:rPr>
        <w:t>. This guidance requires disclosures about significant expense categories, including but not limited to, inventory purchases, employee compensation, depreciation, amortization, and selling expenses.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amendment is effective for our annual reporting periods beginning after December 15, 2026, and interim reporting periods beginning after December 15, 2027. We are currently assessing the impact of this guidance on our disclosures.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Collaboration Agreements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G42 Purchase Agreement and Cogna Collaborative and License Agreement</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Company and G42 Investments AI Holding RSC Ltd, a private limited company (“G42 Investments”), entered into a Common Stock Purchase Agreement (the “G42 Purchase Agreement”), on May 31, 2022, pursuant to which the Company sold to G42 Investments 259,657 shares of the Company’s Class A common stock, for an aggregate purchase price of $25.0 million, which was paid (i) $12.5 million in cash at the closing and (ii) $12.5 million in the form of a promissory note of G42 Investments to be paid at May 31, 2023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(expense)/income in the Company’s Consolidated Statements of Operations.</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U.S. Food and Drug Administration (“FDA”) approval in the U.S. for </w:t>
      </w:r>
      <w:r>
        <w:rPr>
          <w:rFonts w:ascii="Times New Roman" w:cs="Times New Roman" w:eastAsia="Times New Roman" w:hAnsi="Times New Roman"/>
          <w:sz w:val="12"/>
          <w:szCs w:val="12"/>
          <w:i w:val="1"/>
          <w:iCs w:val="1"/>
          <w:color w:val="auto"/>
        </w:rPr>
        <w:t>cadisegliatin (TTP399)</w:t>
      </w:r>
      <w:r>
        <w:rPr>
          <w:rFonts w:ascii="Times New Roman" w:cs="Times New Roman" w:eastAsia="Times New Roman" w:hAnsi="Times New Roman"/>
          <w:sz w:val="12"/>
          <w:szCs w:val="12"/>
          <w:color w:val="auto"/>
        </w:rPr>
        <w:t>, the Company has granted to G42 Investments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8" w:name="page89"/>
    <w:bookmarkEnd w:id="88"/>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spacing w:after="0" w:line="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TP399)</w:t>
      </w:r>
      <w:r>
        <w:rPr>
          <w:rFonts w:ascii="Times New Roman" w:cs="Times New Roman" w:eastAsia="Times New Roman" w:hAnsi="Times New Roman"/>
          <w:sz w:val="12"/>
          <w:szCs w:val="12"/>
          <w:color w:val="auto"/>
        </w:rPr>
        <w:t xml:space="preserve"> as well as jointly creating a global development plan to develop, market, and commercialize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in certain countries in the Middle East, Africa, and Central Asia (the “Partner Territory”). Under the terms of the Cogna Agreement, Cogna will obtain a license under certain intellectual property controlled by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Company to enable it to fulfill its obligations and exercise its rights under the Cogna agreement, including to develop and commercialize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the Partner Territory, but will not have access to the various intellectual property (“IP”) related to the license and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Specifically, the Company will share various protocols with Cogna related to conducting the clinical trials and will provide the patient dosages and placebo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needed to conduct the trials.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Under the Cogna Agreement, Cogna has the right to develop and commercialize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for commercial sale under terms to be agreed upon by the parties at a later date.</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2"/>
          <w:szCs w:val="12"/>
          <w:color w:val="auto"/>
        </w:rPr>
        <w:t xml:space="preserve">Separately, the Company will conduct its clinical trials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outside of the Partner Territory at its own cost. The results of each party’s clinical trials may be combined by the Company to seek FDA approval in the United States for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On December 21, 2022, G42 Healthcare Technology Solutions LLC (formerly known as Cogna Technology Solutions LLC) novated its rights and obligation under the Cogna Agreement to G42 Healthcare Research Technology Projects LLC ("G42 Healthcare"), an affiliate of G42 Investments. As a result of the novation, all reference to Cogna herein shall be deemed to refer to G42 Healthcare.</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2"/>
          <w:szCs w:val="12"/>
          <w:color w:val="auto"/>
        </w:rPr>
        <w:t xml:space="preserve">The G42 Purchase Agreement also provides for, following the receipt of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FDA Approval,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is conditioned upon receipt of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FDA Approval and subject to certain limitations and conditions set forth in the G42 Purchase Agreement. There can be no assurance that the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FDA Approval will be granted or as to the timing thereof.</w:t>
      </w:r>
    </w:p>
    <w:p>
      <w:pPr>
        <w:spacing w:after="0" w:line="48"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2"/>
          <w:szCs w:val="12"/>
          <w:color w:val="auto"/>
        </w:rPr>
        <w:t xml:space="preserve">Once commercialization takes place in the Partner Territory, the Company will receive royalties in the single digits from Cogna on the net sales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for a period of at least ten years after the first commercial sale of </w:t>
      </w:r>
      <w:r>
        <w:rPr>
          <w:rFonts w:ascii="Times New Roman" w:cs="Times New Roman" w:eastAsia="Times New Roman" w:hAnsi="Times New Roman"/>
          <w:sz w:val="12"/>
          <w:szCs w:val="12"/>
          <w:i w:val="1"/>
          <w:iCs w:val="1"/>
          <w:color w:val="auto"/>
        </w:rPr>
        <w:t xml:space="preserve">cadisegliatin </w:t>
      </w:r>
      <w:r>
        <w:rPr>
          <w:rFonts w:ascii="Times New Roman" w:cs="Times New Roman" w:eastAsia="Times New Roman" w:hAnsi="Times New Roman"/>
          <w:sz w:val="12"/>
          <w:szCs w:val="12"/>
          <w:color w:val="auto"/>
        </w:rPr>
        <w:t>in the Partner Territory.</w:t>
      </w:r>
    </w:p>
    <w:p>
      <w:pPr>
        <w:spacing w:after="0" w:line="3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 premium was paid on the Class A common stock by G42 Investments of $18.7 million, net of a note receivable discount of $0.6 million. This premium is determined to be the transaction price for all remaining obligations under the agreements, which will be accounted for under ASC 808 or ASC 606 based on determination of the unit of account.</w:t>
      </w:r>
    </w:p>
    <w:p>
      <w:pPr>
        <w:spacing w:after="0" w:line="3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2"/>
          <w:szCs w:val="12"/>
          <w:color w:val="auto"/>
        </w:rPr>
        <w:t xml:space="preserve">The Company determined that certain commitments under the agreements are in the scope of ASC 808 as both the Company and Cogna are active participants in the clinical trials of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and both are exposed to significant risks and rewards based on the success of the clinical trials and subsequent FDA approval. Cogna is determined to be a vendor of the Company during the clinical trial phase, working on the Company’s behalf to complete research and development activities, and not in a customer capacity. The Company accounted for the commitments related to the clinical trials, which includes transfer of trial protocols, supply of clinical trial dosages, and collaboration on the joint development committee (“JDC”) as an ASC 808 unit of account, applying the recognition and measurement principles of ASC 606 by analogy. The Company will recognize collaboration revenue for its development activities under ASC 808 over time based on the estimated period of performance.</w:t>
      </w:r>
    </w:p>
    <w:p>
      <w:pPr>
        <w:spacing w:after="0" w:line="5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By applying the principals in ASC 606 by analogy, the Company identified the performance obligation and considered the timing of satisfaction of the obligation to account for the pattern of revenue recognition. In order to recognize collaboration revenue, generally, the Company would begin satisfying its performance obligation and Cogna would need to be able to use and benefit from delivery of the assets or services. The performance obligation under the agreements that fall within the ASC 808 unit of account are concentrated in the clinical trials. As of December 31, 2024, the clinical trials had not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89" w:name="page90"/>
    <w:bookmarkEnd w:id="89"/>
    <w:p>
      <w:pPr>
        <w:ind w:left="8"/>
        <w:spacing w:after="0"/>
        <w:rPr>
          <w:sz w:val="20"/>
          <w:szCs w:val="20"/>
          <w:color w:val="auto"/>
        </w:rPr>
      </w:pPr>
      <w:r>
        <w:rPr>
          <w:rFonts w:ascii="Times New Roman" w:cs="Times New Roman" w:eastAsia="Times New Roman" w:hAnsi="Times New Roman"/>
          <w:sz w:val="12"/>
          <w:szCs w:val="12"/>
          <w:color w:val="auto"/>
        </w:rPr>
        <w:t>commenced. Accordingly, no collaboration revenue was recognized for the ASC 808 unit of account during the year ended December 31, 2024.</w:t>
      </w:r>
    </w:p>
    <w:p>
      <w:pPr>
        <w:spacing w:after="0" w:line="78"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2"/>
          <w:szCs w:val="12"/>
          <w:color w:val="auto"/>
        </w:rPr>
        <w:t>The Company identified certain commitments that are in the scope of ASC 606 as Cogna’s relationship is that of a customer for these commitments. The significant performance obligations that are in the scope of ASC 606 are</w:t>
      </w:r>
    </w:p>
    <w:p>
      <w:pPr>
        <w:spacing w:after="0" w:line="17" w:lineRule="exact"/>
        <w:rPr>
          <w:sz w:val="20"/>
          <w:szCs w:val="20"/>
          <w:color w:val="auto"/>
        </w:rPr>
      </w:pPr>
    </w:p>
    <w:p>
      <w:pPr>
        <w:jc w:val="both"/>
        <w:ind w:left="8" w:hanging="8"/>
        <w:spacing w:after="0" w:line="253" w:lineRule="auto"/>
        <w:tabs>
          <w:tab w:leader="none" w:pos="17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development, commercialization and manufacturing license of the IP once restrictions on the use of the IP have been lifted by the Company and (2) a potential material right to a commercial supply agreement. The Company will recognize revenue from the development, commercial and manufacturing license at a point in time when the Company releases the restrictions on the use of the IP, which is expected to be after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is approved by the FDA. The Company will recognize revenue from the material right related to Cogna’s ability to purchase the commercial supply at cost as Cogna purchases the commercial supply from the Company, which will occur after the completion of the initial clinical trials (if Cogna decides to purchase the clinical supply from the Company). As a result, the Company has not recognized any revenue under the ASC 606 unit of account during the years ended December 31, 2024 and 2023.</w:t>
      </w:r>
    </w:p>
    <w:p>
      <w:pPr>
        <w:spacing w:after="0" w:line="54" w:lineRule="exact"/>
        <w:rPr>
          <w:sz w:val="20"/>
          <w:szCs w:val="20"/>
          <w:color w:val="auto"/>
        </w:rPr>
      </w:pPr>
    </w:p>
    <w:p>
      <w:pPr>
        <w:jc w:val="both"/>
        <w:ind w:left="8" w:firstLine="324"/>
        <w:spacing w:after="0" w:line="255" w:lineRule="auto"/>
        <w:rPr>
          <w:sz w:val="20"/>
          <w:szCs w:val="20"/>
          <w:color w:val="auto"/>
        </w:rPr>
      </w:pPr>
      <w:r>
        <w:rPr>
          <w:rFonts w:ascii="Times New Roman" w:cs="Times New Roman" w:eastAsia="Times New Roman" w:hAnsi="Times New Roman"/>
          <w:sz w:val="12"/>
          <w:szCs w:val="12"/>
          <w:color w:val="auto"/>
        </w:rPr>
        <w:t>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(expense) income in the Company’s Consolidated Statements of Operations. The G42 Promissory Note receivable was classified and accounted for under ASC 310 Receivables (“ASC 310”) and was initially measured at its fair value of $11.9 million. The Company also recorded the $18.7 million as deferred revenue in the Consolidated Balance Sheets, as none of the underlying performance obligations had been satisfied as of and for the</w:t>
      </w:r>
    </w:p>
    <w:p>
      <w:pPr>
        <w:ind w:left="8" w:right="2120"/>
        <w:spacing w:after="0" w:line="358" w:lineRule="auto"/>
        <w:rPr>
          <w:sz w:val="20"/>
          <w:szCs w:val="20"/>
          <w:color w:val="auto"/>
        </w:rPr>
      </w:pPr>
      <w:r>
        <w:rPr>
          <w:rFonts w:ascii="Times New Roman" w:cs="Times New Roman" w:eastAsia="Times New Roman" w:hAnsi="Times New Roman"/>
          <w:sz w:val="12"/>
          <w:szCs w:val="12"/>
          <w:color w:val="auto"/>
        </w:rPr>
        <w:t>years ended December 31, 2024 and 2023</w:t>
      </w:r>
      <w:r>
        <w:rPr>
          <w:rFonts w:ascii="Arial" w:cs="Arial" w:eastAsia="Arial" w:hAnsi="Arial"/>
          <w:sz w:val="14"/>
          <w:szCs w:val="14"/>
          <w:color w:val="auto"/>
        </w:rPr>
        <w:t>.</w:t>
      </w:r>
      <w:r>
        <w:rPr>
          <w:rFonts w:ascii="Times New Roman" w:cs="Times New Roman" w:eastAsia="Times New Roman" w:hAnsi="Times New Roman"/>
          <w:sz w:val="12"/>
          <w:szCs w:val="12"/>
          <w:color w:val="auto"/>
        </w:rPr>
        <w:t xml:space="preserve"> On February 27, 2024, the Company and G42 Investments further amended the G42 Purchase Agreement in connection with the Private Placement. </w:t>
      </w:r>
      <w:r>
        <w:rPr>
          <w:rFonts w:ascii="Times New Roman" w:cs="Times New Roman" w:eastAsia="Times New Roman" w:hAnsi="Times New Roman"/>
          <w:sz w:val="12"/>
          <w:szCs w:val="12"/>
          <w:b w:val="1"/>
          <w:bCs w:val="1"/>
          <w:i w:val="1"/>
          <w:iCs w:val="1"/>
          <w:color w:val="auto"/>
        </w:rPr>
        <w:t>Huadong License Agreement</w:t>
      </w:r>
    </w:p>
    <w:p>
      <w:pPr>
        <w:spacing w:after="0" w:line="1" w:lineRule="exact"/>
        <w:rPr>
          <w:sz w:val="20"/>
          <w:szCs w:val="20"/>
          <w:color w:val="auto"/>
        </w:rPr>
      </w:pPr>
    </w:p>
    <w:p>
      <w:pPr>
        <w:jc w:val="both"/>
        <w:ind w:left="8" w:firstLine="324"/>
        <w:spacing w:after="0" w:line="255" w:lineRule="auto"/>
        <w:rPr>
          <w:sz w:val="20"/>
          <w:szCs w:val="20"/>
          <w:color w:val="auto"/>
        </w:rPr>
      </w:pPr>
      <w:r>
        <w:rPr>
          <w:rFonts w:ascii="Times New Roman" w:cs="Times New Roman" w:eastAsia="Times New Roman" w:hAnsi="Times New Roman"/>
          <w:sz w:val="12"/>
          <w:szCs w:val="12"/>
          <w:color w:val="auto"/>
        </w:rPr>
        <w:t xml:space="preserve">The Company was a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Times New Roman" w:cs="Times New Roman" w:eastAsia="Times New Roman" w:hAnsi="Times New Roman"/>
          <w:sz w:val="12"/>
          <w:szCs w:val="12"/>
          <w:i w:val="1"/>
          <w:iCs w:val="1"/>
          <w:color w:val="auto"/>
        </w:rPr>
        <w:t>TTP273</w:t>
      </w:r>
      <w:r>
        <w:rPr>
          <w:rFonts w:ascii="Times New Roman" w:cs="Times New Roman" w:eastAsia="Times New Roman" w:hAnsi="Times New Roman"/>
          <w:sz w:val="12"/>
          <w:szCs w:val="12"/>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 Under the terms of the Huadong License Agreement, as amended, Huadong paid the Company an initial license fee of $8.0 million and was obligated to pay potential development and regulatory milestone payments totaling up to $22.0 million, with an additional potential regulatory milestone of $20.0 million if Huadong had received regulatory approval for a central nervous system indication. In addition, the Company was eligible for an additional $50.0 million in potential sales-based milestones, as well as royalty payments ranging from low-single to low-double digit rates, based on tiered sales of licensed products.</w:t>
      </w:r>
    </w:p>
    <w:p>
      <w:pPr>
        <w:spacing w:after="0" w:line="54" w:lineRule="exact"/>
        <w:rPr>
          <w:sz w:val="20"/>
          <w:szCs w:val="20"/>
          <w:color w:val="auto"/>
        </w:rPr>
      </w:pPr>
    </w:p>
    <w:p>
      <w:pPr>
        <w:jc w:val="both"/>
        <w:ind w:left="8" w:right="20" w:firstLine="324"/>
        <w:spacing w:after="0" w:line="279" w:lineRule="auto"/>
        <w:rPr>
          <w:sz w:val="20"/>
          <w:szCs w:val="20"/>
          <w:color w:val="auto"/>
        </w:rPr>
      </w:pPr>
      <w:r>
        <w:rPr>
          <w:rFonts w:ascii="Times New Roman" w:cs="Times New Roman" w:eastAsia="Times New Roman" w:hAnsi="Times New Roman"/>
          <w:sz w:val="12"/>
          <w:szCs w:val="12"/>
          <w:color w:val="auto"/>
        </w:rPr>
        <w:t>On January 14, 2021, the Company entered into the first amendment to the Huadong License Agreement ("First Huadong Amendment") which eliminated the Company’s obligation to sponsor a multi-region clinical trial (the “Phase 2 MRCT”), and corresponding obligation to contribute up to $3.0 million in support of such trial. The amendment also reduced the total potential development and regulatory milestone payments by $3.0 million.</w:t>
      </w:r>
    </w:p>
    <w:p>
      <w:pPr>
        <w:spacing w:after="0" w:line="39" w:lineRule="exact"/>
        <w:rPr>
          <w:sz w:val="20"/>
          <w:szCs w:val="20"/>
          <w:color w:val="auto"/>
        </w:rPr>
      </w:pPr>
    </w:p>
    <w:p>
      <w:pPr>
        <w:jc w:val="both"/>
        <w:ind w:left="8" w:firstLine="324"/>
        <w:spacing w:after="0" w:line="257" w:lineRule="auto"/>
        <w:rPr>
          <w:sz w:val="20"/>
          <w:szCs w:val="20"/>
          <w:color w:val="auto"/>
        </w:rPr>
      </w:pPr>
      <w:r>
        <w:rPr>
          <w:rFonts w:ascii="Times New Roman" w:cs="Times New Roman" w:eastAsia="Times New Roman" w:hAnsi="Times New Roman"/>
          <w:sz w:val="12"/>
          <w:szCs w:val="12"/>
          <w:color w:val="auto"/>
        </w:rPr>
        <w:t>Prior to the First Amendment, the Company had allocated a portion of the transaction price to the obligation to sponsor and conduct a portion of the Phase 2 MRCT. Upon the removal of this performance obligation, the Company evaluated the impact of the modification under the provisions of ASC 606 and performed a reallocation of the transaction price among the remaining performance obligations. This resulted in the recognition of approximately $1.0 million of revenue on a cumulative catch up basis during the year ended December 31, 2021. The majority of the transaction price originally allocated to the Phase 2 MRCT performance obligation was reallocated to the license and technology transfer services combined performance obligation discussed below, which had already been completed. The reallocation of the purchase price in connection with the First Huadong Amendment was made based on the relative estimated selling prices of the remaining performance obligations.</w:t>
      </w:r>
    </w:p>
    <w:p>
      <w:pPr>
        <w:spacing w:after="0" w:line="53" w:lineRule="exact"/>
        <w:rPr>
          <w:sz w:val="20"/>
          <w:szCs w:val="20"/>
          <w:color w:val="auto"/>
        </w:rPr>
      </w:pPr>
    </w:p>
    <w:p>
      <w:pPr>
        <w:jc w:val="both"/>
        <w:ind w:left="8" w:firstLine="324"/>
        <w:spacing w:after="0" w:line="327" w:lineRule="auto"/>
        <w:rPr>
          <w:sz w:val="20"/>
          <w:szCs w:val="20"/>
          <w:color w:val="auto"/>
        </w:rPr>
      </w:pPr>
      <w:r>
        <w:rPr>
          <w:rFonts w:ascii="Times New Roman" w:cs="Times New Roman" w:eastAsia="Times New Roman" w:hAnsi="Times New Roman"/>
          <w:sz w:val="11"/>
          <w:szCs w:val="11"/>
          <w:color w:val="auto"/>
        </w:rPr>
        <w:t>The significant performance obligations under the Huadong License Agreement, as amended, were determined to be (i) the exclusive license to develop and commercialize the Company’s GLP-1r program, (ii) technology transfer services related to the chemistry and manufacturing know-how for a defined period after the effective date, (iii) the Company’s obligation to participate on the JDC, and (iv) other obligations considered to be immaterial in nature.</w:t>
      </w:r>
    </w:p>
    <w:p>
      <w:pPr>
        <w:spacing w:after="0" w:line="200" w:lineRule="exact"/>
        <w:rPr>
          <w:sz w:val="20"/>
          <w:szCs w:val="20"/>
          <w:color w:val="auto"/>
        </w:rPr>
      </w:pPr>
    </w:p>
    <w:p>
      <w:pPr>
        <w:spacing w:after="0" w:line="2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49" w:right="299" w:bottom="1440" w:gutter="0" w:footer="0" w:header="0"/>
        </w:sectPr>
      </w:pPr>
    </w:p>
    <w:bookmarkStart w:id="90" w:name="page91"/>
    <w:bookmarkEnd w:id="90"/>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The Company determined that the license and technology transfer services related to the chemistry and manufacturing know-how represent a combined performance obligation because they were not capable of being distinct on their own. The Company also determined that there was no discernible pattern in which the technology transfer services would be provided during the transfer service period. As such, the Company recognized the revenue related to this combined performance obligation using the straight-line method over the transfer service period. In the first quarter of 2022, the transaction price for this performance obligation was increased by $2.0 million due to the satisfaction of a development milestone under the license agreement. This amount was fully recognized as revenue during the year ended December 31, 2022 as the related performance obligation was fully satisfied. No revenue related to this combined performance obligation was recognized during the year ended December 31, 2024.</w:t>
      </w:r>
    </w:p>
    <w:p>
      <w:pPr>
        <w:spacing w:after="0" w:line="5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 portion of the transaction price was allocated to the obligation to participate in the JDC to oversee the development of products and the Phase 2 MRCT in accordance with the development plan. The revenue was recognized using the proportional performance model over the period of the Company’s participation on the JDC. An immaterial amount of revenue for this performance obligation was recognized during the years ended December 31, 2024 and 2022. No revenue was recognized during the year ended December 31, 2023. The full transaction price has been recognized as of December 31, 2024.</w:t>
      </w:r>
    </w:p>
    <w:p>
      <w:pPr>
        <w:spacing w:after="0" w:line="47"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On December 18, 2023, vTv LLC received notice from Huadong of their intent to terminate the Huadong License Agreement between vTv LLC and Huadong, dated as of December 21, 2017, as amended on January 14, 2021 (both together constituting the "Agreement"). The termination of the Agreement was effective September 1, 2024.</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Newsoara License Agreement</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May 31, 2018, the Company entered into a license agreement with Newsoara Biopharma Co., Ltd., (“Newsoara”) (the “Newsoara License Agreement”), under which Newsoara obtained an exclusive and sublicensable license to develop and commercialize the Company’s phosphodiesterase type 4 inhibitors (“PDE4”) program, including the compound HPP737, in China and other Pacific Rim territories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131"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2"/>
          <w:szCs w:val="12"/>
          <w:color w:val="auto"/>
        </w:rPr>
        <w:t>The Newsoara License Agreement was amended in 2020 to change certain future milestone payments and patent rights (the “First Newsoara Amendment”). Under the terms of the Newsoara License Agreement, Newsoara paid the Company an upfront cash payment of $2.0 million. During the year ended December 31, 2019, the Company received an additional payment of $1.0 million related to the satisfaction of a development milestone during the year. On June 26, 2024, the Company entered into the second amendment to the Newsoara License Agreement (the “Second Newsoara Amendment”) which expanded the global license contingent upon Newsoara paying an upfront global rights fee (the “Upfront Fees”) of $20.0 million. Newsoara has up to one year from the date of the Second Newsoara Amendment to pay the Upfront Fees; if it fails to do so, then the Second Newsoara Amendment will be null and void. As amended, the Company is eligible to receive additional potential development, regulatory and sales-based milestone payments totaling up to $76.5 million. In addition, Newsoara is obligated to pay the Company royalty payments at mid to upper single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There are no new performance obligations to be considered within the Second Newsoara Amendment. The Second Amendment has a potential impact to increase the transaction price by $20.0 million. If the Company receives the Upfront Fees, $20.0 million of revenue will be recognized at a point in time.</w:t>
      </w:r>
    </w:p>
    <w:p>
      <w:pPr>
        <w:spacing w:after="0" w:line="66"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Pursuant to the terms of the Newsoara License Agreement, the Company is required to provide technology transfer services for a defined period after the effective date. In accordance with ASC 606, the Company identified all of the performance obligations at the inception of the Newsoara License Agreement. The significant obligations were determined to be the license and the technology transfer services. The Company determined that the license and technology transfer services represent a single performance obligation because they were not capable of being distinct on their own. The transaction price has been fully allocated to this combined performance obligation and the related revenue was recognized during the year ended December 31, 2018.</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the first quarter of 2024, the transaction price for this performance obligation was increased by $1.0 million due to the satisfaction of a development milestone under the Newsoara License Agreement. This amount was fully recognized as revenue during the year ended December 31, 2024, as the related performance obligation was fully satisfied. No revenue related to this performance obligation was recognized and there were no changes to the transaction price during the years ended December 31, 2023 and 2022.</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1" w:name="page92"/>
    <w:bookmarkEnd w:id="91"/>
    <w:p>
      <w:pPr>
        <w:ind w:right="600" w:firstLine="324"/>
        <w:spacing w:after="0" w:line="370" w:lineRule="auto"/>
        <w:rPr>
          <w:sz w:val="20"/>
          <w:szCs w:val="20"/>
          <w:color w:val="auto"/>
        </w:rPr>
      </w:pPr>
      <w:r>
        <w:rPr>
          <w:rFonts w:ascii="Times New Roman" w:cs="Times New Roman" w:eastAsia="Times New Roman" w:hAnsi="Times New Roman"/>
          <w:sz w:val="12"/>
          <w:szCs w:val="12"/>
          <w:color w:val="auto"/>
        </w:rPr>
        <w:t xml:space="preserve">The remaining milestone payments that the Company is eligible to receive have not been included in the transaction price as of December 31, 2024, as it is not considered probable that such payments will be received. </w:t>
      </w:r>
      <w:r>
        <w:rPr>
          <w:rFonts w:ascii="Times New Roman" w:cs="Times New Roman" w:eastAsia="Times New Roman" w:hAnsi="Times New Roman"/>
          <w:sz w:val="12"/>
          <w:szCs w:val="12"/>
          <w:i w:val="1"/>
          <w:iCs w:val="1"/>
          <w:color w:val="auto"/>
        </w:rPr>
        <w:t>Contract Liabilities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200" w:type="dxa"/>
            <w:vAlign w:val="bottom"/>
          </w:tcPr>
          <w:p>
            <w:pPr>
              <w:spacing w:after="0"/>
              <w:rPr>
                <w:sz w:val="11"/>
                <w:szCs w:val="11"/>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 2023</w:t>
            </w:r>
          </w:p>
        </w:tc>
      </w:tr>
      <w:tr>
        <w:trPr>
          <w:trHeight w:val="150"/>
        </w:trPr>
        <w:tc>
          <w:tcPr>
            <w:tcW w:w="8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portion of contract liabilities</w:t>
            </w: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tcPr>
          <w:p>
            <w:pPr>
              <w:spacing w:after="0"/>
              <w:rPr>
                <w:sz w:val="13"/>
                <w:szCs w:val="13"/>
                <w:color w:val="auto"/>
              </w:rPr>
            </w:pPr>
          </w:p>
        </w:tc>
      </w:tr>
      <w:tr>
        <w:trPr>
          <w:trHeight w:val="153"/>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Contract liabilities, net of current portion</w:t>
            </w: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18,669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18,669</w:t>
            </w:r>
          </w:p>
        </w:tc>
        <w:tc>
          <w:tcPr>
            <w:tcW w:w="20" w:type="dxa"/>
            <w:vAlign w:val="bottom"/>
          </w:tcPr>
          <w:p>
            <w:pPr>
              <w:spacing w:after="0"/>
              <w:rPr>
                <w:sz w:val="13"/>
                <w:szCs w:val="13"/>
                <w:color w:val="auto"/>
              </w:rPr>
            </w:pPr>
          </w:p>
        </w:tc>
      </w:tr>
      <w:tr>
        <w:trPr>
          <w:trHeight w:val="162"/>
        </w:trPr>
        <w:tc>
          <w:tcPr>
            <w:tcW w:w="8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contract liabilities</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18,669</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18,686</w:t>
            </w:r>
          </w:p>
        </w:tc>
        <w:tc>
          <w:tcPr>
            <w:tcW w:w="20" w:type="dxa"/>
            <w:vAlign w:val="bottom"/>
          </w:tcPr>
          <w:p>
            <w:pPr>
              <w:spacing w:after="0"/>
              <w:rPr>
                <w:sz w:val="14"/>
                <w:szCs w:val="14"/>
                <w:color w:val="auto"/>
              </w:rPr>
            </w:pPr>
          </w:p>
        </w:tc>
      </w:tr>
      <w:tr>
        <w:trPr>
          <w:trHeight w:val="257"/>
        </w:trPr>
        <w:tc>
          <w:tcPr>
            <w:tcW w:w="82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Changes in short-term and long-term contract liabilities for the year ended December 31, 2024, were as follows:</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4"/>
        </w:trPr>
        <w:tc>
          <w:tcPr>
            <w:tcW w:w="8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2"/>
                <w:szCs w:val="12"/>
                <w:color w:val="auto"/>
              </w:rPr>
              <w:t>Contract Liabilities</w:t>
            </w:r>
          </w:p>
        </w:tc>
      </w:tr>
      <w:tr>
        <w:trPr>
          <w:trHeight w:val="153"/>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on January 1, 2024</w:t>
            </w: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18,686</w:t>
            </w:r>
          </w:p>
        </w:tc>
        <w:tc>
          <w:tcPr>
            <w:tcW w:w="20" w:type="dxa"/>
            <w:vAlign w:val="bottom"/>
            <w:shd w:val="clear" w:color="auto" w:fill="CCEEFF"/>
          </w:tcPr>
          <w:p>
            <w:pPr>
              <w:spacing w:after="0"/>
              <w:rPr>
                <w:sz w:val="13"/>
                <w:szCs w:val="13"/>
                <w:color w:val="auto"/>
              </w:rPr>
            </w:pPr>
          </w:p>
        </w:tc>
      </w:tr>
      <w:tr>
        <w:trPr>
          <w:trHeight w:val="153"/>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Reclassification of the beginning contract liabilities to revenue, as the result of performance obligations satisfied</w:t>
            </w:r>
          </w:p>
        </w:tc>
        <w:tc>
          <w:tcPr>
            <w:tcW w:w="2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(17)</w:t>
            </w:r>
          </w:p>
        </w:tc>
      </w:tr>
      <w:tr>
        <w:trPr>
          <w:trHeight w:val="158"/>
        </w:trPr>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on December 31, 2024</w:t>
            </w:r>
          </w:p>
        </w:tc>
        <w:tc>
          <w:tcPr>
            <w:tcW w:w="2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18,669</w:t>
            </w:r>
          </w:p>
        </w:tc>
        <w:tc>
          <w:tcPr>
            <w:tcW w:w="20" w:type="dxa"/>
            <w:vAlign w:val="bottom"/>
            <w:tcBorders>
              <w:bottom w:val="single" w:sz="8" w:color="auto"/>
            </w:tcBorders>
            <w:shd w:val="clear" w:color="auto" w:fill="CCEEFF"/>
          </w:tcPr>
          <w:p>
            <w:pPr>
              <w:spacing w:after="0"/>
              <w:rPr>
                <w:sz w:val="13"/>
                <w:szCs w:val="13"/>
                <w:color w:val="auto"/>
              </w:rPr>
            </w:pPr>
          </w:p>
        </w:tc>
      </w:tr>
    </w:tbl>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change in the Company’s contract liabilities for the year ended December 31, 2024, was primarily due to the deferred revenue related to the Huadong Agreement.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Share-Based Compensation</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The Company has issued non-qualified stock option awards to management, other key employees, consultants, and nonemployee directors and these options vest ratably over a four-year period. In addition, we issued options in connection with the private placement on February 27, 2024, that vest ratably over a three-year period. The option awards expire after a term of ten years from the date of grant. For the years ended December 31, 2024, 2023 and 2022, the Company recognized $2.8 million, $1.6 million and $1.3 million, respectively, of compensation expense related to share-based awards. Given that the Company has established a full valuation allowance against its deferred tax assets, the Company has recognized no tax benefit related to these awards. As of December 31, 2024, the Company had total unrecognized stock-based compensation expense of approximately $4.7 million, which is expected to be recognized on a straight-line basis over a weighted average period of 2.3 years. The weighted average grant date fair value for all option grants during the years ended December 31, 2024, 2023 and 2022 was $14.76, $24.78 and $27.75 per option, respectively. The aggregate intrinsic value of the in-the-money awards outstanding as well as those exercisable as of December 31, 2024, was an insignificant amount. The total fair value of stock options vested during the years ended December 31, 2024, 2023 and 2022 was $2.9 million, $2.2 million and $1.5 million, respectively.</w:t>
      </w:r>
    </w:p>
    <w:p>
      <w:pPr>
        <w:spacing w:after="0" w:line="54"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February 23, 2024, in connection with the Private Placement, several directors resigned as members of the Company’s Board of Directors, effective on the closing of the Private Placement. As a result of their resignations, 14,340 stock options to purchase shares of common stock were modified to increase the time period to exercise the options and 7,590 stock options to purchase shares of common stock were modified to accelerate vesting at the termination date. All the unvested options were modified to be fully vested as of the posting of the Private Placement which resulted in a reduction in their fair value. The Company incurred $0.1 million reduction in stock compensation expense for the modifications for the year ended December 31, 2024.</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uses the Black-Scholes option pricing model to calculate the fair value of stock options granted. The fair value of stock options granted was estimated using the following assumptions during the years ended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31, 2024,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3"/>
          </w:tcPr>
          <w:p>
            <w:pPr>
              <w:ind w:left="32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3"/>
        </w:trPr>
        <w:tc>
          <w:tcPr>
            <w:tcW w:w="20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2040" w:type="dxa"/>
            <w:vAlign w:val="bottom"/>
            <w:tcBorders>
              <w:bottom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2"/>
                <w:szCs w:val="12"/>
                <w:color w:val="auto"/>
              </w:rPr>
            </w:pPr>
          </w:p>
        </w:tc>
        <w:tc>
          <w:tcPr>
            <w:tcW w:w="2040" w:type="dxa"/>
            <w:vAlign w:val="bottom"/>
            <w:tcBorders>
              <w:bottom w:val="single" w:sz="8" w:color="auto"/>
            </w:tcBorders>
            <w:gridSpan w:val="2"/>
          </w:tcPr>
          <w:p>
            <w:pPr>
              <w:jc w:val="right"/>
              <w:ind w:right="880"/>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2"/>
                <w:szCs w:val="12"/>
                <w:color w:val="auto"/>
              </w:rPr>
            </w:pPr>
          </w:p>
        </w:tc>
        <w:tc>
          <w:tcPr>
            <w:tcW w:w="2020" w:type="dxa"/>
            <w:vAlign w:val="bottom"/>
            <w:tcBorders>
              <w:bottom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12"/>
                <w:szCs w:val="12"/>
                <w:color w:val="auto"/>
              </w:rPr>
            </w:pPr>
          </w:p>
        </w:tc>
      </w:tr>
      <w:tr>
        <w:trPr>
          <w:trHeight w:val="178"/>
        </w:trPr>
        <w:tc>
          <w:tcPr>
            <w:tcW w:w="200" w:type="dxa"/>
            <w:vAlign w:val="bottom"/>
          </w:tcPr>
          <w:p>
            <w:pPr>
              <w:spacing w:after="0"/>
              <w:rPr>
                <w:sz w:val="15"/>
                <w:szCs w:val="15"/>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Expected volatility</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96.84%</w:t>
            </w:r>
          </w:p>
        </w:tc>
        <w:tc>
          <w:tcPr>
            <w:tcW w:w="108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w w:val="95"/>
              </w:rPr>
              <w:t>- 108.61%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121.01%</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- 126.76%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118.72%</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- 128.72%</w:t>
            </w:r>
          </w:p>
        </w:tc>
        <w:tc>
          <w:tcPr>
            <w:tcW w:w="220" w:type="dxa"/>
            <w:vAlign w:val="bottom"/>
          </w:tcPr>
          <w:p>
            <w:pPr>
              <w:spacing w:after="0"/>
              <w:rPr>
                <w:sz w:val="15"/>
                <w:szCs w:val="15"/>
                <w:color w:val="auto"/>
              </w:rPr>
            </w:pPr>
          </w:p>
        </w:tc>
      </w:tr>
      <w:tr>
        <w:trPr>
          <w:trHeight w:val="153"/>
        </w:trPr>
        <w:tc>
          <w:tcPr>
            <w:tcW w:w="200" w:type="dxa"/>
            <w:vAlign w:val="bottom"/>
          </w:tcPr>
          <w:p>
            <w:pPr>
              <w:spacing w:after="0"/>
              <w:rPr>
                <w:sz w:val="13"/>
                <w:szCs w:val="13"/>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Expected life of option, in years</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- 6.1</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- 6.1</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40" w:type="dxa"/>
            <w:vAlign w:val="bottom"/>
          </w:tcPr>
          <w:p>
            <w:pPr>
              <w:spacing w:after="0"/>
              <w:rPr>
                <w:sz w:val="20"/>
                <w:szCs w:val="20"/>
                <w:color w:val="auto"/>
              </w:rPr>
            </w:pPr>
            <w:r>
              <w:rPr>
                <w:rFonts w:ascii="Times New Roman" w:cs="Times New Roman" w:eastAsia="Times New Roman" w:hAnsi="Times New Roman"/>
                <w:sz w:val="12"/>
                <w:szCs w:val="12"/>
                <w:color w:val="auto"/>
              </w:rPr>
              <w:t>- 6.1</w:t>
            </w:r>
          </w:p>
        </w:tc>
        <w:tc>
          <w:tcPr>
            <w:tcW w:w="220" w:type="dxa"/>
            <w:vAlign w:val="bottom"/>
          </w:tcPr>
          <w:p>
            <w:pPr>
              <w:spacing w:after="0"/>
              <w:rPr>
                <w:sz w:val="13"/>
                <w:szCs w:val="13"/>
                <w:color w:val="auto"/>
              </w:rPr>
            </w:pPr>
          </w:p>
        </w:tc>
      </w:tr>
      <w:tr>
        <w:trPr>
          <w:trHeight w:val="180"/>
        </w:trPr>
        <w:tc>
          <w:tcPr>
            <w:tcW w:w="200" w:type="dxa"/>
            <w:vAlign w:val="bottom"/>
          </w:tcPr>
          <w:p>
            <w:pPr>
              <w:spacing w:after="0"/>
              <w:rPr>
                <w:sz w:val="15"/>
                <w:szCs w:val="15"/>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Risk-free interest rate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- 4.36%</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- 4.61%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- 4.31%</w:t>
            </w:r>
          </w:p>
        </w:tc>
        <w:tc>
          <w:tcPr>
            <w:tcW w:w="220" w:type="dxa"/>
            <w:vAlign w:val="bottom"/>
          </w:tcPr>
          <w:p>
            <w:pPr>
              <w:spacing w:after="0"/>
              <w:rPr>
                <w:sz w:val="15"/>
                <w:szCs w:val="15"/>
                <w:color w:val="auto"/>
              </w:rPr>
            </w:pPr>
          </w:p>
        </w:tc>
      </w:tr>
      <w:tr>
        <w:trPr>
          <w:trHeight w:val="155"/>
        </w:trPr>
        <w:tc>
          <w:tcPr>
            <w:tcW w:w="200" w:type="dxa"/>
            <w:vAlign w:val="bottom"/>
          </w:tcPr>
          <w:p>
            <w:pPr>
              <w:spacing w:after="0"/>
              <w:rPr>
                <w:sz w:val="13"/>
                <w:szCs w:val="13"/>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Expected dividend yield</w:t>
            </w:r>
          </w:p>
        </w:tc>
        <w:tc>
          <w:tcPr>
            <w:tcW w:w="204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Pr>
          <w:p>
            <w:pPr>
              <w:spacing w:after="0"/>
              <w:rPr>
                <w:sz w:val="13"/>
                <w:szCs w:val="13"/>
                <w:color w:val="auto"/>
              </w:rPr>
            </w:pPr>
          </w:p>
        </w:tc>
        <w:tc>
          <w:tcPr>
            <w:tcW w:w="2040" w:type="dxa"/>
            <w:vAlign w:val="bottom"/>
            <w:gridSpan w:val="2"/>
          </w:tcPr>
          <w:p>
            <w:pPr>
              <w:jc w:val="right"/>
              <w:ind w:right="820"/>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Pr>
          <w:p>
            <w:pPr>
              <w:spacing w:after="0"/>
              <w:rPr>
                <w:sz w:val="13"/>
                <w:szCs w:val="13"/>
                <w:color w:val="auto"/>
              </w:rPr>
            </w:pP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0.00%</w:t>
            </w:r>
          </w:p>
        </w:tc>
        <w:tc>
          <w:tcPr>
            <w:tcW w:w="220" w:type="dxa"/>
            <w:vAlign w:val="bottom"/>
          </w:tcPr>
          <w:p>
            <w:pPr>
              <w:spacing w:after="0"/>
              <w:rPr>
                <w:sz w:val="13"/>
                <w:szCs w:val="13"/>
                <w:color w:val="auto"/>
              </w:rPr>
            </w:pPr>
          </w:p>
        </w:tc>
      </w:tr>
      <w:tr>
        <w:trPr>
          <w:trHeight w:val="718"/>
        </w:trPr>
        <w:tc>
          <w:tcPr>
            <w:tcW w:w="2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F-18</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3"/>
        </w:trPr>
        <w:tc>
          <w:tcPr>
            <w:tcW w:w="200" w:type="dxa"/>
            <w:vAlign w:val="bottom"/>
            <w:tcBorders>
              <w:bottom w:val="single" w:sz="8" w:color="9A9A9A"/>
            </w:tcBorders>
          </w:tcPr>
          <w:p>
            <w:pPr>
              <w:spacing w:after="0"/>
              <w:rPr>
                <w:sz w:val="5"/>
                <w:szCs w:val="5"/>
                <w:color w:val="auto"/>
              </w:rPr>
            </w:pPr>
          </w:p>
        </w:tc>
        <w:tc>
          <w:tcPr>
            <w:tcW w:w="462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40" w:right="299" w:bottom="1440" w:gutter="0" w:footer="0" w:header="0"/>
        </w:sectPr>
      </w:pPr>
    </w:p>
    <w:bookmarkStart w:id="92" w:name="page93"/>
    <w:bookmarkEnd w:id="92"/>
    <w:p>
      <w:pPr>
        <w:ind w:left="320"/>
        <w:spacing w:after="0"/>
        <w:rPr>
          <w:sz w:val="20"/>
          <w:szCs w:val="20"/>
          <w:color w:val="auto"/>
        </w:rPr>
      </w:pPr>
      <w:r>
        <w:rPr>
          <w:rFonts w:ascii="Times New Roman" w:cs="Times New Roman" w:eastAsia="Times New Roman" w:hAnsi="Times New Roman"/>
          <w:sz w:val="12"/>
          <w:szCs w:val="12"/>
          <w:color w:val="auto"/>
        </w:rPr>
        <w:t>The following table summarizes the activity related to the stock option awards for the year ended December 31, 2024 (in thousands, except per share amounts):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0"/>
                <w:szCs w:val="10"/>
                <w:b w:val="1"/>
                <w:bCs w:val="1"/>
                <w:color w:val="auto"/>
              </w:rPr>
              <w:t>Number of Shares</w:t>
            </w:r>
          </w:p>
        </w:tc>
        <w:tc>
          <w:tcPr>
            <w:tcW w:w="240" w:type="dxa"/>
            <w:vAlign w:val="bottom"/>
          </w:tcPr>
          <w:p>
            <w:pPr>
              <w:spacing w:after="0"/>
              <w:rPr>
                <w:sz w:val="10"/>
                <w:szCs w:val="10"/>
                <w:color w:val="auto"/>
              </w:rPr>
            </w:pPr>
          </w:p>
        </w:tc>
        <w:tc>
          <w:tcPr>
            <w:tcW w:w="1220" w:type="dxa"/>
            <w:vAlign w:val="bottom"/>
          </w:tcPr>
          <w:p>
            <w:pPr>
              <w:jc w:val="center"/>
              <w:ind w:right="203"/>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83"/>
              <w:spacing w:after="0"/>
              <w:rPr>
                <w:sz w:val="20"/>
                <w:szCs w:val="20"/>
                <w:color w:val="auto"/>
              </w:rPr>
            </w:pPr>
            <w:r>
              <w:rPr>
                <w:rFonts w:ascii="Times New Roman" w:cs="Times New Roman" w:eastAsia="Times New Roman" w:hAnsi="Times New Roman"/>
                <w:sz w:val="10"/>
                <w:szCs w:val="10"/>
                <w:b w:val="1"/>
                <w:bCs w:val="1"/>
                <w:color w:val="auto"/>
                <w:w w:val="95"/>
              </w:rPr>
              <w:t>Average Exercise Price</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Awards outstanding at December 31, 2023</w:t>
            </w:r>
          </w:p>
        </w:tc>
        <w:tc>
          <w:tcPr>
            <w:tcW w:w="9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249,247</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77.53</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Granted</w:t>
            </w: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461,499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13.14</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Forfeited</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(5,153)</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18.75</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Awards outstanding at December 31, 2024</w:t>
            </w:r>
          </w:p>
        </w:tc>
        <w:tc>
          <w:tcPr>
            <w:tcW w:w="9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705,593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35.85</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exercisable at December 31, 2024</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282,946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66.16</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Weighted average remaining contractual term</w:t>
            </w: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7.0 Years</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vested and expected to vest at December 31, 2024</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602,671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39.47</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Weighted average remaining contractual term</w:t>
            </w: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8.1 Years</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9000" w:type="dxa"/>
            <w:vAlign w:val="bottom"/>
            <w:gridSpan w:val="5"/>
          </w:tcPr>
          <w:p>
            <w:pPr>
              <w:ind w:left="220"/>
              <w:spacing w:after="0"/>
              <w:rPr>
                <w:sz w:val="20"/>
                <w:szCs w:val="20"/>
                <w:color w:val="auto"/>
              </w:rPr>
            </w:pPr>
            <w:r>
              <w:rPr>
                <w:rFonts w:ascii="Times New Roman" w:cs="Times New Roman" w:eastAsia="Times New Roman" w:hAnsi="Times New Roman"/>
                <w:sz w:val="12"/>
                <w:szCs w:val="12"/>
                <w:color w:val="auto"/>
              </w:rPr>
              <w:t>Compensation expense related to the grants of stock options is included in research and development and general and administrative expense as follows (in thousands):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5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2023</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425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406</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1,153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866</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share-based compensation expense</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2,757</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1,578</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1,272</w:t>
            </w:r>
          </w:p>
        </w:tc>
        <w:tc>
          <w:tcPr>
            <w:tcW w:w="0" w:type="dxa"/>
            <w:vAlign w:val="bottom"/>
          </w:tcPr>
          <w:p>
            <w:pPr>
              <w:spacing w:after="0"/>
              <w:rPr>
                <w:sz w:val="1"/>
                <w:szCs w:val="1"/>
                <w:color w:val="auto"/>
              </w:rPr>
            </w:pPr>
          </w:p>
        </w:tc>
      </w:tr>
      <w:tr>
        <w:trPr>
          <w:trHeight w:val="356"/>
        </w:trPr>
        <w:tc>
          <w:tcPr>
            <w:tcW w:w="6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5: Prepaid Expenses and Other Current Assets</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Prepaid expenses and other current assets consist of the following (in thousands):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insurance</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577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680</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Prepaid - other</w:t>
            </w:r>
          </w:p>
        </w:tc>
        <w:tc>
          <w:tcPr>
            <w:tcW w:w="9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643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364</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6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9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1,220</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1,044</w:t>
            </w:r>
          </w:p>
        </w:tc>
        <w:tc>
          <w:tcPr>
            <w:tcW w:w="0" w:type="dxa"/>
            <w:vAlign w:val="bottom"/>
          </w:tcPr>
          <w:p>
            <w:pPr>
              <w:spacing w:after="0"/>
              <w:rPr>
                <w:sz w:val="1"/>
                <w:szCs w:val="1"/>
                <w:color w:val="auto"/>
              </w:rPr>
            </w:pPr>
          </w:p>
        </w:tc>
      </w:tr>
      <w:tr>
        <w:trPr>
          <w:trHeight w:val="365"/>
        </w:trPr>
        <w:tc>
          <w:tcPr>
            <w:tcW w:w="6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6: Property and Equipment</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Property and equipment consists of the following (in thousands):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406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406</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Computers and hardware</w:t>
            </w: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Software</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Furniture and office equipment</w:t>
            </w:r>
          </w:p>
        </w:tc>
        <w:tc>
          <w:tcPr>
            <w:tcW w:w="9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 property and equipment</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536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604</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accumulated depreciation and amortization</w:t>
            </w:r>
          </w:p>
        </w:tc>
        <w:tc>
          <w:tcPr>
            <w:tcW w:w="9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(508)</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9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117</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Depreciation expense was $0.1 million for the years ended December 31, 2024, 2023 and 2022. The Company had fully depreciated disposals of $0.1 million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849"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b w:val="1"/>
          <w:bCs w:val="1"/>
          <w:color w:val="auto"/>
        </w:rPr>
        <w:t>Note 7: Accounts Payable and Accrued Expenses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Accounts payable and accrued expenses consist of the following (in thousands):</w:t>
      </w:r>
    </w:p>
    <w:p>
      <w:pPr>
        <w:spacing w:after="0" w:line="99" w:lineRule="exact"/>
        <w:rPr>
          <w:sz w:val="20"/>
          <w:szCs w:val="20"/>
          <w:color w:val="auto"/>
        </w:rPr>
      </w:pPr>
    </w:p>
    <w:tbl>
      <w:tblPr>
        <w:tblLayout w:type="fixed"/>
        <w:tblInd w:w="10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gridSpan w:val="3"/>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20" w:type="dxa"/>
            <w:vAlign w:val="bottom"/>
          </w:tcPr>
          <w:p>
            <w:pPr>
              <w:spacing w:after="0"/>
              <w:rPr>
                <w:sz w:val="10"/>
                <w:szCs w:val="10"/>
                <w:color w:val="auto"/>
              </w:rPr>
            </w:pPr>
          </w:p>
        </w:tc>
      </w:tr>
      <w:tr>
        <w:trPr>
          <w:trHeight w:val="143"/>
        </w:trPr>
        <w:tc>
          <w:tcPr>
            <w:tcW w:w="8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5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w:t>
            </w:r>
          </w:p>
        </w:tc>
        <w:tc>
          <w:tcPr>
            <w:tcW w:w="98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939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4,075</w:t>
            </w:r>
          </w:p>
        </w:tc>
      </w:tr>
      <w:tr>
        <w:trPr>
          <w:trHeight w:val="153"/>
        </w:trPr>
        <w:tc>
          <w:tcPr>
            <w:tcW w:w="8100" w:type="dxa"/>
            <w:vAlign w:val="bottom"/>
          </w:tcPr>
          <w:p>
            <w:pPr>
              <w:spacing w:after="0"/>
              <w:rPr>
                <w:sz w:val="20"/>
                <w:szCs w:val="20"/>
                <w:color w:val="auto"/>
              </w:rPr>
            </w:pPr>
            <w:r>
              <w:rPr>
                <w:rFonts w:ascii="Times New Roman" w:cs="Times New Roman" w:eastAsia="Times New Roman" w:hAnsi="Times New Roman"/>
                <w:sz w:val="12"/>
                <w:szCs w:val="12"/>
                <w:color w:val="auto"/>
              </w:rPr>
              <w:t>Accrued development costs</w:t>
            </w:r>
          </w:p>
        </w:tc>
        <w:tc>
          <w:tcPr>
            <w:tcW w:w="980" w:type="dxa"/>
            <w:vAlign w:val="bottom"/>
          </w:tcPr>
          <w:p>
            <w:pPr>
              <w:spacing w:after="0"/>
              <w:rPr>
                <w:sz w:val="13"/>
                <w:szCs w:val="13"/>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2,263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4,401</w:t>
            </w:r>
          </w:p>
        </w:tc>
      </w:tr>
      <w:tr>
        <w:trPr>
          <w:trHeight w:val="153"/>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compensation and related costs</w:t>
            </w: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1,466</w:t>
            </w:r>
          </w:p>
        </w:tc>
      </w:tr>
      <w:tr>
        <w:trPr>
          <w:trHeight w:val="153"/>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Accrued other</w:t>
            </w: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316</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300</w:t>
            </w:r>
          </w:p>
        </w:tc>
      </w:tr>
      <w:tr>
        <w:trPr>
          <w:trHeight w:val="158"/>
        </w:trPr>
        <w:tc>
          <w:tcPr>
            <w:tcW w:w="8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w:t>
            </w:r>
          </w:p>
        </w:tc>
        <w:tc>
          <w:tcPr>
            <w:tcW w:w="9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5,027</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10,242</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Leases</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In August 2019, the Company leased office space for its headquarters location under an operating lease. This lease commenced in November 2019 after the completion of certain tenant improvements made by the lessor. The lease included an option to renew for a five-year term as well as an option to terminate after three years, neither of which was recognized as part of its related right of use assets or lease liabilities as their election was not considered reasonably certain. In November 2022, the Company entered into a second amendment to the lease, (i) to reduce the square footage and (ii) to extend the lease term, which constituted a modification event under ASC 842 and, the lease classification for the asset remains as an operating lease. Further, the second amendment to the lease does not include any material residual value guarantee or restrictive covenants.</w:t>
      </w:r>
    </w:p>
    <w:p>
      <w:pPr>
        <w:spacing w:after="0" w:line="5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At December 31, 2024 and 2023, the weighted average incremental borrowing rate for operating leases held by the Company was 9.5%. At December 31, 2024 and 2023, the weighted average remaining lease terms for the operating leases held by the Company were 0.9 years and 1.9 years, respectively.</w:t>
      </w:r>
    </w:p>
    <w:p>
      <w:pPr>
        <w:spacing w:after="0" w:line="39" w:lineRule="exact"/>
        <w:rPr>
          <w:sz w:val="20"/>
          <w:szCs w:val="20"/>
          <w:color w:val="auto"/>
        </w:rPr>
      </w:pPr>
    </w:p>
    <w:tbl>
      <w:tblPr>
        <w:tblLayout w:type="fixed"/>
        <w:tblInd w:w="100" w:type="dxa"/>
        <w:tblCellMar>
          <w:top w:w="0" w:type="dxa"/>
          <w:left w:w="0" w:type="dxa"/>
          <w:bottom w:w="0" w:type="dxa"/>
          <w:right w:w="0" w:type="dxa"/>
        </w:tblCellMar>
      </w:tblPr>
      <w:tr>
        <w:trPr>
          <w:trHeight w:val="155"/>
        </w:trPr>
        <w:tc>
          <w:tcPr>
            <w:tcW w:w="96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Maturities of lease liabilities for the Company’s operating leases as of December 31, 2024, were as follows (in thousands):</w:t>
            </w: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90"/>
        </w:trPr>
        <w:tc>
          <w:tcPr>
            <w:tcW w:w="9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5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64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r>
      <w:tr>
        <w:trPr>
          <w:trHeight w:val="153"/>
        </w:trPr>
        <w:tc>
          <w:tcPr>
            <w:tcW w:w="964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6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6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964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6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6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9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6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lease payments</w:t>
            </w: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r>
      <w:tr>
        <w:trPr>
          <w:trHeight w:val="153"/>
        </w:trPr>
        <w:tc>
          <w:tcPr>
            <w:tcW w:w="9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6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58"/>
        </w:trPr>
        <w:tc>
          <w:tcPr>
            <w:tcW w:w="9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Present value of lease liabilities</w:t>
            </w:r>
          </w:p>
        </w:tc>
        <w:tc>
          <w:tcPr>
            <w:tcW w:w="640" w:type="dxa"/>
            <w:vAlign w:val="bottom"/>
            <w:tcBorders>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r>
    </w:tbl>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Operating lease cost was $0.2 million for the years ended December 31, 2024, 2023 and 2022, respectively. During the years ended December 31, 2024 and December 31, 2023, cash paid for operating leases was $0.2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 Notes Payable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Notes payable consist of the following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00" w:type="dxa"/>
            <w:vAlign w:val="bottom"/>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00" w:type="dxa"/>
            <w:vAlign w:val="bottom"/>
          </w:tcPr>
          <w:p>
            <w:pPr>
              <w:spacing w:after="0"/>
              <w:rPr>
                <w:sz w:val="12"/>
                <w:szCs w:val="12"/>
                <w:color w:val="auto"/>
              </w:rPr>
            </w:pPr>
          </w:p>
        </w:tc>
      </w:tr>
      <w:tr>
        <w:trPr>
          <w:trHeight w:val="147"/>
        </w:trPr>
        <w:tc>
          <w:tcPr>
            <w:tcW w:w="100" w:type="dxa"/>
            <w:vAlign w:val="bottom"/>
          </w:tcPr>
          <w:p>
            <w:pPr>
              <w:spacing w:after="0"/>
              <w:rPr>
                <w:sz w:val="12"/>
                <w:szCs w:val="12"/>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Short-term financing</w:t>
            </w:r>
          </w:p>
        </w:tc>
        <w:tc>
          <w:tcPr>
            <w:tcW w:w="43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191</w:t>
            </w:r>
          </w:p>
        </w:tc>
        <w:tc>
          <w:tcPr>
            <w:tcW w:w="100" w:type="dxa"/>
            <w:vAlign w:val="bottom"/>
          </w:tcPr>
          <w:p>
            <w:pPr>
              <w:spacing w:after="0"/>
              <w:rPr>
                <w:sz w:val="12"/>
                <w:szCs w:val="12"/>
                <w:color w:val="auto"/>
              </w:rPr>
            </w:pPr>
          </w:p>
        </w:tc>
      </w:tr>
      <w:tr>
        <w:trPr>
          <w:trHeight w:val="142"/>
        </w:trPr>
        <w:tc>
          <w:tcPr>
            <w:tcW w:w="100" w:type="dxa"/>
            <w:vAlign w:val="bottom"/>
          </w:tcPr>
          <w:p>
            <w:pPr>
              <w:spacing w:after="0"/>
              <w:rPr>
                <w:sz w:val="12"/>
                <w:szCs w:val="12"/>
                <w:color w:val="auto"/>
              </w:rPr>
            </w:pPr>
          </w:p>
        </w:tc>
        <w:tc>
          <w:tcPr>
            <w:tcW w:w="37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notes payable</w:t>
            </w:r>
          </w:p>
        </w:tc>
        <w:tc>
          <w:tcPr>
            <w:tcW w:w="4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191</w:t>
            </w:r>
          </w:p>
        </w:tc>
        <w:tc>
          <w:tcPr>
            <w:tcW w:w="100" w:type="dxa"/>
            <w:vAlign w:val="bottom"/>
          </w:tcPr>
          <w:p>
            <w:pPr>
              <w:spacing w:after="0"/>
              <w:rPr>
                <w:sz w:val="12"/>
                <w:szCs w:val="12"/>
                <w:color w:val="auto"/>
              </w:rPr>
            </w:pPr>
          </w:p>
        </w:tc>
      </w:tr>
      <w:tr>
        <w:trPr>
          <w:trHeight w:val="153"/>
        </w:trPr>
        <w:tc>
          <w:tcPr>
            <w:tcW w:w="10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Current portion</w:t>
            </w:r>
          </w:p>
        </w:tc>
        <w:tc>
          <w:tcPr>
            <w:tcW w:w="4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5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00" w:type="dxa"/>
            <w:vAlign w:val="bottom"/>
          </w:tcPr>
          <w:p>
            <w:pPr>
              <w:spacing w:after="0"/>
              <w:rPr>
                <w:sz w:val="13"/>
                <w:szCs w:val="13"/>
                <w:color w:val="auto"/>
              </w:rPr>
            </w:pPr>
          </w:p>
        </w:tc>
      </w:tr>
      <w:tr>
        <w:trPr>
          <w:trHeight w:val="142"/>
        </w:trPr>
        <w:tc>
          <w:tcPr>
            <w:tcW w:w="100" w:type="dxa"/>
            <w:vAlign w:val="bottom"/>
          </w:tcPr>
          <w:p>
            <w:pPr>
              <w:spacing w:after="0"/>
              <w:rPr>
                <w:sz w:val="12"/>
                <w:szCs w:val="12"/>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Total notes payable, net of current portion</w:t>
            </w:r>
          </w:p>
        </w:tc>
        <w:tc>
          <w:tcPr>
            <w:tcW w:w="43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1089"/>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58"/>
        </w:trPr>
        <w:tc>
          <w:tcPr>
            <w:tcW w:w="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580" w:type="dxa"/>
            <w:vAlign w:val="bottom"/>
            <w:gridSpan w:val="2"/>
          </w:tcPr>
          <w:p>
            <w:pPr>
              <w:jc w:val="right"/>
              <w:ind w:right="3589"/>
              <w:spacing w:after="0"/>
              <w:rPr>
                <w:sz w:val="20"/>
                <w:szCs w:val="20"/>
                <w:color w:val="auto"/>
              </w:rPr>
            </w:pPr>
            <w:r>
              <w:rPr>
                <w:rFonts w:ascii="Times New Roman" w:cs="Times New Roman" w:eastAsia="Times New Roman" w:hAnsi="Times New Roman"/>
                <w:sz w:val="12"/>
                <w:szCs w:val="12"/>
                <w:color w:val="auto"/>
              </w:rPr>
              <w:t>F-20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
        </w:trPr>
        <w:tc>
          <w:tcPr>
            <w:tcW w:w="100" w:type="dxa"/>
            <w:vAlign w:val="bottom"/>
            <w:tcBorders>
              <w:bottom w:val="single" w:sz="8" w:color="9A9A9A"/>
            </w:tcBorders>
          </w:tcPr>
          <w:p>
            <w:pPr>
              <w:spacing w:after="0"/>
              <w:rPr>
                <w:sz w:val="5"/>
                <w:szCs w:val="5"/>
                <w:color w:val="auto"/>
              </w:rPr>
            </w:pPr>
          </w:p>
        </w:tc>
        <w:tc>
          <w:tcPr>
            <w:tcW w:w="3720" w:type="dxa"/>
            <w:vAlign w:val="bottom"/>
            <w:tcBorders>
              <w:bottom w:val="single" w:sz="8" w:color="9A9A9A"/>
            </w:tcBorders>
          </w:tcPr>
          <w:p>
            <w:pPr>
              <w:spacing w:after="0"/>
              <w:rPr>
                <w:sz w:val="5"/>
                <w:szCs w:val="5"/>
                <w:color w:val="auto"/>
              </w:rPr>
            </w:pPr>
          </w:p>
        </w:tc>
        <w:tc>
          <w:tcPr>
            <w:tcW w:w="43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b w:val="1"/>
          <w:bCs w:val="1"/>
          <w:color w:val="auto"/>
        </w:rPr>
        <w:t>Note 10: Commitments and Contingencies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Legal Matters</w:t>
      </w:r>
    </w:p>
    <w:p>
      <w:pPr>
        <w:spacing w:after="0" w:line="82"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Novo Nordisk</w:t>
      </w:r>
    </w:p>
    <w:p>
      <w:pPr>
        <w:spacing w:after="0" w:line="8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2"/>
          <w:szCs w:val="12"/>
          <w:color w:val="auto"/>
        </w:rPr>
        <w:t xml:space="preserve">In February 2007, the Company entered into an Agreement (the “Novo License Agreement”) Concerning Glucokinase Activator Project with Novo Nordisk A/S (the “Novo Nordisk”)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$7.0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11: Stockholders’ Equity (Deficit)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Amendment to Certificate of Incorporation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On July 29, 2015, the Company amended and restated its certificate of incorporation to authorize 100,000,000 shares of Class A common stock, 100,000,000 shares of Class B common stock and 50,000,000 shares of preferred stock, par value $0.01 per share.</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May 4, 2021, the Company filed an amendment to its Amended and Restated Certificate of Incorporation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spacing w:after="0" w:line="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November 20, 2023, the Company filed an amendment to its Amended and Restated Certificate of Incorporation as amended, to effect a reverse stock split at a ratio of 1-for-40 (the "Reverse Stock Split"). Pursuant to the Reverse Stock Split, every 40 shares of the Company’s Class A common stock was combined into one issued and outstanding share of Class A Common Stock and every 40 shares of the Company’s Class B common stock was combined into one issued and outstanding share of Class B Common Stock. The Reverse Stock Split did not reduce the number of authorized shares of Class A and Class B common stock, which remained at 200,000,000 and 100,000,000 respectively and did not change the par value of the common stock, which remained at $0.01 per share. The Reverse Stock Split did not have any effect on the number of authorized shares of the Company’s preferred stock, par value of $0.01 per share, which would remain at 50,000,000 shares. Currently no shares of preferred stock are outstanding.</w:t>
      </w:r>
    </w:p>
    <w:p>
      <w:pPr>
        <w:spacing w:after="0" w:line="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Holders of Class A common stock and Class B common stock are entitled to one vote for each share held on all matters submitted to stockholders for their vote or approval. The holders of Class A common stock and Class B common stock will vote together as a single class on all matters submitted to stockholders for their vote or approval, except with respect to the amendment of certain provisions of the Company’s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voting power of the outstanding Class B common stock (expressed as a percentage of the total voting power of all common stock) will be equal to the percentage of vTv Units not held by the Company. Holders of Class B common stock are not entitled to receive dividends and will not be entitled to receive any distributions upon the liquidation, dissolution or winding up of the Company.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3" w:right="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b w:val="1"/>
          <w:bCs w:val="1"/>
          <w:i w:val="1"/>
          <w:iCs w:val="1"/>
          <w:color w:val="auto"/>
        </w:rPr>
        <w:t>Common Stock and Pre-funded Warrants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In February 2024, the Company entered into a Securities Purchase Agreement with certain Private Placement Investors, pursuant to which we agreed to issue and sell to the Private Placement Investors in a private placement (i) an aggregate of 464,377 shares of our Class A common stock, at a purchase price of $11.81 per share and (ii) issued pre-funded warrants to purchase an aggregate of 3,853,997 shares of the Company’s Class A common stock at a price of $11.80 per pre-funded warrant. The pre-funded warrants were immediately exercisable, have an exercise price of $0.01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As of December 31, 2024, there were pre-funded warrants to purchase an aggregate of 3,970,587 shares of the Company’s common stock that remained available for exercise.</w:t>
      </w:r>
    </w:p>
    <w:p>
      <w:pPr>
        <w:spacing w:after="0" w:line="53"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pre-funded warrants were classified as a component of permanent equity in the Company's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spacing w:after="0" w:line="50" w:lineRule="exact"/>
        <w:rPr>
          <w:sz w:val="20"/>
          <w:szCs w:val="20"/>
          <w:color w:val="auto"/>
        </w:rPr>
      </w:pPr>
    </w:p>
    <w:p>
      <w:pPr>
        <w:jc w:val="both"/>
        <w:ind w:right="20" w:firstLine="324"/>
        <w:spacing w:after="0" w:line="279" w:lineRule="auto"/>
        <w:rPr>
          <w:sz w:val="20"/>
          <w:szCs w:val="20"/>
          <w:color w:val="auto"/>
        </w:rPr>
      </w:pPr>
      <w:r>
        <w:rPr>
          <w:rFonts w:ascii="Times New Roman" w:cs="Times New Roman" w:eastAsia="Times New Roman" w:hAnsi="Times New Roman"/>
          <w:sz w:val="12"/>
          <w:szCs w:val="12"/>
          <w:color w:val="auto"/>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G42 Investments Transaction</w:t>
      </w:r>
    </w:p>
    <w:p>
      <w:pPr>
        <w:spacing w:after="0" w:line="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2"/>
          <w:szCs w:val="12"/>
          <w:color w:val="auto"/>
        </w:rPr>
        <w:t>On May 31, 2022, the Company and G42 Investments entered in to the G42 Purchase Agreement (see Note 3), pursuant to which the Company agreed to sell to G42 Investments 259,657 shares of the Company's Class A common stock, for an aggregate purchase price of $25.0 million, consisting of (i) $12.5 million in cash at the closing of the transaction and (ii) $12.5 million in the form of a promissory note of G42 Investments to be paid at the one-year anniversary of the execution of the G42 Purchase Agreement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 (expense) net, in the Company’s Consolidated Statements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CinPax and CinRx Transaction</w:t>
      </w:r>
    </w:p>
    <w:p>
      <w:pPr>
        <w:spacing w:after="0" w:line="82"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July 22, 2022 (the “Transaction Date”), the Company entered into the CinRx Purchase Agreement with CinPax, LLC ("CinPax") and CinRx-Pharma, LLC ("CinRx"), pursuant to which the Company agreed to sell to CinPax 103,864 shares of the Company’s Class A common stock, for an aggregate purchase price of $10.0 million, which was paid (i) $6.0 million in cash at the closing of the transaction and (ii) $4.0 million in the form of a non-interest-bearing promissory note with CinPax and was paid to the Company on November 22, 2022.</w:t>
      </w:r>
    </w:p>
    <w:p>
      <w:pPr>
        <w:spacing w:after="0" w:line="47"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2"/>
          <w:szCs w:val="12"/>
          <w:color w:val="auto"/>
        </w:rPr>
        <w:t>The CinRx Purchase Agreement also provides CinRx warrants to purchase up to 30,000 shares of common stock at an initial exercise of price of approximately $28.80 per share (the “CinRx Warrants”). The CinRx Warrants were initially measured at fair value of $0.4 million using the Black-Scholes option model at the time of issuance and will be recorded in Warrant liability related party in the Consolidated Balance Sheets and will be subsequently remeasured at fair value through earnings on a recurring basis. (see Note 18)</w:t>
      </w:r>
    </w:p>
    <w:p>
      <w:pPr>
        <w:spacing w:after="0" w:line="4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 xml:space="preserve">The CinRx Warrants will become exercisable by CinRx only if (i) the Company receives approval from the U.S. Food and Drug Administration to market and distribute the pharmaceutical product containing the Company’s proprietary candidate,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(the “Product”), or (ii) the Company is acquired by a third party, sells all or substantially all of its assets related to the Product to a third party or grants a third party an exclusive license to develop, commercialize and manufacture the Product in the United States. If neither of these events happen within five years of the date of the issuance of the CinRx Warrants, the CinRx Warrants will expire and not be exercisable by CinRx. The exercise price of the CinRx Warrants and the number of shares issuable upon exercise of the CinRx Warrants are subject to adjustments in accordance with the terms of the CinRx Warrants.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5" w:right="299" w:bottom="1440" w:gutter="0" w:footer="0" w:header="0"/>
        </w:sectPr>
      </w:pPr>
    </w:p>
    <w:bookmarkStart w:id="96" w:name="page97"/>
    <w:bookmarkEnd w:id="96"/>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Additionally, in conjunction with the CinRx Purchase Agreement the Company and CinRx entered into a Master Service Agreement (“CinRx MSA”) whereby CinRx provides the Company with consulting, preclinical and clinical trial services, as enumerated in project proposals negotiated between the Company and CinRx from time to time.</w:t>
      </w:r>
    </w:p>
    <w:p>
      <w:pPr>
        <w:spacing w:after="0" w:line="3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did not identify any other promises in the CinRx Purchase Agreement (aside from the issuance of common shares and the CinRx Warrants) and determined since there is no value ascribed to the CinRx MSA, the right to appoint a member and observer to the board of directors, that the remaining unallocated amount meets the definition of contributed equity and represents the amount in excess of par. The Company, CinPax and CinRx subsequently amended the CinRx Purchase Agreement on February 27, 2024, in connection with the Private Placement. The CinRx Purchase Agreement provides CinPax the right for two years following the Closing to designate a board observer, which has been subsequently approved by the Company’s board.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ATM Offering</w:t>
      </w:r>
    </w:p>
    <w:p>
      <w:pPr>
        <w:spacing w:after="0" w:line="8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During the year ended December 31, 2024, the Company sold 179,400 shares of Class A common stock under the TD Cowen ATM Offering for net proceeds of $2.5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Letter Agreement Warrants</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previously entered into the Letter Agreements with MacAndrews. Under the terms of the Letter Agreements, the Company had the right to sell to MacAndrews shares of its Class A common stock at a specified price per share, and MacAndrews had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 Certain terms of each of these Letter Agreements are set forth in Note 13.</w:t>
      </w:r>
    </w:p>
    <w:p>
      <w:pPr>
        <w:spacing w:after="0" w:line="5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Letter Agreement Warrants were recorded as warrant liability, related party within the Company’s Consolidated Balance Sheets based on their fair value. The issuance of the Letter Agreement Warrants was considered to be a cost of equity recorded as a reduction to additional paid-in capital. During the years ended December 31, 2024, 2023 and 2022 the Company recognized $(0.2) million, $0.6 million and $0.9 million respectively in the Consolidated Statement of Operations, related to the change in fair value in related party warrants of which $(0.2) million, $0.3 million, and $0.9 million, respectively, were related to the Letter Agreement Warrants. These amounts were recognized as a component of other (expense) income - related party in the Consolidated Statements of Operations.</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Fair value of the Letter Agreement Warrants was calculated as of their issuance date using the methods described in Note 18 using the following assumptions:</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3480" w:type="dxa"/>
            <w:vAlign w:val="bottom"/>
          </w:tcPr>
          <w:p>
            <w:pPr>
              <w:spacing w:after="0"/>
              <w:rPr>
                <w:sz w:val="11"/>
                <w:szCs w:val="11"/>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December 5, 2017</w:t>
            </w: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0"/>
                <w:szCs w:val="10"/>
                <w:b w:val="1"/>
                <w:bCs w:val="1"/>
                <w:color w:val="auto"/>
              </w:rPr>
              <w:t>July 30, 2018</w:t>
            </w: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December 11, 2018</w:t>
            </w:r>
          </w:p>
        </w:tc>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0"/>
                <w:szCs w:val="10"/>
                <w:b w:val="1"/>
                <w:bCs w:val="1"/>
                <w:color w:val="auto"/>
              </w:rPr>
              <w:t>September 26, 2019</w:t>
            </w:r>
          </w:p>
        </w:tc>
        <w:tc>
          <w:tcPr>
            <w:tcW w:w="1480" w:type="dxa"/>
            <w:vAlign w:val="bottom"/>
          </w:tcPr>
          <w:p>
            <w:pPr>
              <w:ind w:left="360"/>
              <w:spacing w:after="0"/>
              <w:rPr>
                <w:sz w:val="20"/>
                <w:szCs w:val="20"/>
                <w:color w:val="auto"/>
              </w:rPr>
            </w:pPr>
            <w:r>
              <w:rPr>
                <w:rFonts w:ascii="Times New Roman" w:cs="Times New Roman" w:eastAsia="Times New Roman" w:hAnsi="Times New Roman"/>
                <w:sz w:val="10"/>
                <w:szCs w:val="10"/>
                <w:b w:val="1"/>
                <w:bCs w:val="1"/>
                <w:color w:val="auto"/>
              </w:rPr>
              <w:t>December 23, 2019</w:t>
            </w:r>
          </w:p>
        </w:tc>
      </w:tr>
      <w:tr>
        <w:trPr>
          <w:trHeight w:val="15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90.00%</w:t>
            </w:r>
          </w:p>
        </w:tc>
        <w:tc>
          <w:tcPr>
            <w:tcW w:w="8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95.29%</w:t>
            </w: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104.46%</w:t>
            </w: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110.35%</w:t>
            </w: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110.41%</w:t>
            </w:r>
          </w:p>
        </w:tc>
      </w:tr>
      <w:tr>
        <w:trPr>
          <w:trHeight w:val="153"/>
        </w:trPr>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Expected life of option, in years</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w:t>
            </w:r>
          </w:p>
        </w:tc>
      </w:tr>
      <w:tr>
        <w:trPr>
          <w:trHeight w:val="15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2.80%</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2.94%</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2.77%</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1.65%</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1.84%</w:t>
            </w:r>
          </w:p>
        </w:tc>
      </w:tr>
      <w:tr>
        <w:trPr>
          <w:trHeight w:val="155"/>
        </w:trPr>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0.00%</w:t>
            </w: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0.00%</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0.00%</w:t>
            </w:r>
          </w:p>
        </w:tc>
      </w:tr>
    </w:tbl>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warrants issued on December 5, 2017 expired on December 5,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12: Noncontrolling Interest</w:t>
      </w:r>
    </w:p>
    <w:p>
      <w:pPr>
        <w:spacing w:after="0" w:line="64"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is subject to the Exchange Agreement with respect to the vTv Units representing the outstanding 18.1% noncontrolling interest in vTv LLC (see Note 1). The Exchange Agreement requires the surrender of an equal number of vTv Units and Class B common stock for (i) shares of Class A common stock on a one-for-one basis or (ii) cash (based on the fair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7" w:name="page98"/>
    <w:bookmarkEnd w:id="97"/>
    <w:p>
      <w:pPr>
        <w:jc w:val="both"/>
        <w:spacing w:after="0" w:line="265" w:lineRule="auto"/>
        <w:rPr>
          <w:sz w:val="20"/>
          <w:szCs w:val="20"/>
          <w:color w:val="auto"/>
        </w:rPr>
      </w:pPr>
      <w:r>
        <w:rPr>
          <w:rFonts w:ascii="Times New Roman" w:cs="Times New Roman" w:eastAsia="Times New Roman" w:hAnsi="Times New Roman"/>
          <w:sz w:val="12"/>
          <w:szCs w:val="12"/>
          <w:color w:val="auto"/>
        </w:rPr>
        <w:t>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 day volume weighted average price of the Class A common stock as defined in the Exchange Agreement, subject to customary conversion rate adjustments for stock splits, stock dividends and reclassifications.</w:t>
      </w:r>
    </w:p>
    <w:p>
      <w:pPr>
        <w:spacing w:after="0" w:line="29"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On February 27, 2024, in connection with the Private Placement financing, the Investor Rights Agreement altered M&amp;F TTP Holdings Two LLC (“M&amp;F”) governance rights such that directors designated by M&amp;F no longer comprise a majority of the Company’s Board of Directors (see Note 13). The redeemable noncontrolling interest redemption feature to exchange vTv Units for cash rather than shares of Class A common stock is a contingent event that is now within control of the Company through the Company’s independent Board of Directors. As a result, $5.3 million representing the fair value of redeemable noncontrolling interest on February 27, 2024, was reclassified from temporary equity in the mezzanine section of the Consolidated Balance Sheets to noncontrolling interest as a component of permanent equity.</w:t>
      </w:r>
    </w:p>
    <w:p>
      <w:pPr>
        <w:spacing w:after="0" w:line="41"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Prior to February 27, 2024, the Company recorded redeemable noncontrolling interest at the higher of (1) its initial fair value plus accumulated earnings/losses associated with the noncontrolling interest or (2) the redemption value as of the balance sheet date. At December 31, 2023, the redeemable noncontrolling interest was recorded based on the redemption value as of the balance sheet date of $6.1 million.</w:t>
      </w:r>
    </w:p>
    <w:p>
      <w:pPr>
        <w:spacing w:after="0" w:line="30"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61" w:lineRule="exact"/>
        <w:rPr>
          <w:sz w:val="20"/>
          <w:szCs w:val="20"/>
          <w:color w:val="auto"/>
        </w:rPr>
      </w:pPr>
    </w:p>
    <w:tbl>
      <w:tblPr>
        <w:tblLayout w:type="fixed"/>
        <w:tblInd w:w="100" w:type="dxa"/>
        <w:tblCellMar>
          <w:top w:w="0" w:type="dxa"/>
          <w:left w:w="0" w:type="dxa"/>
          <w:bottom w:w="0" w:type="dxa"/>
          <w:right w:w="0" w:type="dxa"/>
        </w:tblCellMar>
      </w:tblPr>
      <w:tr>
        <w:trPr>
          <w:trHeight w:val="125"/>
        </w:trPr>
        <w:tc>
          <w:tcPr>
            <w:tcW w:w="6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41"/>
        </w:trPr>
        <w:tc>
          <w:tcPr>
            <w:tcW w:w="6560" w:type="dxa"/>
            <w:vAlign w:val="bottom"/>
          </w:tcPr>
          <w:p>
            <w:pPr>
              <w:spacing w:after="0"/>
              <w:rPr>
                <w:sz w:val="12"/>
                <w:szCs w:val="12"/>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2024</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53"/>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Net loss attributable to vTv Therapeutics Inc. common shareholders</w:t>
            </w:r>
          </w:p>
        </w:tc>
        <w:tc>
          <w:tcPr>
            <w:tcW w:w="920" w:type="dxa"/>
            <w:vAlign w:val="bottom"/>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(18,462)</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(19,164)</w:t>
            </w:r>
          </w:p>
        </w:tc>
      </w:tr>
      <w:tr>
        <w:trPr>
          <w:trHeight w:val="153"/>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 in vTv Therapeutics Inc. stockholders' equity (deficit) for sale of vTv Units as a result of common stock issuances</w:t>
            </w:r>
          </w:p>
        </w:tc>
        <w:tc>
          <w:tcPr>
            <w:tcW w:w="9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w:t>
            </w:r>
          </w:p>
        </w:tc>
      </w:tr>
      <w:tr>
        <w:trPr>
          <w:trHeight w:val="142"/>
        </w:trPr>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 from net loss attributable to vTv Therapeutics Inc. common shareholders and transfers to noncontrolling interest</w:t>
            </w:r>
          </w:p>
        </w:tc>
        <w:tc>
          <w:tcPr>
            <w:tcW w:w="92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(26,054)</w:t>
            </w: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(20,225)</w:t>
            </w:r>
          </w:p>
        </w:tc>
      </w:tr>
      <w:tr>
        <w:trPr>
          <w:trHeight w:val="20"/>
        </w:trPr>
        <w:tc>
          <w:tcPr>
            <w:tcW w:w="6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13: Related-Party Transactions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MacAndrews &amp; Forbes Incorporated</w:t>
      </w:r>
    </w:p>
    <w:p>
      <w:pPr>
        <w:spacing w:after="0" w:line="82"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As of December 31, 2024, MacAndrews directly or indirectly controlled 577,108 shares of Class B common stock and directly or indirectly held 912,982 shares of the Company’s Class A common stock. As a result, as of December 31, 2024 MacAndrews’ holdings represented approximately 46.7% of the combined voting power of the Company’s outstanding common stock.</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has entered into several agreements with MacAndrews or its affiliates as further detailed below: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Letter Agreements</w:t>
      </w:r>
    </w:p>
    <w:p>
      <w:pPr>
        <w:spacing w:after="0" w:line="80"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2"/>
          <w:szCs w:val="12"/>
          <w:color w:val="auto"/>
        </w:rPr>
        <w:t>The Company previously entered into the Letter Agreements with MacAndrews. Under the terms of the Letter Agreements, during the one year commitment period beginning on the date of each Letter Agreement, the Company had the right to sell to MacAndrews shares of its Class A common stock at a specified price per share, and MacAndrews had the right (exercisable up to three times) to require the Company to sell to it shares of Class A common stock</w:t>
      </w:r>
    </w:p>
    <w:p>
      <w:pPr>
        <w:spacing w:after="0" w:line="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at the same price. The commitment period of each of the Letter Agreements has now expired. In addition, in connection with and as a commitment fee for the entrance into certain of these Letter Agreements, the Company also issued the Letter Agreement Warrants to purchase additional shares of the Company’s Class A common stock.</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0" w:right="299" w:bottom="1440" w:gutter="0" w:footer="0" w:header="0"/>
        </w:sectPr>
      </w:pPr>
    </w:p>
    <w:bookmarkStart w:id="98" w:name="page99"/>
    <w:bookmarkEnd w:id="98"/>
    <w:p>
      <w:pPr>
        <w:ind w:left="320"/>
        <w:spacing w:after="0"/>
        <w:rPr>
          <w:sz w:val="20"/>
          <w:szCs w:val="20"/>
          <w:color w:val="auto"/>
        </w:rPr>
      </w:pPr>
      <w:r>
        <w:rPr>
          <w:rFonts w:ascii="Times New Roman" w:cs="Times New Roman" w:eastAsia="Times New Roman" w:hAnsi="Times New Roman"/>
          <w:sz w:val="12"/>
          <w:szCs w:val="12"/>
          <w:color w:val="auto"/>
        </w:rPr>
        <w:t>Certain terms of these Letter Agreements are set forth in the tables below:</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5, 2017 Letter</w:t>
            </w:r>
          </w:p>
        </w:tc>
        <w:tc>
          <w:tcPr>
            <w:tcW w:w="60" w:type="dxa"/>
            <w:vAlign w:val="bottom"/>
          </w:tcPr>
          <w:p>
            <w:pPr>
              <w:spacing w:after="0"/>
              <w:rPr>
                <w:sz w:val="10"/>
                <w:szCs w:val="10"/>
                <w:color w:val="auto"/>
              </w:rPr>
            </w:pPr>
          </w:p>
        </w:tc>
        <w:tc>
          <w:tcPr>
            <w:tcW w:w="1380" w:type="dxa"/>
            <w:vAlign w:val="bottom"/>
            <w:vMerge w:val="restart"/>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94"/>
              </w:rPr>
              <w:t>July 30, 2018 Letter Agreement</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11, 2018 Letter</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March 18, 2019 Letter Agreement</w:t>
            </w:r>
          </w:p>
        </w:tc>
        <w:tc>
          <w:tcPr>
            <w:tcW w:w="80" w:type="dxa"/>
            <w:vAlign w:val="bottom"/>
            <w:vMerge w:val="restart"/>
          </w:tcPr>
          <w:p>
            <w:pPr>
              <w:spacing w:after="0"/>
              <w:rPr>
                <w:sz w:val="10"/>
                <w:szCs w:val="10"/>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w w:val="94"/>
              </w:rPr>
              <w:t>September 26, 2019 Letter Agreement</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December 23, 2019 Letter</w:t>
            </w:r>
          </w:p>
        </w:tc>
        <w:tc>
          <w:tcPr>
            <w:tcW w:w="0" w:type="dxa"/>
            <w:vAlign w:val="bottom"/>
          </w:tcPr>
          <w:p>
            <w:pPr>
              <w:spacing w:after="0"/>
              <w:rPr>
                <w:sz w:val="1"/>
                <w:szCs w:val="1"/>
                <w:color w:val="auto"/>
              </w:rPr>
            </w:pPr>
          </w:p>
        </w:tc>
      </w:tr>
      <w:tr>
        <w:trPr>
          <w:trHeight w:val="129"/>
        </w:trPr>
        <w:tc>
          <w:tcPr>
            <w:tcW w:w="18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0"/>
                <w:szCs w:val="10"/>
                <w:b w:val="1"/>
                <w:bCs w:val="1"/>
                <w:color w:val="auto"/>
              </w:rPr>
              <w:t>Agreement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Agreement</w:t>
            </w:r>
          </w:p>
        </w:tc>
        <w:tc>
          <w:tcPr>
            <w:tcW w:w="6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58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Agreement</w:t>
            </w:r>
          </w:p>
        </w:tc>
        <w:tc>
          <w:tcPr>
            <w:tcW w:w="0" w:type="dxa"/>
            <w:vAlign w:val="bottom"/>
          </w:tcPr>
          <w:p>
            <w:pPr>
              <w:spacing w:after="0"/>
              <w:rPr>
                <w:sz w:val="1"/>
                <w:szCs w:val="1"/>
                <w:color w:val="auto"/>
              </w:rPr>
            </w:pPr>
          </w:p>
        </w:tc>
      </w:tr>
      <w:tr>
        <w:trPr>
          <w:trHeight w:val="78"/>
        </w:trPr>
        <w:tc>
          <w:tcPr>
            <w:tcW w:w="1860" w:type="dxa"/>
            <w:vAlign w:val="bottom"/>
            <w:shd w:val="clear" w:color="auto" w:fill="CCEEFF"/>
          </w:tcPr>
          <w:p>
            <w:pPr>
              <w:ind w:left="20"/>
              <w:spacing w:after="0" w:line="78" w:lineRule="exact"/>
              <w:rPr>
                <w:sz w:val="20"/>
                <w:szCs w:val="20"/>
                <w:color w:val="auto"/>
              </w:rPr>
            </w:pPr>
            <w:r>
              <w:rPr>
                <w:rFonts w:ascii="Times New Roman" w:cs="Times New Roman" w:eastAsia="Times New Roman" w:hAnsi="Times New Roman"/>
                <w:sz w:val="8"/>
                <w:szCs w:val="8"/>
                <w:color w:val="auto"/>
              </w:rPr>
              <w:t>Aggregate dollar value to be sold under</w:t>
            </w:r>
          </w:p>
        </w:tc>
        <w:tc>
          <w:tcPr>
            <w:tcW w:w="140" w:type="dxa"/>
            <w:vAlign w:val="bottom"/>
            <w:shd w:val="clear" w:color="auto" w:fill="CCEEFF"/>
          </w:tcPr>
          <w:p>
            <w:pPr>
              <w:spacing w:after="0"/>
              <w:rPr>
                <w:sz w:val="6"/>
                <w:szCs w:val="6"/>
                <w:color w:val="auto"/>
              </w:rPr>
            </w:pPr>
          </w:p>
        </w:tc>
        <w:tc>
          <w:tcPr>
            <w:tcW w:w="14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$10.0 million</w:t>
            </w:r>
          </w:p>
        </w:tc>
        <w:tc>
          <w:tcPr>
            <w:tcW w:w="60" w:type="dxa"/>
            <w:vAlign w:val="bottom"/>
            <w:shd w:val="clear" w:color="auto" w:fill="CCEEFF"/>
          </w:tcPr>
          <w:p>
            <w:pPr>
              <w:spacing w:after="0"/>
              <w:rPr>
                <w:sz w:val="6"/>
                <w:szCs w:val="6"/>
                <w:color w:val="auto"/>
              </w:rPr>
            </w:pPr>
          </w:p>
        </w:tc>
        <w:tc>
          <w:tcPr>
            <w:tcW w:w="14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0"/>
                <w:szCs w:val="10"/>
                <w:color w:val="auto"/>
              </w:rPr>
              <w:t>$10.0 million</w:t>
            </w:r>
          </w:p>
        </w:tc>
        <w:tc>
          <w:tcPr>
            <w:tcW w:w="160" w:type="dxa"/>
            <w:vAlign w:val="bottom"/>
            <w:shd w:val="clear" w:color="auto" w:fill="CCEEFF"/>
          </w:tcPr>
          <w:p>
            <w:pPr>
              <w:spacing w:after="0"/>
              <w:rPr>
                <w:sz w:val="6"/>
                <w:szCs w:val="6"/>
                <w:color w:val="auto"/>
              </w:rPr>
            </w:pPr>
          </w:p>
        </w:tc>
        <w:tc>
          <w:tcPr>
            <w:tcW w:w="1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$10.0 million</w:t>
            </w:r>
          </w:p>
        </w:tc>
        <w:tc>
          <w:tcPr>
            <w:tcW w:w="460" w:type="dxa"/>
            <w:vAlign w:val="bottom"/>
            <w:shd w:val="clear" w:color="auto" w:fill="CCEEFF"/>
          </w:tcPr>
          <w:p>
            <w:pPr>
              <w:spacing w:after="0"/>
              <w:rPr>
                <w:sz w:val="6"/>
                <w:szCs w:val="6"/>
                <w:color w:val="auto"/>
              </w:rPr>
            </w:pP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$9.0 million</w:t>
            </w:r>
          </w:p>
        </w:tc>
        <w:tc>
          <w:tcPr>
            <w:tcW w:w="420" w:type="dxa"/>
            <w:vAlign w:val="bottom"/>
            <w:shd w:val="clear" w:color="auto" w:fill="CCEEFF"/>
          </w:tcPr>
          <w:p>
            <w:pPr>
              <w:spacing w:after="0"/>
              <w:rPr>
                <w:sz w:val="6"/>
                <w:szCs w:val="6"/>
                <w:color w:val="auto"/>
              </w:rPr>
            </w:pPr>
          </w:p>
        </w:tc>
        <w:tc>
          <w:tcPr>
            <w:tcW w:w="1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$10.0 million</w:t>
            </w:r>
          </w:p>
        </w:tc>
        <w:tc>
          <w:tcPr>
            <w:tcW w:w="140" w:type="dxa"/>
            <w:vAlign w:val="bottom"/>
            <w:shd w:val="clear" w:color="auto" w:fill="CCEEFF"/>
          </w:tcPr>
          <w:p>
            <w:pPr>
              <w:spacing w:after="0"/>
              <w:rPr>
                <w:sz w:val="6"/>
                <w:szCs w:val="6"/>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 million</w:t>
            </w:r>
          </w:p>
        </w:tc>
        <w:tc>
          <w:tcPr>
            <w:tcW w:w="0" w:type="dxa"/>
            <w:vAlign w:val="bottom"/>
          </w:tcPr>
          <w:p>
            <w:pPr>
              <w:spacing w:after="0"/>
              <w:rPr>
                <w:sz w:val="1"/>
                <w:szCs w:val="1"/>
                <w:color w:val="auto"/>
              </w:rPr>
            </w:pPr>
          </w:p>
        </w:tc>
      </w:tr>
      <w:tr>
        <w:trPr>
          <w:trHeight w:val="131"/>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agreement</w:t>
            </w:r>
          </w:p>
        </w:tc>
        <w:tc>
          <w:tcPr>
            <w:tcW w:w="140" w:type="dxa"/>
            <w:vAlign w:val="bottom"/>
            <w:shd w:val="clear" w:color="auto" w:fill="CCEEFF"/>
          </w:tcPr>
          <w:p>
            <w:pPr>
              <w:spacing w:after="0"/>
              <w:rPr>
                <w:sz w:val="11"/>
                <w:szCs w:val="11"/>
                <w:color w:val="auto"/>
              </w:rPr>
            </w:pPr>
          </w:p>
        </w:tc>
        <w:tc>
          <w:tcPr>
            <w:tcW w:w="14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6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gridSpan w:val="2"/>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8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Specified purchase price per share</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175.20</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53.20</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73.60</w:t>
            </w:r>
          </w:p>
        </w:tc>
        <w:tc>
          <w:tcPr>
            <w:tcW w:w="60" w:type="dxa"/>
            <w:vAlign w:val="bottom"/>
          </w:tcPr>
          <w:p>
            <w:pPr>
              <w:spacing w:after="0"/>
              <w:rPr>
                <w:sz w:val="11"/>
                <w:szCs w:val="11"/>
                <w:color w:val="auto"/>
              </w:rPr>
            </w:pPr>
          </w:p>
        </w:tc>
        <w:tc>
          <w:tcPr>
            <w:tcW w:w="460" w:type="dxa"/>
            <w:vAlign w:val="bottom"/>
          </w:tcPr>
          <w:p>
            <w:pPr>
              <w:jc w:val="right"/>
              <w:ind w:right="35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66.00</w:t>
            </w:r>
          </w:p>
        </w:tc>
        <w:tc>
          <w:tcPr>
            <w:tcW w:w="80" w:type="dxa"/>
            <w:vAlign w:val="bottom"/>
          </w:tcPr>
          <w:p>
            <w:pPr>
              <w:spacing w:after="0"/>
              <w:rPr>
                <w:sz w:val="11"/>
                <w:szCs w:val="11"/>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58.40</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64.00</w:t>
            </w:r>
          </w:p>
        </w:tc>
        <w:tc>
          <w:tcPr>
            <w:tcW w:w="0" w:type="dxa"/>
            <w:vAlign w:val="bottom"/>
          </w:tcPr>
          <w:p>
            <w:pPr>
              <w:spacing w:after="0"/>
              <w:rPr>
                <w:sz w:val="1"/>
                <w:szCs w:val="1"/>
                <w:color w:val="auto"/>
              </w:rPr>
            </w:pPr>
          </w:p>
        </w:tc>
      </w:tr>
      <w:tr>
        <w:trPr>
          <w:trHeight w:val="141"/>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Expiration date of letter agreement</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December 5, 2018</w:t>
            </w:r>
          </w:p>
        </w:tc>
        <w:tc>
          <w:tcPr>
            <w:tcW w:w="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0"/>
                <w:szCs w:val="10"/>
                <w:color w:val="auto"/>
              </w:rPr>
              <w:t>July 30, 2019</w:t>
            </w: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December 11, 2019</w:t>
            </w:r>
          </w:p>
        </w:tc>
        <w:tc>
          <w:tcPr>
            <w:tcW w:w="4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March 18, 2020</w:t>
            </w:r>
          </w:p>
        </w:tc>
        <w:tc>
          <w:tcPr>
            <w:tcW w:w="4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September 26, 2020</w:t>
            </w: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December 23, 2020</w:t>
            </w:r>
          </w:p>
        </w:tc>
        <w:tc>
          <w:tcPr>
            <w:tcW w:w="0" w:type="dxa"/>
            <w:vAlign w:val="bottom"/>
          </w:tcPr>
          <w:p>
            <w:pPr>
              <w:spacing w:after="0"/>
              <w:rPr>
                <w:sz w:val="1"/>
                <w:szCs w:val="1"/>
                <w:color w:val="auto"/>
              </w:rPr>
            </w:pPr>
          </w:p>
        </w:tc>
      </w:tr>
      <w:tr>
        <w:trPr>
          <w:trHeight w:val="94"/>
        </w:trPr>
        <w:tc>
          <w:tcPr>
            <w:tcW w:w="1860" w:type="dxa"/>
            <w:vAlign w:val="bottom"/>
          </w:tcPr>
          <w:p>
            <w:pPr>
              <w:ind w:left="20"/>
              <w:spacing w:after="0" w:line="94" w:lineRule="exact"/>
              <w:rPr>
                <w:sz w:val="20"/>
                <w:szCs w:val="20"/>
                <w:color w:val="auto"/>
              </w:rPr>
            </w:pPr>
            <w:r>
              <w:rPr>
                <w:rFonts w:ascii="Times New Roman" w:cs="Times New Roman" w:eastAsia="Times New Roman" w:hAnsi="Times New Roman"/>
                <w:sz w:val="10"/>
                <w:szCs w:val="10"/>
                <w:color w:val="auto"/>
              </w:rPr>
              <w:t>Shares available to be issued under related</w:t>
            </w:r>
          </w:p>
        </w:tc>
        <w:tc>
          <w:tcPr>
            <w:tcW w:w="140" w:type="dxa"/>
            <w:vAlign w:val="bottom"/>
          </w:tcPr>
          <w:p>
            <w:pPr>
              <w:spacing w:after="0"/>
              <w:rPr>
                <w:sz w:val="8"/>
                <w:szCs w:val="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4,956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12,966</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8,513</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8"/>
                <w:szCs w:val="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10,024</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9,136</w:t>
            </w:r>
          </w:p>
        </w:tc>
        <w:tc>
          <w:tcPr>
            <w:tcW w:w="0" w:type="dxa"/>
            <w:vAlign w:val="bottom"/>
          </w:tcPr>
          <w:p>
            <w:pPr>
              <w:spacing w:after="0"/>
              <w:rPr>
                <w:sz w:val="1"/>
                <w:szCs w:val="1"/>
                <w:color w:val="auto"/>
              </w:rPr>
            </w:pPr>
          </w:p>
        </w:tc>
      </w:tr>
      <w:tr>
        <w:trPr>
          <w:trHeight w:val="127"/>
        </w:trPr>
        <w:tc>
          <w:tcPr>
            <w:tcW w:w="1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warrants</w:t>
            </w:r>
          </w:p>
        </w:tc>
        <w:tc>
          <w:tcPr>
            <w:tcW w:w="1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Exercise price of related warrants</w:t>
            </w: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201.60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84.80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73.60</w:t>
            </w:r>
          </w:p>
        </w:tc>
        <w:tc>
          <w:tcPr>
            <w:tcW w:w="0" w:type="dxa"/>
            <w:vAlign w:val="bottom"/>
          </w:tcPr>
          <w:p>
            <w:pPr>
              <w:spacing w:after="0"/>
              <w:rPr>
                <w:sz w:val="1"/>
                <w:szCs w:val="1"/>
                <w:color w:val="auto"/>
              </w:rPr>
            </w:pPr>
          </w:p>
        </w:tc>
      </w:tr>
      <w:tr>
        <w:trPr>
          <w:trHeight w:val="129"/>
        </w:trPr>
        <w:tc>
          <w:tcPr>
            <w:tcW w:w="1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Expiration date of related warrants</w:t>
            </w:r>
          </w:p>
        </w:tc>
        <w:tc>
          <w:tcPr>
            <w:tcW w:w="140" w:type="dxa"/>
            <w:vAlign w:val="bottom"/>
          </w:tcPr>
          <w:p>
            <w:pPr>
              <w:spacing w:after="0"/>
              <w:rPr>
                <w:sz w:val="11"/>
                <w:szCs w:val="11"/>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December 5, 2024</w:t>
            </w:r>
          </w:p>
        </w:tc>
        <w:tc>
          <w:tcPr>
            <w:tcW w:w="60" w:type="dxa"/>
            <w:vAlign w:val="bottom"/>
          </w:tcPr>
          <w:p>
            <w:pPr>
              <w:spacing w:after="0"/>
              <w:rPr>
                <w:sz w:val="11"/>
                <w:szCs w:val="11"/>
                <w:color w:val="auto"/>
              </w:rPr>
            </w:pPr>
          </w:p>
        </w:tc>
        <w:tc>
          <w:tcPr>
            <w:tcW w:w="1460" w:type="dxa"/>
            <w:vAlign w:val="bottom"/>
            <w:gridSpan w:val="2"/>
          </w:tcPr>
          <w:p>
            <w:pPr>
              <w:ind w:left="860"/>
              <w:spacing w:after="0"/>
              <w:rPr>
                <w:sz w:val="20"/>
                <w:szCs w:val="20"/>
                <w:color w:val="auto"/>
              </w:rPr>
            </w:pPr>
            <w:r>
              <w:rPr>
                <w:rFonts w:ascii="Times New Roman" w:cs="Times New Roman" w:eastAsia="Times New Roman" w:hAnsi="Times New Roman"/>
                <w:sz w:val="10"/>
                <w:szCs w:val="10"/>
                <w:color w:val="auto"/>
              </w:rPr>
              <w:t>July 30, 2025</w:t>
            </w:r>
          </w:p>
        </w:tc>
        <w:tc>
          <w:tcPr>
            <w:tcW w:w="160" w:type="dxa"/>
            <w:vAlign w:val="bottom"/>
          </w:tcPr>
          <w:p>
            <w:pPr>
              <w:spacing w:after="0"/>
              <w:rPr>
                <w:sz w:val="11"/>
                <w:szCs w:val="1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December 11, 2025</w:t>
            </w: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September 26, 2026</w:t>
            </w:r>
          </w:p>
        </w:tc>
        <w:tc>
          <w:tcPr>
            <w:tcW w:w="14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December 23, 2026</w:t>
            </w:r>
          </w:p>
        </w:tc>
        <w:tc>
          <w:tcPr>
            <w:tcW w:w="0" w:type="dxa"/>
            <w:vAlign w:val="bottom"/>
          </w:tcPr>
          <w:p>
            <w:pPr>
              <w:spacing w:after="0"/>
              <w:rPr>
                <w:sz w:val="1"/>
                <w:szCs w:val="1"/>
                <w:color w:val="auto"/>
              </w:rPr>
            </w:pPr>
          </w:p>
        </w:tc>
      </w:tr>
      <w:tr>
        <w:trPr>
          <w:trHeight w:val="141"/>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shares issued as of December 31, 2024</w:t>
            </w: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57,077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187,969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135,869</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136,363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171,232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156,250</w:t>
            </w:r>
          </w:p>
        </w:tc>
        <w:tc>
          <w:tcPr>
            <w:tcW w:w="0" w:type="dxa"/>
            <w:vAlign w:val="bottom"/>
          </w:tcPr>
          <w:p>
            <w:pPr>
              <w:spacing w:after="0"/>
              <w:rPr>
                <w:sz w:val="1"/>
                <w:szCs w:val="1"/>
                <w:color w:val="auto"/>
              </w:rPr>
            </w:pPr>
          </w:p>
        </w:tc>
      </w:tr>
      <w:tr>
        <w:trPr>
          <w:trHeight w:val="94"/>
        </w:trPr>
        <w:tc>
          <w:tcPr>
            <w:tcW w:w="1860" w:type="dxa"/>
            <w:vAlign w:val="bottom"/>
          </w:tcPr>
          <w:p>
            <w:pPr>
              <w:ind w:left="20"/>
              <w:spacing w:after="0" w:line="94" w:lineRule="exact"/>
              <w:rPr>
                <w:sz w:val="20"/>
                <w:szCs w:val="20"/>
                <w:color w:val="auto"/>
              </w:rPr>
            </w:pPr>
            <w:r>
              <w:rPr>
                <w:rFonts w:ascii="Times New Roman" w:cs="Times New Roman" w:eastAsia="Times New Roman" w:hAnsi="Times New Roman"/>
                <w:sz w:val="10"/>
                <w:szCs w:val="10"/>
                <w:color w:val="auto"/>
                <w:w w:val="97"/>
              </w:rPr>
              <w:t>Remaining shares to be issued as of December</w:t>
            </w:r>
          </w:p>
        </w:tc>
        <w:tc>
          <w:tcPr>
            <w:tcW w:w="140" w:type="dxa"/>
            <w:vAlign w:val="bottom"/>
          </w:tcPr>
          <w:p>
            <w:pPr>
              <w:spacing w:after="0"/>
              <w:rPr>
                <w:sz w:val="8"/>
                <w:szCs w:val="8"/>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8"/>
                <w:szCs w:val="8"/>
                <w:color w:val="auto"/>
              </w:rPr>
            </w:pPr>
          </w:p>
        </w:tc>
        <w:tc>
          <w:tcPr>
            <w:tcW w:w="1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8"/>
                <w:szCs w:val="8"/>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8"/>
                <w:szCs w:val="8"/>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8"/>
                <w:szCs w:val="8"/>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1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31, 2024</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Each of the December 5, 2017 and July 30, 2018 Letter Agreements resulted in a deemed capital contribution to the Company as the fair value of the financial instrument received by the Company exceeded the fair value of those financial instruments issued to MacAndrews. The December 11, 2018, March 18, 2019, September 26, 2019, and December 23, 2019 Letter Agreements resulted in a deemed distribution to MacAndrews as the fair value of the financial instruments issued to MacAndrews exceeded the fair value of the financial instrument received by the Company.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Exchange Agreement</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December 31, 2024, MacAndrews had not exchanged any shares under the provisions of the Exchange Agreement.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 Receivable Agreement</w:t>
      </w:r>
    </w:p>
    <w:p>
      <w:pPr>
        <w:spacing w:after="0" w:line="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The Company and MacAndrews are party to a tax receivable agreement (the "Tax Receivable Agreement"), which provides for the payment by the Company, M&amp;F TTP Holdings Two LLC, as successor in interest to vTv Therapeutics Holdings (“M&amp;F”) and M&amp;F TTP Holdings LLC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As no shares have been exchanged by MacAndrews pursuant to the Exchange Agreement (discussed above), the Company has not recognized any liability nor has it made any payments pursuant to the Tax Receivable Agreement as of December 31,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Investor Rights Agreement</w:t>
      </w:r>
    </w:p>
    <w:p>
      <w:pPr>
        <w:spacing w:after="0" w:line="80"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 The Investor Rights Agreement was amended on February 27, 2024 to alter M&amp;F</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99" w:name="page100"/>
    <w:bookmarkEnd w:id="99"/>
    <w:p>
      <w:pPr>
        <w:jc w:val="both"/>
        <w:spacing w:after="0" w:line="265" w:lineRule="auto"/>
        <w:rPr>
          <w:sz w:val="20"/>
          <w:szCs w:val="20"/>
          <w:color w:val="auto"/>
        </w:rPr>
      </w:pPr>
      <w:r>
        <w:rPr>
          <w:rFonts w:ascii="Times New Roman" w:cs="Times New Roman" w:eastAsia="Times New Roman" w:hAnsi="Times New Roman"/>
          <w:sz w:val="12"/>
          <w:szCs w:val="12"/>
          <w:color w:val="auto"/>
        </w:rPr>
        <w:t>governance rights that now entitles M&amp;F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14: Segment Information</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Our CODM is our President and Chief Executive Officer, Paul Sekhri. The CODM makes decisions on resource allocation, assesses performance of the business, and monitors budget versus actual results using net loss. Net loss is also a measure that is considered in monitoring budget versus actual results. The measure of the segment assets is reported on the consolidated balance sheet as total assets.</w:t>
      </w:r>
    </w:p>
    <w:p>
      <w:pPr>
        <w:spacing w:after="0" w:line="3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2"/>
          <w:szCs w:val="12"/>
          <w:color w:val="auto"/>
        </w:rPr>
        <w:t xml:space="preserve">The Company manages its business activities on a consolidated basis and operates in a single reportable segment. Its operations primarily focus on the research and development of its lead product candidate, </w:t>
      </w:r>
      <w:r>
        <w:rPr>
          <w:rFonts w:ascii="Times New Roman" w:cs="Times New Roman" w:eastAsia="Times New Roman" w:hAnsi="Times New Roman"/>
          <w:sz w:val="12"/>
          <w:szCs w:val="12"/>
          <w:i w:val="1"/>
          <w:iCs w:val="1"/>
          <w:color w:val="auto"/>
        </w:rPr>
        <w:t>cadisegliatin,</w:t>
      </w:r>
      <w:r>
        <w:rPr>
          <w:rFonts w:ascii="Times New Roman" w:cs="Times New Roman" w:eastAsia="Times New Roman" w:hAnsi="Times New Roman"/>
          <w:sz w:val="12"/>
          <w:szCs w:val="12"/>
          <w:color w:val="auto"/>
        </w:rPr>
        <w:t xml:space="preserve"> and it has not yet generated any revenue. All of the Company's principal operations, assets, and decision-making functions are based in the U.S., and as a result, all of our financial information is derived from domestic sources except for revenue of $1.0 million and $2.0 million during the years ended December 31, 2024 and 2022, respectively, which were derived from two foreign collaboration partners located in China.</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Significant segment expenses are included in the table below and represent direct and indirect research and development expenses by project for the years ended December 31, 2024, 2023 and 2022 were as follows (in thousands):</w:t>
      </w:r>
    </w:p>
    <w:p>
      <w:pPr>
        <w:spacing w:after="0" w:line="113"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560" w:type="dxa"/>
            <w:vAlign w:val="bottom"/>
            <w:tcBorders>
              <w:bottom w:val="single" w:sz="8" w:color="CCEEFF"/>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rPr>
              <w:t>2024</w:t>
            </w:r>
          </w:p>
        </w:tc>
        <w:tc>
          <w:tcPr>
            <w:tcW w:w="5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0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110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33"/>
        </w:trPr>
        <w:tc>
          <w:tcPr>
            <w:tcW w:w="6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Direct research and development expense:</w:t>
            </w:r>
          </w:p>
        </w:tc>
        <w:tc>
          <w:tcPr>
            <w:tcW w:w="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53"/>
        </w:trPr>
        <w:tc>
          <w:tcPr>
            <w:tcW w:w="6560" w:type="dxa"/>
            <w:vAlign w:val="bottom"/>
          </w:tcPr>
          <w:p>
            <w:pPr>
              <w:ind w:left="80"/>
              <w:spacing w:after="0"/>
              <w:rPr>
                <w:sz w:val="20"/>
                <w:szCs w:val="20"/>
                <w:color w:val="auto"/>
              </w:rPr>
            </w:pPr>
            <w:r>
              <w:rPr>
                <w:rFonts w:ascii="Times New Roman" w:cs="Times New Roman" w:eastAsia="Times New Roman" w:hAnsi="Times New Roman"/>
                <w:sz w:val="12"/>
                <w:szCs w:val="12"/>
                <w:i w:val="1"/>
                <w:iCs w:val="1"/>
                <w:color w:val="auto"/>
              </w:rPr>
              <w:t>Cadisegliatin</w:t>
            </w:r>
          </w:p>
        </w:tc>
        <w:tc>
          <w:tcPr>
            <w:tcW w:w="9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9,611</w:t>
            </w:r>
          </w:p>
        </w:tc>
      </w:tr>
      <w:tr>
        <w:trPr>
          <w:trHeight w:val="153"/>
        </w:trPr>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 projects*</w:t>
            </w:r>
          </w:p>
        </w:tc>
        <w:tc>
          <w:tcPr>
            <w:tcW w:w="9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w:t>
            </w:r>
          </w:p>
        </w:tc>
      </w:tr>
      <w:tr>
        <w:trPr>
          <w:trHeight w:val="153"/>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Indirect research and development expense†</w:t>
            </w: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2,183</w:t>
            </w:r>
          </w:p>
        </w:tc>
      </w:tr>
      <w:tr>
        <w:trPr>
          <w:trHeight w:val="158"/>
        </w:trPr>
        <w:tc>
          <w:tcPr>
            <w:tcW w:w="6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research and development expense</w:t>
            </w:r>
          </w:p>
        </w:tc>
        <w:tc>
          <w:tcPr>
            <w:tcW w:w="94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11,546</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12,357</w:t>
            </w:r>
          </w:p>
        </w:tc>
      </w:tr>
    </w:tbl>
    <w:p>
      <w:pPr>
        <w:spacing w:after="0" w:line="161" w:lineRule="exact"/>
        <w:rPr>
          <w:sz w:val="20"/>
          <w:szCs w:val="20"/>
          <w:color w:val="auto"/>
        </w:rPr>
      </w:pPr>
    </w:p>
    <w:p>
      <w:pPr>
        <w:ind w:left="260" w:hanging="256"/>
        <w:spacing w:after="0"/>
        <w:tabs>
          <w:tab w:leader="none" w:pos="260" w:val="left"/>
        </w:tabs>
        <w:numPr>
          <w:ilvl w:val="0"/>
          <w:numId w:val="56"/>
        </w:numPr>
        <w:rPr>
          <w:rFonts w:ascii="Times New Roman" w:cs="Times New Roman" w:eastAsia="Times New Roman" w:hAnsi="Times New Roman"/>
          <w:sz w:val="10"/>
          <w:szCs w:val="10"/>
          <w:color w:val="auto"/>
        </w:rPr>
      </w:pPr>
      <w:r>
        <w:rPr>
          <w:rFonts w:ascii="Times New Roman" w:cs="Times New Roman" w:eastAsia="Times New Roman" w:hAnsi="Times New Roman"/>
          <w:sz w:val="8"/>
          <w:szCs w:val="8"/>
          <w:i w:val="1"/>
          <w:iCs w:val="1"/>
          <w:color w:val="auto"/>
        </w:rPr>
        <w:t>Includes HPP737 and azeliragon</w:t>
      </w:r>
    </w:p>
    <w:p>
      <w:pPr>
        <w:spacing w:after="0" w:line="6" w:lineRule="exact"/>
        <w:rPr>
          <w:rFonts w:ascii="Times New Roman" w:cs="Times New Roman" w:eastAsia="Times New Roman" w:hAnsi="Times New Roman"/>
          <w:sz w:val="10"/>
          <w:szCs w:val="10"/>
          <w:color w:val="auto"/>
        </w:rPr>
      </w:pPr>
    </w:p>
    <w:p>
      <w:pPr>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8"/>
          <w:szCs w:val="8"/>
          <w:i w:val="1"/>
          <w:iCs w:val="1"/>
          <w:color w:val="auto"/>
        </w:rPr>
        <w:t>Includes share-based compensation</w:t>
      </w:r>
    </w:p>
    <w:p>
      <w:pPr>
        <w:spacing w:after="0" w:line="141"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Segment revenue is consistent with what is presented in the Company’s Consolidated Statements of Operations. Other segment items consist of (i) general and administrative expenses, which include share-based compensation, (ii) interest and other income (expense) and (iii) income tax expense, all of which are reflected in the Company’s Statements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Employee Benefit Plan</w:t>
      </w:r>
    </w:p>
    <w:p>
      <w:pPr>
        <w:spacing w:after="0" w:line="8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Company has a 401(k)-retirement plan in which all of its full-time employees are eligible to participate. The plan provides for the Company to make discretionary 50% matching contributions up to a maximum of 6% of employees’ eligible compensation. The Company contributed $0.1 million to the plan for each of the years ended December 31, 2024 and 2023.</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Company contributed a de minimis amount to the plan for the year ended December 31,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16: Income Taxes</w:t>
      </w:r>
    </w:p>
    <w:p>
      <w:pPr>
        <w:spacing w:after="0" w:line="82" w:lineRule="exact"/>
        <w:rPr>
          <w:sz w:val="20"/>
          <w:szCs w:val="20"/>
          <w:color w:val="auto"/>
        </w:rPr>
      </w:pPr>
    </w:p>
    <w:p>
      <w:pPr>
        <w:ind w:right="20" w:firstLine="324"/>
        <w:spacing w:after="0" w:line="279" w:lineRule="auto"/>
        <w:rPr>
          <w:sz w:val="20"/>
          <w:szCs w:val="20"/>
          <w:color w:val="auto"/>
        </w:rPr>
      </w:pPr>
      <w:r>
        <w:rPr>
          <w:rFonts w:ascii="Times New Roman" w:cs="Times New Roman" w:eastAsia="Times New Roman" w:hAnsi="Times New Roman"/>
          <w:sz w:val="12"/>
          <w:szCs w:val="12"/>
          <w:color w:val="auto"/>
        </w:rPr>
        <w:t>The Company is subject to U.S. federal income taxes as well as state taxes. The Company's income tax provision for the year ended December 31, 2024 and 2022 was $0.1 million and $0.2 million, respectively, representing foreign withholding taxes incurred in connection with payments received under license agreements with foreign entities. The Company did not record an income tax provision for the year ended December 31, 2023.</w:t>
      </w:r>
    </w:p>
    <w:p>
      <w:pPr>
        <w:spacing w:after="0" w:line="39"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2"/>
          <w:szCs w:val="12"/>
          <w:color w:val="auto"/>
        </w:rPr>
        <w:t>Management has evaluated the positive and negative evidence surrounding the realization of its deferred tax assets, including the Company’s history of losses, and under the applicable accounting standards determined that it is more likely than not that the deferred tax assets will not be realized. The difference between the effective tax rate of the Company and the U.S. statutory tax rate of 21% on December 31, 2024 is due to the valuation allowance against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expected net operating losses</w:t>
      </w:r>
      <w:r>
        <w:rPr>
          <w:rFonts w:ascii="Arial" w:cs="Arial" w:eastAsia="Arial" w:hAnsi="Arial"/>
          <w:sz w:val="14"/>
          <w:szCs w:val="14"/>
          <w:color w:val="auto"/>
        </w:rPr>
        <w: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100" w:name="page101"/>
    <w:bookmarkEnd w:id="100"/>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As discussed in Note 13,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December 31, 2024.</w:t>
      </w:r>
    </w:p>
    <w:p>
      <w:pPr>
        <w:spacing w:after="0" w:line="4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In August 2022, the Inflation Reduction Act (“IRA”) and CHIPS and Science Act (“CHIPS Act”) were both enacted. This new legislation includes the implementation of a new corporate alternative minimum tax, an excise tax on stock buybacks, and tax incentives for energy and climate initiatives, among other provisions. The income tax provisions of the IRA or the CHIPS Act had limited applicability to the Company and did not have a material impact on the Company’s consolidated financial statements.</w:t>
      </w:r>
    </w:p>
    <w:p>
      <w:pPr>
        <w:spacing w:after="0" w:line="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reconciliation of the U.S. statutory income tax rate to the Company’s effective tax rate is as follows (in thousands):</w:t>
      </w:r>
    </w:p>
    <w:p>
      <w:pPr>
        <w:spacing w:after="0" w:line="99"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634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28"/>
        </w:trPr>
        <w:tc>
          <w:tcPr>
            <w:tcW w:w="6340" w:type="dxa"/>
            <w:vAlign w:val="bottom"/>
          </w:tcPr>
          <w:p>
            <w:pPr>
              <w:spacing w:after="0"/>
              <w:rPr>
                <w:sz w:val="11"/>
                <w:szCs w:val="11"/>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2023</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jc w:val="right"/>
              <w:ind w:right="621"/>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5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statutory tax benefit</w:t>
            </w:r>
          </w:p>
        </w:tc>
        <w:tc>
          <w:tcPr>
            <w:tcW w:w="96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(4,747)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w w:val="97"/>
              </w:rPr>
              <w:t>(5,453)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(5,223)</w:t>
            </w:r>
          </w:p>
        </w:tc>
      </w:tr>
      <w:tr>
        <w:trPr>
          <w:trHeight w:val="153"/>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Partnership income (federal) not subject to tax to the Company</w:t>
            </w:r>
          </w:p>
        </w:tc>
        <w:tc>
          <w:tcPr>
            <w:tcW w:w="960" w:type="dxa"/>
            <w:vAlign w:val="bottom"/>
          </w:tcPr>
          <w:p>
            <w:pPr>
              <w:spacing w:after="0"/>
              <w:rPr>
                <w:sz w:val="13"/>
                <w:szCs w:val="13"/>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891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1,200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1,241</w:t>
            </w:r>
          </w:p>
        </w:tc>
      </w:tr>
      <w:tr>
        <w:trPr>
          <w:trHeight w:val="15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withholding tax</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158</w:t>
            </w:r>
          </w:p>
        </w:tc>
      </w:tr>
      <w:tr>
        <w:trPr>
          <w:trHeight w:val="153"/>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State taxes (net of federal benefit)</w:t>
            </w:r>
          </w:p>
        </w:tc>
        <w:tc>
          <w:tcPr>
            <w:tcW w:w="960" w:type="dxa"/>
            <w:vAlign w:val="bottom"/>
          </w:tcPr>
          <w:p>
            <w:pPr>
              <w:spacing w:after="0"/>
              <w:rPr>
                <w:sz w:val="13"/>
                <w:szCs w:val="13"/>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(928)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28</w:t>
            </w:r>
          </w:p>
        </w:tc>
      </w:tr>
      <w:tr>
        <w:trPr>
          <w:trHeight w:val="15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tax credit</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(273)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(172)</w:t>
            </w:r>
          </w:p>
        </w:tc>
      </w:tr>
      <w:tr>
        <w:trPr>
          <w:trHeight w:val="153"/>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960" w:type="dxa"/>
            <w:vAlign w:val="bottom"/>
          </w:tcPr>
          <w:p>
            <w:pPr>
              <w:spacing w:after="0"/>
              <w:rPr>
                <w:sz w:val="13"/>
                <w:szCs w:val="13"/>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190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40</w:t>
            </w:r>
          </w:p>
        </w:tc>
      </w:tr>
      <w:tr>
        <w:trPr>
          <w:trHeight w:val="15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9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4,988</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4,592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4,128</w:t>
            </w:r>
          </w:p>
        </w:tc>
      </w:tr>
      <w:tr>
        <w:trPr>
          <w:trHeight w:val="158"/>
        </w:trPr>
        <w:tc>
          <w:tcPr>
            <w:tcW w:w="6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96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200</w:t>
            </w:r>
          </w:p>
        </w:tc>
      </w:tr>
      <w:tr>
        <w:trPr>
          <w:trHeight w:val="15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income tax rate</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0.0 %</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r>
      <w:tr>
        <w:trPr>
          <w:trHeight w:val="279"/>
        </w:trPr>
        <w:tc>
          <w:tcPr>
            <w:tcW w:w="63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Significant components of our net deferred tax assets/(liabilities) are as follows (in thousands):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7"/>
        </w:trPr>
        <w:tc>
          <w:tcPr>
            <w:tcW w:w="6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5"/>
          </w:tcPr>
          <w:p>
            <w:pPr>
              <w:jc w:val="center"/>
              <w:ind w:left="81"/>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1040" w:type="dxa"/>
            <w:vAlign w:val="bottom"/>
            <w:tcBorders>
              <w:bottom w:val="single" w:sz="8" w:color="auto"/>
            </w:tcBorders>
          </w:tcPr>
          <w:p>
            <w:pPr>
              <w:spacing w:after="0"/>
              <w:rPr>
                <w:sz w:val="18"/>
                <w:szCs w:val="18"/>
                <w:color w:val="auto"/>
              </w:rPr>
            </w:pPr>
          </w:p>
        </w:tc>
      </w:tr>
      <w:tr>
        <w:trPr>
          <w:trHeight w:val="128"/>
        </w:trPr>
        <w:tc>
          <w:tcPr>
            <w:tcW w:w="634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9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53"/>
        </w:trPr>
        <w:tc>
          <w:tcPr>
            <w:tcW w:w="6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79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27,819</w:t>
            </w:r>
          </w:p>
        </w:tc>
        <w:tc>
          <w:tcPr>
            <w:tcW w:w="20" w:type="dxa"/>
            <w:vAlign w:val="bottom"/>
          </w:tcPr>
          <w:p>
            <w:pPr>
              <w:spacing w:after="0"/>
              <w:rPr>
                <w:sz w:val="13"/>
                <w:szCs w:val="13"/>
                <w:color w:val="auto"/>
              </w:rPr>
            </w:pPr>
          </w:p>
        </w:tc>
        <w:tc>
          <w:tcPr>
            <w:tcW w:w="480" w:type="dxa"/>
            <w:vAlign w:val="bottom"/>
            <w:gridSpan w:val="2"/>
          </w:tcPr>
          <w:p>
            <w:pPr>
              <w:jc w:val="right"/>
              <w:ind w:right="30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23,718</w:t>
            </w:r>
          </w:p>
        </w:tc>
      </w:tr>
      <w:tr>
        <w:trPr>
          <w:trHeight w:val="153"/>
        </w:trPr>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R&amp;D Tax Credit carryforwards</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2,491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2,215</w:t>
            </w:r>
          </w:p>
        </w:tc>
      </w:tr>
      <w:tr>
        <w:trPr>
          <w:trHeight w:val="153"/>
        </w:trPr>
        <w:tc>
          <w:tcPr>
            <w:tcW w:w="6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Investment in partnerships</w:t>
            </w: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3,322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2,726</w:t>
            </w:r>
          </w:p>
        </w:tc>
      </w:tr>
      <w:tr>
        <w:trPr>
          <w:trHeight w:val="153"/>
        </w:trPr>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Charitable contributions</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w:t>
            </w:r>
          </w:p>
        </w:tc>
      </w:tr>
      <w:tr>
        <w:trPr>
          <w:trHeight w:val="153"/>
        </w:trPr>
        <w:tc>
          <w:tcPr>
            <w:tcW w:w="6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Capital loss carryforward</w:t>
            </w:r>
          </w:p>
        </w:tc>
        <w:tc>
          <w:tcPr>
            <w:tcW w:w="96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395</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380</w:t>
            </w:r>
          </w:p>
        </w:tc>
      </w:tr>
      <w:tr>
        <w:trPr>
          <w:trHeight w:val="142"/>
        </w:trPr>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deferred tax assets</w:t>
            </w:r>
          </w:p>
        </w:tc>
        <w:tc>
          <w:tcPr>
            <w:tcW w:w="9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34,030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29,042</w:t>
            </w:r>
          </w:p>
        </w:tc>
      </w:tr>
      <w:tr>
        <w:trPr>
          <w:trHeight w:val="153"/>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96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(34,030)</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(29,042)</w:t>
            </w:r>
          </w:p>
        </w:tc>
      </w:tr>
      <w:tr>
        <w:trPr>
          <w:trHeight w:val="158"/>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deferred tax assets</w:t>
            </w:r>
          </w:p>
        </w:tc>
        <w:tc>
          <w:tcPr>
            <w:tcW w:w="9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bl>
    <w:p>
      <w:pPr>
        <w:spacing w:after="0" w:line="11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2"/>
          <w:szCs w:val="12"/>
          <w:color w:val="auto"/>
        </w:rPr>
        <w:t>The Company assesses the available positive evidence and negative evidence to estimate whether sufficient future taxable income will be generated to permit use of existing deferred tax assets. A significant piece of objective negative evidence evaluated was the Company’s recent operating losses. Such objective evidence limits the ability to consider other subjective evidence, such as forecasts of profitability. Based on the weight of objective evidence, including cumulative pre-tax losses in recent years, the Company concluded that its deferred tax assets were not realizable on a more-likely-than-not basis and recorded a full valuation allowance. During the year ended December 31, 2024, the Company’s valuation allowance increased by $5.0 million.</w:t>
      </w:r>
    </w:p>
    <w:p>
      <w:pPr>
        <w:spacing w:after="0" w:line="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has federal net operating loss carryforwards of $125.8 million that will be available to offset future taxable income. Approximately, $38.8 million of these carryforwards expire in varying amounts starting in 2035 to 2037, if not utilized and are available to offset 100% of future taxable income. The remaining $86.9 million may be carried forward indefinitely but are only available to offset 80% of future taxable income. The Company has federal research and development tax credits of $2.5 million which expire in varying amounts starting in 2035 to 2043. In addition, the Company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color w:val="auto"/>
        </w:rPr>
        <w:t>has North Carolina net operating loss carryforwards of approximately $59.7 million which are set to expire beginning in 2030 through 2039.</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Company applies applicable authoritative guidance which prescribes a comprehensive model for the manner in which a company should recognize, measure, present and disclose in its consolidated financial statements all material uncertain tax positions that the Company has taken or expects to take on a tax return. As of December 31, 2024, the Company had no uncertain tax positions. There are no uncertain tax positions for which it is reasonably possible that the total amount of unrecognized tax benefits will significantly increase or decrease within twelve months of December 31, 2024.</w:t>
      </w:r>
    </w:p>
    <w:p>
      <w:pPr>
        <w:spacing w:after="0" w:line="47"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 Company files U.S. federal income tax returns and income tax returns in various state and local jurisdictions. The earliest open tax years that are still subject to examination by the IRS and the aforementioned state tax authorities are 2021 to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17: Net Loss per Share</w:t>
      </w:r>
    </w:p>
    <w:p>
      <w:pPr>
        <w:spacing w:after="0" w:line="82"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A reconciliation of the numerator and denominator used in the calculation of basic and diluted net loss per share of Class A common stock is as follows (amounts in thousands, except per share amounts):</w:t>
      </w:r>
    </w:p>
    <w:p>
      <w:pPr>
        <w:spacing w:after="0" w:line="99"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65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28"/>
        </w:trPr>
        <w:tc>
          <w:tcPr>
            <w:tcW w:w="656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38"/>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Numerator:</w:t>
            </w:r>
          </w:p>
        </w:tc>
        <w:tc>
          <w:tcPr>
            <w:tcW w:w="9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3"/>
        </w:trPr>
        <w:tc>
          <w:tcPr>
            <w:tcW w:w="65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loss</w:t>
            </w:r>
          </w:p>
        </w:tc>
        <w:tc>
          <w:tcPr>
            <w:tcW w:w="900" w:type="dxa"/>
            <w:vAlign w:val="bottom"/>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(22,705)</w:t>
            </w:r>
          </w:p>
        </w:tc>
        <w:tc>
          <w:tcPr>
            <w:tcW w:w="8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(25,966)</w:t>
            </w:r>
          </w:p>
        </w:tc>
        <w:tc>
          <w:tcPr>
            <w:tcW w:w="8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(25,073)</w:t>
            </w:r>
          </w:p>
        </w:tc>
      </w:tr>
      <w:tr>
        <w:trPr>
          <w:trHeight w:val="15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Less: Net loss attributable to noncontrolling interests</w:t>
            </w:r>
          </w:p>
        </w:tc>
        <w:tc>
          <w:tcPr>
            <w:tcW w:w="9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(4,243)</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(5,716)</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(5,909)</w:t>
            </w:r>
          </w:p>
        </w:tc>
      </w:tr>
      <w:tr>
        <w:trPr>
          <w:trHeight w:val="142"/>
        </w:trPr>
        <w:tc>
          <w:tcPr>
            <w:tcW w:w="6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Net loss attributable to vTv Therapeutics Inc.</w:t>
            </w: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(18,462)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(19,164)</w:t>
            </w:r>
          </w:p>
        </w:tc>
      </w:tr>
      <w:tr>
        <w:trPr>
          <w:trHeight w:val="142"/>
        </w:trPr>
        <w:tc>
          <w:tcPr>
            <w:tcW w:w="6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Net loss attributable to common shareholders of vTv Therapeutics Inc., basic and diluted</w:t>
            </w:r>
          </w:p>
        </w:tc>
        <w:tc>
          <w:tcPr>
            <w:tcW w:w="90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(18,462)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(20,250)</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(19,164)</w:t>
            </w:r>
          </w:p>
        </w:tc>
      </w:tr>
      <w:tr>
        <w:trPr>
          <w:trHeight w:val="133"/>
        </w:trPr>
        <w:tc>
          <w:tcPr>
            <w:tcW w:w="6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Denominator:</w:t>
            </w: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53"/>
        </w:trPr>
        <w:tc>
          <w:tcPr>
            <w:tcW w:w="6560" w:type="dxa"/>
            <w:vAlign w:val="bottom"/>
            <w:shd w:val="clear" w:color="auto" w:fill="CCEEFF"/>
          </w:tcPr>
          <w:p>
            <w:pPr>
              <w:ind w:left="160"/>
              <w:spacing w:after="0" w:line="153" w:lineRule="exact"/>
              <w:rPr>
                <w:sz w:val="20"/>
                <w:szCs w:val="20"/>
                <w:color w:val="auto"/>
              </w:rPr>
            </w:pPr>
            <w:r>
              <w:rPr>
                <w:rFonts w:ascii="Times New Roman" w:cs="Times New Roman" w:eastAsia="Times New Roman" w:hAnsi="Times New Roman"/>
                <w:sz w:val="12"/>
                <w:szCs w:val="12"/>
                <w:color w:val="auto"/>
              </w:rPr>
              <w:t xml:space="preserve">Weighted average vTv Therapeutics Inc. Class A common stock, basic and diluted </w:t>
            </w:r>
            <w:r>
              <w:rPr>
                <w:rFonts w:ascii="Times New Roman" w:cs="Times New Roman" w:eastAsia="Times New Roman" w:hAnsi="Times New Roman"/>
                <w:sz w:val="15"/>
                <w:szCs w:val="15"/>
                <w:color w:val="auto"/>
                <w:vertAlign w:val="superscript"/>
              </w:rPr>
              <w:t>(1)</w:t>
            </w:r>
          </w:p>
        </w:tc>
        <w:tc>
          <w:tcPr>
            <w:tcW w:w="9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5,771,052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2,084,973</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1,919,788</w:t>
            </w:r>
          </w:p>
        </w:tc>
      </w:tr>
      <w:tr>
        <w:trPr>
          <w:trHeight w:val="158"/>
        </w:trPr>
        <w:tc>
          <w:tcPr>
            <w:tcW w:w="6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Net loss per share of vTv Therapeutics Inc. Class A common stock, basic and diluted</w:t>
            </w:r>
          </w:p>
        </w:tc>
        <w:tc>
          <w:tcPr>
            <w:tcW w:w="90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(9.98)</w:t>
            </w:r>
          </w:p>
        </w:tc>
      </w:tr>
      <w:tr>
        <w:trPr>
          <w:trHeight w:val="135"/>
        </w:trPr>
        <w:tc>
          <w:tcPr>
            <w:tcW w:w="6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Adjusted retroactively for reverse stock split, see Note 1</w:t>
            </w:r>
          </w:p>
        </w:tc>
        <w:tc>
          <w:tcPr>
            <w:tcW w:w="9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bl>
    <w:p>
      <w:pPr>
        <w:spacing w:after="0" w:line="160" w:lineRule="exact"/>
        <w:rPr>
          <w:sz w:val="20"/>
          <w:szCs w:val="20"/>
          <w:color w:val="auto"/>
        </w:rPr>
      </w:pPr>
    </w:p>
    <w:p>
      <w:pPr>
        <w:ind w:left="920" w:right="220" w:hanging="457"/>
        <w:spacing w:after="0" w:line="208" w:lineRule="auto"/>
        <w:tabs>
          <w:tab w:leader="none" w:pos="920" w:val="left"/>
        </w:tabs>
        <w:numPr>
          <w:ilvl w:val="0"/>
          <w:numId w:val="5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 shares underlying the pre-funded warrants to purchase shares of the Company’s common stock have been included in the calculation of the weighted-average number of shares outstanding, basic and diluted, for the year ended December 31, 2024.</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Potentially dilutive securities not included in the calculation of dilutive net loss per share are as follows:</w:t>
      </w:r>
    </w:p>
    <w:p>
      <w:pPr>
        <w:spacing w:after="0" w:line="99" w:lineRule="exact"/>
        <w:rPr>
          <w:sz w:val="20"/>
          <w:szCs w:val="20"/>
          <w:color w:val="auto"/>
        </w:rPr>
      </w:pPr>
    </w:p>
    <w:tbl>
      <w:tblPr>
        <w:tblLayout w:type="fixed"/>
        <w:tblInd w:w="100" w:type="dxa"/>
        <w:tblCellMar>
          <w:top w:w="0" w:type="dxa"/>
          <w:left w:w="0" w:type="dxa"/>
          <w:bottom w:w="0" w:type="dxa"/>
          <w:right w:w="0" w:type="dxa"/>
        </w:tblCellMar>
      </w:tblPr>
      <w:tr>
        <w:trPr>
          <w:trHeight w:val="134"/>
        </w:trPr>
        <w:tc>
          <w:tcPr>
            <w:tcW w:w="65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460" w:type="dxa"/>
            <w:vAlign w:val="bottom"/>
            <w:tcBorders>
              <w:bottom w:val="single" w:sz="8" w:color="auto"/>
            </w:tcBorders>
          </w:tcPr>
          <w:p>
            <w:pPr>
              <w:spacing w:after="0"/>
              <w:rPr>
                <w:sz w:val="11"/>
                <w:szCs w:val="11"/>
                <w:color w:val="auto"/>
              </w:rPr>
            </w:pPr>
          </w:p>
        </w:tc>
      </w:tr>
      <w:tr>
        <w:trPr>
          <w:trHeight w:val="128"/>
        </w:trPr>
        <w:tc>
          <w:tcPr>
            <w:tcW w:w="65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14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47"/>
        </w:trPr>
        <w:tc>
          <w:tcPr>
            <w:tcW w:w="6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 xml:space="preserve">Class B common stock </w:t>
            </w:r>
            <w:r>
              <w:rPr>
                <w:rFonts w:ascii="Times New Roman" w:cs="Times New Roman" w:eastAsia="Times New Roman" w:hAnsi="Times New Roman"/>
                <w:sz w:val="15"/>
                <w:szCs w:val="15"/>
                <w:color w:val="auto"/>
                <w:vertAlign w:val="superscript"/>
              </w:rPr>
              <w:t>(1) (*)</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577,349</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577,349</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577,349</w:t>
            </w:r>
          </w:p>
        </w:tc>
      </w:tr>
      <w:tr>
        <w:trPr>
          <w:trHeight w:val="153"/>
        </w:trPr>
        <w:tc>
          <w:tcPr>
            <w:tcW w:w="7440" w:type="dxa"/>
            <w:vAlign w:val="bottom"/>
            <w:gridSpan w:val="2"/>
          </w:tcPr>
          <w:p>
            <w:pPr>
              <w:spacing w:after="0" w:line="153" w:lineRule="exact"/>
              <w:rPr>
                <w:sz w:val="20"/>
                <w:szCs w:val="20"/>
                <w:color w:val="auto"/>
              </w:rPr>
            </w:pPr>
            <w:r>
              <w:rPr>
                <w:rFonts w:ascii="Times New Roman" w:cs="Times New Roman" w:eastAsia="Times New Roman" w:hAnsi="Times New Roman"/>
                <w:sz w:val="12"/>
                <w:szCs w:val="12"/>
                <w:color w:val="auto"/>
              </w:rPr>
              <w:t xml:space="preserve">Common stock options granted under the Plan </w:t>
            </w:r>
            <w:r>
              <w:rPr>
                <w:rFonts w:ascii="Times New Roman" w:cs="Times New Roman" w:eastAsia="Times New Roman" w:hAnsi="Times New Roman"/>
                <w:sz w:val="15"/>
                <w:szCs w:val="15"/>
                <w:color w:val="auto"/>
                <w:vertAlign w:val="superscript"/>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705,593</w:t>
            </w:r>
          </w:p>
        </w:tc>
        <w:tc>
          <w:tcPr>
            <w:tcW w:w="80" w:type="dxa"/>
            <w:vAlign w:val="bottom"/>
          </w:tcPr>
          <w:p>
            <w:pPr>
              <w:spacing w:after="0"/>
              <w:rPr>
                <w:sz w:val="13"/>
                <w:szCs w:val="13"/>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249,247</w:t>
            </w:r>
          </w:p>
        </w:tc>
        <w:tc>
          <w:tcPr>
            <w:tcW w:w="8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208,586</w:t>
            </w:r>
          </w:p>
        </w:tc>
      </w:tr>
      <w:tr>
        <w:trPr>
          <w:trHeight w:val="153"/>
        </w:trPr>
        <w:tc>
          <w:tcPr>
            <w:tcW w:w="65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Common stock warrants </w:t>
            </w:r>
            <w:r>
              <w:rPr>
                <w:rFonts w:ascii="Times New Roman" w:cs="Times New Roman" w:eastAsia="Times New Roman" w:hAnsi="Times New Roman"/>
                <w:sz w:val="15"/>
                <w:szCs w:val="15"/>
                <w:color w:val="auto"/>
                <w:vertAlign w:val="superscript"/>
              </w:rPr>
              <w:t>(*)</w:t>
            </w:r>
          </w:p>
        </w:tc>
        <w:tc>
          <w:tcPr>
            <w:tcW w:w="8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70,639</w:t>
            </w:r>
          </w:p>
        </w:tc>
        <w:tc>
          <w:tcPr>
            <w:tcW w:w="8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76,545</w:t>
            </w:r>
          </w:p>
        </w:tc>
        <w:tc>
          <w:tcPr>
            <w:tcW w:w="8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80,359</w:t>
            </w:r>
          </w:p>
        </w:tc>
      </w:tr>
      <w:tr>
        <w:trPr>
          <w:trHeight w:val="158"/>
        </w:trPr>
        <w:tc>
          <w:tcPr>
            <w:tcW w:w="744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2"/>
                <w:szCs w:val="12"/>
                <w:color w:val="auto"/>
              </w:rPr>
              <w:t xml:space="preserve">Total </w:t>
            </w:r>
            <w:r>
              <w:rPr>
                <w:rFonts w:ascii="Times New Roman" w:cs="Times New Roman" w:eastAsia="Times New Roman" w:hAnsi="Times New Roman"/>
                <w:sz w:val="15"/>
                <w:szCs w:val="15"/>
                <w:color w:val="auto"/>
                <w:vertAlign w:val="superscript"/>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1,353,581</w:t>
            </w:r>
          </w:p>
        </w:tc>
        <w:tc>
          <w:tcPr>
            <w:tcW w:w="80" w:type="dxa"/>
            <w:vAlign w:val="bottom"/>
          </w:tcPr>
          <w:p>
            <w:pPr>
              <w:spacing w:after="0"/>
              <w:rPr>
                <w:sz w:val="13"/>
                <w:szCs w:val="13"/>
                <w:color w:val="auto"/>
              </w:rPr>
            </w:pP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903,141</w:t>
            </w:r>
          </w:p>
        </w:tc>
        <w:tc>
          <w:tcPr>
            <w:tcW w:w="80" w:type="dxa"/>
            <w:vAlign w:val="bottom"/>
          </w:tcPr>
          <w:p>
            <w:pPr>
              <w:spacing w:after="0"/>
              <w:rPr>
                <w:sz w:val="13"/>
                <w:szCs w:val="13"/>
                <w:color w:val="auto"/>
              </w:rPr>
            </w:pPr>
          </w:p>
        </w:tc>
        <w:tc>
          <w:tcPr>
            <w:tcW w:w="14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866,294</w:t>
            </w:r>
          </w:p>
        </w:tc>
      </w:tr>
      <w:tr>
        <w:trPr>
          <w:trHeight w:val="135"/>
        </w:trPr>
        <w:tc>
          <w:tcPr>
            <w:tcW w:w="656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Adjusted retroactively for reverse stock split, see Note 1</w:t>
            </w:r>
          </w:p>
        </w:tc>
        <w:tc>
          <w:tcPr>
            <w:tcW w:w="8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w:t>
      </w:r>
    </w:p>
    <w:p>
      <w:pPr>
        <w:spacing w:after="0" w:line="78" w:lineRule="exact"/>
        <w:rPr>
          <w:sz w:val="20"/>
          <w:szCs w:val="20"/>
          <w:color w:val="auto"/>
        </w:rPr>
      </w:pPr>
    </w:p>
    <w:p>
      <w:pPr>
        <w:ind w:left="640" w:hanging="324"/>
        <w:spacing w:after="0"/>
        <w:tabs>
          <w:tab w:leader="none" w:pos="64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Class B common stock do not share in the Company’s earnings and are not participating securities. Accordingly, separate presentation of loss per share of Class B common stock under the two-class method has</w:t>
      </w:r>
    </w:p>
    <w:p>
      <w:pPr>
        <w:spacing w:after="0" w:line="200" w:lineRule="exact"/>
        <w:rPr>
          <w:rFonts w:ascii="Times New Roman" w:cs="Times New Roman" w:eastAsia="Times New Roman" w:hAnsi="Times New Roman"/>
          <w:sz w:val="12"/>
          <w:szCs w:val="12"/>
          <w:color w:val="auto"/>
        </w:rPr>
      </w:pPr>
    </w:p>
    <w:p>
      <w:pPr>
        <w:spacing w:after="0" w:line="319" w:lineRule="exact"/>
        <w:rPr>
          <w:rFonts w:ascii="Times New Roman" w:cs="Times New Roman" w:eastAsia="Times New Roman" w:hAnsi="Times New Roman"/>
          <w:sz w:val="12"/>
          <w:szCs w:val="12"/>
          <w:color w:val="auto"/>
        </w:rPr>
      </w:pPr>
    </w:p>
    <w:p>
      <w:pPr>
        <w:ind w:left="55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102" w:name="page103"/>
    <w:bookmarkEnd w:id="102"/>
    <w:p>
      <w:pPr>
        <w:ind w:left="640"/>
        <w:spacing w:after="0"/>
        <w:rPr>
          <w:sz w:val="20"/>
          <w:szCs w:val="20"/>
          <w:color w:val="auto"/>
        </w:rPr>
      </w:pPr>
      <w:r>
        <w:rPr>
          <w:rFonts w:ascii="Times New Roman" w:cs="Times New Roman" w:eastAsia="Times New Roman" w:hAnsi="Times New Roman"/>
          <w:sz w:val="12"/>
          <w:szCs w:val="12"/>
          <w:color w:val="auto"/>
        </w:rPr>
        <w:t>not been provided. Each share of Class B common stock (together with a corresponding vTv Unit) is exchangeable for one share of Class A common stock.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18: Fair Value of Financial Instruments</w:t>
      </w:r>
    </w:p>
    <w:p>
      <w:pPr>
        <w:spacing w:after="0" w:line="8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Assets and Liabilities Measured at Fair Value on a Recurring Basis</w:t>
      </w:r>
    </w:p>
    <w:p>
      <w:pPr>
        <w:spacing w:after="0" w:line="8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December 31, 2024, 2023 and 2022 (in thousands):</w:t>
      </w:r>
    </w:p>
    <w:p>
      <w:pPr>
        <w:spacing w:after="0" w:line="45"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Quoted Prices in Active</w:t>
            </w:r>
          </w:p>
        </w:tc>
        <w:tc>
          <w:tcPr>
            <w:tcW w:w="80" w:type="dxa"/>
            <w:vAlign w:val="bottom"/>
          </w:tcPr>
          <w:p>
            <w:pPr>
              <w:spacing w:after="0"/>
              <w:rPr>
                <w:sz w:val="10"/>
                <w:szCs w:val="1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Significant Other Observable</w:t>
            </w:r>
          </w:p>
        </w:tc>
        <w:tc>
          <w:tcPr>
            <w:tcW w:w="140" w:type="dxa"/>
            <w:vAlign w:val="bottom"/>
          </w:tcPr>
          <w:p>
            <w:pPr>
              <w:spacing w:after="0"/>
              <w:rPr>
                <w:sz w:val="10"/>
                <w:szCs w:val="10"/>
                <w:color w:val="auto"/>
              </w:rPr>
            </w:pPr>
          </w:p>
        </w:tc>
        <w:tc>
          <w:tcPr>
            <w:tcW w:w="1340" w:type="dxa"/>
            <w:vAlign w:val="bottom"/>
          </w:tcPr>
          <w:p>
            <w:pPr>
              <w:jc w:val="center"/>
              <w:ind w:right="106"/>
              <w:spacing w:after="0"/>
              <w:rPr>
                <w:sz w:val="20"/>
                <w:szCs w:val="20"/>
                <w:color w:val="auto"/>
              </w:rPr>
            </w:pPr>
            <w:r>
              <w:rPr>
                <w:rFonts w:ascii="Times New Roman" w:cs="Times New Roman" w:eastAsia="Times New Roman" w:hAnsi="Times New Roman"/>
                <w:sz w:val="10"/>
                <w:szCs w:val="10"/>
                <w:b w:val="1"/>
                <w:bCs w:val="1"/>
                <w:color w:val="auto"/>
                <w:w w:val="94"/>
              </w:rPr>
              <w:t>Significant Unobservable</w:t>
            </w:r>
          </w:p>
        </w:tc>
        <w:tc>
          <w:tcPr>
            <w:tcW w:w="0" w:type="dxa"/>
            <w:vAlign w:val="bottom"/>
          </w:tcPr>
          <w:p>
            <w:pPr>
              <w:spacing w:after="0"/>
              <w:rPr>
                <w:sz w:val="1"/>
                <w:szCs w:val="1"/>
                <w:color w:val="auto"/>
              </w:rPr>
            </w:pPr>
          </w:p>
        </w:tc>
      </w:tr>
      <w:tr>
        <w:trPr>
          <w:trHeight w:val="97"/>
        </w:trPr>
        <w:tc>
          <w:tcPr>
            <w:tcW w:w="5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December 31, 2024</w:t>
            </w:r>
          </w:p>
        </w:tc>
        <w:tc>
          <w:tcPr>
            <w:tcW w:w="100" w:type="dxa"/>
            <w:vAlign w:val="bottom"/>
          </w:tcPr>
          <w:p>
            <w:pPr>
              <w:spacing w:after="0"/>
              <w:rPr>
                <w:sz w:val="8"/>
                <w:szCs w:val="8"/>
                <w:color w:val="auto"/>
              </w:rPr>
            </w:pPr>
          </w:p>
        </w:tc>
        <w:tc>
          <w:tcPr>
            <w:tcW w:w="1440" w:type="dxa"/>
            <w:vAlign w:val="bottom"/>
            <w:gridSpan w:val="2"/>
          </w:tcPr>
          <w:p>
            <w:pPr>
              <w:jc w:val="center"/>
              <w:ind w:right="200"/>
              <w:spacing w:after="0" w:line="98" w:lineRule="exact"/>
              <w:rPr>
                <w:sz w:val="20"/>
                <w:szCs w:val="20"/>
                <w:color w:val="auto"/>
              </w:rPr>
            </w:pPr>
            <w:r>
              <w:rPr>
                <w:rFonts w:ascii="Times New Roman" w:cs="Times New Roman" w:eastAsia="Times New Roman" w:hAnsi="Times New Roman"/>
                <w:sz w:val="10"/>
                <w:szCs w:val="10"/>
                <w:b w:val="1"/>
                <w:bCs w:val="1"/>
                <w:color w:val="auto"/>
                <w:w w:val="95"/>
              </w:rPr>
              <w:t>Markets for Identical Assets</w:t>
            </w:r>
          </w:p>
        </w:tc>
        <w:tc>
          <w:tcPr>
            <w:tcW w:w="80" w:type="dxa"/>
            <w:vAlign w:val="bottom"/>
          </w:tcPr>
          <w:p>
            <w:pPr>
              <w:spacing w:after="0"/>
              <w:rPr>
                <w:sz w:val="8"/>
                <w:szCs w:val="8"/>
                <w:color w:val="auto"/>
              </w:rPr>
            </w:pPr>
          </w:p>
        </w:tc>
        <w:tc>
          <w:tcPr>
            <w:tcW w:w="1440" w:type="dxa"/>
            <w:vAlign w:val="bottom"/>
            <w:gridSpan w:val="2"/>
          </w:tcPr>
          <w:p>
            <w:pPr>
              <w:jc w:val="center"/>
              <w:ind w:right="180"/>
              <w:spacing w:after="0" w:line="98"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140" w:type="dxa"/>
            <w:vAlign w:val="bottom"/>
          </w:tcPr>
          <w:p>
            <w:pPr>
              <w:spacing w:after="0"/>
              <w:rPr>
                <w:sz w:val="8"/>
                <w:szCs w:val="8"/>
                <w:color w:val="auto"/>
              </w:rPr>
            </w:pPr>
          </w:p>
        </w:tc>
        <w:tc>
          <w:tcPr>
            <w:tcW w:w="1340" w:type="dxa"/>
            <w:vAlign w:val="bottom"/>
          </w:tcPr>
          <w:p>
            <w:pPr>
              <w:jc w:val="center"/>
              <w:ind w:right="86"/>
              <w:spacing w:after="0" w:line="98" w:lineRule="exact"/>
              <w:rPr>
                <w:sz w:val="20"/>
                <w:szCs w:val="20"/>
                <w:color w:val="auto"/>
              </w:rPr>
            </w:pPr>
            <w:r>
              <w:rPr>
                <w:rFonts w:ascii="Times New Roman" w:cs="Times New Roman" w:eastAsia="Times New Roman" w:hAnsi="Times New Roman"/>
                <w:sz w:val="10"/>
                <w:szCs w:val="10"/>
                <w:b w:val="1"/>
                <w:bCs w:val="1"/>
                <w:color w:val="auto"/>
              </w:rPr>
              <w:t>Inputs</w:t>
            </w:r>
          </w:p>
        </w:tc>
        <w:tc>
          <w:tcPr>
            <w:tcW w:w="0" w:type="dxa"/>
            <w:vAlign w:val="bottom"/>
          </w:tcPr>
          <w:p>
            <w:pPr>
              <w:spacing w:after="0"/>
              <w:rPr>
                <w:sz w:val="1"/>
                <w:szCs w:val="1"/>
                <w:color w:val="auto"/>
              </w:rPr>
            </w:pPr>
          </w:p>
        </w:tc>
      </w:tr>
      <w:tr>
        <w:trPr>
          <w:trHeight w:val="130"/>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80" w:type="dxa"/>
            <w:vAlign w:val="bottom"/>
          </w:tcPr>
          <w:p>
            <w:pPr>
              <w:spacing w:after="0"/>
              <w:rPr>
                <w:sz w:val="11"/>
                <w:szCs w:val="11"/>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140" w:type="dxa"/>
            <w:vAlign w:val="bottom"/>
          </w:tcPr>
          <w:p>
            <w:pPr>
              <w:spacing w:after="0"/>
              <w:rPr>
                <w:sz w:val="11"/>
                <w:szCs w:val="11"/>
                <w:color w:val="auto"/>
              </w:rPr>
            </w:pPr>
          </w:p>
        </w:tc>
        <w:tc>
          <w:tcPr>
            <w:tcW w:w="1340" w:type="dxa"/>
            <w:vAlign w:val="bottom"/>
          </w:tcPr>
          <w:p>
            <w:pPr>
              <w:jc w:val="center"/>
              <w:ind w:right="86"/>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0" w:type="dxa"/>
            <w:vAlign w:val="bottom"/>
          </w:tcPr>
          <w:p>
            <w:pPr>
              <w:spacing w:after="0"/>
              <w:rPr>
                <w:sz w:val="1"/>
                <w:szCs w:val="1"/>
                <w:color w:val="auto"/>
              </w:rPr>
            </w:pPr>
          </w:p>
        </w:tc>
      </w:tr>
      <w:tr>
        <w:trPr>
          <w:trHeight w:val="138"/>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8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20" w:type="dxa"/>
            <w:vAlign w:val="bottom"/>
          </w:tcPr>
          <w:p>
            <w:pPr>
              <w:ind w:left="160"/>
              <w:spacing w:after="0" w:line="153" w:lineRule="exact"/>
              <w:rPr>
                <w:sz w:val="20"/>
                <w:szCs w:val="20"/>
                <w:color w:val="auto"/>
              </w:rPr>
            </w:pPr>
            <w:r>
              <w:rPr>
                <w:rFonts w:ascii="Times New Roman" w:cs="Times New Roman" w:eastAsia="Times New Roman" w:hAnsi="Times New Roman"/>
                <w:sz w:val="12"/>
                <w:szCs w:val="12"/>
                <w:color w:val="auto"/>
              </w:rPr>
              <w:t xml:space="preserve">Warrant liability, related party </w:t>
            </w:r>
            <w:r>
              <w:rPr>
                <w:rFonts w:ascii="Times New Roman" w:cs="Times New Roman" w:eastAsia="Times New Roman" w:hAnsi="Times New Roman"/>
                <w:sz w:val="15"/>
                <w:szCs w:val="15"/>
                <w:color w:val="auto"/>
                <w:vertAlign w:val="superscript"/>
              </w:rPr>
              <w:t>(1)(2)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153"/>
        </w:trPr>
        <w:tc>
          <w:tcPr>
            <w:tcW w:w="5020" w:type="dxa"/>
            <w:vAlign w:val="bottom"/>
            <w:shd w:val="clear" w:color="auto" w:fill="CCEEFF"/>
          </w:tcPr>
          <w:p>
            <w:pPr>
              <w:ind w:left="160"/>
              <w:spacing w:after="0" w:line="153" w:lineRule="exact"/>
              <w:rPr>
                <w:sz w:val="20"/>
                <w:szCs w:val="20"/>
                <w:color w:val="auto"/>
              </w:rPr>
            </w:pPr>
            <w:r>
              <w:rPr>
                <w:rFonts w:ascii="Times New Roman" w:cs="Times New Roman" w:eastAsia="Times New Roman" w:hAnsi="Times New Roman"/>
                <w:sz w:val="12"/>
                <w:szCs w:val="12"/>
                <w:color w:val="auto"/>
              </w:rPr>
              <w:t>Warrant liability</w:t>
            </w:r>
            <w:r>
              <w:rPr>
                <w:rFonts w:ascii="Times New Roman" w:cs="Times New Roman" w:eastAsia="Times New Roman" w:hAnsi="Times New Roman"/>
                <w:sz w:val="15"/>
                <w:szCs w:val="15"/>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42"/>
        </w:trPr>
        <w:tc>
          <w:tcPr>
            <w:tcW w:w="502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660" w:right="120" w:hanging="553"/>
        <w:spacing w:after="0" w:line="208" w:lineRule="auto"/>
        <w:tabs>
          <w:tab w:leader="none" w:pos="660" w:val="left"/>
        </w:tabs>
        <w:numPr>
          <w:ilvl w:val="0"/>
          <w:numId w:val="5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p>
      <w:pPr>
        <w:ind w:left="660" w:hanging="553"/>
        <w:spacing w:after="0" w:line="209" w:lineRule="auto"/>
        <w:tabs>
          <w:tab w:leader="none" w:pos="660" w:val="left"/>
        </w:tabs>
        <w:numPr>
          <w:ilvl w:val="0"/>
          <w:numId w:val="5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CinRx is no longer deemed to be a related party. As a result the CinRx Warrants are no longer included.</w:t>
      </w:r>
    </w:p>
    <w:p>
      <w:pPr>
        <w:spacing w:after="0" w:line="130"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Quoted Prices in Active</w:t>
            </w:r>
          </w:p>
        </w:tc>
        <w:tc>
          <w:tcPr>
            <w:tcW w:w="80" w:type="dxa"/>
            <w:vAlign w:val="bottom"/>
          </w:tcPr>
          <w:p>
            <w:pPr>
              <w:spacing w:after="0"/>
              <w:rPr>
                <w:sz w:val="10"/>
                <w:szCs w:val="1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Significant Other Observable</w:t>
            </w:r>
          </w:p>
        </w:tc>
        <w:tc>
          <w:tcPr>
            <w:tcW w:w="140" w:type="dxa"/>
            <w:vAlign w:val="bottom"/>
          </w:tcPr>
          <w:p>
            <w:pPr>
              <w:spacing w:after="0"/>
              <w:rPr>
                <w:sz w:val="10"/>
                <w:szCs w:val="10"/>
                <w:color w:val="auto"/>
              </w:rPr>
            </w:pPr>
          </w:p>
        </w:tc>
        <w:tc>
          <w:tcPr>
            <w:tcW w:w="1340" w:type="dxa"/>
            <w:vAlign w:val="bottom"/>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4"/>
              </w:rPr>
              <w:t>Significant Unobservable</w:t>
            </w:r>
          </w:p>
        </w:tc>
        <w:tc>
          <w:tcPr>
            <w:tcW w:w="0" w:type="dxa"/>
            <w:vAlign w:val="bottom"/>
          </w:tcPr>
          <w:p>
            <w:pPr>
              <w:spacing w:after="0"/>
              <w:rPr>
                <w:sz w:val="1"/>
                <w:szCs w:val="1"/>
                <w:color w:val="auto"/>
              </w:rPr>
            </w:pPr>
          </w:p>
        </w:tc>
      </w:tr>
      <w:tr>
        <w:trPr>
          <w:trHeight w:val="99"/>
        </w:trPr>
        <w:tc>
          <w:tcPr>
            <w:tcW w:w="5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December 31, 2023</w:t>
            </w:r>
          </w:p>
        </w:tc>
        <w:tc>
          <w:tcPr>
            <w:tcW w:w="100" w:type="dxa"/>
            <w:vAlign w:val="bottom"/>
          </w:tcPr>
          <w:p>
            <w:pPr>
              <w:spacing w:after="0"/>
              <w:rPr>
                <w:sz w:val="8"/>
                <w:szCs w:val="8"/>
                <w:color w:val="auto"/>
              </w:rPr>
            </w:pPr>
          </w:p>
        </w:tc>
        <w:tc>
          <w:tcPr>
            <w:tcW w:w="144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5"/>
              </w:rPr>
              <w:t>Markets for Identical Assets</w:t>
            </w:r>
          </w:p>
        </w:tc>
        <w:tc>
          <w:tcPr>
            <w:tcW w:w="80" w:type="dxa"/>
            <w:vAlign w:val="bottom"/>
          </w:tcPr>
          <w:p>
            <w:pPr>
              <w:spacing w:after="0"/>
              <w:rPr>
                <w:sz w:val="8"/>
                <w:szCs w:val="8"/>
                <w:color w:val="auto"/>
              </w:rPr>
            </w:pPr>
          </w:p>
        </w:tc>
        <w:tc>
          <w:tcPr>
            <w:tcW w:w="144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140" w:type="dxa"/>
            <w:vAlign w:val="bottom"/>
          </w:tcPr>
          <w:p>
            <w:pPr>
              <w:spacing w:after="0"/>
              <w:rPr>
                <w:sz w:val="8"/>
                <w:szCs w:val="8"/>
                <w:color w:val="auto"/>
              </w:rPr>
            </w:pPr>
          </w:p>
        </w:tc>
        <w:tc>
          <w:tcPr>
            <w:tcW w:w="1340" w:type="dxa"/>
            <w:vAlign w:val="bottom"/>
          </w:tcPr>
          <w:p>
            <w:pPr>
              <w:jc w:val="center"/>
              <w:ind w:right="87"/>
              <w:spacing w:after="0" w:line="99" w:lineRule="exact"/>
              <w:rPr>
                <w:sz w:val="20"/>
                <w:szCs w:val="20"/>
                <w:color w:val="auto"/>
              </w:rPr>
            </w:pPr>
            <w:r>
              <w:rPr>
                <w:rFonts w:ascii="Times New Roman" w:cs="Times New Roman" w:eastAsia="Times New Roman" w:hAnsi="Times New Roman"/>
                <w:sz w:val="10"/>
                <w:szCs w:val="10"/>
                <w:b w:val="1"/>
                <w:bCs w:val="1"/>
                <w:color w:val="auto"/>
              </w:rPr>
              <w:t>Inputs</w:t>
            </w:r>
          </w:p>
        </w:tc>
        <w:tc>
          <w:tcPr>
            <w:tcW w:w="0" w:type="dxa"/>
            <w:vAlign w:val="bottom"/>
          </w:tcPr>
          <w:p>
            <w:pPr>
              <w:spacing w:after="0"/>
              <w:rPr>
                <w:sz w:val="1"/>
                <w:szCs w:val="1"/>
                <w:color w:val="auto"/>
              </w:rPr>
            </w:pPr>
          </w:p>
        </w:tc>
      </w:tr>
      <w:tr>
        <w:trPr>
          <w:trHeight w:val="125"/>
        </w:trPr>
        <w:tc>
          <w:tcPr>
            <w:tcW w:w="5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80" w:type="dxa"/>
            <w:vAlign w:val="bottom"/>
          </w:tcPr>
          <w:p>
            <w:pPr>
              <w:spacing w:after="0"/>
              <w:rPr>
                <w:sz w:val="10"/>
                <w:szCs w:val="1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140" w:type="dxa"/>
            <w:vAlign w:val="bottom"/>
          </w:tcPr>
          <w:p>
            <w:pPr>
              <w:spacing w:after="0"/>
              <w:rPr>
                <w:sz w:val="10"/>
                <w:szCs w:val="10"/>
                <w:color w:val="auto"/>
              </w:rPr>
            </w:pPr>
          </w:p>
        </w:tc>
        <w:tc>
          <w:tcPr>
            <w:tcW w:w="1340" w:type="dxa"/>
            <w:vAlign w:val="bottom"/>
          </w:tcPr>
          <w:p>
            <w:pPr>
              <w:jc w:val="center"/>
              <w:ind w:right="87"/>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0" w:type="dxa"/>
            <w:vAlign w:val="bottom"/>
          </w:tcPr>
          <w:p>
            <w:pPr>
              <w:spacing w:after="0"/>
              <w:rPr>
                <w:sz w:val="1"/>
                <w:szCs w:val="1"/>
                <w:color w:val="auto"/>
              </w:rPr>
            </w:pPr>
          </w:p>
        </w:tc>
      </w:tr>
      <w:tr>
        <w:trPr>
          <w:trHeight w:val="150"/>
        </w:trPr>
        <w:tc>
          <w:tcPr>
            <w:tcW w:w="5020" w:type="dxa"/>
            <w:vAlign w:val="bottom"/>
            <w:tcBorders>
              <w:bottom w:val="single" w:sz="8" w:color="CCEEFF"/>
            </w:tcBorders>
          </w:tcPr>
          <w:p>
            <w:pPr>
              <w:ind w:left="160"/>
              <w:spacing w:after="0" w:line="150" w:lineRule="exact"/>
              <w:rPr>
                <w:sz w:val="20"/>
                <w:szCs w:val="20"/>
                <w:color w:val="auto"/>
              </w:rPr>
            </w:pPr>
            <w:r>
              <w:rPr>
                <w:rFonts w:ascii="Times New Roman" w:cs="Times New Roman" w:eastAsia="Times New Roman" w:hAnsi="Times New Roman"/>
                <w:sz w:val="12"/>
                <w:szCs w:val="12"/>
                <w:color w:val="auto"/>
              </w:rPr>
              <w:t xml:space="preserve">Warrant liability, related party </w:t>
            </w:r>
            <w:r>
              <w:rPr>
                <w:rFonts w:ascii="Times New Roman" w:cs="Times New Roman" w:eastAsia="Times New Roman" w:hAnsi="Times New Roman"/>
                <w:sz w:val="15"/>
                <w:szCs w:val="15"/>
                <w:color w:val="auto"/>
                <w:vertAlign w:val="superscript"/>
              </w:rPr>
              <w:t>(1)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58"/>
        </w:trPr>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w:t>
      </w:r>
    </w:p>
    <w:p>
      <w:pPr>
        <w:spacing w:after="0" w:line="80" w:lineRule="exact"/>
        <w:rPr>
          <w:sz w:val="20"/>
          <w:szCs w:val="20"/>
          <w:color w:val="auto"/>
        </w:rPr>
      </w:pPr>
    </w:p>
    <w:p>
      <w:pPr>
        <w:ind w:left="540" w:right="20" w:hanging="332"/>
        <w:spacing w:after="0" w:line="279" w:lineRule="auto"/>
        <w:tabs>
          <w:tab w:leader="none" w:pos="535" w:val="left"/>
        </w:tabs>
        <w:numPr>
          <w:ilvl w:val="0"/>
          <w:numId w:val="60"/>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9" w:right="299" w:bottom="1440" w:gutter="0" w:footer="0" w:header="0"/>
        </w:sectPr>
      </w:pPr>
    </w:p>
    <w:bookmarkStart w:id="103" w:name="page104"/>
    <w:bookmarkEnd w:id="103"/>
    <w:tbl>
      <w:tblPr>
        <w:tblLayout w:type="fixed"/>
        <w:tblInd w:w="40" w:type="dxa"/>
        <w:tblCellMar>
          <w:top w:w="0" w:type="dxa"/>
          <w:left w:w="0" w:type="dxa"/>
          <w:bottom w:w="0" w:type="dxa"/>
          <w:right w:w="0" w:type="dxa"/>
        </w:tblCellMar>
      </w:tblPr>
      <w:tr>
        <w:trPr>
          <w:trHeight w:val="134"/>
        </w:trPr>
        <w:tc>
          <w:tcPr>
            <w:tcW w:w="2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20" w:type="dxa"/>
            <w:vAlign w:val="bottom"/>
            <w:tcBorders>
              <w:bottom w:val="single" w:sz="8" w:color="auto"/>
            </w:tcBorders>
            <w:gridSpan w:val="8"/>
          </w:tcPr>
          <w:p>
            <w:pPr>
              <w:ind w:left="840"/>
              <w:spacing w:after="0"/>
              <w:rPr>
                <w:sz w:val="20"/>
                <w:szCs w:val="20"/>
                <w:color w:val="auto"/>
              </w:rPr>
            </w:pPr>
            <w:r>
              <w:rPr>
                <w:rFonts w:ascii="Times New Roman" w:cs="Times New Roman" w:eastAsia="Times New Roman" w:hAnsi="Times New Roman"/>
                <w:sz w:val="10"/>
                <w:szCs w:val="10"/>
                <w:b w:val="1"/>
                <w:bCs w:val="1"/>
                <w:color w:val="auto"/>
                <w:w w:val="96"/>
              </w:rPr>
              <w:t>Changes in Level 3 Instruments for the years ended December 31, 2024, 2023 and 2022</w:t>
            </w: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tcPr>
          <w:p>
            <w:pPr>
              <w:jc w:val="center"/>
              <w:ind w:right="240"/>
              <w:spacing w:after="0" w:line="89" w:lineRule="exact"/>
              <w:rPr>
                <w:sz w:val="20"/>
                <w:szCs w:val="20"/>
                <w:color w:val="auto"/>
              </w:rPr>
            </w:pPr>
            <w:r>
              <w:rPr>
                <w:rFonts w:ascii="Times New Roman" w:cs="Times New Roman" w:eastAsia="Times New Roman" w:hAnsi="Times New Roman"/>
                <w:sz w:val="10"/>
                <w:szCs w:val="10"/>
                <w:b w:val="1"/>
                <w:bCs w:val="1"/>
                <w:color w:val="auto"/>
                <w:w w:val="98"/>
              </w:rPr>
              <w:t>Net Change in</w:t>
            </w:r>
          </w:p>
        </w:tc>
        <w:tc>
          <w:tcPr>
            <w:tcW w:w="280" w:type="dxa"/>
            <w:vAlign w:val="bottom"/>
          </w:tcPr>
          <w:p>
            <w:pPr>
              <w:spacing w:after="0"/>
              <w:rPr>
                <w:sz w:val="7"/>
                <w:szCs w:val="7"/>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Purchases /</w:t>
            </w:r>
          </w:p>
        </w:tc>
        <w:tc>
          <w:tcPr>
            <w:tcW w:w="280" w:type="dxa"/>
            <w:vAlign w:val="bottom"/>
          </w:tcPr>
          <w:p>
            <w:pPr>
              <w:spacing w:after="0"/>
              <w:rPr>
                <w:sz w:val="7"/>
                <w:szCs w:val="7"/>
                <w:color w:val="auto"/>
              </w:rPr>
            </w:pPr>
          </w:p>
        </w:tc>
        <w:tc>
          <w:tcPr>
            <w:tcW w:w="12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Sales /</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Balance at January 1</w:t>
            </w:r>
          </w:p>
        </w:tc>
        <w:tc>
          <w:tcPr>
            <w:tcW w:w="180" w:type="dxa"/>
            <w:vAlign w:val="bottom"/>
          </w:tcPr>
          <w:p>
            <w:pPr>
              <w:spacing w:after="0"/>
              <w:rPr>
                <w:sz w:val="8"/>
                <w:szCs w:val="8"/>
                <w:color w:val="auto"/>
              </w:rPr>
            </w:pPr>
          </w:p>
        </w:tc>
        <w:tc>
          <w:tcPr>
            <w:tcW w:w="1360" w:type="dxa"/>
            <w:vAlign w:val="bottom"/>
            <w:gridSpan w:val="2"/>
          </w:tcPr>
          <w:p>
            <w:pPr>
              <w:jc w:val="center"/>
              <w:ind w:right="280"/>
              <w:spacing w:after="0" w:line="98" w:lineRule="exact"/>
              <w:rPr>
                <w:sz w:val="20"/>
                <w:szCs w:val="20"/>
                <w:color w:val="auto"/>
              </w:rPr>
            </w:pPr>
            <w:r>
              <w:rPr>
                <w:rFonts w:ascii="Times New Roman" w:cs="Times New Roman" w:eastAsia="Times New Roman" w:hAnsi="Times New Roman"/>
                <w:sz w:val="10"/>
                <w:szCs w:val="10"/>
                <w:b w:val="1"/>
                <w:bCs w:val="1"/>
                <w:color w:val="auto"/>
                <w:w w:val="96"/>
              </w:rPr>
              <w:t>fair value included in</w:t>
            </w:r>
          </w:p>
        </w:tc>
        <w:tc>
          <w:tcPr>
            <w:tcW w:w="2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Reclass</w:t>
            </w:r>
          </w:p>
        </w:tc>
        <w:tc>
          <w:tcPr>
            <w:tcW w:w="140" w:type="dxa"/>
            <w:vAlign w:val="bottom"/>
          </w:tcPr>
          <w:p>
            <w:pPr>
              <w:spacing w:after="0"/>
              <w:rPr>
                <w:sz w:val="8"/>
                <w:szCs w:val="8"/>
                <w:color w:val="auto"/>
              </w:rPr>
            </w:pPr>
          </w:p>
        </w:tc>
        <w:tc>
          <w:tcPr>
            <w:tcW w:w="1500" w:type="dxa"/>
            <w:vAlign w:val="bottom"/>
            <w:vMerge w:val="restart"/>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w w:val="99"/>
              </w:rPr>
              <w:t>Balance at December 31, 2024</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earnings</w:t>
            </w:r>
          </w:p>
        </w:tc>
        <w:tc>
          <w:tcPr>
            <w:tcW w:w="280" w:type="dxa"/>
            <w:vAlign w:val="bottom"/>
          </w:tcPr>
          <w:p>
            <w:pPr>
              <w:spacing w:after="0"/>
              <w:rPr>
                <w:sz w:val="11"/>
                <w:szCs w:val="11"/>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2"/>
              </w:rPr>
              <w:t>Issuance</w:t>
            </w:r>
          </w:p>
        </w:tc>
        <w:tc>
          <w:tcPr>
            <w:tcW w:w="280" w:type="dxa"/>
            <w:vAlign w:val="bottom"/>
          </w:tcPr>
          <w:p>
            <w:pPr>
              <w:spacing w:after="0"/>
              <w:rPr>
                <w:sz w:val="11"/>
                <w:szCs w:val="11"/>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Repurchases</w:t>
            </w:r>
          </w:p>
        </w:tc>
        <w:tc>
          <w:tcPr>
            <w:tcW w:w="1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600" w:type="dxa"/>
            <w:vAlign w:val="bottom"/>
            <w:tcBorders>
              <w:top w:val="single" w:sz="8" w:color="CCEEFF"/>
            </w:tcBorders>
            <w:shd w:val="clear" w:color="auto" w:fill="CCEEFF"/>
          </w:tcPr>
          <w:p>
            <w:pPr>
              <w:jc w:val="right"/>
              <w:ind w:right="2300"/>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1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0" w:type="dxa"/>
            <w:vAlign w:val="bottom"/>
          </w:tcPr>
          <w:p>
            <w:pPr>
              <w:ind w:left="180"/>
              <w:spacing w:after="0" w:line="153" w:lineRule="exact"/>
              <w:rPr>
                <w:sz w:val="20"/>
                <w:szCs w:val="20"/>
                <w:color w:val="auto"/>
              </w:rPr>
            </w:pPr>
            <w:r>
              <w:rPr>
                <w:rFonts w:ascii="Times New Roman" w:cs="Times New Roman" w:eastAsia="Times New Roman" w:hAnsi="Times New Roman"/>
                <w:sz w:val="12"/>
                <w:szCs w:val="12"/>
                <w:color w:val="auto"/>
              </w:rPr>
              <w:t xml:space="preserve">Warrant liability, related party </w:t>
            </w:r>
            <w:r>
              <w:rPr>
                <w:rFonts w:ascii="Times New Roman" w:cs="Times New Roman" w:eastAsia="Times New Roman" w:hAnsi="Times New Roman"/>
                <w:sz w:val="15"/>
                <w:szCs w:val="15"/>
                <w:color w:val="auto"/>
                <w:vertAlign w:val="superscript"/>
              </w:rPr>
              <w:t>(1)(2)</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110</w:t>
            </w:r>
          </w:p>
        </w:tc>
        <w:tc>
          <w:tcPr>
            <w:tcW w:w="6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153"/>
        </w:trPr>
        <w:tc>
          <w:tcPr>
            <w:tcW w:w="2600" w:type="dxa"/>
            <w:vAlign w:val="bottom"/>
            <w:shd w:val="clear" w:color="auto" w:fill="CCEEFF"/>
          </w:tcPr>
          <w:p>
            <w:pPr>
              <w:jc w:val="right"/>
              <w:ind w:right="1500"/>
              <w:spacing w:after="0" w:line="153" w:lineRule="exact"/>
              <w:rPr>
                <w:sz w:val="20"/>
                <w:szCs w:val="20"/>
                <w:color w:val="auto"/>
              </w:rPr>
            </w:pPr>
            <w:r>
              <w:rPr>
                <w:rFonts w:ascii="Times New Roman" w:cs="Times New Roman" w:eastAsia="Times New Roman" w:hAnsi="Times New Roman"/>
                <w:sz w:val="12"/>
                <w:szCs w:val="12"/>
                <w:color w:val="auto"/>
              </w:rPr>
              <w:t>Warrant liability</w:t>
            </w:r>
            <w:r>
              <w:rPr>
                <w:rFonts w:ascii="Times New Roman" w:cs="Times New Roman" w:eastAsia="Times New Roman" w:hAnsi="Times New Roman"/>
                <w:sz w:val="15"/>
                <w:szCs w:val="15"/>
                <w:color w:val="auto"/>
                <w:vertAlign w:val="superscript"/>
              </w:rPr>
              <w:t>(1)</w:t>
            </w:r>
          </w:p>
        </w:tc>
        <w:tc>
          <w:tcPr>
            <w:tcW w:w="1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58"/>
        </w:trPr>
        <w:tc>
          <w:tcPr>
            <w:tcW w:w="2600" w:type="dxa"/>
            <w:vAlign w:val="bottom"/>
            <w:tcBorders>
              <w:bottom w:val="single" w:sz="8" w:color="CCEEFF"/>
            </w:tcBorders>
          </w:tcPr>
          <w:p>
            <w:pPr>
              <w:jc w:val="right"/>
              <w:ind w:right="19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110</w:t>
            </w:r>
          </w:p>
        </w:tc>
        <w:tc>
          <w:tcPr>
            <w:tcW w:w="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100</w:t>
            </w: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00" w:type="dxa"/>
            <w:vAlign w:val="bottom"/>
          </w:tcPr>
          <w:p>
            <w:pPr>
              <w:jc w:val="right"/>
              <w:ind w:right="2300"/>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0" w:type="dxa"/>
            <w:vAlign w:val="bottom"/>
            <w:shd w:val="clear" w:color="auto" w:fill="CCEEFF"/>
          </w:tcPr>
          <w:p>
            <w:pPr>
              <w:ind w:left="180"/>
              <w:spacing w:after="0" w:line="153" w:lineRule="exact"/>
              <w:rPr>
                <w:sz w:val="20"/>
                <w:szCs w:val="20"/>
                <w:color w:val="auto"/>
              </w:rPr>
            </w:pPr>
            <w:r>
              <w:rPr>
                <w:rFonts w:ascii="Times New Roman" w:cs="Times New Roman" w:eastAsia="Times New Roman" w:hAnsi="Times New Roman"/>
                <w:sz w:val="12"/>
                <w:szCs w:val="12"/>
                <w:color w:val="auto"/>
              </w:rPr>
              <w:t xml:space="preserve">Warrant liability, related party </w:t>
            </w:r>
            <w:r>
              <w:rPr>
                <w:rFonts w:ascii="Times New Roman" w:cs="Times New Roman" w:eastAsia="Times New Roman" w:hAnsi="Times New Roman"/>
                <w:sz w:val="15"/>
                <w:szCs w:val="15"/>
                <w:color w:val="auto"/>
                <w:vertAlign w:val="superscript"/>
              </w:rPr>
              <w:t>(1)</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58"/>
        </w:trPr>
        <w:tc>
          <w:tcPr>
            <w:tcW w:w="2600" w:type="dxa"/>
            <w:vAlign w:val="bottom"/>
            <w:tcBorders>
              <w:bottom w:val="single" w:sz="8" w:color="CCEEFF"/>
            </w:tcBorders>
          </w:tcPr>
          <w:p>
            <w:pPr>
              <w:jc w:val="right"/>
              <w:ind w:right="19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684</w:t>
            </w:r>
          </w:p>
        </w:tc>
        <w:tc>
          <w:tcPr>
            <w:tcW w:w="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(574)</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00" w:type="dxa"/>
            <w:vAlign w:val="bottom"/>
          </w:tcPr>
          <w:p>
            <w:pPr>
              <w:jc w:val="right"/>
              <w:ind w:right="2300"/>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0" w:type="dxa"/>
            <w:vAlign w:val="bottom"/>
            <w:shd w:val="clear" w:color="auto" w:fill="CCEEFF"/>
          </w:tcPr>
          <w:p>
            <w:pPr>
              <w:ind w:left="180"/>
              <w:spacing w:after="0" w:line="153" w:lineRule="exact"/>
              <w:rPr>
                <w:sz w:val="20"/>
                <w:szCs w:val="20"/>
                <w:color w:val="auto"/>
              </w:rPr>
            </w:pPr>
            <w:r>
              <w:rPr>
                <w:rFonts w:ascii="Times New Roman" w:cs="Times New Roman" w:eastAsia="Times New Roman" w:hAnsi="Times New Roman"/>
                <w:sz w:val="12"/>
                <w:szCs w:val="12"/>
                <w:color w:val="auto"/>
              </w:rPr>
              <w:t xml:space="preserve">Warrant liability, related party </w:t>
            </w:r>
            <w:r>
              <w:rPr>
                <w:rFonts w:ascii="Times New Roman" w:cs="Times New Roman" w:eastAsia="Times New Roman" w:hAnsi="Times New Roman"/>
                <w:sz w:val="15"/>
                <w:szCs w:val="15"/>
                <w:color w:val="auto"/>
                <w:vertAlign w:val="superscript"/>
              </w:rPr>
              <w:t>(1)</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1,262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368</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684</w:t>
            </w:r>
          </w:p>
        </w:tc>
        <w:tc>
          <w:tcPr>
            <w:tcW w:w="0" w:type="dxa"/>
            <w:vAlign w:val="bottom"/>
          </w:tcPr>
          <w:p>
            <w:pPr>
              <w:spacing w:after="0"/>
              <w:rPr>
                <w:sz w:val="1"/>
                <w:szCs w:val="1"/>
                <w:color w:val="auto"/>
              </w:rPr>
            </w:pPr>
          </w:p>
        </w:tc>
      </w:tr>
      <w:tr>
        <w:trPr>
          <w:trHeight w:val="142"/>
        </w:trPr>
        <w:tc>
          <w:tcPr>
            <w:tcW w:w="2600" w:type="dxa"/>
            <w:vAlign w:val="bottom"/>
          </w:tcPr>
          <w:p>
            <w:pPr>
              <w:jc w:val="right"/>
              <w:ind w:right="19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1,262</w:t>
            </w: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368</w:t>
            </w:r>
          </w:p>
        </w:tc>
        <w:tc>
          <w:tcPr>
            <w:tcW w:w="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684</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660" w:right="120" w:hanging="553"/>
        <w:spacing w:after="0" w:line="208" w:lineRule="auto"/>
        <w:tabs>
          <w:tab w:leader="none" w:pos="660" w:val="left"/>
        </w:tabs>
        <w:numPr>
          <w:ilvl w:val="0"/>
          <w:numId w:val="6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p>
      <w:pPr>
        <w:ind w:left="660" w:hanging="553"/>
        <w:spacing w:after="0" w:line="209" w:lineRule="auto"/>
        <w:tabs>
          <w:tab w:leader="none" w:pos="660" w:val="left"/>
        </w:tabs>
        <w:numPr>
          <w:ilvl w:val="0"/>
          <w:numId w:val="6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CinRx is no longer deemed to be a related party. As a result the CinRx Warrants are no longer included.</w:t>
      </w:r>
    </w:p>
    <w:p>
      <w:pPr>
        <w:spacing w:after="0" w:line="12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2"/>
          <w:szCs w:val="12"/>
          <w:color w:val="auto"/>
        </w:rPr>
        <w:t>There were no transfers into or out of level 3 instruments and/or between level 1 and level 2 instruments during the years ended December 31, 2024, 2023 and 2022. Gains and losses recognized due to the change in fair value of the warrant liability, related party are recognized as a component of other (expense) income, related party in the Consolidated Statements of Operations</w:t>
      </w:r>
    </w:p>
    <w:p>
      <w:pPr>
        <w:spacing w:after="0" w:line="3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The fair value of the Letter Agreement Warrants was determined using the Black-Scholes option pricing model or option pricing models based on the Company’s current capitalization. Expected volatility is based on the historical volatility of the Company's common stock over the most recent period. The risk-free rate is based on the U.S. Treasury yield curve in effect at the time of valuation. Significant inputs utilized in the valuation of the Letter Agreement Warrants were:</w:t>
      </w:r>
    </w:p>
    <w:p>
      <w:pPr>
        <w:spacing w:after="0" w:line="68" w:lineRule="exact"/>
        <w:rPr>
          <w:sz w:val="20"/>
          <w:szCs w:val="20"/>
          <w:color w:val="auto"/>
        </w:rPr>
      </w:pPr>
    </w:p>
    <w:tbl>
      <w:tblPr>
        <w:tblLayout w:type="fixed"/>
        <w:tblInd w:w="380" w:type="dxa"/>
        <w:tblCellMar>
          <w:top w:w="0" w:type="dxa"/>
          <w:left w:w="0" w:type="dxa"/>
          <w:bottom w:w="0" w:type="dxa"/>
          <w:right w:w="0" w:type="dxa"/>
        </w:tblCellMar>
      </w:tblPr>
      <w:tr>
        <w:trPr>
          <w:trHeight w:val="134"/>
        </w:trPr>
        <w:tc>
          <w:tcPr>
            <w:tcW w:w="3500" w:type="dxa"/>
            <w:vAlign w:val="bottom"/>
          </w:tcPr>
          <w:p>
            <w:pPr>
              <w:spacing w:after="0"/>
              <w:rPr>
                <w:sz w:val="11"/>
                <w:szCs w:val="11"/>
                <w:color w:val="auto"/>
              </w:rPr>
            </w:pPr>
          </w:p>
        </w:tc>
        <w:tc>
          <w:tcPr>
            <w:tcW w:w="22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1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220" w:type="dxa"/>
            <w:vAlign w:val="bottom"/>
            <w:tcBorders>
              <w:bottom w:val="single" w:sz="8" w:color="auto"/>
            </w:tcBorders>
          </w:tcPr>
          <w:p>
            <w:pPr>
              <w:spacing w:after="0"/>
              <w:rPr>
                <w:sz w:val="11"/>
                <w:szCs w:val="11"/>
                <w:color w:val="auto"/>
              </w:rPr>
            </w:pPr>
          </w:p>
        </w:tc>
      </w:tr>
      <w:tr>
        <w:trPr>
          <w:trHeight w:val="128"/>
        </w:trPr>
        <w:tc>
          <w:tcPr>
            <w:tcW w:w="3500" w:type="dxa"/>
            <w:vAlign w:val="bottom"/>
            <w:tcBorders>
              <w:bottom w:val="single" w:sz="8" w:color="CCEEFF"/>
            </w:tcBorders>
          </w:tcPr>
          <w:p>
            <w:pPr>
              <w:spacing w:after="0"/>
              <w:rPr>
                <w:sz w:val="11"/>
                <w:szCs w:val="11"/>
                <w:color w:val="auto"/>
              </w:rPr>
            </w:pPr>
          </w:p>
        </w:tc>
        <w:tc>
          <w:tcPr>
            <w:tcW w:w="22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0"/>
                <w:szCs w:val="10"/>
                <w:b w:val="1"/>
                <w:bCs w:val="1"/>
                <w:color w:val="auto"/>
              </w:rPr>
              <w:t>Range</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Weighted Average</w:t>
            </w:r>
          </w:p>
        </w:tc>
        <w:tc>
          <w:tcPr>
            <w:tcW w:w="80" w:type="dxa"/>
            <w:vAlign w:val="bottom"/>
            <w:tcBorders>
              <w:bottom w:val="single" w:sz="8" w:color="CCEEFF"/>
            </w:tcBorders>
          </w:tcPr>
          <w:p>
            <w:pPr>
              <w:spacing w:after="0"/>
              <w:rPr>
                <w:sz w:val="11"/>
                <w:szCs w:val="11"/>
                <w:color w:val="auto"/>
              </w:rPr>
            </w:pPr>
          </w:p>
        </w:tc>
        <w:tc>
          <w:tcPr>
            <w:tcW w:w="224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0"/>
                <w:szCs w:val="10"/>
                <w:b w:val="1"/>
                <w:bCs w:val="1"/>
                <w:color w:val="auto"/>
              </w:rPr>
              <w:t>Range</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Weighted Average</w:t>
            </w:r>
          </w:p>
        </w:tc>
      </w:tr>
      <w:tr>
        <w:trPr>
          <w:trHeight w:val="14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Expected volatility</w:t>
            </w:r>
          </w:p>
        </w:tc>
        <w:tc>
          <w:tcPr>
            <w:tcW w:w="226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2"/>
                <w:szCs w:val="12"/>
                <w:color w:val="auto"/>
              </w:rPr>
              <w:t>88.01% - 116.31%</w:t>
            </w:r>
          </w:p>
        </w:tc>
        <w:tc>
          <w:tcPr>
            <w:tcW w:w="122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2"/>
                <w:szCs w:val="12"/>
                <w:color w:val="auto"/>
              </w:rPr>
              <w:t>105.97%</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79.96%</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- 89.61%</w:t>
            </w:r>
          </w:p>
        </w:tc>
        <w:tc>
          <w:tcPr>
            <w:tcW w:w="1220" w:type="dxa"/>
            <w:vAlign w:val="bottom"/>
            <w:shd w:val="clear" w:color="auto" w:fill="CCEEFF"/>
          </w:tcPr>
          <w:p>
            <w:pPr>
              <w:jc w:val="right"/>
              <w:ind w:right="484"/>
              <w:spacing w:after="0"/>
              <w:rPr>
                <w:sz w:val="20"/>
                <w:szCs w:val="20"/>
                <w:color w:val="auto"/>
              </w:rPr>
            </w:pPr>
            <w:r>
              <w:rPr>
                <w:rFonts w:ascii="Times New Roman" w:cs="Times New Roman" w:eastAsia="Times New Roman" w:hAnsi="Times New Roman"/>
                <w:sz w:val="12"/>
                <w:szCs w:val="12"/>
                <w:color w:val="auto"/>
              </w:rPr>
              <w:t>81.55%</w:t>
            </w:r>
          </w:p>
        </w:tc>
      </w:tr>
      <w:tr>
        <w:trPr>
          <w:trHeight w:val="155"/>
        </w:trPr>
        <w:tc>
          <w:tcPr>
            <w:tcW w:w="3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Risk-free interest rate</w:t>
            </w:r>
          </w:p>
        </w:tc>
        <w:tc>
          <w:tcPr>
            <w:tcW w:w="2260" w:type="dxa"/>
            <w:vAlign w:val="bottom"/>
          </w:tcPr>
          <w:p>
            <w:pPr>
              <w:jc w:val="right"/>
              <w:ind w:right="826"/>
              <w:spacing w:after="0"/>
              <w:rPr>
                <w:sz w:val="20"/>
                <w:szCs w:val="20"/>
                <w:color w:val="auto"/>
              </w:rPr>
            </w:pPr>
            <w:r>
              <w:rPr>
                <w:rFonts w:ascii="Times New Roman" w:cs="Times New Roman" w:eastAsia="Times New Roman" w:hAnsi="Times New Roman"/>
                <w:sz w:val="12"/>
                <w:szCs w:val="12"/>
                <w:color w:val="auto"/>
              </w:rPr>
              <w:t>4.17% - 4.25%</w:t>
            </w:r>
          </w:p>
        </w:tc>
        <w:tc>
          <w:tcPr>
            <w:tcW w:w="1220" w:type="dxa"/>
            <w:vAlign w:val="bottom"/>
          </w:tcPr>
          <w:p>
            <w:pPr>
              <w:jc w:val="right"/>
              <w:ind w:right="524"/>
              <w:spacing w:after="0"/>
              <w:rPr>
                <w:sz w:val="20"/>
                <w:szCs w:val="20"/>
                <w:color w:val="auto"/>
              </w:rPr>
            </w:pPr>
            <w:r>
              <w:rPr>
                <w:rFonts w:ascii="Times New Roman" w:cs="Times New Roman" w:eastAsia="Times New Roman" w:hAnsi="Times New Roman"/>
                <w:sz w:val="12"/>
                <w:szCs w:val="12"/>
                <w:color w:val="auto"/>
              </w:rPr>
              <w:t>4.23%</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1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- 4.87%</w:t>
            </w:r>
          </w:p>
        </w:tc>
        <w:tc>
          <w:tcPr>
            <w:tcW w:w="1220" w:type="dxa"/>
            <w:vAlign w:val="bottom"/>
          </w:tcPr>
          <w:p>
            <w:pPr>
              <w:jc w:val="right"/>
              <w:ind w:right="524"/>
              <w:spacing w:after="0"/>
              <w:rPr>
                <w:sz w:val="20"/>
                <w:szCs w:val="20"/>
                <w:color w:val="auto"/>
              </w:rPr>
            </w:pPr>
            <w:r>
              <w:rPr>
                <w:rFonts w:ascii="Times New Roman" w:cs="Times New Roman" w:eastAsia="Times New Roman" w:hAnsi="Times New Roman"/>
                <w:sz w:val="12"/>
                <w:szCs w:val="12"/>
                <w:color w:val="auto"/>
              </w:rPr>
              <w:t>4.15%</w:t>
            </w:r>
          </w:p>
        </w:tc>
      </w:tr>
    </w:tbl>
    <w:p>
      <w:pPr>
        <w:spacing w:after="0" w:line="122" w:lineRule="exact"/>
        <w:rPr>
          <w:sz w:val="20"/>
          <w:szCs w:val="20"/>
          <w:color w:val="auto"/>
        </w:rPr>
      </w:pPr>
    </w:p>
    <w:p>
      <w:pPr>
        <w:ind w:firstLine="324"/>
        <w:spacing w:after="0" w:line="279" w:lineRule="auto"/>
        <w:rPr>
          <w:sz w:val="20"/>
          <w:szCs w:val="20"/>
          <w:color w:val="auto"/>
        </w:rPr>
      </w:pPr>
      <w:r>
        <w:rPr>
          <w:rFonts w:ascii="Times New Roman" w:cs="Times New Roman" w:eastAsia="Times New Roman" w:hAnsi="Times New Roman"/>
          <w:sz w:val="12"/>
          <w:szCs w:val="12"/>
          <w:color w:val="auto"/>
        </w:rPr>
        <w:t>The fair value of the CinRx Warrants was determined using the Black-Scholes option pricing model. Expected volatility is based on the historical volatility of the Company’s common stock over the most recent period. The risk-free rate is based on the U.S. Treasury yield curve in effect at the time of valuation. Significant inputs utilized in the valuation of the CinRx Warrants as of December 31, 2024, were: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660" w:type="dxa"/>
            <w:vAlign w:val="bottom"/>
            <w:shd w:val="clear" w:color="auto" w:fill="CCEEFF"/>
          </w:tcPr>
          <w:p>
            <w:pPr>
              <w:spacing w:after="0"/>
              <w:rPr>
                <w:sz w:val="11"/>
                <w:szCs w:val="11"/>
                <w:color w:val="auto"/>
              </w:rPr>
            </w:pPr>
          </w:p>
        </w:tc>
        <w:tc>
          <w:tcPr>
            <w:tcW w:w="17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960" w:type="dxa"/>
            <w:vAlign w:val="bottom"/>
            <w:tcBorders>
              <w:bottom w:val="single" w:sz="8" w:color="auto"/>
            </w:tcBorders>
            <w:shd w:val="clear" w:color="auto" w:fill="CCEEFF"/>
          </w:tcPr>
          <w:p>
            <w:pPr>
              <w:spacing w:after="0"/>
              <w:rPr>
                <w:sz w:val="11"/>
                <w:szCs w:val="11"/>
                <w:color w:val="auto"/>
              </w:rPr>
            </w:pPr>
          </w:p>
        </w:tc>
        <w:tc>
          <w:tcPr>
            <w:tcW w:w="194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0"/>
                <w:szCs w:val="10"/>
                <w:b w:val="1"/>
                <w:bCs w:val="1"/>
                <w:color w:val="auto"/>
              </w:rPr>
              <w:t>December 31, 2023</w:t>
            </w:r>
          </w:p>
        </w:tc>
      </w:tr>
      <w:tr>
        <w:trPr>
          <w:trHeight w:val="142"/>
        </w:trPr>
        <w:tc>
          <w:tcPr>
            <w:tcW w:w="6660" w:type="dxa"/>
            <w:vAlign w:val="bottom"/>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1740" w:type="dxa"/>
            <w:vAlign w:val="bottom"/>
          </w:tcPr>
          <w:p>
            <w:pPr>
              <w:spacing w:after="0"/>
              <w:rPr>
                <w:sz w:val="12"/>
                <w:szCs w:val="12"/>
                <w:color w:val="auto"/>
              </w:rPr>
            </w:pPr>
          </w:p>
        </w:tc>
        <w:tc>
          <w:tcPr>
            <w:tcW w:w="9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96.5 %</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82.1 %</w:t>
            </w:r>
          </w:p>
        </w:tc>
      </w:tr>
      <w:tr>
        <w:trPr>
          <w:trHeight w:val="153"/>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life of options in years</w:t>
            </w:r>
          </w:p>
        </w:tc>
        <w:tc>
          <w:tcPr>
            <w:tcW w:w="96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2.5</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53"/>
        </w:trPr>
        <w:tc>
          <w:tcPr>
            <w:tcW w:w="8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9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4.3 %</w:t>
            </w:r>
          </w:p>
        </w:tc>
        <w:tc>
          <w:tcPr>
            <w:tcW w:w="1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4.0 %</w:t>
            </w:r>
          </w:p>
        </w:tc>
      </w:tr>
      <w:tr>
        <w:trPr>
          <w:trHeight w:val="153"/>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96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 %</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r>
    </w:tbl>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weighted average expected volatility and risk-free interest rate was based on the relative fair values of the warrants.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0" w:right="299" w:bottom="1440" w:gutter="0" w:footer="0" w:header="0"/>
        </w:sectPr>
      </w:pPr>
    </w:p>
    <w:bookmarkStart w:id="104" w:name="page105"/>
    <w:bookmarkEnd w:id="104"/>
    <w:p>
      <w:pPr>
        <w:jc w:val="both"/>
        <w:ind w:firstLine="324"/>
        <w:spacing w:after="0" w:line="256" w:lineRule="auto"/>
        <w:rPr>
          <w:sz w:val="20"/>
          <w:szCs w:val="20"/>
          <w:color w:val="auto"/>
        </w:rPr>
      </w:pPr>
      <w:r>
        <w:rPr>
          <w:rFonts w:ascii="Times New Roman" w:cs="Times New Roman" w:eastAsia="Times New Roman" w:hAnsi="Times New Roman"/>
          <w:sz w:val="12"/>
          <w:szCs w:val="12"/>
          <w:color w:val="auto"/>
        </w:rPr>
        <w:t>Changes in the unobservable inputs noted above would impact the amount of the liability for the Letter Agreement Warrants and CinRx Warrants. Increases (decreases) in the estimates of the Company’s annual volatility would increase (decrease) the liability and an increase (decrease) in the annual risk-free rate would increase (decrease) the liability. Gains and losses recognized due to the change in fair value of the warrant liability are recognized as a component of other (expense) income in the 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19: Subsequent Events</w:t>
      </w:r>
    </w:p>
    <w:p>
      <w:pPr>
        <w:spacing w:after="0" w:line="67"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2"/>
          <w:szCs w:val="12"/>
          <w:color w:val="auto"/>
        </w:rPr>
        <w:t>On February 24, 2025, Steven Tuch, Executive Vice President and Chief Financial Officer of vTv Therapeutics Inc. (the "Company"), informed the Company of his intention to resign from his position effective March 21, 2025. Mr. Tuch is expected to remain at the Company through the filing of the Company's Annual Report on Form 10-K for the year ended December 31, 2024 with the U.S. Securities and Exchange Commission. The Company has commenced efforts to identify Mr. Tuch's successor through an external search process. Mr. Tuch's departure is not based on any disagreement with the Company’s independent auditors or the Company on any matter.</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F-31</w:t>
      </w:r>
    </w:p>
    <w:p>
      <w:pPr>
        <w:sectPr>
          <w:pgSz w:w="11900" w:h="16838" w:orient="portrait"/>
          <w:cols w:equalWidth="0" w:num="1">
            <w:col w:w="11300"/>
          </w:cols>
          <w:pgMar w:left="300" w:top="849" w:right="299" w:bottom="1440"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076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076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ind w:left="4740"/>
        <w:spacing w:after="0"/>
        <w:rPr>
          <w:sz w:val="20"/>
          <w:szCs w:val="20"/>
          <w:color w:val="auto"/>
        </w:rPr>
      </w:pPr>
      <w:r>
        <w:rPr>
          <w:rFonts w:ascii="Times New Roman" w:cs="Times New Roman" w:eastAsia="Times New Roman" w:hAnsi="Times New Roman"/>
          <w:sz w:val="12"/>
          <w:szCs w:val="12"/>
          <w:b w:val="1"/>
          <w:bCs w:val="1"/>
          <w:color w:val="auto"/>
        </w:rPr>
        <w:t>Exhibit 4.6</w:t>
      </w:r>
    </w:p>
    <w:p>
      <w:pPr>
        <w:ind w:left="4480"/>
        <w:spacing w:after="0"/>
        <w:rPr>
          <w:sz w:val="20"/>
          <w:szCs w:val="20"/>
          <w:color w:val="auto"/>
        </w:rPr>
      </w:pPr>
      <w:r>
        <w:rPr>
          <w:rFonts w:ascii="Times New Roman" w:cs="Times New Roman" w:eastAsia="Times New Roman" w:hAnsi="Times New Roman"/>
          <w:sz w:val="12"/>
          <w:szCs w:val="12"/>
          <w:b w:val="1"/>
          <w:bCs w:val="1"/>
          <w:color w:val="auto"/>
        </w:rPr>
        <w:t>DESCRIPTION OF THE CAPITAL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Capital Stock</w:t>
      </w:r>
    </w:p>
    <w:p>
      <w:pPr>
        <w:spacing w:after="0" w:line="136" w:lineRule="exact"/>
        <w:rPr>
          <w:sz w:val="20"/>
          <w:szCs w:val="20"/>
          <w:color w:val="auto"/>
        </w:rPr>
      </w:pPr>
    </w:p>
    <w:p>
      <w:pPr>
        <w:jc w:val="both"/>
        <w:ind w:firstLine="324"/>
        <w:spacing w:after="0" w:line="215" w:lineRule="auto"/>
        <w:rPr>
          <w:sz w:val="20"/>
          <w:szCs w:val="20"/>
          <w:color w:val="auto"/>
        </w:rPr>
      </w:pPr>
      <w:r>
        <w:rPr>
          <w:rFonts w:ascii="Times New Roman" w:cs="Times New Roman" w:eastAsia="Times New Roman" w:hAnsi="Times New Roman"/>
          <w:sz w:val="12"/>
          <w:szCs w:val="12"/>
          <w:color w:val="auto"/>
        </w:rPr>
        <w:t>Our authorized capital stock consists of 200,000,000 shares of Class A common stock, par value $0.01 per share, 100,000,000 shares of Class B common stock, par value $0.01 per share, and 50,000,000 shares of preferred stock, par value $0.01 per share. As of March 20, 2025, we have approximately 2,612,257 shares of our Class A common stock outstanding, 577,349 shares of our Class B common stock outstanding and no shares of preferred stock outstanding. As of March 20, 2025, there were approximately 41 holders of record of our Class A common stock and 6 holders of record of our Class B common stock. Because almost all of the shares of our Class A common stock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held by brokers, nominees and other institutions on behalf of shareholders, we are unable to estimate the total number of shareholders represented by these record 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Common Stock</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Voting</w:t>
      </w:r>
      <w:r>
        <w:rPr>
          <w:rFonts w:ascii="Times New Roman" w:cs="Times New Roman" w:eastAsia="Times New Roman" w:hAnsi="Times New Roman"/>
          <w:sz w:val="12"/>
          <w:szCs w:val="12"/>
          <w:color w:val="auto"/>
        </w:rPr>
        <w:t>. Holders of our Class A common stock and Class B common stock are entitled to one vote for each share held on all matters submitted to stockholders for their vote or approval. The holders of our Class A common stock</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and Class B common stock vote together as a single class on all matters submitted to stockholders for their vote or approval, except with respect to the amendment of certain provisions of our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w:t>
      </w:r>
    </w:p>
    <w:p>
      <w:pPr>
        <w:spacing w:after="0" w:line="116" w:lineRule="exact"/>
        <w:rPr>
          <w:sz w:val="20"/>
          <w:szCs w:val="20"/>
          <w:color w:val="auto"/>
        </w:rPr>
      </w:pPr>
    </w:p>
    <w:p>
      <w:pPr>
        <w:jc w:val="both"/>
        <w:ind w:firstLine="324"/>
        <w:spacing w:after="0" w:line="215" w:lineRule="auto"/>
        <w:rPr>
          <w:sz w:val="20"/>
          <w:szCs w:val="20"/>
          <w:color w:val="auto"/>
        </w:rPr>
      </w:pPr>
      <w:r>
        <w:rPr>
          <w:rFonts w:ascii="Times New Roman" w:cs="Times New Roman" w:eastAsia="Times New Roman" w:hAnsi="Times New Roman"/>
          <w:sz w:val="12"/>
          <w:szCs w:val="12"/>
          <w:color w:val="auto"/>
        </w:rPr>
        <w:t>As of December 31, 2024, subsidiaries and affiliates of MacAndrews &amp; Forbes Incorporated (collectively “MacAndrews”) held 577,108 shares of our Class B common stock and 912,982 shares of our Class A common stock and therefore control approximately 46.7% of the combined voting power of our outstanding common stock. As a result, MacAndrews is able to control our business policies and affairs and any action requiring the general approval of our stockholders, including the adoption of amendments to our certificate of incorporation and bylaws, the approval of mergers or sales of substantially all of our assets and the removal of members of our Board of Directors with or without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cause. On February 27, 2024, the Investor Rights Agreement was amended to alter MacAndrews governance rights that now entitles MacAndrews the right to designate two members of our Board of Directors. The concentration of ownership and voting power of MacAndrews may also delay, defer or even prevent an acquisition by a third party or other change of control of our company and may make some transactions more difficult or impossible without the support of MacAndrews, even if such events are in the best interests of minority stockholders.</w:t>
      </w:r>
    </w:p>
    <w:p>
      <w:pPr>
        <w:spacing w:after="0" w:line="114"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2"/>
          <w:szCs w:val="12"/>
          <w:i w:val="1"/>
          <w:iCs w:val="1"/>
          <w:u w:val="single" w:color="auto"/>
          <w:color w:val="auto"/>
        </w:rPr>
        <w:t>Dividends</w:t>
      </w:r>
      <w:r>
        <w:rPr>
          <w:rFonts w:ascii="Times New Roman" w:cs="Times New Roman" w:eastAsia="Times New Roman" w:hAnsi="Times New Roman"/>
          <w:sz w:val="12"/>
          <w:szCs w:val="12"/>
          <w:color w:val="auto"/>
        </w:rPr>
        <w:t>. The holders of Class A common stock are entitled to receive dividends when, as, and if declared by our Board of Directors out of legally available funds. The holders of our Class B common stock do not have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right to receive dividends other than dividends consisting of shares of our Class B common stock paid proportionally with respect to each outstanding share of our Class B common stock.</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Liquidation or Dissolution</w:t>
      </w:r>
      <w:r>
        <w:rPr>
          <w:rFonts w:ascii="Times New Roman" w:cs="Times New Roman" w:eastAsia="Times New Roman" w:hAnsi="Times New Roman"/>
          <w:sz w:val="12"/>
          <w:szCs w:val="12"/>
          <w:color w:val="auto"/>
        </w:rPr>
        <w:t>. Upon our liquidation or dissolution, the holders of our Class A common stock are entitled to share ratably in those of our assets that are legally available for distribution to stockholders after payment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of liabilities and subject to the prior rights of any holders of preferred stock then outstanding. Other than their par value, the holders of our Class B common stock do not have any right to receive a distribution upon a liquidation or dissolution of our company.</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Transferability and Exchange</w:t>
      </w:r>
      <w:r>
        <w:rPr>
          <w:rFonts w:ascii="Times New Roman" w:cs="Times New Roman" w:eastAsia="Times New Roman" w:hAnsi="Times New Roman"/>
          <w:sz w:val="12"/>
          <w:szCs w:val="12"/>
          <w:color w:val="auto"/>
        </w:rPr>
        <w:t>. Subject to the terms of an exchange agreement and the operating agreement of vTv Therapeutics LLC (“vTv LLC”), our principal operating subsidiary, units of vTv LLC (along with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corresponding number of shares of our Class B common stock) are exchangeable for (i) shares of our Class A common stock or (ii) cash (based on the market price of the shares of Class A common stock), at our option (as the managing member of vTv LLC). Any decision to require an exchange for cash rather than shares of Class A common stock will ultimately be determined by our entire Board of Directors. Each such exchange will be on a one-for-one equivalent basis, subject to customary conversion rate adjustments for stock splits, stock dividends and reclassifications. Shares of Class B common stock may not be transferred except in connection with an exchange or transfer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units of vTv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218680" cy="11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7218680" cy="11430"/>
                    </a:xfrm>
                    <a:prstGeom prst="rect">
                      <a:avLst/>
                    </a:prstGeom>
                    <a:noFill/>
                  </pic:spPr>
                </pic:pic>
              </a:graphicData>
            </a:graphic>
          </wp:anchor>
        </w:drawing>
      </w:r>
    </w:p>
    <w:p>
      <w:pPr>
        <w:spacing w:after="0" w:line="17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2"/>
          <w:szCs w:val="12"/>
          <w:color w:val="auto"/>
        </w:rPr>
        <w:t>Upon exchange, each share of our Class B common stock will be cancelled.</w:t>
      </w:r>
    </w:p>
    <w:p>
      <w:pPr>
        <w:sectPr>
          <w:pgSz w:w="11900" w:h="16838" w:orient="portrait"/>
          <w:cols w:equalWidth="0" w:num="1">
            <w:col w:w="11300"/>
          </w:cols>
          <w:pgMar w:left="300" w:top="1074" w:right="2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2"/>
          <w:szCs w:val="12"/>
          <w:b w:val="1"/>
          <w:bCs w:val="1"/>
          <w:i w:val="1"/>
          <w:iCs w:val="1"/>
          <w:color w:val="auto"/>
        </w:rPr>
        <w:t>Preferred Stock</w:t>
      </w:r>
    </w:p>
    <w:p>
      <w:pPr>
        <w:spacing w:after="0" w:line="127" w:lineRule="exact"/>
        <w:rPr>
          <w:sz w:val="20"/>
          <w:szCs w:val="20"/>
          <w:color w:val="auto"/>
        </w:rPr>
      </w:pPr>
    </w:p>
    <w:p>
      <w:pPr>
        <w:jc w:val="both"/>
        <w:ind w:firstLine="324"/>
        <w:spacing w:after="0" w:line="221" w:lineRule="auto"/>
        <w:rPr>
          <w:sz w:val="20"/>
          <w:szCs w:val="20"/>
          <w:color w:val="auto"/>
        </w:rPr>
      </w:pPr>
      <w:r>
        <w:rPr>
          <w:rFonts w:ascii="Times New Roman" w:cs="Times New Roman" w:eastAsia="Times New Roman" w:hAnsi="Times New Roman"/>
          <w:sz w:val="12"/>
          <w:szCs w:val="12"/>
          <w:color w:val="auto"/>
        </w:rPr>
        <w:t>We have been authorized to issue up to 50,000,000 shares of preferred stock. Our board of directors has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2"/>
          <w:szCs w:val="12"/>
          <w:color w:val="auto"/>
        </w:rPr>
        <w:t>and rights of the shares. Our Board of Directors has also been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Class A common stock and Class B common stock, which could have an adverse impact on the market price of our Class A common stock. We have no current plan to issue any shares of preferred stock.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Opportunities</w:t>
      </w:r>
    </w:p>
    <w:p>
      <w:pPr>
        <w:spacing w:after="0" w:line="127" w:lineRule="exact"/>
        <w:rPr>
          <w:sz w:val="20"/>
          <w:szCs w:val="20"/>
          <w:color w:val="auto"/>
        </w:rPr>
      </w:pPr>
    </w:p>
    <w:p>
      <w:pPr>
        <w:jc w:val="both"/>
        <w:ind w:firstLine="324"/>
        <w:spacing w:after="0" w:line="221" w:lineRule="auto"/>
        <w:rPr>
          <w:sz w:val="20"/>
          <w:szCs w:val="20"/>
          <w:color w:val="auto"/>
        </w:rPr>
      </w:pPr>
      <w:r>
        <w:rPr>
          <w:rFonts w:ascii="Times New Roman" w:cs="Times New Roman" w:eastAsia="Times New Roman" w:hAnsi="Times New Roman"/>
          <w:sz w:val="12"/>
          <w:szCs w:val="12"/>
          <w:color w:val="auto"/>
        </w:rPr>
        <w:t>Our amended and restated certificate of incorporation provides that, to the fullest extent permitted by law, the doctrine of “corporate opportunity” will not apply to MacAndrews, any of our non-employee directors who are employees, affiliates or consultants of MacAndrews or its affiliates (other than us or our subsidiaries) or any of their respective affiliates in a manner that would prohibit them from investing in competing businesses or doing business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2"/>
          <w:szCs w:val="12"/>
          <w:color w:val="auto"/>
        </w:rPr>
        <w:t>with our clients or customers. See “Risk Factors—Risks Relating to this Offering and Ownership of Our Class A Common Stock—MacAndrews has substantial influence over our business, and their interests may differ from our interests or those of our other stockholders” in our Annual Report on Form 10-K for the year ended December 31, 2021, which is incorporated herein by reference.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Anti-Takeover Effects of our Certificate of Incorporation and Bylaws</w:t>
      </w:r>
    </w:p>
    <w:p>
      <w:pPr>
        <w:spacing w:after="0" w:line="136" w:lineRule="exact"/>
        <w:rPr>
          <w:sz w:val="20"/>
          <w:szCs w:val="20"/>
          <w:color w:val="auto"/>
        </w:rPr>
      </w:pPr>
    </w:p>
    <w:p>
      <w:pPr>
        <w:jc w:val="both"/>
        <w:ind w:right="20" w:firstLine="564"/>
        <w:spacing w:after="0" w:line="236" w:lineRule="auto"/>
        <w:rPr>
          <w:sz w:val="20"/>
          <w:szCs w:val="20"/>
          <w:color w:val="auto"/>
        </w:rPr>
      </w:pPr>
      <w:r>
        <w:rPr>
          <w:rFonts w:ascii="Times New Roman" w:cs="Times New Roman" w:eastAsia="Times New Roman" w:hAnsi="Times New Roman"/>
          <w:sz w:val="12"/>
          <w:szCs w:val="12"/>
          <w:color w:val="auto"/>
        </w:rPr>
        <w:t>Our amended and restated certificate of incorporation and bylaws contain certain provisions that are intended to enhance the likelihood of continuity and stability in the composition of the Board of Directors and which may have the effect of delaying, deferring or preventing a future takeover or change in control of us unless such takeover or change in control is approved by our Board of Directors.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These provisions include:</w:t>
      </w:r>
    </w:p>
    <w:p>
      <w:pPr>
        <w:spacing w:after="0" w:line="13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2"/>
          <w:szCs w:val="12"/>
          <w:i w:val="1"/>
          <w:iCs w:val="1"/>
          <w:u w:val="single" w:color="auto"/>
          <w:color w:val="auto"/>
        </w:rPr>
        <w:t>Action by Written Consent; Special Meetings of Stockholders</w:t>
      </w:r>
      <w:r>
        <w:rPr>
          <w:rFonts w:ascii="Times New Roman" w:cs="Times New Roman" w:eastAsia="Times New Roman" w:hAnsi="Times New Roman"/>
          <w:sz w:val="12"/>
          <w:szCs w:val="12"/>
          <w:color w:val="auto"/>
        </w:rPr>
        <w:t>. Our amended and restated certificate of incorporation provides that, following the date on which MacAndrews ceases to beneficially own more than 50% of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(the “Triggering Event”), stockholder action can be taken only at an annual or special meeting of stockholders and cannot be taken by written consent in lieu of a meeting. Our amended and restated certificate of incorporation and bylaws also provide that, except as otherwise required by law, special meetings of the stockholders can only be called by the chairman or vice-chairman of the board, the chief executive officer, or pursuant to a</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2"/>
          <w:szCs w:val="12"/>
          <w:color w:val="auto"/>
        </w:rPr>
        <w:t>resolution adopted by a majority of the Board of Directors or, until the Triggering Event, at the request of holders of 50% or more of our outstanding shares of common stock. Except as described above, stockholders will not be permitted to call a special meeting or to require the Board of Directors to call a special meeting.</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Advance Notice Procedures</w:t>
      </w:r>
      <w:r>
        <w:rPr>
          <w:rFonts w:ascii="Times New Roman" w:cs="Times New Roman" w:eastAsia="Times New Roman" w:hAnsi="Times New Roman"/>
          <w:sz w:val="12"/>
          <w:szCs w:val="12"/>
          <w:color w:val="auto"/>
        </w:rPr>
        <w:t>. Our bylaws establish an advance notice procedure for stockholder proposals to be brought before an annual meeting of our stockholders, including proposed nominations of persons for election to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 at a special 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0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2"/>
          <w:szCs w:val="12"/>
          <w:i w:val="1"/>
          <w:iCs w:val="1"/>
          <w:u w:val="single" w:color="auto"/>
          <w:color w:val="auto"/>
        </w:rPr>
        <w:t>Vacancies and Newly-Created Directorships on the Board of Directors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bylaws provide that the Board of Directors can fill vacancies on the Board of Directors. In addition, the Board of Directors will be permitted to increase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number of directors and fill the vacant positions. These provisions could make it more difficult for shareholders to affect the composition of our Board of Directors.</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Authorized but Unissued Shares</w:t>
      </w:r>
      <w:r>
        <w:rPr>
          <w:rFonts w:ascii="Times New Roman" w:cs="Times New Roman" w:eastAsia="Times New Roman" w:hAnsi="Times New Roman"/>
          <w:sz w:val="12"/>
          <w:szCs w:val="12"/>
          <w:color w:val="auto"/>
        </w:rPr>
        <w:t>. Our authorized but unissued shares of common stock and preferred stock will be available for future issuance without stockholder approval. These additional shares may be utilized for a</w:t>
      </w:r>
    </w:p>
    <w:p>
      <w:pPr>
        <w:sectPr>
          <w:pgSz w:w="11900" w:h="16838" w:orient="portrait"/>
          <w:cols w:equalWidth="0" w:num="1">
            <w:col w:w="11300"/>
          </w:cols>
          <w:pgMar w:left="300" w:top="1079" w:right="299" w:bottom="1440" w:gutter="0" w:footer="0" w:header="0"/>
        </w:sectPr>
      </w:pPr>
    </w:p>
    <w:bookmarkStart w:id="132" w:name="page133"/>
    <w:bookmarkEnd w:id="132"/>
    <w:p>
      <w:pPr>
        <w:jc w:val="both"/>
        <w:ind w:right="20"/>
        <w:spacing w:after="0" w:line="236" w:lineRule="auto"/>
        <w:rPr>
          <w:sz w:val="20"/>
          <w:szCs w:val="20"/>
          <w:color w:val="auto"/>
        </w:rPr>
      </w:pPr>
      <w:r>
        <w:rPr>
          <w:rFonts w:ascii="Times New Roman" w:cs="Times New Roman" w:eastAsia="Times New Roman" w:hAnsi="Times New Roman"/>
          <w:sz w:val="12"/>
          <w:szCs w:val="12"/>
          <w:color w:val="auto"/>
        </w:rPr>
        <w:t>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u w:val="single" w:color="auto"/>
          <w:color w:val="auto"/>
        </w:rPr>
        <w:t>Business Combinations with Interested Stockholders</w:t>
      </w:r>
      <w:r>
        <w:rPr>
          <w:rFonts w:ascii="Times New Roman" w:cs="Times New Roman" w:eastAsia="Times New Roman" w:hAnsi="Times New Roman"/>
          <w:sz w:val="12"/>
          <w:szCs w:val="12"/>
          <w:color w:val="auto"/>
        </w:rPr>
        <w:t>. We have elected in our amended and restated certificate of incorporation not to be subject to Section 203 of the Delaware General Corporation Law, an antitakeover law.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2"/>
          <w:szCs w:val="12"/>
          <w:color w:val="auto"/>
        </w:rPr>
        <w:t>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contains provisions that have the same effect as Section 203, except that they provide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that MacAndrews and its various affiliates, successors and transferees will not be deemed to be “interested stockholders,” regardless of the percentage of our voting stock owned by them, and accordingly will not be subject to such restrictions.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Choice of Forum</w:t>
      </w:r>
    </w:p>
    <w:p>
      <w:pPr>
        <w:spacing w:after="0" w:line="136" w:lineRule="exact"/>
        <w:rPr>
          <w:sz w:val="20"/>
          <w:szCs w:val="20"/>
          <w:color w:val="auto"/>
        </w:rPr>
      </w:pPr>
    </w:p>
    <w:p>
      <w:pPr>
        <w:jc w:val="both"/>
        <w:ind w:firstLine="324"/>
        <w:spacing w:after="0" w:line="215" w:lineRule="auto"/>
        <w:rPr>
          <w:sz w:val="20"/>
          <w:szCs w:val="20"/>
          <w:color w:val="auto"/>
        </w:rPr>
      </w:pPr>
      <w:r>
        <w:rPr>
          <w:rFonts w:ascii="Times New Roman" w:cs="Times New Roman" w:eastAsia="Times New Roman" w:hAnsi="Times New Roman"/>
          <w:sz w:val="12"/>
          <w:szCs w:val="12"/>
          <w:color w:val="auto"/>
        </w:rPr>
        <w:t>Our amended and restated certificate of incorporation provides that the Court of Chancery in the State of Delaware will be the sole and exclusive forum for (i) any derivative action or proceeding brought on our behalf, (ii) any action asserting a claim of breach of a fiduciary duty owed to us or our stockholders by our directors, officers or other employees, (iii) any action asserting a claim arising under the Delaware General Corporation Law, our amended and restated certificate of incorporation and amended and restated by-laws or (iv) any action asserting a claim that is governed by the internal affairs doctrine. It is possible that a court could rule that this provision is not applicable or is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unenforceable. We may consent in writing to alternative forums. Stockholders will be deemed to have consented to the personal jurisdiction of the state and federal courts located within the State of Delaware and having service of process made on such stockholder’s counsel as agent for such stockholder.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Directors’ Liability; Indemnification of Directors and Officers</w:t>
      </w:r>
    </w:p>
    <w:p>
      <w:pPr>
        <w:spacing w:after="0" w:line="136"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12"/>
          <w:szCs w:val="12"/>
          <w:color w:val="auto"/>
        </w:rPr>
        <w:t>Our amended and restated certificate of incorporation limits the liability of our directors to the fullest extent permitted by the Delaware General Corporation Law and provides that we will provide them with customary indemnification. We expect to enter into customary indemnification agreements with each of our executive officers and directors that provide them, in general, with customary indemnification in connection with their service to us or on our behalf.</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Transfer Agent and Registrar</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 transfer agent and registrar for our Class A common stock is Equiniti Trust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Securities Exchange</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Our shares of Class A common stock are listed on The NASDAQ Capital Market under the symbol “VTVT”.</w:t>
      </w:r>
    </w:p>
    <w:p>
      <w:pPr>
        <w:sectPr>
          <w:pgSz w:w="11900" w:h="16838" w:orient="portrait"/>
          <w:cols w:equalWidth="0" w:num="1">
            <w:col w:w="11300"/>
          </w:cols>
          <w:pgMar w:left="300" w:top="1083" w:right="299" w:bottom="1440"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3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076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7130415"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076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2" w:name="page153"/>
    <w:bookmarkEnd w:id="152"/>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VTV THERAPEUTICS INC.</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AMENDED AND RESTATED SECURITIES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18, 2024</w:t>
      </w: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To Directors, Officers and Employees of vTv Therapeutics Inc. and its subsidiaries (collectively,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60" w:right="20" w:firstLine="432"/>
        <w:spacing w:after="0" w:line="272" w:lineRule="auto"/>
        <w:rPr>
          <w:sz w:val="20"/>
          <w:szCs w:val="20"/>
          <w:color w:val="auto"/>
        </w:rPr>
      </w:pPr>
      <w:r>
        <w:rPr>
          <w:rFonts w:ascii="Times New Roman" w:cs="Times New Roman" w:eastAsia="Times New Roman" w:hAnsi="Times New Roman"/>
          <w:sz w:val="14"/>
          <w:szCs w:val="14"/>
          <w:color w:val="auto"/>
        </w:rPr>
        <w:t>Attached is the Amended and Restated Securities Trading Policy (the “</w:t>
      </w:r>
      <w:r>
        <w:rPr>
          <w:rFonts w:ascii="Times New Roman" w:cs="Times New Roman" w:eastAsia="Times New Roman" w:hAnsi="Times New Roman"/>
          <w:sz w:val="14"/>
          <w:szCs w:val="14"/>
          <w:u w:val="single" w:color="auto"/>
          <w:color w:val="auto"/>
        </w:rPr>
        <w:t>Policy</w:t>
      </w:r>
      <w:r>
        <w:rPr>
          <w:rFonts w:ascii="Times New Roman" w:cs="Times New Roman" w:eastAsia="Times New Roman" w:hAnsi="Times New Roman"/>
          <w:sz w:val="14"/>
          <w:szCs w:val="14"/>
          <w:color w:val="auto"/>
        </w:rPr>
        <w:t xml:space="preserve">”) for directors, officers and employees of the Company, which has been adopted by the Board of Directors on March 12, 2024, and replaces in its entirety the Securities Trading Policy adopted by the Board of Directors on September 9, 2015. </w:t>
      </w:r>
      <w:r>
        <w:rPr>
          <w:rFonts w:ascii="Times New Roman" w:cs="Times New Roman" w:eastAsia="Times New Roman" w:hAnsi="Times New Roman"/>
          <w:sz w:val="14"/>
          <w:szCs w:val="14"/>
          <w:u w:val="single" w:color="auto"/>
          <w:color w:val="auto"/>
        </w:rPr>
        <w:t>Please read this Policy very carefully</w:t>
      </w:r>
      <w:r>
        <w:rPr>
          <w:rFonts w:ascii="Times New Roman" w:cs="Times New Roman" w:eastAsia="Times New Roman" w:hAnsi="Times New Roman"/>
          <w:sz w:val="14"/>
          <w:szCs w:val="14"/>
          <w:color w:val="auto"/>
        </w:rPr>
        <w:t>. All directors, officers and employees who are subject to the blackout periods and pre-clearance procedures described in Parts V and VI of this Policy should sign and return one copy of the Policy to vTv Therapeutics Inc. at 3980 Premiere Drive, Suite 310, High Point NC 27265, to the attention of the General Counsel, if any, and if none, the Chief Financial Officer (the “</w:t>
      </w:r>
      <w:r>
        <w:rPr>
          <w:rFonts w:ascii="Times New Roman" w:cs="Times New Roman" w:eastAsia="Times New Roman" w:hAnsi="Times New Roman"/>
          <w:sz w:val="14"/>
          <w:szCs w:val="14"/>
          <w:u w:val="single" w:color="auto"/>
          <w:color w:val="auto"/>
        </w:rPr>
        <w:t>Responsible Officer</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The Policy</w:t>
      </w:r>
    </w:p>
    <w:p>
      <w:pPr>
        <w:spacing w:after="0" w:line="156" w:lineRule="exact"/>
        <w:rPr>
          <w:sz w:val="20"/>
          <w:szCs w:val="20"/>
          <w:color w:val="auto"/>
        </w:rPr>
      </w:pPr>
    </w:p>
    <w:p>
      <w:pPr>
        <w:ind w:left="60" w:right="120" w:firstLine="432"/>
        <w:spacing w:after="0" w:line="282" w:lineRule="auto"/>
        <w:rPr>
          <w:sz w:val="20"/>
          <w:szCs w:val="20"/>
          <w:color w:val="auto"/>
        </w:rPr>
      </w:pPr>
      <w:r>
        <w:rPr>
          <w:rFonts w:ascii="Times New Roman" w:cs="Times New Roman" w:eastAsia="Times New Roman" w:hAnsi="Times New Roman"/>
          <w:sz w:val="14"/>
          <w:szCs w:val="14"/>
          <w:color w:val="auto"/>
        </w:rPr>
        <w:t>The Company’s Class A Common Stock has been publicly traded since our initial public offering. The purchase or sale of, or other transactions in, publicly traded securities of the Company while you are aware of material nonpublic information, or the disclosure of material nonpublic information to others who then trade in publicly traded securities of the Company, is prohibited by U.S. federal securities laws.</w:t>
      </w:r>
    </w:p>
    <w:p>
      <w:pPr>
        <w:spacing w:after="0" w:line="99" w:lineRule="exact"/>
        <w:rPr>
          <w:sz w:val="20"/>
          <w:szCs w:val="20"/>
          <w:color w:val="auto"/>
        </w:rPr>
      </w:pPr>
    </w:p>
    <w:p>
      <w:pPr>
        <w:jc w:val="both"/>
        <w:ind w:left="60" w:firstLine="432"/>
        <w:spacing w:after="0" w:line="275" w:lineRule="auto"/>
        <w:rPr>
          <w:sz w:val="20"/>
          <w:szCs w:val="20"/>
          <w:color w:val="auto"/>
        </w:rPr>
      </w:pPr>
      <w:r>
        <w:rPr>
          <w:rFonts w:ascii="Times New Roman" w:cs="Times New Roman" w:eastAsia="Times New Roman" w:hAnsi="Times New Roman"/>
          <w:sz w:val="14"/>
          <w:szCs w:val="14"/>
          <w:color w:val="auto"/>
        </w:rPr>
        <w:t>U.S. federal securities laws impose liability not only on persons who trade, or tip inside information to others who trade, but on companies and other controlling persons who fail to take reasonable steps to prevent insider trading by company employees. As a result, if we do not take active steps to adopt preventive policies and procedures covering securities trades by personnel (including service providers) of the Company, the consequences could be severe.</w:t>
      </w:r>
    </w:p>
    <w:p>
      <w:pPr>
        <w:spacing w:after="0" w:line="104" w:lineRule="exact"/>
        <w:rPr>
          <w:sz w:val="20"/>
          <w:szCs w:val="20"/>
          <w:color w:val="auto"/>
        </w:rPr>
      </w:pPr>
    </w:p>
    <w:p>
      <w:pPr>
        <w:jc w:val="both"/>
        <w:ind w:left="60" w:right="60" w:firstLine="432"/>
        <w:spacing w:after="0" w:line="296" w:lineRule="auto"/>
        <w:rPr>
          <w:sz w:val="20"/>
          <w:szCs w:val="20"/>
          <w:color w:val="auto"/>
        </w:rPr>
      </w:pPr>
      <w:r>
        <w:rPr>
          <w:rFonts w:ascii="Times New Roman" w:cs="Times New Roman" w:eastAsia="Times New Roman" w:hAnsi="Times New Roman"/>
          <w:sz w:val="14"/>
          <w:szCs w:val="14"/>
          <w:color w:val="auto"/>
        </w:rPr>
        <w:t>In addition to responding to U.S. federal securities laws, we are adopting this Policy to avoid even the appearance of improper conduct on the part of anyone employed by or associated with the Company (not just so-called “insiders”). We have all worked hard over the years to establish our reputation for integrity and ethical conduct. We cannot afford to have that reputation damaged.</w:t>
      </w:r>
    </w:p>
    <w:p>
      <w:pPr>
        <w:spacing w:after="0" w:line="269" w:lineRule="exact"/>
        <w:rPr>
          <w:sz w:val="20"/>
          <w:szCs w:val="20"/>
          <w:color w:val="auto"/>
        </w:rPr>
      </w:pPr>
    </w:p>
    <w:p>
      <w:pPr>
        <w:ind w:left="60" w:right="220" w:firstLine="432"/>
        <w:spacing w:after="0" w:line="272" w:lineRule="auto"/>
        <w:rPr>
          <w:sz w:val="20"/>
          <w:szCs w:val="20"/>
          <w:color w:val="auto"/>
        </w:rPr>
      </w:pPr>
      <w:r>
        <w:rPr>
          <w:rFonts w:ascii="Times New Roman" w:cs="Times New Roman" w:eastAsia="Times New Roman" w:hAnsi="Times New Roman"/>
          <w:sz w:val="14"/>
          <w:szCs w:val="14"/>
          <w:color w:val="auto"/>
        </w:rPr>
        <w:t>In addition to the limitations on trading contained in this Policy, directors and officers of the Company are also subject to certain reporting requirements under Section 16 of the U.S. Securities Exchange Act of 1934 (the “Exchange Act”). In addition, any person who beneficially owns 5% or more of the Company’s Class A Common Stock is subject to certain reporting requirements under Section 13(d) of the Exchange Act. You should contact the Company’s Responsible Officer or his or her designee if you need further information with respect to these reporting obligations.</w:t>
      </w:r>
    </w:p>
    <w:p>
      <w:pPr>
        <w:sectPr>
          <w:pgSz w:w="11900" w:h="16838" w:orient="portrait"/>
          <w:cols w:equalWidth="0" w:num="1">
            <w:col w:w="11140"/>
          </w:cols>
          <w:pgMar w:left="300" w:top="92"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color w:val="auto"/>
        </w:rPr>
        <w:t>The Consequences</w:t>
      </w:r>
    </w:p>
    <w:p>
      <w:pPr>
        <w:spacing w:after="0" w:line="156"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4"/>
          <w:szCs w:val="14"/>
          <w:color w:val="auto"/>
        </w:rPr>
        <w:t>The U.S.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and the U.S. securities exchanges are extremely effective in detecting insider trading. The SEC and the U.S. Department of Justice have prosecuted cases involving trading or tipping by employees at all levels of a business, trading or tipping by family members and friends, trading involving offshore accounts and trading involving only a small amount of stock. The consequences of insider trading violations can be severe:</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 xml:space="preserve">For individuals </w:t>
      </w:r>
      <w:r>
        <w:rPr>
          <w:rFonts w:ascii="Times New Roman" w:cs="Times New Roman" w:eastAsia="Times New Roman" w:hAnsi="Times New Roman"/>
          <w:sz w:val="14"/>
          <w:szCs w:val="14"/>
          <w:color w:val="auto"/>
        </w:rPr>
        <w:t>who trade on inside information (or tip information to others):</w:t>
      </w:r>
    </w:p>
    <w:p>
      <w:pPr>
        <w:spacing w:after="0" w:line="156" w:lineRule="exact"/>
        <w:rPr>
          <w:sz w:val="20"/>
          <w:szCs w:val="20"/>
          <w:color w:val="auto"/>
        </w:rPr>
      </w:pPr>
    </w:p>
    <w:p>
      <w:pPr>
        <w:ind w:left="860" w:hanging="424"/>
        <w:spacing w:after="0"/>
        <w:tabs>
          <w:tab w:leader="none" w:pos="8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penalties of up to three times the profit gained or loss avoided;</w:t>
      </w:r>
    </w:p>
    <w:p>
      <w:pPr>
        <w:spacing w:after="0" w:line="154"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fines (no matter how small the profit); and</w:t>
      </w:r>
    </w:p>
    <w:p>
      <w:pPr>
        <w:spacing w:after="0" w:line="154"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jail terms.</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 xml:space="preserve">For a company </w:t>
      </w:r>
      <w:r>
        <w:rPr>
          <w:rFonts w:ascii="Times New Roman" w:cs="Times New Roman" w:eastAsia="Times New Roman" w:hAnsi="Times New Roman"/>
          <w:sz w:val="14"/>
          <w:szCs w:val="14"/>
          <w:color w:val="auto"/>
        </w:rPr>
        <w:t>(as well as possibly any supervisory person) that fails to take appropriate steps to prevent illegal trading, civil and criminal penalties.</w:t>
      </w:r>
    </w:p>
    <w:p>
      <w:pPr>
        <w:spacing w:after="0" w:line="165"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Moreover, if any employee violates this Policy, Company-imposed sanctions, including dismissal for misconduct or cause, could result. Needless to say, any of the above consequences, even an investigation by the SEC that does not result in prosecution, can tarnish the reputation of the Company, its management and the person involved, and irreparably damage a career.</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If you have any questions, please feel free to contact the Company’s Responsible Officer at 3980 Premiere Drive, Suite 310, High Point NC 27265.</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Once again, please read this material very carefully.</w:t>
      </w: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Yours truly,</w:t>
      </w:r>
    </w:p>
    <w:p>
      <w:pPr>
        <w:spacing w:after="0" w:line="28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Paul Sehkri</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Enclosure</w:t>
      </w:r>
    </w:p>
    <w:p>
      <w:pPr>
        <w:sectPr>
          <w:pgSz w:w="11900" w:h="16838" w:orient="portrait"/>
          <w:cols w:equalWidth="0" w:num="1">
            <w:col w:w="11060"/>
          </w:cols>
          <w:pgMar w:left="360" w:top="983" w:right="47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4"/>
          <w:szCs w:val="14"/>
          <w:b w:val="1"/>
          <w:bCs w:val="1"/>
          <w:color w:val="auto"/>
        </w:rPr>
        <w:t>(adopted by the Board of Directors on March 12, 2024)</w:t>
      </w:r>
    </w:p>
    <w:p>
      <w:pPr>
        <w:spacing w:after="0" w:line="154" w:lineRule="exact"/>
        <w:rPr>
          <w:sz w:val="20"/>
          <w:szCs w:val="20"/>
          <w:color w:val="auto"/>
        </w:rPr>
      </w:pPr>
    </w:p>
    <w:p>
      <w:pPr>
        <w:ind w:left="420" w:hanging="416"/>
        <w:spacing w:after="0"/>
        <w:tabs>
          <w:tab w:leader="none" w:pos="42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Purpose</w:t>
      </w:r>
    </w:p>
    <w:p>
      <w:pPr>
        <w:spacing w:after="0" w:line="156" w:lineRule="exact"/>
        <w:rPr>
          <w:sz w:val="20"/>
          <w:szCs w:val="20"/>
          <w:color w:val="auto"/>
        </w:rPr>
      </w:pPr>
    </w:p>
    <w:p>
      <w:pPr>
        <w:ind w:right="500" w:firstLine="432"/>
        <w:spacing w:after="0" w:line="309" w:lineRule="auto"/>
        <w:rPr>
          <w:sz w:val="20"/>
          <w:szCs w:val="20"/>
          <w:color w:val="auto"/>
        </w:rPr>
      </w:pPr>
      <w:r>
        <w:rPr>
          <w:rFonts w:ascii="Times New Roman" w:cs="Times New Roman" w:eastAsia="Times New Roman" w:hAnsi="Times New Roman"/>
          <w:sz w:val="14"/>
          <w:szCs w:val="14"/>
          <w:color w:val="auto"/>
        </w:rPr>
        <w:t>To describe the standards concerning the handling of non-public information relating to vTv Therapeutics Inc. and its subsidiaries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the buying and selling of securities of the Company.</w:t>
      </w:r>
    </w:p>
    <w:p>
      <w:pPr>
        <w:spacing w:after="0" w:line="78" w:lineRule="exact"/>
        <w:rPr>
          <w:sz w:val="20"/>
          <w:szCs w:val="20"/>
          <w:color w:val="auto"/>
        </w:rPr>
      </w:pPr>
    </w:p>
    <w:p>
      <w:pPr>
        <w:ind w:left="440" w:hanging="436"/>
        <w:spacing w:after="0"/>
        <w:tabs>
          <w:tab w:leader="none" w:pos="440"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Persons Affected and Prohibited Transactions</w:t>
      </w:r>
    </w:p>
    <w:p>
      <w:pPr>
        <w:spacing w:after="0" w:line="156" w:lineRule="exact"/>
        <w:rPr>
          <w:sz w:val="20"/>
          <w:szCs w:val="20"/>
          <w:color w:val="auto"/>
        </w:rPr>
      </w:pPr>
    </w:p>
    <w:p>
      <w:pPr>
        <w:ind w:right="140" w:firstLine="432"/>
        <w:spacing w:after="0" w:line="275" w:lineRule="auto"/>
        <w:rPr>
          <w:sz w:val="20"/>
          <w:szCs w:val="20"/>
          <w:color w:val="auto"/>
        </w:rPr>
      </w:pPr>
      <w:r>
        <w:rPr>
          <w:rFonts w:ascii="Times New Roman" w:cs="Times New Roman" w:eastAsia="Times New Roman" w:hAnsi="Times New Roman"/>
          <w:sz w:val="14"/>
          <w:szCs w:val="14"/>
          <w:color w:val="auto"/>
        </w:rPr>
        <w:t xml:space="preserve">This Policy applies to directors, executive officers, other officers and employees of the Company. Please note that </w:t>
      </w:r>
      <w:r>
        <w:rPr>
          <w:rFonts w:ascii="Times New Roman" w:cs="Times New Roman" w:eastAsia="Times New Roman" w:hAnsi="Times New Roman"/>
          <w:sz w:val="14"/>
          <w:szCs w:val="14"/>
          <w:u w:val="single" w:color="auto"/>
          <w:color w:val="auto"/>
        </w:rPr>
        <w:t>the general prohibitions apply to all directors, officers and employees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of the Company</w:t>
      </w:r>
      <w:r>
        <w:rPr>
          <w:rFonts w:ascii="Times New Roman" w:cs="Times New Roman" w:eastAsia="Times New Roman" w:hAnsi="Times New Roman"/>
          <w:sz w:val="14"/>
          <w:szCs w:val="14"/>
          <w:color w:val="auto"/>
        </w:rPr>
        <w:t>, while the restrictions set forth in Part V (blackout periods) and Part VI (pre- clearance) apply only to directors, executive officers and certain designated officers and employees. If you are unsure whether you are subject to the restrictions set forth in Parts V or VI, please contact the Company’s Responsible Party or his or her designee.</w:t>
      </w:r>
    </w:p>
    <w:p>
      <w:pPr>
        <w:spacing w:after="0" w:line="11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4"/>
          <w:szCs w:val="14"/>
          <w:color w:val="auto"/>
        </w:rPr>
        <w:t>The same restrictions that apply to you apply to your family members who reside with you, anyone else who lives in your household and any family members who do not live in your household but whose transactions in securities covered by this Policy are directed by you or are subject to your influence or control (such as parents or children who consult with you before they trade in such securities), and trusts or other entities controlled by you or by any member of your household (collectively “</w:t>
      </w:r>
      <w:r>
        <w:rPr>
          <w:rFonts w:ascii="Times New Roman" w:cs="Times New Roman" w:eastAsia="Times New Roman" w:hAnsi="Times New Roman"/>
          <w:sz w:val="14"/>
          <w:szCs w:val="14"/>
          <w:u w:val="single" w:color="auto"/>
          <w:color w:val="auto"/>
        </w:rPr>
        <w:t>Related Parties</w:t>
      </w:r>
      <w:r>
        <w:rPr>
          <w:rFonts w:ascii="Times New Roman" w:cs="Times New Roman" w:eastAsia="Times New Roman" w:hAnsi="Times New Roman"/>
          <w:sz w:val="14"/>
          <w:szCs w:val="14"/>
          <w:color w:val="auto"/>
        </w:rPr>
        <w:t xml:space="preserve">”), except that this Policy shall not apply to any entity controlled or affiliated with a person covered under this policy if that entity’s principal business is the investment of securities (e.g. an investment fund or partnership) and that entity has established its own insider trading controls and procedures in compliance with applicable securities laws. and the entity complies at all times with applicable securities laws, including prohibitions on trading or otherwise engaging in transactions in the Company's securities while in the possession of material non-public information </w:t>
      </w:r>
      <w:r>
        <w:rPr>
          <w:rFonts w:ascii="Times New Roman" w:cs="Times New Roman" w:eastAsia="Times New Roman" w:hAnsi="Times New Roman"/>
          <w:sz w:val="14"/>
          <w:szCs w:val="14"/>
          <w:b w:val="1"/>
          <w:bCs w:val="1"/>
          <w:u w:val="single" w:color="auto"/>
          <w:color w:val="auto"/>
        </w:rPr>
        <w:t>You will be responsible for compliance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with this Policy by your Related Parties</w:t>
      </w:r>
      <w:r>
        <w:rPr>
          <w:rFonts w:ascii="Times New Roman" w:cs="Times New Roman" w:eastAsia="Times New Roman" w:hAnsi="Times New Roman"/>
          <w:sz w:val="14"/>
          <w:szCs w:val="14"/>
          <w:b w:val="1"/>
          <w:bCs w:val="1"/>
          <w:color w:val="auto"/>
        </w:rPr>
        <w:t>.</w:t>
      </w:r>
    </w:p>
    <w:p>
      <w:pPr>
        <w:spacing w:after="0" w:line="287" w:lineRule="exact"/>
        <w:rPr>
          <w:sz w:val="20"/>
          <w:szCs w:val="20"/>
          <w:color w:val="auto"/>
        </w:rPr>
      </w:pPr>
    </w:p>
    <w:p>
      <w:pPr>
        <w:ind w:right="40" w:firstLine="432"/>
        <w:spacing w:after="0" w:line="268" w:lineRule="auto"/>
        <w:rPr>
          <w:sz w:val="20"/>
          <w:szCs w:val="20"/>
          <w:color w:val="auto"/>
        </w:rPr>
      </w:pPr>
      <w:r>
        <w:rPr>
          <w:rFonts w:ascii="Times New Roman" w:cs="Times New Roman" w:eastAsia="Times New Roman" w:hAnsi="Times New Roman"/>
          <w:sz w:val="14"/>
          <w:szCs w:val="14"/>
          <w:color w:val="auto"/>
        </w:rPr>
        <w:t>For purposes of this Policy, references to “</w:t>
      </w:r>
      <w:r>
        <w:rPr>
          <w:rFonts w:ascii="Times New Roman" w:cs="Times New Roman" w:eastAsia="Times New Roman" w:hAnsi="Times New Roman"/>
          <w:sz w:val="14"/>
          <w:szCs w:val="14"/>
          <w:u w:val="single" w:color="auto"/>
          <w:color w:val="auto"/>
        </w:rPr>
        <w:t>trading</w:t>
      </w:r>
      <w:r>
        <w:rPr>
          <w:rFonts w:ascii="Times New Roman" w:cs="Times New Roman" w:eastAsia="Times New Roman" w:hAnsi="Times New Roman"/>
          <w:sz w:val="14"/>
          <w:szCs w:val="14"/>
          <w:color w:val="auto"/>
        </w:rPr>
        <w:t>” or to “</w:t>
      </w:r>
      <w:r>
        <w:rPr>
          <w:rFonts w:ascii="Times New Roman" w:cs="Times New Roman" w:eastAsia="Times New Roman" w:hAnsi="Times New Roman"/>
          <w:sz w:val="14"/>
          <w:szCs w:val="14"/>
          <w:u w:val="single" w:color="auto"/>
          <w:color w:val="auto"/>
        </w:rPr>
        <w:t>transactions in securities of the Company</w:t>
      </w:r>
      <w:r>
        <w:rPr>
          <w:rFonts w:ascii="Times New Roman" w:cs="Times New Roman" w:eastAsia="Times New Roman" w:hAnsi="Times New Roman"/>
          <w:sz w:val="14"/>
          <w:szCs w:val="14"/>
          <w:color w:val="auto"/>
        </w:rPr>
        <w:t>” include purchases or sales of Company stock, bonds, options, puts and calls, derivative securities based on securities of the Company, gifts of Company securities, loans of Company securities, hedging transactions involving or referencing Company securities, contributions of Company securities to a trust, sales of Company stock acquired upon the exercise of stock options, broker-assisted cashless exercises of stock options, market sales to raise cash to fund the exercise of stock options and trades in Company stock made under an employee benefit plan, such as a 401(k) plan.</w:t>
      </w:r>
    </w:p>
    <w:p>
      <w:pPr>
        <w:spacing w:after="0" w:line="116" w:lineRule="exact"/>
        <w:rPr>
          <w:sz w:val="20"/>
          <w:szCs w:val="20"/>
          <w:color w:val="auto"/>
        </w:rPr>
      </w:pPr>
    </w:p>
    <w:p>
      <w:pPr>
        <w:ind w:left="440" w:hanging="437"/>
        <w:spacing w:after="0"/>
        <w:tabs>
          <w:tab w:leader="none" w:pos="440"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Policy Statement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If a director, officer or employee has material nonpublic information (as further discussed below) relating to the Company, it is our policy that neither that person nor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Party:</w:t>
      </w:r>
    </w:p>
    <w:p>
      <w:pPr>
        <w:spacing w:after="0" w:line="136" w:lineRule="exact"/>
        <w:rPr>
          <w:sz w:val="20"/>
          <w:szCs w:val="20"/>
          <w:color w:val="auto"/>
        </w:rPr>
      </w:pPr>
    </w:p>
    <w:p>
      <w:pPr>
        <w:ind w:left="660" w:right="460" w:hanging="225"/>
        <w:spacing w:after="0" w:line="275" w:lineRule="auto"/>
        <w:tabs>
          <w:tab w:leader="none" w:pos="65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may effect transactions in securities of the Company (other than pursuant to a pre-arranged trading plan that complies with Rule 10b5-1 (“</w:t>
      </w:r>
      <w:r>
        <w:rPr>
          <w:rFonts w:ascii="Times New Roman" w:cs="Times New Roman" w:eastAsia="Times New Roman" w:hAnsi="Times New Roman"/>
          <w:sz w:val="14"/>
          <w:szCs w:val="14"/>
          <w:b w:val="1"/>
          <w:bCs w:val="1"/>
          <w:u w:val="single" w:color="auto"/>
          <w:color w:val="auto"/>
        </w:rPr>
        <w:t>Rule 10b5-1</w:t>
      </w:r>
      <w:r>
        <w:rPr>
          <w:rFonts w:ascii="Times New Roman" w:cs="Times New Roman" w:eastAsia="Times New Roman" w:hAnsi="Times New Roman"/>
          <w:sz w:val="14"/>
          <w:szCs w:val="14"/>
          <w:b w:val="1"/>
          <w:bCs w:val="1"/>
          <w:color w:val="auto"/>
        </w:rPr>
        <w:t>”) under the Securities Exchange Act of 1934, as amended (the “</w:t>
      </w:r>
      <w:r>
        <w:rPr>
          <w:rFonts w:ascii="Times New Roman" w:cs="Times New Roman" w:eastAsia="Times New Roman" w:hAnsi="Times New Roman"/>
          <w:sz w:val="14"/>
          <w:szCs w:val="14"/>
          <w:b w:val="1"/>
          <w:bCs w:val="1"/>
          <w:u w:val="single" w:color="auto"/>
          <w:color w:val="auto"/>
        </w:rPr>
        <w:t>Exchange Act</w:t>
      </w:r>
      <w:r>
        <w:rPr>
          <w:rFonts w:ascii="Times New Roman" w:cs="Times New Roman" w:eastAsia="Times New Roman" w:hAnsi="Times New Roman"/>
          <w:sz w:val="14"/>
          <w:szCs w:val="14"/>
          <w:b w:val="1"/>
          <w:bCs w:val="1"/>
          <w:color w:val="auto"/>
        </w:rPr>
        <w:t>”) as</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described in Part VII below) or engage in any other action to take advantage of that information, or</w:t>
      </w:r>
    </w:p>
    <w:p>
      <w:pPr>
        <w:sectPr>
          <w:pgSz w:w="11900" w:h="16838" w:orient="portrait"/>
          <w:cols w:equalWidth="0" w:num="1">
            <w:col w:w="11160"/>
          </w:cols>
          <w:pgMar w:left="360" w:top="857" w:right="379" w:bottom="1440" w:gutter="0" w:footer="0" w:header="0"/>
        </w:sectPr>
      </w:pPr>
    </w:p>
    <w:bookmarkStart w:id="155" w:name="page156"/>
    <w:bookmarkEnd w:id="155"/>
    <w:p>
      <w:pPr>
        <w:ind w:left="660" w:right="240" w:hanging="225"/>
        <w:spacing w:after="0" w:line="312" w:lineRule="auto"/>
        <w:tabs>
          <w:tab w:leader="none" w:pos="65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may pass that information on to any person outside the Company or suggest or otherwise recommend that any such person outside the Company effect a transaction in securities of the Company or engage in any other action to take advantage of that information.</w:t>
      </w:r>
    </w:p>
    <w:p>
      <w:pPr>
        <w:spacing w:after="0" w:line="69" w:lineRule="exact"/>
        <w:rPr>
          <w:sz w:val="20"/>
          <w:szCs w:val="20"/>
          <w:color w:val="auto"/>
        </w:rPr>
      </w:pPr>
    </w:p>
    <w:p>
      <w:pPr>
        <w:ind w:right="200" w:firstLine="432"/>
        <w:spacing w:after="0" w:line="309" w:lineRule="auto"/>
        <w:rPr>
          <w:sz w:val="20"/>
          <w:szCs w:val="20"/>
          <w:color w:val="auto"/>
        </w:rPr>
      </w:pPr>
      <w:r>
        <w:rPr>
          <w:rFonts w:ascii="Times New Roman" w:cs="Times New Roman" w:eastAsia="Times New Roman" w:hAnsi="Times New Roman"/>
          <w:sz w:val="14"/>
          <w:szCs w:val="14"/>
          <w:color w:val="auto"/>
        </w:rPr>
        <w:t>This Policy will continue to apply after termination of employment to the extent that a former director, officer or employee is in possession of material nonpublic information at the time of termination. In such case, no transaction in securities of the Company may take place until the information becomes public or ceases to be material.</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This Policy also applies to information, obtained in the course of employment with, or by serving as a director of, the Company, relating to any other company, including:</w:t>
      </w:r>
    </w:p>
    <w:p>
      <w:pPr>
        <w:spacing w:after="0" w:line="154" w:lineRule="exact"/>
        <w:rPr>
          <w:sz w:val="20"/>
          <w:szCs w:val="20"/>
          <w:color w:val="auto"/>
        </w:rPr>
      </w:pPr>
    </w:p>
    <w:p>
      <w:pPr>
        <w:ind w:left="640" w:hanging="205"/>
        <w:spacing w:after="0"/>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clients or suppliers,</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entity with which we may be negotiating a major transaction or business combination, or</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entity as to which we have an indirect or direct control relationship or a designee on the board of directors.</w:t>
      </w:r>
    </w:p>
    <w:p>
      <w:pPr>
        <w:spacing w:after="0" w:line="154" w:lineRule="exact"/>
        <w:rPr>
          <w:sz w:val="20"/>
          <w:szCs w:val="20"/>
          <w:color w:val="auto"/>
        </w:rPr>
      </w:pPr>
    </w:p>
    <w:p>
      <w:pPr>
        <w:ind w:right="260" w:firstLine="432"/>
        <w:spacing w:after="0" w:line="309" w:lineRule="auto"/>
        <w:rPr>
          <w:sz w:val="20"/>
          <w:szCs w:val="20"/>
          <w:color w:val="auto"/>
        </w:rPr>
      </w:pPr>
      <w:r>
        <w:rPr>
          <w:rFonts w:ascii="Times New Roman" w:cs="Times New Roman" w:eastAsia="Times New Roman" w:hAnsi="Times New Roman"/>
          <w:sz w:val="14"/>
          <w:szCs w:val="14"/>
          <w:color w:val="auto"/>
        </w:rPr>
        <w:t>No director, officer or employee may effect transactions in the securities of any such other company while in possession of material nonpublic information concerning such company that was obtained in the course of employment with the Company.</w:t>
      </w:r>
    </w:p>
    <w:p>
      <w:pPr>
        <w:spacing w:after="0" w:line="80" w:lineRule="exact"/>
        <w:rPr>
          <w:sz w:val="20"/>
          <w:szCs w:val="20"/>
          <w:color w:val="auto"/>
        </w:rPr>
      </w:pPr>
    </w:p>
    <w:p>
      <w:pPr>
        <w:ind w:right="200" w:firstLine="432"/>
        <w:spacing w:after="0" w:line="295" w:lineRule="auto"/>
        <w:rPr>
          <w:sz w:val="20"/>
          <w:szCs w:val="20"/>
          <w:color w:val="auto"/>
        </w:rPr>
      </w:pPr>
      <w:r>
        <w:rPr>
          <w:rFonts w:ascii="Times New Roman" w:cs="Times New Roman" w:eastAsia="Times New Roman" w:hAnsi="Times New Roman"/>
          <w:sz w:val="14"/>
          <w:szCs w:val="14"/>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88"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i w:val="1"/>
          <w:iCs w:val="1"/>
          <w:color w:val="auto"/>
        </w:rPr>
        <w:t>Material Information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Material information</w:t>
      </w:r>
      <w:r>
        <w:rPr>
          <w:rFonts w:ascii="Times New Roman" w:cs="Times New Roman" w:eastAsia="Times New Roman" w:hAnsi="Times New Roman"/>
          <w:sz w:val="14"/>
          <w:szCs w:val="14"/>
          <w:color w:val="auto"/>
        </w:rPr>
        <w:t>” is any information that a reasonable investor would consider important in a decision to effect a transaction in securities of the Company.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short, any information that could reasonably affect the price of such securities. Either positive or negative information may be material. Common examples of information that will frequently be regarded as material are:</w:t>
      </w:r>
    </w:p>
    <w:p>
      <w:pPr>
        <w:spacing w:after="0" w:line="113" w:lineRule="exact"/>
        <w:rPr>
          <w:sz w:val="20"/>
          <w:szCs w:val="20"/>
          <w:color w:val="auto"/>
        </w:rPr>
      </w:pPr>
    </w:p>
    <w:p>
      <w:pPr>
        <w:ind w:left="640" w:hanging="204"/>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projections of future earnings or losses, or other guidance concerning earnings;</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earnings are inconsistent with consensus expectations;</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pending or proposed merger, joint venture, acquisition or tender offer;</w:t>
      </w:r>
    </w:p>
    <w:p>
      <w:pPr>
        <w:spacing w:after="0" w:line="154" w:lineRule="exact"/>
        <w:rPr>
          <w:rFonts w:ascii="Times New Roman" w:cs="Times New Roman" w:eastAsia="Times New Roman" w:hAnsi="Times New Roman"/>
          <w:sz w:val="14"/>
          <w:szCs w:val="14"/>
          <w:color w:val="auto"/>
        </w:rPr>
      </w:pPr>
    </w:p>
    <w:p>
      <w:pPr>
        <w:ind w:left="640" w:hanging="204"/>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sale of assets or the disposition of a subsidiary or business unit;</w:t>
      </w:r>
    </w:p>
    <w:p>
      <w:pPr>
        <w:sectPr>
          <w:pgSz w:w="11900" w:h="16838" w:orient="portrait"/>
          <w:cols w:equalWidth="0" w:num="1">
            <w:col w:w="11140"/>
          </w:cols>
          <w:pgMar w:left="360" w:top="857" w:right="399" w:bottom="1440" w:gutter="0" w:footer="0" w:header="0"/>
        </w:sectPr>
      </w:pPr>
    </w:p>
    <w:bookmarkStart w:id="156" w:name="page157"/>
    <w:bookmarkEnd w:id="156"/>
    <w:p>
      <w:pPr>
        <w:ind w:left="640" w:hanging="205"/>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dividend policies or the declaration of a stock split or the offering of additional securities;</w:t>
      </w:r>
    </w:p>
    <w:p>
      <w:pPr>
        <w:spacing w:after="0" w:line="163"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senior management or other key employees;</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new products or services;</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legal or regulatory exposure due to a pending or threatened lawsuit or investigation;</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impending bankruptcy or other financial liquidity problems;</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legislation affecting our business; and</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or loss of a substantial customer, client or supplier.</w:t>
      </w:r>
    </w:p>
    <w:p>
      <w:pPr>
        <w:spacing w:after="0" w:line="152" w:lineRule="exact"/>
        <w:rPr>
          <w:sz w:val="20"/>
          <w:szCs w:val="20"/>
          <w:color w:val="auto"/>
        </w:rPr>
      </w:pPr>
    </w:p>
    <w:p>
      <w:pPr>
        <w:ind w:right="220" w:firstLine="432"/>
        <w:spacing w:after="0" w:line="298" w:lineRule="auto"/>
        <w:rPr>
          <w:sz w:val="20"/>
          <w:szCs w:val="20"/>
          <w:color w:val="auto"/>
        </w:rPr>
      </w:pPr>
      <w:r>
        <w:rPr>
          <w:rFonts w:ascii="Times New Roman" w:cs="Times New Roman" w:eastAsia="Times New Roman" w:hAnsi="Times New Roman"/>
          <w:sz w:val="14"/>
          <w:szCs w:val="14"/>
          <w:i w:val="1"/>
          <w:iCs w:val="1"/>
          <w:color w:val="auto"/>
        </w:rPr>
        <w:t>20-20 Hindsight</w:t>
      </w:r>
      <w:r>
        <w:rPr>
          <w:rFonts w:ascii="Times New Roman" w:cs="Times New Roman" w:eastAsia="Times New Roman" w:hAnsi="Times New Roman"/>
          <w:sz w:val="14"/>
          <w:szCs w:val="14"/>
          <w:color w:val="auto"/>
        </w:rPr>
        <w:t>. Remember, if your transaction in securities of the Company becomes the subject of scrutiny, it will be viewed after-the-fact with the benefit of hindsight. As a result,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before engaging in any transaction you should carefully consider how regulators and others might view your transaction in hindsight.</w:t>
      </w:r>
    </w:p>
    <w:p>
      <w:pPr>
        <w:spacing w:after="0" w:line="95" w:lineRule="exact"/>
        <w:rPr>
          <w:sz w:val="20"/>
          <w:szCs w:val="20"/>
          <w:color w:val="auto"/>
        </w:rPr>
      </w:pPr>
    </w:p>
    <w:p>
      <w:pPr>
        <w:ind w:right="300" w:firstLine="432"/>
        <w:spacing w:after="0" w:line="268" w:lineRule="auto"/>
        <w:rPr>
          <w:sz w:val="20"/>
          <w:szCs w:val="20"/>
          <w:color w:val="auto"/>
        </w:rPr>
      </w:pPr>
      <w:r>
        <w:rPr>
          <w:rFonts w:ascii="Times New Roman" w:cs="Times New Roman" w:eastAsia="Times New Roman" w:hAnsi="Times New Roman"/>
          <w:sz w:val="14"/>
          <w:szCs w:val="14"/>
          <w:i w:val="1"/>
          <w:iCs w:val="1"/>
          <w:color w:val="auto"/>
        </w:rPr>
        <w:t>Tipping Information to Others</w:t>
      </w:r>
      <w:r>
        <w:rPr>
          <w:rFonts w:ascii="Times New Roman" w:cs="Times New Roman" w:eastAsia="Times New Roman" w:hAnsi="Times New Roman"/>
          <w:sz w:val="14"/>
          <w:szCs w:val="14"/>
          <w:color w:val="auto"/>
        </w:rPr>
        <w:t>. Whether the information is proprietary information about the Company or other information that could have an impact on the price of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directors, officers and employees must not pass the information on to others.</w:t>
      </w:r>
    </w:p>
    <w:p>
      <w:pPr>
        <w:spacing w:after="0"/>
        <w:rPr>
          <w:sz w:val="20"/>
          <w:szCs w:val="20"/>
          <w:color w:val="auto"/>
        </w:rPr>
      </w:pPr>
      <w:r>
        <w:rPr>
          <w:rFonts w:ascii="Times New Roman" w:cs="Times New Roman" w:eastAsia="Times New Roman" w:hAnsi="Times New Roman"/>
          <w:sz w:val="14"/>
          <w:szCs w:val="14"/>
          <w:color w:val="auto"/>
        </w:rPr>
        <w:t>Penalties will apply whether or not you derive, or even intend to derive, any profit or other benefit from another’s actions.</w:t>
      </w:r>
    </w:p>
    <w:p>
      <w:pPr>
        <w:spacing w:after="0" w:line="136" w:lineRule="exact"/>
        <w:rPr>
          <w:sz w:val="20"/>
          <w:szCs w:val="20"/>
          <w:color w:val="auto"/>
        </w:rPr>
      </w:pPr>
    </w:p>
    <w:p>
      <w:pPr>
        <w:ind w:firstLine="432"/>
        <w:spacing w:after="0" w:line="269" w:lineRule="auto"/>
        <w:rPr>
          <w:sz w:val="20"/>
          <w:szCs w:val="20"/>
          <w:color w:val="auto"/>
        </w:rPr>
      </w:pPr>
      <w:r>
        <w:rPr>
          <w:rFonts w:ascii="Times New Roman" w:cs="Times New Roman" w:eastAsia="Times New Roman" w:hAnsi="Times New Roman"/>
          <w:sz w:val="14"/>
          <w:szCs w:val="14"/>
          <w:i w:val="1"/>
          <w:iCs w:val="1"/>
          <w:color w:val="auto"/>
        </w:rPr>
        <w:t>When Information is Public</w:t>
      </w:r>
      <w:r>
        <w:rPr>
          <w:rFonts w:ascii="Times New Roman" w:cs="Times New Roman" w:eastAsia="Times New Roman" w:hAnsi="Times New Roman"/>
          <w:sz w:val="14"/>
          <w:szCs w:val="14"/>
          <w:color w:val="auto"/>
        </w:rPr>
        <w:t>. You may not trade on the basis of material information that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broadly disclosed to the marketplace, such as through a press release or a filing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U.S.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and the marketplace has had time to absorb the information. As a general rule, information should not be considered fully absorbed by the marketplace until the end of the first business day after the information is released. Thus, if information is released on a Monday, trading should not take place until Wednesday. However, if the information in question is contained in a regular quarterly earnings release and the release is issued prior to the opening of the market on a given day, trading may take place on the first business day following the day of release.</w:t>
      </w:r>
    </w:p>
    <w:p>
      <w:pPr>
        <w:spacing w:after="0" w:line="106" w:lineRule="exact"/>
        <w:rPr>
          <w:sz w:val="20"/>
          <w:szCs w:val="20"/>
          <w:color w:val="auto"/>
        </w:rPr>
      </w:pPr>
    </w:p>
    <w:p>
      <w:pPr>
        <w:ind w:firstLine="432"/>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Transactions under Company Plans. </w:t>
      </w:r>
      <w:r>
        <w:rPr>
          <w:rFonts w:ascii="Times New Roman" w:cs="Times New Roman" w:eastAsia="Times New Roman" w:hAnsi="Times New Roman"/>
          <w:sz w:val="14"/>
          <w:szCs w:val="14"/>
          <w:color w:val="auto"/>
        </w:rPr>
        <w:t>Although this Policy does not generally apply to the exercise of employee stock options (other than cashless exercises as described below), it does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apply to the sale of Class A Common Stock received upon exercise. This Policy applies however to the sale as part of a broker-assisted cashless exercise of a stock option and the market sale for the purpose of raising cash to fund the exercise of an option. This Policy also applies to the following elections under a 401(k) plan (if and when the Company makes Company securities an investment alternative under our 401(k) plan):</w:t>
      </w:r>
    </w:p>
    <w:p>
      <w:pPr>
        <w:spacing w:after="0" w:line="107" w:lineRule="exact"/>
        <w:rPr>
          <w:sz w:val="20"/>
          <w:szCs w:val="20"/>
          <w:color w:val="auto"/>
        </w:rPr>
      </w:pPr>
    </w:p>
    <w:p>
      <w:pPr>
        <w:ind w:left="640" w:hanging="204"/>
        <w:spacing w:after="0"/>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or decreasing periodic contributions allocated to the purchase of Company securities;</w:t>
      </w:r>
    </w:p>
    <w:p>
      <w:pPr>
        <w:sectPr>
          <w:pgSz w:w="11900" w:h="16838" w:orient="portrait"/>
          <w:cols w:equalWidth="0" w:num="1">
            <w:col w:w="11160"/>
          </w:cols>
          <w:pgMar w:left="360" w:top="1138" w:right="379" w:bottom="1440" w:gutter="0" w:footer="0" w:header="0"/>
        </w:sectPr>
      </w:pPr>
    </w:p>
    <w:bookmarkStart w:id="157" w:name="page158"/>
    <w:bookmarkEnd w:id="157"/>
    <w:p>
      <w:pPr>
        <w:ind w:left="640" w:hanging="205"/>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intra-plan transfers of an existing balance in or out of Company securities;</w:t>
      </w:r>
    </w:p>
    <w:p>
      <w:pPr>
        <w:spacing w:after="0" w:line="163"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borrowing money against the account if the loan results in the liquidation of any portion of Company securities; and</w:t>
      </w:r>
    </w:p>
    <w:p>
      <w:pPr>
        <w:spacing w:after="0" w:line="154" w:lineRule="exact"/>
        <w:rPr>
          <w:rFonts w:ascii="Times New Roman" w:cs="Times New Roman" w:eastAsia="Times New Roman" w:hAnsi="Times New Roman"/>
          <w:sz w:val="14"/>
          <w:szCs w:val="14"/>
          <w:color w:val="auto"/>
        </w:rPr>
      </w:pPr>
    </w:p>
    <w:p>
      <w:pPr>
        <w:ind w:left="640" w:hanging="205"/>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pre-paying a loan if the pre-payment results in allocation of the proceeds to Company securities.</w:t>
      </w:r>
    </w:p>
    <w:p>
      <w:pPr>
        <w:spacing w:after="0" w:line="152"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4"/>
          <w:szCs w:val="14"/>
          <w:i w:val="1"/>
          <w:iCs w:val="1"/>
          <w:color w:val="auto"/>
        </w:rPr>
        <w:t>Confidentiality Obligations</w:t>
      </w:r>
      <w:r>
        <w:rPr>
          <w:rFonts w:ascii="Times New Roman" w:cs="Times New Roman" w:eastAsia="Times New Roman" w:hAnsi="Times New Roman"/>
          <w:sz w:val="14"/>
          <w:szCs w:val="14"/>
          <w:color w:val="auto"/>
        </w:rPr>
        <w:t>. The restrictions set forth in this Policy are designed to avoid misuse of material nonpublic information in violation of the securities laws. These restrictions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in addition to, and in no way alter, the general obligations that each director, officer and employee of the Company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in the Company, unless that person has a clear need to know that information, and no such information may be disclosed to any third parties, except as required or otherwise contemplated by your function or position.</w:t>
      </w:r>
    </w:p>
    <w:p>
      <w:pPr>
        <w:spacing w:after="0" w:line="11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4"/>
          <w:szCs w:val="14"/>
          <w:b w:val="1"/>
          <w:bCs w:val="1"/>
          <w:color w:val="auto"/>
        </w:rPr>
        <w:t>IV.</w:t>
      </w:r>
      <w:r>
        <w:rPr>
          <w:sz w:val="20"/>
          <w:szCs w:val="20"/>
          <w:color w:val="auto"/>
        </w:rPr>
        <w:tab/>
      </w:r>
      <w:r>
        <w:rPr>
          <w:rFonts w:ascii="Times New Roman" w:cs="Times New Roman" w:eastAsia="Times New Roman" w:hAnsi="Times New Roman"/>
          <w:sz w:val="14"/>
          <w:szCs w:val="14"/>
          <w:b w:val="1"/>
          <w:bCs w:val="1"/>
          <w:color w:val="auto"/>
        </w:rPr>
        <w:t>Additional Prohibited Transactions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Because we believe it is improper and inappropriate for any person to engage in short- term or speculative transactions involving the Company’s securities, it is the policy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that directors, officers and employees of the Company are prohibited from engaging in any of the following activities with respect to securities of the Company:</w:t>
      </w:r>
    </w:p>
    <w:p>
      <w:pPr>
        <w:spacing w:after="0" w:line="136" w:lineRule="exact"/>
        <w:rPr>
          <w:sz w:val="20"/>
          <w:szCs w:val="20"/>
          <w:color w:val="auto"/>
        </w:rPr>
      </w:pPr>
    </w:p>
    <w:p>
      <w:pPr>
        <w:ind w:left="860" w:right="120" w:hanging="425"/>
        <w:spacing w:after="0" w:line="298" w:lineRule="auto"/>
        <w:tabs>
          <w:tab w:leader="none" w:pos="86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selling stock you do not own and borrowing the shares to make delivery). The SEC effectively prohibits directors and officers from selling Company securities short. This Policy is simply expanding this prohibition to cover all employees.</w:t>
      </w:r>
    </w:p>
    <w:p>
      <w:pPr>
        <w:spacing w:after="0" w:line="97" w:lineRule="exact"/>
        <w:rPr>
          <w:rFonts w:ascii="Times New Roman" w:cs="Times New Roman" w:eastAsia="Times New Roman" w:hAnsi="Times New Roman"/>
          <w:sz w:val="14"/>
          <w:szCs w:val="14"/>
          <w:color w:val="auto"/>
        </w:rPr>
      </w:pPr>
    </w:p>
    <w:p>
      <w:pPr>
        <w:ind w:left="860" w:right="360" w:hanging="425"/>
        <w:spacing w:after="0" w:line="295" w:lineRule="auto"/>
        <w:tabs>
          <w:tab w:leader="none" w:pos="86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traded options. You may not engage in transactions in publicly traded options in the Company’s securities, such as puts, calls and other derivative securities, on an exchange or in any other organized market.</w:t>
      </w:r>
    </w:p>
    <w:p>
      <w:pPr>
        <w:spacing w:after="0" w:line="90" w:lineRule="exact"/>
        <w:rPr>
          <w:rFonts w:ascii="Times New Roman" w:cs="Times New Roman" w:eastAsia="Times New Roman" w:hAnsi="Times New Roman"/>
          <w:sz w:val="14"/>
          <w:szCs w:val="14"/>
          <w:color w:val="auto"/>
        </w:rPr>
      </w:pPr>
    </w:p>
    <w:p>
      <w:pPr>
        <w:ind w:left="860" w:hanging="425"/>
        <w:spacing w:after="0" w:line="275" w:lineRule="auto"/>
        <w:tabs>
          <w:tab w:leader="none" w:pos="86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Standing orders. Standing orders regarding the Company’s securities should be used only for a very brief period of time. A standing order placed with a broker to sell or purchase stock at a specified price leaves you with no control over the timing of the transaction. A standing order transaction executed by the broker when you are aware of material nonpublic information may result in unlawful securities trading. This restriction does not apply to purchase and sales under a Rule 10b5-1 trading plan discussed in Part VII.</w:t>
      </w:r>
    </w:p>
    <w:p>
      <w:pPr>
        <w:spacing w:after="0" w:line="110" w:lineRule="exact"/>
        <w:rPr>
          <w:rFonts w:ascii="Times New Roman" w:cs="Times New Roman" w:eastAsia="Times New Roman" w:hAnsi="Times New Roman"/>
          <w:sz w:val="14"/>
          <w:szCs w:val="14"/>
          <w:color w:val="auto"/>
        </w:rPr>
      </w:pPr>
    </w:p>
    <w:p>
      <w:pPr>
        <w:ind w:left="440" w:hanging="437"/>
        <w:spacing w:after="0"/>
        <w:tabs>
          <w:tab w:leader="none" w:pos="440" w:val="left"/>
        </w:tabs>
        <w:numPr>
          <w:ilvl w:val="0"/>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Blackout Periods – For Directors, Executive Officers, and Employees and Certain Other Personnel</w:t>
      </w:r>
    </w:p>
    <w:p>
      <w:pPr>
        <w:spacing w:after="0" w:line="156" w:lineRule="exact"/>
        <w:rPr>
          <w:rFonts w:ascii="Times New Roman" w:cs="Times New Roman" w:eastAsia="Times New Roman" w:hAnsi="Times New Roman"/>
          <w:sz w:val="14"/>
          <w:szCs w:val="14"/>
          <w:b w:val="1"/>
          <w:bCs w:val="1"/>
          <w:color w:val="auto"/>
        </w:rPr>
      </w:pPr>
    </w:p>
    <w:p>
      <w:pPr>
        <w:ind w:left="4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announcement of quarterly financial results has the potential to have a material impact on the market for the Company’s securities. Therefore, in order to avoid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-238760</wp:posOffset>
            </wp:positionV>
            <wp:extent cx="2286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appearance that its directors, officers, employees and other insiders are trading while aware of</w:t>
      </w:r>
    </w:p>
    <w:p>
      <w:pPr>
        <w:sectPr>
          <w:pgSz w:w="11900" w:h="16838" w:orient="portrait"/>
          <w:cols w:equalWidth="0" w:num="1">
            <w:col w:w="11100"/>
          </w:cols>
          <w:pgMar w:left="360" w:top="1138" w:right="439" w:bottom="1440" w:gutter="0" w:footer="0" w:header="0"/>
        </w:sectPr>
      </w:pPr>
    </w:p>
    <w:bookmarkStart w:id="158" w:name="page159"/>
    <w:bookmarkEnd w:id="158"/>
    <w:p>
      <w:pPr>
        <w:spacing w:after="0" w:line="309" w:lineRule="auto"/>
        <w:rPr>
          <w:sz w:val="20"/>
          <w:szCs w:val="20"/>
          <w:color w:val="auto"/>
        </w:rPr>
      </w:pPr>
      <w:r>
        <w:rPr>
          <w:rFonts w:ascii="Times New Roman" w:cs="Times New Roman" w:eastAsia="Times New Roman" w:hAnsi="Times New Roman"/>
          <w:sz w:val="14"/>
          <w:szCs w:val="14"/>
          <w:color w:val="auto"/>
        </w:rPr>
        <w:t>material nonpublic information, all directors, executive officers, employees, and certain other persons who are likely to have access to material nonpublic information about the Company will be subject to quarterly blackouts on trading.</w:t>
      </w:r>
    </w:p>
    <w:p>
      <w:pPr>
        <w:spacing w:after="0" w:line="78" w:lineRule="exact"/>
        <w:rPr>
          <w:sz w:val="20"/>
          <w:szCs w:val="20"/>
          <w:color w:val="auto"/>
        </w:rPr>
      </w:pPr>
    </w:p>
    <w:p>
      <w:pPr>
        <w:ind w:right="120" w:firstLine="432"/>
        <w:spacing w:after="0" w:line="271" w:lineRule="auto"/>
        <w:rPr>
          <w:sz w:val="20"/>
          <w:szCs w:val="20"/>
          <w:color w:val="auto"/>
        </w:rPr>
      </w:pPr>
      <w:r>
        <w:rPr>
          <w:rFonts w:ascii="Times New Roman" w:cs="Times New Roman" w:eastAsia="Times New Roman" w:hAnsi="Times New Roman"/>
          <w:sz w:val="14"/>
          <w:szCs w:val="14"/>
          <w:color w:val="auto"/>
        </w:rPr>
        <w:t>The Company has established the following “</w:t>
      </w:r>
      <w:r>
        <w:rPr>
          <w:rFonts w:ascii="Times New Roman" w:cs="Times New Roman" w:eastAsia="Times New Roman" w:hAnsi="Times New Roman"/>
          <w:sz w:val="14"/>
          <w:szCs w:val="14"/>
          <w:u w:val="single" w:color="auto"/>
          <w:color w:val="auto"/>
        </w:rPr>
        <w:t>blackout periods</w:t>
      </w:r>
      <w:r>
        <w:rPr>
          <w:rFonts w:ascii="Times New Roman" w:cs="Times New Roman" w:eastAsia="Times New Roman" w:hAnsi="Times New Roman"/>
          <w:sz w:val="14"/>
          <w:szCs w:val="14"/>
          <w:color w:val="auto"/>
        </w:rPr>
        <w:t xml:space="preserve">” in relation to the publication of its annual and quarterly results: </w:t>
      </w:r>
      <w:r>
        <w:rPr>
          <w:rFonts w:ascii="Times New Roman" w:cs="Times New Roman" w:eastAsia="Times New Roman" w:hAnsi="Times New Roman"/>
          <w:sz w:val="14"/>
          <w:szCs w:val="14"/>
          <w:b w:val="1"/>
          <w:bCs w:val="1"/>
          <w:color w:val="auto"/>
        </w:rPr>
        <w:t>(a) the period beginning at the end of its fiscal year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and ending on and including the first full trading day following the release of the Company’s earnings for that year; (b) the period beginning at the end of each of its fiscal quarters and ending on and including the first full trading day following the release of the Company’s earnings for that quarter; and (c) for directors and executive officers, to the extent and during the periods as the Responsible Officer or his or her designee may direct, including as required by Section 306 of the Sarbanes-Oxley Act of 2002 or its implementing regulations.</w:t>
      </w:r>
    </w:p>
    <w:p>
      <w:pPr>
        <w:spacing w:after="0" w:line="281" w:lineRule="exact"/>
        <w:rPr>
          <w:sz w:val="20"/>
          <w:szCs w:val="20"/>
          <w:color w:val="auto"/>
        </w:rPr>
      </w:pPr>
    </w:p>
    <w:p>
      <w:pPr>
        <w:ind w:right="480" w:firstLine="432"/>
        <w:spacing w:after="0" w:line="298" w:lineRule="auto"/>
        <w:rPr>
          <w:sz w:val="20"/>
          <w:szCs w:val="20"/>
          <w:color w:val="auto"/>
        </w:rPr>
      </w:pPr>
      <w:r>
        <w:rPr>
          <w:rFonts w:ascii="Times New Roman" w:cs="Times New Roman" w:eastAsia="Times New Roman" w:hAnsi="Times New Roman"/>
          <w:sz w:val="14"/>
          <w:szCs w:val="14"/>
          <w:color w:val="auto"/>
        </w:rPr>
        <w:t xml:space="preserve">During these blackout periods, the following persons and their Related Parties are </w:t>
      </w:r>
      <w:r>
        <w:rPr>
          <w:rFonts w:ascii="Times New Roman" w:cs="Times New Roman" w:eastAsia="Times New Roman" w:hAnsi="Times New Roman"/>
          <w:sz w:val="14"/>
          <w:szCs w:val="14"/>
          <w:b w:val="1"/>
          <w:bCs w:val="1"/>
          <w:u w:val="single" w:color="auto"/>
          <w:color w:val="auto"/>
        </w:rPr>
        <w:t>prohibited</w:t>
      </w:r>
      <w:r>
        <w:rPr>
          <w:rFonts w:ascii="Times New Roman" w:cs="Times New Roman" w:eastAsia="Times New Roman" w:hAnsi="Times New Roman"/>
          <w:sz w:val="14"/>
          <w:szCs w:val="14"/>
          <w:color w:val="auto"/>
        </w:rPr>
        <w:t xml:space="preserve"> from effecting transactions in securities of the Company (except as otherwise expressly provided below):</w:t>
      </w:r>
    </w:p>
    <w:p>
      <w:pPr>
        <w:spacing w:after="0" w:line="88" w:lineRule="exact"/>
        <w:rPr>
          <w:sz w:val="20"/>
          <w:szCs w:val="20"/>
          <w:color w:val="auto"/>
        </w:rPr>
      </w:pPr>
    </w:p>
    <w:p>
      <w:pPr>
        <w:ind w:left="1080" w:hanging="212"/>
        <w:spacing w:after="0"/>
        <w:tabs>
          <w:tab w:leader="none" w:pos="108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directors and their secretaries and other assistants;</w:t>
      </w:r>
    </w:p>
    <w:p>
      <w:pPr>
        <w:spacing w:after="0" w:line="154" w:lineRule="exact"/>
        <w:rPr>
          <w:rFonts w:ascii="Times New Roman" w:cs="Times New Roman" w:eastAsia="Times New Roman" w:hAnsi="Times New Roman"/>
          <w:sz w:val="12"/>
          <w:szCs w:val="12"/>
          <w:color w:val="auto"/>
        </w:rPr>
      </w:pPr>
    </w:p>
    <w:p>
      <w:pPr>
        <w:ind w:left="1080" w:hanging="213"/>
        <w:spacing w:after="0"/>
        <w:tabs>
          <w:tab w:leader="none" w:pos="108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executive officers, any other officer who has an obligation to file reports under Section 16 of the Exchange Act, and their secretaries and other assistants;</w:t>
      </w:r>
    </w:p>
    <w:p>
      <w:pPr>
        <w:spacing w:after="0" w:line="154" w:lineRule="exact"/>
        <w:rPr>
          <w:rFonts w:ascii="Times New Roman" w:cs="Times New Roman" w:eastAsia="Times New Roman" w:hAnsi="Times New Roman"/>
          <w:sz w:val="12"/>
          <w:szCs w:val="12"/>
          <w:color w:val="auto"/>
        </w:rPr>
      </w:pPr>
    </w:p>
    <w:p>
      <w:pPr>
        <w:ind w:left="1080" w:hanging="212"/>
        <w:spacing w:after="0"/>
        <w:tabs>
          <w:tab w:leader="none" w:pos="108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employees; and</w:t>
      </w:r>
    </w:p>
    <w:p>
      <w:pPr>
        <w:spacing w:after="0" w:line="109" w:lineRule="exact"/>
        <w:rPr>
          <w:rFonts w:ascii="Times New Roman" w:cs="Times New Roman" w:eastAsia="Times New Roman" w:hAnsi="Times New Roman"/>
          <w:sz w:val="12"/>
          <w:szCs w:val="12"/>
          <w:color w:val="auto"/>
        </w:rPr>
      </w:pPr>
    </w:p>
    <w:p>
      <w:pPr>
        <w:ind w:left="1220" w:hanging="352"/>
        <w:spacing w:after="0"/>
        <w:tabs>
          <w:tab w:leader="none" w:pos="12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any other person designated by the Responsible Officer or his or her designee. You should be aware that the blackout periods described above may be modified by the</w:t>
      </w:r>
    </w:p>
    <w:p>
      <w:pPr>
        <w:spacing w:after="0" w:line="10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4"/>
          <w:szCs w:val="14"/>
          <w:color w:val="auto"/>
        </w:rPr>
        <w:t>Company at any time. In addition, the Company may from time to time determine that effecting transactions in securities of the Company is inappropriate at a time that is outside the blackout periods and, accordingly, may notify you of additional blackout periods at any time. For example, a short blackout period may be imposed shortly before issuance of interim earnings guidance. Those subject to blackout period requirements will receive notice of any modification by the Company of the blackout period policy or of any additional prohibition on trading during a non-blackout period. Persons subject to the blackout period restrictions who terminate their employment with the Company during a blackout period will remain subject to the restrictions until the end of such period.</w:t>
      </w:r>
    </w:p>
    <w:p>
      <w:pPr>
        <w:spacing w:after="0" w:line="109" w:lineRule="exact"/>
        <w:rPr>
          <w:sz w:val="20"/>
          <w:szCs w:val="20"/>
          <w:color w:val="auto"/>
        </w:rPr>
      </w:pPr>
    </w:p>
    <w:p>
      <w:pPr>
        <w:ind w:right="100" w:firstLine="432"/>
        <w:spacing w:after="0" w:line="268" w:lineRule="auto"/>
        <w:rPr>
          <w:sz w:val="20"/>
          <w:szCs w:val="20"/>
          <w:color w:val="auto"/>
        </w:rPr>
      </w:pPr>
      <w:r>
        <w:rPr>
          <w:rFonts w:ascii="Times New Roman" w:cs="Times New Roman" w:eastAsia="Times New Roman" w:hAnsi="Times New Roman"/>
          <w:sz w:val="14"/>
          <w:szCs w:val="14"/>
          <w:color w:val="auto"/>
        </w:rPr>
        <w:t>The prohibition described in this Part V shall not apply to gifts of Company securities and contributions of Company securities to a trust (so long as the requirements of Part VI below are complied with, if applicable). The Responsible Officer or his or her designee may, on a case- by-case basis, authorize effecting a transaction in Company securities during a blackout period if the person who wishes to effect such a transaction (i) has, at least two business days prior to the anticipated transaction date, notified the Company in writing of the circumstances and the amount and nature of the proposed transaction and (ii) has certified to the Company that he or she is not in possession of material nonpublic information concerning the Company.</w:t>
      </w:r>
    </w:p>
    <w:p>
      <w:pPr>
        <w:sectPr>
          <w:pgSz w:w="11900" w:h="16838" w:orient="portrait"/>
          <w:cols w:equalWidth="0" w:num="1">
            <w:col w:w="11160"/>
          </w:cols>
          <w:pgMar w:left="360" w:top="1138" w:right="379" w:bottom="1440" w:gutter="0" w:footer="0" w:header="0"/>
        </w:sectPr>
      </w:pPr>
    </w:p>
    <w:bookmarkStart w:id="159" w:name="page160"/>
    <w:bookmarkEnd w:id="159"/>
    <w:p>
      <w:pPr>
        <w:spacing w:after="0" w:line="268" w:lineRule="auto"/>
        <w:rPr>
          <w:sz w:val="20"/>
          <w:szCs w:val="20"/>
          <w:color w:val="auto"/>
        </w:rPr>
      </w:pPr>
    </w:p>
    <w:p>
      <w:pPr>
        <w:sectPr>
          <w:pgSz w:w="11900" w:h="16838" w:orient="portrait"/>
          <w:cols w:equalWidth="1" w:num="1" w:space="0"/>
          <w:pgMar w:left="1440" w:top="1440" w:right="1440" w:bottom="875" w:gutter="0" w:footer="0" w:header="0"/>
        </w:sectPr>
      </w:pPr>
    </w:p>
    <w:bookmarkStart w:id="160" w:name="page161"/>
    <w:bookmarkEnd w:id="160"/>
    <w:p>
      <w:pPr>
        <w:ind w:left="440"/>
        <w:spacing w:after="0"/>
        <w:rPr>
          <w:sz w:val="20"/>
          <w:szCs w:val="20"/>
          <w:color w:val="auto"/>
        </w:rPr>
      </w:pPr>
      <w:r>
        <w:rPr>
          <w:rFonts w:ascii="Times New Roman" w:cs="Times New Roman" w:eastAsia="Times New Roman" w:hAnsi="Times New Roman"/>
          <w:sz w:val="14"/>
          <w:szCs w:val="14"/>
          <w:color w:val="auto"/>
        </w:rPr>
        <w:t>See Part VI below for the principles applicable to transactions under Rule 10b5-1 plans.</w:t>
      </w:r>
    </w:p>
    <w:p>
      <w:pPr>
        <w:spacing w:after="0" w:line="16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b w:val="1"/>
          <w:bCs w:val="1"/>
          <w:color w:val="auto"/>
        </w:rPr>
        <w:t>VI.</w:t>
      </w:r>
      <w:r>
        <w:rPr>
          <w:sz w:val="20"/>
          <w:szCs w:val="20"/>
          <w:color w:val="auto"/>
        </w:rPr>
        <w:tab/>
      </w:r>
      <w:r>
        <w:rPr>
          <w:rFonts w:ascii="Times New Roman" w:cs="Times New Roman" w:eastAsia="Times New Roman" w:hAnsi="Times New Roman"/>
          <w:sz w:val="14"/>
          <w:szCs w:val="14"/>
          <w:b w:val="1"/>
          <w:bCs w:val="1"/>
          <w:color w:val="auto"/>
        </w:rPr>
        <w:t>Pre-Clearance of Securities Transactions</w:t>
      </w:r>
    </w:p>
    <w:p>
      <w:pPr>
        <w:spacing w:after="0" w:line="156" w:lineRule="exact"/>
        <w:rPr>
          <w:sz w:val="20"/>
          <w:szCs w:val="20"/>
          <w:color w:val="auto"/>
        </w:rPr>
      </w:pPr>
    </w:p>
    <w:p>
      <w:pPr>
        <w:ind w:firstLine="432"/>
        <w:spacing w:after="0" w:line="275" w:lineRule="auto"/>
        <w:rPr>
          <w:sz w:val="20"/>
          <w:szCs w:val="20"/>
          <w:color w:val="auto"/>
        </w:rPr>
      </w:pPr>
      <w:r>
        <w:rPr>
          <w:rFonts w:ascii="Times New Roman" w:cs="Times New Roman" w:eastAsia="Times New Roman" w:hAnsi="Times New Roman"/>
          <w:sz w:val="14"/>
          <w:szCs w:val="14"/>
          <w:color w:val="auto"/>
        </w:rPr>
        <w:t>To provide assistance in preventing inadvertent violations of the law (which could result for example, from failure by directors and officers subject to reporting obligations under Section 16 of the Exchange Act) and avoiding even the appearance of an improper transaction (which could result, for example, where an officer engages in a trade while unaware of a pending major development), we are implementing the following procedure:</w:t>
      </w:r>
    </w:p>
    <w:p>
      <w:pPr>
        <w:spacing w:after="0" w:line="102" w:lineRule="exact"/>
        <w:rPr>
          <w:sz w:val="20"/>
          <w:szCs w:val="20"/>
          <w:color w:val="auto"/>
        </w:rPr>
      </w:pPr>
    </w:p>
    <w:p>
      <w:pPr>
        <w:ind w:right="260" w:firstLine="432"/>
        <w:spacing w:after="0" w:line="312" w:lineRule="auto"/>
        <w:rPr>
          <w:sz w:val="20"/>
          <w:szCs w:val="20"/>
          <w:color w:val="auto"/>
        </w:rPr>
      </w:pPr>
      <w:r>
        <w:rPr>
          <w:rFonts w:ascii="Times New Roman" w:cs="Times New Roman" w:eastAsia="Times New Roman" w:hAnsi="Times New Roman"/>
          <w:sz w:val="14"/>
          <w:szCs w:val="14"/>
          <w:b w:val="1"/>
          <w:bCs w:val="1"/>
          <w:color w:val="auto"/>
        </w:rPr>
        <w:t>All transactions in securities of the Company by the following persons and their immediate family members and other members of their household must be pre-cleared with the Company’s Responsible Officer or his or her designee:</w:t>
      </w:r>
    </w:p>
    <w:p>
      <w:pPr>
        <w:spacing w:after="0" w:line="76" w:lineRule="exact"/>
        <w:rPr>
          <w:sz w:val="20"/>
          <w:szCs w:val="20"/>
          <w:color w:val="auto"/>
        </w:rPr>
      </w:pPr>
    </w:p>
    <w:p>
      <w:pPr>
        <w:ind w:left="1080" w:hanging="213"/>
        <w:spacing w:after="0"/>
        <w:tabs>
          <w:tab w:leader="none" w:pos="10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directors and their secretaries and other assistants;</w:t>
      </w:r>
    </w:p>
    <w:p>
      <w:pPr>
        <w:spacing w:after="0" w:line="154" w:lineRule="exact"/>
        <w:rPr>
          <w:rFonts w:ascii="Times New Roman" w:cs="Times New Roman" w:eastAsia="Times New Roman" w:hAnsi="Times New Roman"/>
          <w:sz w:val="14"/>
          <w:szCs w:val="14"/>
          <w:color w:val="auto"/>
        </w:rPr>
      </w:pPr>
    </w:p>
    <w:p>
      <w:pPr>
        <w:ind w:left="1080" w:hanging="213"/>
        <w:spacing w:after="0"/>
        <w:tabs>
          <w:tab w:leader="none" w:pos="10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executive officers, any other officer who has an obligation to file reports under Section 16 of the Exchange Act, and their secretaries and other assistants; and</w:t>
      </w:r>
    </w:p>
    <w:p>
      <w:pPr>
        <w:spacing w:after="0" w:line="154" w:lineRule="exact"/>
        <w:rPr>
          <w:rFonts w:ascii="Times New Roman" w:cs="Times New Roman" w:eastAsia="Times New Roman" w:hAnsi="Times New Roman"/>
          <w:sz w:val="14"/>
          <w:szCs w:val="14"/>
          <w:color w:val="auto"/>
        </w:rPr>
      </w:pPr>
    </w:p>
    <w:p>
      <w:pPr>
        <w:ind w:left="1080" w:hanging="213"/>
        <w:spacing w:after="0"/>
        <w:tabs>
          <w:tab w:leader="none" w:pos="10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any other person designated by the Responsible Officer or his or her designee.</w:t>
      </w:r>
    </w:p>
    <w:p>
      <w:pPr>
        <w:spacing w:after="0" w:line="154" w:lineRule="exact"/>
        <w:rPr>
          <w:sz w:val="20"/>
          <w:szCs w:val="20"/>
          <w:color w:val="auto"/>
        </w:rPr>
      </w:pPr>
    </w:p>
    <w:p>
      <w:pPr>
        <w:jc w:val="both"/>
        <w:ind w:right="20" w:firstLine="432"/>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Persons subject to these restrictions should contact the Responsible Officer or his or her designee </w:t>
      </w:r>
      <w:r>
        <w:rPr>
          <w:rFonts w:ascii="Times New Roman" w:cs="Times New Roman" w:eastAsia="Times New Roman" w:hAnsi="Times New Roman"/>
          <w:sz w:val="14"/>
          <w:szCs w:val="14"/>
          <w:b w:val="1"/>
          <w:bCs w:val="1"/>
          <w:u w:val="single" w:color="auto"/>
          <w:color w:val="auto"/>
        </w:rPr>
        <w:t>at least two business days (or such shorter period as the Responsible Officer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or his or her designee may determine) in advance</w:t>
      </w:r>
      <w:r>
        <w:rPr>
          <w:rFonts w:ascii="Times New Roman" w:cs="Times New Roman" w:eastAsia="Times New Roman" w:hAnsi="Times New Roman"/>
          <w:sz w:val="14"/>
          <w:szCs w:val="14"/>
          <w:b w:val="1"/>
          <w:bCs w:val="1"/>
          <w:color w:val="auto"/>
        </w:rPr>
        <w:t xml:space="preserve"> and may not effect any transaction subject to the pre-clearance request unless given clearance to do so, which clearance, if granted, will be valid only for five business days following the approval date. If a transaction for which clearance has been granted is not effected (i.e., the trade is not placed) within such five business day period, the transaction must again be pre-cleared.</w:t>
      </w:r>
    </w:p>
    <w:p>
      <w:pPr>
        <w:spacing w:after="0" w:line="107" w:lineRule="exact"/>
        <w:rPr>
          <w:sz w:val="20"/>
          <w:szCs w:val="20"/>
          <w:color w:val="auto"/>
        </w:rPr>
      </w:pPr>
    </w:p>
    <w:p>
      <w:pPr>
        <w:ind w:right="220" w:firstLine="432"/>
        <w:spacing w:after="0" w:line="268" w:lineRule="auto"/>
        <w:rPr>
          <w:sz w:val="20"/>
          <w:szCs w:val="20"/>
          <w:color w:val="auto"/>
        </w:rPr>
      </w:pPr>
      <w:r>
        <w:rPr>
          <w:rFonts w:ascii="Times New Roman" w:cs="Times New Roman" w:eastAsia="Times New Roman" w:hAnsi="Times New Roman"/>
          <w:sz w:val="14"/>
          <w:szCs w:val="14"/>
          <w:color w:val="auto"/>
        </w:rPr>
        <w:t>To the extent that a material event or development affecting the Company remains nonpublic, persons subject to pre-clearance will not be given permission to effect transactions in securities of the Company. Such persons may not be informed of the reason why they may not trade. Any person that is made aware of the reason for an event-specific prohibition on trading should in no event disclose the reason for the prohibition to third parties and should avoid disclosing the existence of the prohibition, if possible. Caution should be exercised when telling a broker or other person who suggested a trade that the trade cannot be effected at the time.</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Note that the pre-clearance procedures may delay the disposition of any security after it is purchased.</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See Part VII below for the principles applicable to transactions under Rule 10b5-1 plans.</w:t>
      </w:r>
    </w:p>
    <w:p>
      <w:pPr>
        <w:spacing w:after="0" w:line="15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b w:val="1"/>
          <w:bCs w:val="1"/>
          <w:color w:val="auto"/>
        </w:rPr>
        <w:t>VII.</w:t>
        <w:tab/>
        <w:t>10b5-1 Plans.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SEC has adopted a safe harbor rule, Rule 10b5-1, which provides a defense against insider trading liability for trades that are effected pursuant to a pre-arranged trading plan that</w:t>
      </w:r>
    </w:p>
    <w:p>
      <w:pPr>
        <w:sectPr>
          <w:pgSz w:w="11900" w:h="16838" w:orient="portrait"/>
          <w:cols w:equalWidth="0" w:num="1">
            <w:col w:w="11120"/>
          </w:cols>
          <w:pgMar w:left="360" w:top="1138" w:right="4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color w:val="auto"/>
        </w:rPr>
        <w:t>meets specified conditions. The trading plan must be properly documented and all of the procedural conditions of the Rule must be satisfied to avoid liability.</w:t>
      </w:r>
    </w:p>
    <w:p>
      <w:pPr>
        <w:spacing w:after="0" w:line="16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4"/>
          <w:szCs w:val="14"/>
          <w:color w:val="auto"/>
        </w:rPr>
        <w:t>Rule 10b5-1 plans allow transactions for the account of an insider to occur during blackout periods or while the insider has material nonpublic information provided the insider has previously given instructions or other control to effect pre-planned transactions in securities of the Company to a third party. The insider must establish the plan at a time when he or she is not in possession of material nonpublic information and the insider may not exercise any subsequent influence over how, when or whether to effect transactions. In addition to other specified conditions, a Rule 10b5-1 plan would specify in writing in advance the amount and price of the securities to be sold and the date for the sale (or a formula for determining the amount, price and date) or would otherwise not permit the insider to exercise any subsequent influence over how, when or whether to effect the sales. After adopting a valid Rule 10b5-1 plan, the insider will have an affirmative defense that a sale under the plan was not made “on the basis of” material nonpublic information.</w:t>
      </w:r>
    </w:p>
    <w:p>
      <w:pPr>
        <w:spacing w:after="0" w:line="112" w:lineRule="exact"/>
        <w:rPr>
          <w:sz w:val="20"/>
          <w:szCs w:val="20"/>
          <w:color w:val="auto"/>
        </w:rPr>
      </w:pPr>
    </w:p>
    <w:p>
      <w:pPr>
        <w:ind w:right="120" w:firstLine="432"/>
        <w:spacing w:after="0" w:line="275" w:lineRule="auto"/>
        <w:rPr>
          <w:sz w:val="20"/>
          <w:szCs w:val="20"/>
          <w:color w:val="auto"/>
        </w:rPr>
      </w:pPr>
      <w:r>
        <w:rPr>
          <w:rFonts w:ascii="Times New Roman" w:cs="Times New Roman" w:eastAsia="Times New Roman" w:hAnsi="Times New Roman"/>
          <w:sz w:val="14"/>
          <w:szCs w:val="14"/>
          <w:color w:val="auto"/>
        </w:rPr>
        <w:t xml:space="preserve">The Company will treat the creation, modification or termination of a pre-planned trading program or arrangement established to meet the requirements of Rule 10b5-1 as a transaction subject to the blackout period rules set forth in Part V of this Policy. Transactions effected pursuant to a properly established Rule 10b5-1 plan however will </w:t>
      </w:r>
      <w:r>
        <w:rPr>
          <w:rFonts w:ascii="Times New Roman" w:cs="Times New Roman" w:eastAsia="Times New Roman" w:hAnsi="Times New Roman"/>
          <w:sz w:val="14"/>
          <w:szCs w:val="14"/>
          <w:u w:val="single" w:color="auto"/>
          <w:color w:val="auto"/>
        </w:rPr>
        <w:t>not</w:t>
      </w:r>
      <w:r>
        <w:rPr>
          <w:rFonts w:ascii="Times New Roman" w:cs="Times New Roman" w:eastAsia="Times New Roman" w:hAnsi="Times New Roman"/>
          <w:sz w:val="14"/>
          <w:szCs w:val="14"/>
          <w:color w:val="auto"/>
        </w:rPr>
        <w:t xml:space="preserve"> be subject to the blackout periods under Part V of this Policy.</w:t>
      </w:r>
    </w:p>
    <w:p>
      <w:pPr>
        <w:spacing w:after="0" w:line="104" w:lineRule="exact"/>
        <w:rPr>
          <w:sz w:val="20"/>
          <w:szCs w:val="20"/>
          <w:color w:val="auto"/>
        </w:rPr>
      </w:pPr>
    </w:p>
    <w:p>
      <w:pPr>
        <w:ind w:right="120" w:firstLine="432"/>
        <w:spacing w:after="0" w:line="272" w:lineRule="auto"/>
        <w:rPr>
          <w:sz w:val="20"/>
          <w:szCs w:val="20"/>
          <w:color w:val="auto"/>
        </w:rPr>
      </w:pPr>
      <w:r>
        <w:rPr>
          <w:rFonts w:ascii="Times New Roman" w:cs="Times New Roman" w:eastAsia="Times New Roman" w:hAnsi="Times New Roman"/>
          <w:sz w:val="14"/>
          <w:szCs w:val="14"/>
          <w:color w:val="auto"/>
        </w:rPr>
        <w:t>The Company will treat the creation, modification or termination of a pre-planned trading program or arrangement established to meet the requirements of Rule 10b5-1 as a transaction subject to pre-clearance under Part VI of this Policy at the time the plan is established, modified or terminated. Persons subject to the pre-clearance policy should coordinate any such plans or arrangements with the Company’s Responsible Officer or his or her designee. Even though each transaction effected under a Rule 10b5-1 plan does not need to be pre-cleared, it nonetheless must be made in accordance with Rule 144 and must be reported on a Form 4 under Section 16 of the Exchange Act.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VIII.  Assistance</w:t>
      </w:r>
    </w:p>
    <w:p>
      <w:pPr>
        <w:spacing w:after="0" w:line="156"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4"/>
          <w:szCs w:val="14"/>
          <w:color w:val="auto"/>
        </w:rPr>
        <w:t>Any person who has any questions about this Policy or about specific transactions may contact the Company’s Responsible Officer or his or her designee. Remember, however, that the ultimate responsibility for adhering to this Policy and avoiding improper transactions rests with you. In this regard, it is imperative that you use your best judgment and to ask before acting if you are unsure.</w:t>
      </w:r>
    </w:p>
    <w:p>
      <w:pPr>
        <w:sectPr>
          <w:pgSz w:w="11900" w:h="16838" w:orient="portrait"/>
          <w:cols w:equalWidth="0" w:num="1">
            <w:col w:w="11140"/>
          </w:cols>
          <w:pgMar w:left="360" w:top="1138" w:right="399" w:bottom="1440" w:gutter="0" w:footer="0" w:header="0"/>
        </w:sectPr>
      </w:pPr>
    </w:p>
    <w:bookmarkStart w:id="162" w:name="page163"/>
    <w:bookmarkEnd w:id="162"/>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 OF ACKNOWLEDGMENT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You are being furnished two copies of this Policy. Please sign one copy below and return it to vTv Therapeutics Inc. at 3980 Premiere Drive, Suite 310, High Point, NC 27265. Attention: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Responsible Officer.</w:t>
      </w:r>
    </w:p>
    <w:p>
      <w:pPr>
        <w:spacing w:after="0" w:line="146" w:lineRule="exact"/>
        <w:rPr>
          <w:sz w:val="20"/>
          <w:szCs w:val="20"/>
          <w:color w:val="auto"/>
        </w:rPr>
      </w:pPr>
    </w:p>
    <w:p>
      <w:pPr>
        <w:ind w:right="800" w:firstLine="432"/>
        <w:spacing w:after="0" w:line="295" w:lineRule="auto"/>
        <w:rPr>
          <w:sz w:val="20"/>
          <w:szCs w:val="20"/>
          <w:color w:val="auto"/>
        </w:rPr>
      </w:pPr>
      <w:r>
        <w:rPr>
          <w:rFonts w:ascii="Times New Roman" w:cs="Times New Roman" w:eastAsia="Times New Roman" w:hAnsi="Times New Roman"/>
          <w:sz w:val="14"/>
          <w:szCs w:val="14"/>
          <w:color w:val="auto"/>
        </w:rPr>
        <w:t>I have read and I understand the vTv Therapeutics Inc. Securities Trading Policy adopted by the Board of Directors on March 12, 2024, and I agree to comply with all of its requirements. I understand that failure to do so can result in termination of employment, among other penalties.</w:t>
      </w:r>
    </w:p>
    <w:p>
      <w:pPr>
        <w:spacing w:after="0" w:line="36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-4445</wp:posOffset>
            </wp:positionV>
            <wp:extent cx="914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color w:val="auto"/>
        </w:rPr>
        <w:t>Print Above</w:t>
      </w:r>
    </w:p>
    <w:p>
      <w:pPr>
        <w:spacing w:after="0" w:line="32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-4445</wp:posOffset>
            </wp:positionV>
            <wp:extent cx="914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ectPr>
          <w:pgSz w:w="11900" w:h="16838" w:orient="portrait"/>
          <w:cols w:equalWidth="0" w:num="1">
            <w:col w:w="11140"/>
          </w:cols>
          <w:pgMar w:left="360" w:top="1440" w:right="39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2"/>
          <w:szCs w:val="12"/>
          <w:b w:val="1"/>
          <w:bCs w:val="1"/>
          <w:color w:val="auto"/>
        </w:rPr>
        <w:t>Exhibit 21.1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8460" w:type="dxa"/>
            <w:vAlign w:val="bottom"/>
            <w:gridSpan w:val="3"/>
          </w:tcPr>
          <w:p>
            <w:pPr>
              <w:ind w:left="2080"/>
              <w:spacing w:after="0"/>
              <w:rPr>
                <w:sz w:val="20"/>
                <w:szCs w:val="20"/>
                <w:color w:val="auto"/>
              </w:rPr>
            </w:pPr>
            <w:r>
              <w:rPr>
                <w:rFonts w:ascii="Times New Roman" w:cs="Times New Roman" w:eastAsia="Times New Roman" w:hAnsi="Times New Roman"/>
                <w:sz w:val="12"/>
                <w:szCs w:val="12"/>
                <w:color w:val="auto"/>
              </w:rPr>
              <w:t>vTv Therapeutics Inc.</w:t>
            </w:r>
          </w:p>
        </w:tc>
      </w:tr>
      <w:tr>
        <w:trPr>
          <w:trHeight w:val="155"/>
        </w:trPr>
        <w:tc>
          <w:tcPr>
            <w:tcW w:w="2840" w:type="dxa"/>
            <w:vAlign w:val="bottom"/>
          </w:tcPr>
          <w:p>
            <w:pPr>
              <w:spacing w:after="0"/>
              <w:rPr>
                <w:sz w:val="13"/>
                <w:szCs w:val="13"/>
                <w:color w:val="auto"/>
              </w:rPr>
            </w:pPr>
          </w:p>
        </w:tc>
        <w:tc>
          <w:tcPr>
            <w:tcW w:w="8460" w:type="dxa"/>
            <w:vAlign w:val="bottom"/>
            <w:gridSpan w:val="3"/>
          </w:tcPr>
          <w:p>
            <w:pPr>
              <w:ind w:left="1720"/>
              <w:spacing w:after="0"/>
              <w:rPr>
                <w:sz w:val="20"/>
                <w:szCs w:val="20"/>
                <w:color w:val="auto"/>
              </w:rPr>
            </w:pPr>
            <w:r>
              <w:rPr>
                <w:rFonts w:ascii="Times New Roman" w:cs="Times New Roman" w:eastAsia="Times New Roman" w:hAnsi="Times New Roman"/>
                <w:sz w:val="12"/>
                <w:szCs w:val="12"/>
                <w:color w:val="auto"/>
              </w:rPr>
              <w:t>Corporate Subsidiaries as of March 20, 2025</w:t>
            </w:r>
          </w:p>
        </w:tc>
      </w:tr>
      <w:tr>
        <w:trPr>
          <w:trHeight w:val="333"/>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Subsidiary</w:t>
            </w:r>
          </w:p>
        </w:tc>
        <w:tc>
          <w:tcPr>
            <w:tcW w:w="27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4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2"/>
                <w:szCs w:val="12"/>
                <w:b w:val="1"/>
                <w:bCs w:val="1"/>
                <w:color w:val="auto"/>
              </w:rPr>
              <w:t>Jurisdiction of Incorporation</w:t>
            </w:r>
          </w:p>
        </w:tc>
      </w:tr>
      <w:tr>
        <w:trPr>
          <w:trHeight w:val="268"/>
        </w:trPr>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vTv Therapeutics LLC</w:t>
            </w:r>
          </w:p>
        </w:tc>
        <w:tc>
          <w:tcPr>
            <w:tcW w:w="2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Delaware</w:t>
            </w:r>
          </w:p>
        </w:tc>
      </w:tr>
    </w:tbl>
    <w:p>
      <w:pPr>
        <w:sectPr>
          <w:pgSz w:w="11900" w:h="16838" w:orient="portrait"/>
          <w:cols w:equalWidth="0" w:num="1">
            <w:col w:w="11300"/>
          </w:cols>
          <w:pgMar w:left="300" w:top="989" w:right="29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2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333333"/>
        </w:rPr>
        <w:t>Consent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We consent to the incorporation by reference in the following Registration Statements:</w:t>
      </w:r>
    </w:p>
    <w:p>
      <w:pPr>
        <w:spacing w:after="0" w:line="78" w:lineRule="exact"/>
        <w:rPr>
          <w:sz w:val="20"/>
          <w:szCs w:val="20"/>
          <w:color w:val="auto"/>
        </w:rPr>
      </w:pPr>
    </w:p>
    <w:p>
      <w:pPr>
        <w:ind w:left="420" w:hanging="212"/>
        <w:spacing w:after="0"/>
        <w:tabs>
          <w:tab w:leader="none" w:pos="4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S-8 No. 333-206335) pertaining to the vTv Therapeutics Inc. 2015 Omnibus Equity Incentive Plan,</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S-3 No. 333-232571) of vTv Therapeutics Inc.;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S-8 No. 333-240304) of vTv Therapeutics Inc.;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S-1 No. 333-250934) of vTv Therapeutics Inc.;</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S-3 No. 333-278612) of vTv Therapeutics Inc;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Registration Statement (Form S-8 No. 333-282290) of vTv Therapeutics Inc.</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 xml:space="preserve">of our report dated </w:t>
      </w:r>
      <w:r>
        <w:rPr>
          <w:rFonts w:ascii="Times New Roman" w:cs="Times New Roman" w:eastAsia="Times New Roman" w:hAnsi="Times New Roman"/>
          <w:sz w:val="13"/>
          <w:szCs w:val="13"/>
          <w:color w:val="000000"/>
        </w:rPr>
        <w:t>March 20, 2025</w:t>
      </w:r>
      <w:r>
        <w:rPr>
          <w:rFonts w:ascii="Times New Roman" w:cs="Times New Roman" w:eastAsia="Times New Roman" w:hAnsi="Times New Roman"/>
          <w:sz w:val="12"/>
          <w:szCs w:val="12"/>
          <w:color w:val="333333"/>
        </w:rPr>
        <w:t xml:space="preserve">, with respect to the consolidated financial statements of vTv Therapeutics Inc. included in this Annual Report (Form 10-K) of vTv Therapeutics Inc. for the year ended </w:t>
      </w:r>
      <w:r>
        <w:rPr>
          <w:rFonts w:ascii="Times New Roman" w:cs="Times New Roman" w:eastAsia="Times New Roman" w:hAnsi="Times New Roman"/>
          <w:sz w:val="13"/>
          <w:szCs w:val="13"/>
          <w:color w:val="000000"/>
        </w:rPr>
        <w:t>December 31, 2024</w:t>
      </w:r>
      <w:r>
        <w:rPr>
          <w:rFonts w:ascii="Times New Roman" w:cs="Times New Roman" w:eastAsia="Times New Roman" w:hAnsi="Times New Roman"/>
          <w:sz w:val="12"/>
          <w:szCs w:val="12"/>
          <w:color w:val="333333"/>
        </w:rPr>
        <w:t>.</w:t>
      </w:r>
    </w:p>
    <w:p>
      <w:pPr>
        <w:spacing w:after="0" w:line="3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2"/>
          <w:szCs w:val="12"/>
          <w:color w:val="333333"/>
        </w:rPr>
        <w:t>/s/ Ernst &amp; Young LLP</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Raleigh, North Carolina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20, 2025</w:t>
      </w:r>
    </w:p>
    <w:p>
      <w:pPr>
        <w:sectPr>
          <w:pgSz w:w="11900" w:h="16838" w:orient="portrait"/>
          <w:cols w:equalWidth="0" w:num="1">
            <w:col w:w="11140"/>
          </w:cols>
          <w:pgMar w:left="300" w:top="863" w:right="45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302 CERTIFICATION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Paul J. Sekhri, certify that:</w:t>
      </w:r>
    </w:p>
    <w:p>
      <w:pPr>
        <w:spacing w:after="0" w:line="78" w:lineRule="exact"/>
        <w:rPr>
          <w:sz w:val="20"/>
          <w:szCs w:val="20"/>
          <w:color w:val="auto"/>
        </w:rPr>
      </w:pPr>
    </w:p>
    <w:p>
      <w:pPr>
        <w:ind w:left="1280" w:hanging="640"/>
        <w:spacing w:after="0"/>
        <w:tabs>
          <w:tab w:leader="none" w:pos="12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vTv Therapeutics Inc. (the “registrant”);</w:t>
      </w:r>
    </w:p>
    <w:p>
      <w:pPr>
        <w:spacing w:after="0" w:line="78" w:lineRule="exact"/>
        <w:rPr>
          <w:rFonts w:ascii="Times New Roman" w:cs="Times New Roman" w:eastAsia="Times New Roman" w:hAnsi="Times New Roman"/>
          <w:sz w:val="12"/>
          <w:szCs w:val="12"/>
          <w:color w:val="auto"/>
        </w:rPr>
      </w:pPr>
    </w:p>
    <w:p>
      <w:pPr>
        <w:ind w:left="1280" w:hanging="640"/>
        <w:spacing w:after="0" w:line="279" w:lineRule="auto"/>
        <w:tabs>
          <w:tab w:leader="none" w:pos="12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1280" w:right="20" w:hanging="640"/>
        <w:spacing w:after="0" w:line="279" w:lineRule="auto"/>
        <w:tabs>
          <w:tab w:leader="none" w:pos="12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1280" w:hanging="640"/>
        <w:spacing w:after="0" w:line="279" w:lineRule="auto"/>
        <w:tabs>
          <w:tab w:leader="none" w:pos="12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940" w:right="20" w:hanging="652"/>
        <w:spacing w:after="0" w:line="279" w:lineRule="auto"/>
        <w:tabs>
          <w:tab w:leader="none" w:pos="1936"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6"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1280" w:right="20" w:hanging="640"/>
        <w:spacing w:after="0" w:line="279" w:lineRule="auto"/>
        <w:tabs>
          <w:tab w:leader="none" w:pos="128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940" w:hanging="652"/>
        <w:spacing w:after="0"/>
        <w:tabs>
          <w:tab w:leader="none" w:pos="1940" w:val="left"/>
        </w:tabs>
        <w:numPr>
          <w:ilvl w:val="1"/>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20, 2025</w:t>
      </w:r>
    </w:p>
    <w:p>
      <w:pPr>
        <w:spacing w:after="0" w:line="105" w:lineRule="exact"/>
        <w:rPr>
          <w:sz w:val="20"/>
          <w:szCs w:val="20"/>
          <w:color w:val="auto"/>
        </w:rPr>
      </w:pPr>
    </w:p>
    <w:p>
      <w:pPr>
        <w:ind w:left="5480"/>
        <w:spacing w:after="0"/>
        <w:tabs>
          <w:tab w:leader="none" w:pos="60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10795</wp:posOffset>
            </wp:positionV>
            <wp:extent cx="334327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8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Paul J. Sekhri</w:t>
      </w:r>
    </w:p>
    <w:p>
      <w:pPr>
        <w:spacing w:after="0" w:line="3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Chief Executive Officer</w:t>
      </w:r>
    </w:p>
    <w:p>
      <w:pPr>
        <w:sectPr>
          <w:pgSz w:w="11900" w:h="16838" w:orient="portrait"/>
          <w:cols w:equalWidth="0" w:num="1">
            <w:col w:w="11300"/>
          </w:cols>
          <w:pgMar w:left="300" w:top="813" w:right="29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302 CERTIFICATION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Steven Tuch, certify that:</w:t>
      </w:r>
    </w:p>
    <w:p>
      <w:pPr>
        <w:spacing w:after="0" w:line="78" w:lineRule="exact"/>
        <w:rPr>
          <w:sz w:val="20"/>
          <w:szCs w:val="20"/>
          <w:color w:val="auto"/>
        </w:rPr>
      </w:pPr>
    </w:p>
    <w:p>
      <w:pPr>
        <w:ind w:left="1280" w:hanging="640"/>
        <w:spacing w:after="0"/>
        <w:tabs>
          <w:tab w:leader="none" w:pos="12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vTv Therapeutics Inc. (the “registrant”);</w:t>
      </w:r>
    </w:p>
    <w:p>
      <w:pPr>
        <w:spacing w:after="0" w:line="78" w:lineRule="exact"/>
        <w:rPr>
          <w:rFonts w:ascii="Times New Roman" w:cs="Times New Roman" w:eastAsia="Times New Roman" w:hAnsi="Times New Roman"/>
          <w:sz w:val="12"/>
          <w:szCs w:val="12"/>
          <w:color w:val="auto"/>
        </w:rPr>
      </w:pPr>
    </w:p>
    <w:p>
      <w:pPr>
        <w:ind w:left="1280" w:hanging="640"/>
        <w:spacing w:after="0" w:line="279" w:lineRule="auto"/>
        <w:tabs>
          <w:tab w:leader="none" w:pos="12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1280" w:right="20" w:hanging="640"/>
        <w:spacing w:after="0" w:line="279" w:lineRule="auto"/>
        <w:tabs>
          <w:tab w:leader="none" w:pos="12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1280" w:hanging="640"/>
        <w:spacing w:after="0" w:line="279" w:lineRule="auto"/>
        <w:tabs>
          <w:tab w:leader="none" w:pos="12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940" w:right="20" w:hanging="652"/>
        <w:spacing w:after="0" w:line="279" w:lineRule="auto"/>
        <w:tabs>
          <w:tab w:leader="none" w:pos="1936"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940" w:right="20" w:hanging="652"/>
        <w:spacing w:after="0" w:line="279" w:lineRule="auto"/>
        <w:tabs>
          <w:tab w:leader="none" w:pos="1936"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1280" w:right="20" w:hanging="640"/>
        <w:spacing w:after="0" w:line="279" w:lineRule="auto"/>
        <w:tabs>
          <w:tab w:leader="none" w:pos="128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940" w:hanging="652"/>
        <w:spacing w:after="0" w:line="279" w:lineRule="auto"/>
        <w:tabs>
          <w:tab w:leader="none" w:pos="1938"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940" w:hanging="652"/>
        <w:spacing w:after="0"/>
        <w:tabs>
          <w:tab w:leader="none" w:pos="1940"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20, 2025</w:t>
      </w:r>
    </w:p>
    <w:p>
      <w:pPr>
        <w:spacing w:after="0" w:line="105" w:lineRule="exact"/>
        <w:rPr>
          <w:sz w:val="20"/>
          <w:szCs w:val="20"/>
          <w:color w:val="auto"/>
        </w:rPr>
      </w:pPr>
    </w:p>
    <w:tbl>
      <w:tblPr>
        <w:tblLayout w:type="fixed"/>
        <w:tblInd w:w="548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Tuch</w:t>
            </w:r>
          </w:p>
        </w:tc>
      </w:tr>
      <w:tr>
        <w:trPr>
          <w:trHeight w:val="140"/>
        </w:trPr>
        <w:tc>
          <w:tcPr>
            <w:tcW w:w="560" w:type="dxa"/>
            <w:vAlign w:val="bottom"/>
          </w:tcPr>
          <w:p>
            <w:pPr>
              <w:spacing w:after="0"/>
              <w:rPr>
                <w:sz w:val="12"/>
                <w:szCs w:val="12"/>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Steven Tuch</w:t>
            </w:r>
          </w:p>
        </w:tc>
      </w:tr>
      <w:tr>
        <w:trPr>
          <w:trHeight w:val="155"/>
        </w:trPr>
        <w:tc>
          <w:tcPr>
            <w:tcW w:w="56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300"/>
          </w:cols>
          <w:pgMar w:left="300" w:top="813" w:right="29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2"/>
          <w:szCs w:val="12"/>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vTv Therapeutics Inc. (the “Company”) on Form 10-K for the period ended December 31, 2024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spacing w:after="0" w:line="39" w:lineRule="exact"/>
        <w:rPr>
          <w:sz w:val="20"/>
          <w:szCs w:val="20"/>
          <w:color w:val="auto"/>
        </w:rPr>
      </w:pPr>
    </w:p>
    <w:p>
      <w:pPr>
        <w:ind w:left="1280" w:hanging="640"/>
        <w:spacing w:after="0"/>
        <w:tabs>
          <w:tab w:leader="none" w:pos="128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as applicable, of the Securities Exchange Act of 1934; and</w:t>
      </w:r>
    </w:p>
    <w:p>
      <w:pPr>
        <w:spacing w:after="0" w:line="78" w:lineRule="exact"/>
        <w:rPr>
          <w:rFonts w:ascii="Times New Roman" w:cs="Times New Roman" w:eastAsia="Times New Roman" w:hAnsi="Times New Roman"/>
          <w:sz w:val="12"/>
          <w:szCs w:val="12"/>
          <w:color w:val="auto"/>
        </w:rPr>
      </w:pPr>
    </w:p>
    <w:p>
      <w:pPr>
        <w:ind w:left="1280" w:hanging="640"/>
        <w:spacing w:after="0"/>
        <w:tabs>
          <w:tab w:leader="none" w:pos="128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20, 2025</w:t>
      </w:r>
    </w:p>
    <w:p>
      <w:pPr>
        <w:spacing w:after="0" w:line="186" w:lineRule="exact"/>
        <w:rPr>
          <w:sz w:val="20"/>
          <w:szCs w:val="20"/>
          <w:color w:val="auto"/>
        </w:rPr>
      </w:pPr>
    </w:p>
    <w:p>
      <w:pPr>
        <w:ind w:left="5480"/>
        <w:spacing w:after="0"/>
        <w:tabs>
          <w:tab w:leader="none" w:pos="60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22225</wp:posOffset>
            </wp:positionV>
            <wp:extent cx="334327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10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Paul J. Sekhri</w:t>
      </w:r>
    </w:p>
    <w:p>
      <w:pPr>
        <w:spacing w:after="0" w:line="4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Chief Executive Officer</w:t>
      </w:r>
    </w:p>
    <w:p>
      <w:pPr>
        <w:sectPr>
          <w:pgSz w:w="11900" w:h="16838" w:orient="portrait"/>
          <w:cols w:equalWidth="0" w:num="1">
            <w:col w:w="11300"/>
          </w:cols>
          <w:pgMar w:left="300" w:top="813" w:right="29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2"/>
          <w:szCs w:val="12"/>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SECTION 906 OF THE SARBANES-OXLEY ACT OF 2002</w:t>
      </w:r>
    </w:p>
    <w:p>
      <w:pPr>
        <w:spacing w:after="0" w:line="139"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vTv Therapeutics Inc. (the “Company”) on Form 10-K for the period ended December 31, 2024 as filed with the Securities and Exchange Commission on the date hereof (the “Report”), I, Steven Tuch, certify, pursuant to 18 U.S.C. Section 1350, as adopted pursuant to Section 906 of the Sarbanes-Oxley Act of 2002, in my capacity as an officer of the Company that, to my knowledge:</w:t>
      </w:r>
    </w:p>
    <w:p>
      <w:pPr>
        <w:spacing w:after="0" w:line="39" w:lineRule="exact"/>
        <w:rPr>
          <w:sz w:val="20"/>
          <w:szCs w:val="20"/>
          <w:color w:val="auto"/>
        </w:rPr>
      </w:pPr>
    </w:p>
    <w:p>
      <w:pPr>
        <w:ind w:left="1280" w:hanging="640"/>
        <w:spacing w:after="0"/>
        <w:tabs>
          <w:tab w:leader="none" w:pos="128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78" w:lineRule="exact"/>
        <w:rPr>
          <w:rFonts w:ascii="Times New Roman" w:cs="Times New Roman" w:eastAsia="Times New Roman" w:hAnsi="Times New Roman"/>
          <w:sz w:val="12"/>
          <w:szCs w:val="12"/>
          <w:color w:val="auto"/>
        </w:rPr>
      </w:pPr>
    </w:p>
    <w:p>
      <w:pPr>
        <w:ind w:left="1280" w:hanging="640"/>
        <w:spacing w:after="0"/>
        <w:tabs>
          <w:tab w:leader="none" w:pos="128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20, 2025</w:t>
      </w:r>
    </w:p>
    <w:p>
      <w:pPr>
        <w:spacing w:after="0" w:line="177" w:lineRule="exact"/>
        <w:rPr>
          <w:sz w:val="20"/>
          <w:szCs w:val="20"/>
          <w:color w:val="auto"/>
        </w:rPr>
      </w:pPr>
    </w:p>
    <w:tbl>
      <w:tblPr>
        <w:tblLayout w:type="fixed"/>
        <w:tblInd w:w="548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Tuch</w:t>
            </w:r>
          </w:p>
        </w:tc>
      </w:tr>
      <w:tr>
        <w:trPr>
          <w:trHeight w:val="140"/>
        </w:trPr>
        <w:tc>
          <w:tcPr>
            <w:tcW w:w="560" w:type="dxa"/>
            <w:vAlign w:val="bottom"/>
          </w:tcPr>
          <w:p>
            <w:pPr>
              <w:spacing w:after="0"/>
              <w:rPr>
                <w:sz w:val="12"/>
                <w:szCs w:val="12"/>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Steven Tuch</w:t>
            </w:r>
          </w:p>
        </w:tc>
      </w:tr>
      <w:tr>
        <w:trPr>
          <w:trHeight w:val="155"/>
        </w:trPr>
        <w:tc>
          <w:tcPr>
            <w:tcW w:w="56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 w:lineRule="exact"/>
        <w:rPr>
          <w:sz w:val="20"/>
          <w:szCs w:val="20"/>
          <w:color w:val="auto"/>
        </w:rPr>
      </w:pPr>
    </w:p>
    <w:sectPr>
      <w:pgSz w:w="11900" w:h="16838" w:orient="portrait"/>
      <w:cols w:equalWidth="0" w:num="1">
        <w:col w:w="11300"/>
      </w:cols>
      <w:pgMar w:left="300" w:top="81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x"/>
      <w:numFmt w:val="bullet"/>
      <w:start w:val="1"/>
    </w:lvl>
  </w:abstractNum>
  <w:abstractNum w:abstractNumId="1">
    <w:nsid w:val="3855585C"/>
    <w:multiLevelType w:val="hybridMultilevel"/>
    <w:lvl w:ilvl="0">
      <w:lvlJc w:val="left"/>
      <w:lvlText w:val="o"/>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1."/>
      <w:numFmt w:val="upperLetter"/>
      <w:start w:val="9"/>
    </w:lvl>
  </w:abstractNum>
  <w:abstractNum w:abstractNumId="63">
    <w:nsid w:val="168E121F"/>
    <w:multiLevelType w:val="hybridMultilevel"/>
    <w:lvl w:ilvl="0">
      <w:lvlJc w:val="left"/>
      <w:lvlText w:val="%1."/>
      <w:numFmt w:val="upperLetter"/>
      <w:start w:val="35"/>
    </w:lvl>
  </w:abstractNum>
  <w:abstractNum w:abstractNumId="64">
    <w:nsid w:val="1EBA5D23"/>
    <w:multiLevelType w:val="hybridMultilevel"/>
    <w:lvl w:ilvl="0">
      <w:lvlJc w:val="left"/>
      <w:lvlText w:val="%1."/>
      <w:numFmt w:val="upperLetter"/>
      <w:start w:val="6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1"/>
      <w:numFmt w:val="upperLetter"/>
      <w:start w:val="1"/>
    </w:lvl>
    <w:lvl w:ilvl="1">
      <w:lvlJc w:val="left"/>
      <w:lvlText w:val="%2."/>
      <w:numFmt w:val="decimal"/>
      <w:start w:val="1"/>
    </w:lvl>
  </w:abstractNum>
  <w:abstractNum w:abstractNumId="73">
    <w:nsid w:val="42963E5A"/>
    <w:multiLevelType w:val="hybridMultilevel"/>
    <w:lvl w:ilvl="0">
      <w:lvlJc w:val="left"/>
      <w:lvlText w:val="%1."/>
      <w:numFmt w:val="upperLetter"/>
      <w:start w:val="22"/>
    </w:lvl>
    <w:lvl w:ilvl="1">
      <w:lvlJc w:val="left"/>
      <w:lvlText w:val="%2"/>
      <w:numFmt w:val="decimal"/>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jpe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155" Type="http://schemas.openxmlformats.org/officeDocument/2006/relationships/hyperlink" Target="https://www.sec.gov/Archives/edgar/data/1641489/000119312524049499/d766950dex11.htm" TargetMode="External"/><Relationship Id="rId156" Type="http://schemas.openxmlformats.org/officeDocument/2006/relationships/hyperlink" Target="https://www.sec.gov/Archives/edgar/data/1641489/000156761915001036/s000995x1_ex3-1.htm" TargetMode="External"/><Relationship Id="rId157" Type="http://schemas.openxmlformats.org/officeDocument/2006/relationships/hyperlink" Target="https://www.sec.gov/Archives/edgar/data/0001641489/000156459021024143/vtvt-ex31_8.htm" TargetMode="External"/><Relationship Id="rId158" Type="http://schemas.openxmlformats.org/officeDocument/2006/relationships/hyperlink" Target="https://www.sec.gov/Archives/edgar/data/1641489/000164148924000012/vtvtherapeuticsinc-dexce.htm" TargetMode="External"/><Relationship Id="rId159" Type="http://schemas.openxmlformats.org/officeDocument/2006/relationships/hyperlink" Target="https://www.sec.gov/Archives/edgar/data/1641489/000095014222000881/eh220231317_ex0301.htm" TargetMode="External"/><Relationship Id="rId160" Type="http://schemas.openxmlformats.org/officeDocument/2006/relationships/hyperlink" Target="https://www.sec.gov/Archives/edgar/data/1641489/000164148924000012/warrant3212.htm" TargetMode="External"/><Relationship Id="rId161" Type="http://schemas.openxmlformats.org/officeDocument/2006/relationships/hyperlink" Target="https://www.sec.gov/Archives/edgar/data/1641489/000119312522200426/d387388dex41.htm" TargetMode="External"/><Relationship Id="rId162" Type="http://schemas.openxmlformats.org/officeDocument/2006/relationships/hyperlink" Target="https://www.sec.gov/Archives/edgar/data/1641489/000119312524049260/d754681dex41.htm" TargetMode="External"/><Relationship Id="rId163" Type="http://schemas.openxmlformats.org/officeDocument/2006/relationships/hyperlink" Target="https://www.sec.gov/Archives/edgar/data/1641489/000156761915001036/s000995x1_ex10-1.htm" TargetMode="External"/><Relationship Id="rId164" Type="http://schemas.openxmlformats.org/officeDocument/2006/relationships/hyperlink" Target="https://www.sec.gov/Archives/edgar/data/1641489/000156761915001036/s000995x1_ex10-2.htm" TargetMode="External"/><Relationship Id="rId165" Type="http://schemas.openxmlformats.org/officeDocument/2006/relationships/hyperlink" Target="https://www.sec.gov/Archives/edgar/data/1641489/000156761915001036/s000995x1_ex10-3.htm" TargetMode="External"/><Relationship Id="rId169" Type="http://schemas.openxmlformats.org/officeDocument/2006/relationships/hyperlink" Target="https://www.sec.gov/Archives/edgar/data/1641489/000156761915001036/s000995x1_ex10-4.htm" TargetMode="External"/><Relationship Id="rId170" Type="http://schemas.openxmlformats.org/officeDocument/2006/relationships/hyperlink" Target="https://www.sec.gov/Archives/edgar/data/1641489/000156761915001036/s000995x1_ex10-5.htm" TargetMode="External"/><Relationship Id="rId171" Type="http://schemas.openxmlformats.org/officeDocument/2006/relationships/hyperlink" Target="https://www.sec.gov/Archives/edgar/data/1641489/000156761915000982/s000971x7_ex10-7.htm" TargetMode="External"/><Relationship Id="rId172" Type="http://schemas.openxmlformats.org/officeDocument/2006/relationships/hyperlink" Target="https://www.sec.gov/Archives/edgar/data/1641489/000156761915001036/s000995x1_ex10-6.htm" TargetMode="External"/><Relationship Id="rId173" Type="http://schemas.openxmlformats.org/officeDocument/2006/relationships/hyperlink" Target="https://www.sec.gov/Archives/edgar/data/1641489/000156761915001036/s000995x1_ex10-7.htm" TargetMode="External"/><Relationship Id="rId174" Type="http://schemas.openxmlformats.org/officeDocument/2006/relationships/hyperlink" Target="https://www.sec.gov/Archives/edgar/data/1641489/000164148924000066/exhibit452024equityincenti.htm" TargetMode="External"/><Relationship Id="rId175" Type="http://schemas.openxmlformats.org/officeDocument/2006/relationships/hyperlink" Target="https://www.sec.gov/Archives/edgar/data/1641489/000156761915000855/s000893x4_ex10-8.htm" TargetMode="External"/><Relationship Id="rId176" Type="http://schemas.openxmlformats.org/officeDocument/2006/relationships/hyperlink" Target="https://www.sec.gov/Archives/edgar/data/1641489/000156459018019035/vtvt-ex101_258.htm" TargetMode="External"/><Relationship Id="rId177" Type="http://schemas.openxmlformats.org/officeDocument/2006/relationships/hyperlink" Target="https://www.sec.gov/Archives/edgar/data/1641489/000156459020035552/vtvt-ex35_21.htm" TargetMode="External"/><Relationship Id="rId178" Type="http://schemas.openxmlformats.org/officeDocument/2006/relationships/hyperlink" Target="https://www.sec.gov/Archives/edgar/data/1641489/000095014222001796/eh220257384_ex0101.htm" TargetMode="External"/><Relationship Id="rId179" Type="http://schemas.openxmlformats.org/officeDocument/2006/relationships/hyperlink" Target="https://www.sec.gov/Archives/edgar/data/1641489/000119312522200426/d387388dex101.htm" TargetMode="External"/><Relationship Id="rId180" Type="http://schemas.openxmlformats.org/officeDocument/2006/relationships/hyperlink" Target="https://www.sec.gov/Archives/edgar/data/1641489/000095014222002314/eh220274048_ex1001.htm" TargetMode="External"/><Relationship Id="rId181" Type="http://schemas.openxmlformats.org/officeDocument/2006/relationships/hyperlink" Target="https://www.sec.gov/Archives/edgar/data/1641489/000095014222002314/eh220274048_ex1002.htm" TargetMode="External"/><Relationship Id="rId182" Type="http://schemas.openxmlformats.org/officeDocument/2006/relationships/hyperlink" Target="https://www.sec.gov/Archives/edgar/data/1641489/000095014222003344/eh220309936_ex1001.htm" TargetMode="External"/><Relationship Id="rId183" Type="http://schemas.openxmlformats.org/officeDocument/2006/relationships/hyperlink" Target="https://www.sec.gov/Archives/edgar/data/1641489/000164148922000008/projectg-collaborationandl.htm" TargetMode="External"/><Relationship Id="rId184" Type="http://schemas.openxmlformats.org/officeDocument/2006/relationships/hyperlink" Target="https://www.sec.gov/Archives/edgar/data/1641489/000164148923000008/vtvt-20221231xexx1036g42_d.htm" TargetMode="External"/><Relationship Id="rId185" Type="http://schemas.openxmlformats.org/officeDocument/2006/relationships/hyperlink" Target="https://www.sec.gov/Archives/edgar/data/1641489/000164148923000008/vtvt-20221231xexx1037varia.htm" TargetMode="External"/><Relationship Id="rId186" Type="http://schemas.openxmlformats.org/officeDocument/2006/relationships/hyperlink" Target="https://www.sec.gov/Archives/edgar/data/1641489/000119312524049260/d754681dex101.htm" TargetMode="External"/><Relationship Id="rId190" Type="http://schemas.openxmlformats.org/officeDocument/2006/relationships/hyperlink" Target="https://www.sec.gov/Archives/edgar/data/1641489/000119312524049260/d754681dex102.htm" TargetMode="External"/><Relationship Id="rId191" Type="http://schemas.openxmlformats.org/officeDocument/2006/relationships/hyperlink" Target="https://www.sec.gov/Archives/edgar/data/1641489/000119312524049260/d754681dex103.htm" TargetMode="External"/><Relationship Id="rId192" Type="http://schemas.openxmlformats.org/officeDocument/2006/relationships/hyperlink" Target="https://www.sec.gov/Archives/edgar/data/1641489/000119312524049260/d754681dex104.htm" TargetMode="External"/><Relationship Id="rId193" Type="http://schemas.openxmlformats.org/officeDocument/2006/relationships/hyperlink" Target="https://www.sec.gov/Archives/edgar/data/1641489/000119312524049260/d754681dex105.htm" TargetMode="External"/><Relationship Id="rId194" Type="http://schemas.openxmlformats.org/officeDocument/2006/relationships/hyperlink" Target="https://www.sec.gov/Archives/edgar/data/1641489/000164148924000012/vtvt-20231231exx971clawba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2025-03-20T15:52:01Z</dcterms:created>
  <dcterms:modified xsi:type="dcterms:W3CDTF">2025-03-20T15:52:01Z</dcterms:modified>
</cp:coreProperties>
</file>