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___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vTv Therapeutics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ADJOURNED ANNUAL MEETING OF STOCKHOLDERS</w:t>
      </w: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vTv Therapeutics Inc. (the “Company,” “we,” “our,” and “us”)</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3980 Premier Drive, Suite 110</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High Point, North Carolina 27265</w:t>
      </w:r>
    </w:p>
    <w:p>
      <w:pPr>
        <w:sectPr>
          <w:pgSz w:w="11900" w:h="16838" w:orient="portrait"/>
          <w:cols w:equalWidth="0" w:num="1">
            <w:col w:w="10840"/>
          </w:cols>
          <w:pgMar w:left="440" w:top="266" w:right="61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2026</w:t>
      </w:r>
    </w:p>
    <w:p>
      <w:pPr>
        <w:spacing w:after="0" w:line="125" w:lineRule="exact"/>
        <w:rPr>
          <w:sz w:val="20"/>
          <w:szCs w:val="20"/>
          <w:color w:val="auto"/>
        </w:rPr>
      </w:pPr>
    </w:p>
    <w:p>
      <w:pPr>
        <w:sectPr>
          <w:pgSz w:w="11900" w:h="16838" w:orient="portrait"/>
          <w:cols w:equalWidth="0" w:num="2">
            <w:col w:w="600" w:space="720"/>
            <w:col w:w="952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Time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11:00 A.M. ET</w:t>
      </w:r>
    </w:p>
    <w:p>
      <w:pPr>
        <w:spacing w:after="0" w:line="125" w:lineRule="exact"/>
        <w:rPr>
          <w:sz w:val="20"/>
          <w:szCs w:val="20"/>
          <w:color w:val="auto"/>
        </w:rPr>
      </w:pPr>
    </w:p>
    <w:p>
      <w:pPr>
        <w:sectPr>
          <w:pgSz w:w="11900" w:h="16838" w:orient="portrait"/>
          <w:cols w:equalWidth="0" w:num="2">
            <w:col w:w="600" w:space="720"/>
            <w:col w:w="952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Location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Via live audio webcast at www.virtualshareholdermeeting.com/VTVT2026 (virtual-only meeting; no physical in-person meeting)</w:t>
      </w:r>
    </w:p>
    <w:p>
      <w:pPr>
        <w:spacing w:after="0" w:line="125" w:lineRule="exact"/>
        <w:rPr>
          <w:sz w:val="20"/>
          <w:szCs w:val="20"/>
          <w:color w:val="auto"/>
        </w:rPr>
      </w:pPr>
    </w:p>
    <w:p>
      <w:pPr>
        <w:sectPr>
          <w:pgSz w:w="11900" w:h="16838" w:orient="portrait"/>
          <w:cols w:equalWidth="0" w:num="2">
            <w:col w:w="720" w:space="600"/>
            <w:col w:w="952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Monday, April 14, 2026</w:t>
      </w:r>
    </w:p>
    <w:p>
      <w:pPr>
        <w:spacing w:after="0" w:line="207" w:lineRule="exact"/>
        <w:rPr>
          <w:sz w:val="20"/>
          <w:szCs w:val="20"/>
          <w:color w:val="auto"/>
        </w:rPr>
      </w:pPr>
    </w:p>
    <w:p>
      <w:pPr>
        <w:sectPr>
          <w:pgSz w:w="11900" w:h="16838" w:orient="portrait"/>
          <w:cols w:equalWidth="0" w:num="2">
            <w:col w:w="1020" w:space="300"/>
            <w:col w:w="9520"/>
          </w:cols>
          <w:pgMar w:left="440" w:top="266" w:right="6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135" w:lineRule="exact"/>
        <w:rPr>
          <w:sz w:val="20"/>
          <w:szCs w:val="20"/>
          <w:color w:val="auto"/>
        </w:rPr>
      </w:pPr>
    </w:p>
    <w:p>
      <w:pPr>
        <w:ind w:left="960" w:right="1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 nominees named in the Proxy Statement to serve until our next annual meeting or until their successors have been duly elected and qualified;</w:t>
      </w:r>
    </w:p>
    <w:p>
      <w:pPr>
        <w:spacing w:after="0" w:line="67"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described in the proxy statement.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accompanying proxy statement supplement contains additional information related to the new Proposal 3 to be considered by stockholders at the annual meeting. However, the proxy statement supplement does not include all of the information provided in connection with the annual meeting. Accordingly, we urge you to read the proxy statement supplement in its entirety together with the proxy statement and other proxy materials.</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board of directors recommends that you vote “FOR” the election of each of the director nominees included in Proposal 1, “FOR” Proposal 2, and “FOR” Proposal 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33" w:lineRule="exact"/>
        <w:rPr>
          <w:sz w:val="20"/>
          <w:szCs w:val="20"/>
          <w:color w:val="auto"/>
        </w:rPr>
      </w:pPr>
    </w:p>
    <w:p>
      <w:pPr>
        <w:ind w:left="420" w:hanging="31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w:t>
      </w:r>
      <w:r>
        <w:rPr>
          <w:rFonts w:ascii="Times New Roman" w:cs="Times New Roman" w:eastAsia="Times New Roman" w:hAnsi="Times New Roman"/>
          <w:sz w:val="18"/>
          <w:szCs w:val="18"/>
          <w:color w:val="auto"/>
        </w:rPr>
        <w:t>You may vote online at</w:t>
      </w:r>
      <w:r>
        <w:rPr>
          <w:rFonts w:ascii="Times New Roman" w:cs="Times New Roman" w:eastAsia="Times New Roman" w:hAnsi="Times New Roman"/>
          <w:sz w:val="18"/>
          <w:szCs w:val="18"/>
          <w:i w:val="1"/>
          <w:iCs w:val="1"/>
          <w:color w:val="auto"/>
        </w:rPr>
        <w:t xml:space="preserve"> www.proxyvote.com.</w:t>
      </w:r>
    </w:p>
    <w:p>
      <w:pPr>
        <w:spacing w:after="0" w:line="252"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Telephone: </w:t>
      </w:r>
      <w:r>
        <w:rPr>
          <w:rFonts w:ascii="Times New Roman" w:cs="Times New Roman" w:eastAsia="Times New Roman" w:hAnsi="Times New Roman"/>
          <w:sz w:val="18"/>
          <w:szCs w:val="18"/>
          <w:color w:val="auto"/>
        </w:rPr>
        <w:t>You may vote by calling 1-800-690-6903.</w:t>
      </w:r>
    </w:p>
    <w:p>
      <w:pPr>
        <w:spacing w:after="0" w:line="252"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w:t>
      </w:r>
      <w:r>
        <w:rPr>
          <w:rFonts w:ascii="Times New Roman" w:cs="Times New Roman" w:eastAsia="Times New Roman" w:hAnsi="Times New Roman"/>
          <w:sz w:val="18"/>
          <w:szCs w:val="18"/>
          <w:color w:val="auto"/>
        </w:rPr>
        <w:t>You may vote by completing and returning the enclosed proxy card.</w:t>
      </w:r>
    </w:p>
    <w:p>
      <w:pPr>
        <w:spacing w:after="0" w:line="223"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This communication is not a form for voting and presents only an overview of the more complete proxy materials. The Company encourages you to review the complete proxy materials before voting.</w:t>
      </w:r>
    </w:p>
    <w:p>
      <w:pPr>
        <w:spacing w:after="0" w:line="155" w:lineRule="exact"/>
        <w:rPr>
          <w:sz w:val="20"/>
          <w:szCs w:val="20"/>
          <w:color w:val="auto"/>
        </w:rPr>
      </w:pPr>
    </w:p>
    <w:p>
      <w:pPr>
        <w:jc w:val="both"/>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Adjourned Annual Stockholders Meeting to be held on June 26, 2026: The proxy statement, the accompanying proxy statement supplement, our Annual Report on Form 10-K, and a letter to our stockholders are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Sekhri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ectPr>
          <w:pgSz w:w="11900" w:h="16838" w:orient="portrait"/>
          <w:cols w:equalWidth="0" w:num="1">
            <w:col w:w="10840"/>
          </w:cols>
          <w:pgMar w:left="440" w:top="266" w:right="6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On April 28, 2026, vTv Therapeutics Inc., a Delaware corporation (the “Company,” “we,” “our,” and “us”) filed with the U.S. Securities and Exchange Commission (the “SEC”) a Definitive Proxy Statement on Schedule 14A (the “Proxy Statement”) and the related proxy card (the “Proxy Card”) for the Company’s 2026 Annual Meeting of Stockholders, to be held on June 10, 2026, at 9:00 A.M. Eastern time as a virtual-only meeting via live audio webcast at www.virtualshareholdermeeting.com/VTVT2026 (together with any adjournment or postponement thereof, the “Annual Meeting”). This supplement to the Proxy Statement and Proxy Card (this “Supplement”) is being filed to add a new Proposal 3 to the Proxy Statement to approve, on an advisory basis, the compensation of our named executive officers as described in the Proxy Statement. This proposal was inadvertently omitted from the Proxy Statement and Proxy Card when originally filed with the SEC, and this filing corrects that omission.</w:t>
      </w:r>
    </w:p>
    <w:p>
      <w:pPr>
        <w:spacing w:after="0" w:line="189"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On June 10, 2026, the Company convened the Annual Meeting. At the Annual Meeting, the chairperson of the Annual Meeting adjourned the Annual Meeting, without transacting any business, to allow stockholders sufficient time to review the new proposal to be considered at the Annual Meeting. The Annual Meeting will resume at 11:00 A.M. ET, on June 26, 2026, via live audio webcast at </w:t>
      </w:r>
      <w:r>
        <w:rPr>
          <w:rFonts w:ascii="Times New Roman" w:cs="Times New Roman" w:eastAsia="Times New Roman" w:hAnsi="Times New Roman"/>
          <w:sz w:val="17"/>
          <w:szCs w:val="17"/>
          <w:u w:val="single" w:color="auto"/>
          <w:color w:val="auto"/>
        </w:rPr>
        <w:t>www.virtualshareholdermeeting.com/VTVT2026</w:t>
      </w:r>
      <w:r>
        <w:rPr>
          <w:rFonts w:ascii="Times New Roman" w:cs="Times New Roman" w:eastAsia="Times New Roman" w:hAnsi="Times New Roman"/>
          <w:sz w:val="17"/>
          <w:szCs w:val="17"/>
          <w:color w:val="auto"/>
        </w:rPr>
        <w:t>. Only stockholders of record at the close of business on April 14, 2026 will be entitled to notice of and to vote at the Annual Meeting. The deadline for voting by phone or via the Internet has accordingly been extended to 11:59 P.M. ET on June 24, 2026.</w:t>
      </w:r>
    </w:p>
    <w:p>
      <w:pPr>
        <w:spacing w:after="0" w:line="168" w:lineRule="exact"/>
        <w:rPr>
          <w:sz w:val="20"/>
          <w:szCs w:val="20"/>
          <w:color w:val="auto"/>
        </w:rPr>
      </w:pPr>
    </w:p>
    <w:p>
      <w:pPr>
        <w:ind w:right="160" w:firstLine="991"/>
        <w:spacing w:after="0" w:line="289" w:lineRule="auto"/>
        <w:rPr>
          <w:sz w:val="20"/>
          <w:szCs w:val="20"/>
          <w:color w:val="auto"/>
        </w:rPr>
      </w:pPr>
      <w:r>
        <w:rPr>
          <w:rFonts w:ascii="Times New Roman" w:cs="Times New Roman" w:eastAsia="Times New Roman" w:hAnsi="Times New Roman"/>
          <w:sz w:val="17"/>
          <w:szCs w:val="17"/>
          <w:color w:val="auto"/>
        </w:rPr>
        <w:t>Other than the addition of Proposal 3 to the Proxy Statement, Proxy Card, and Notice of Adjourned Annual Meeting of Stockholders and the adjournment of the Annual Meeting, no other changes have been made to the Proxy Statement or the Proxy Card, and they continue to be in full force and effect as originally filed and continue to seek the vote of the Company’s stockholders for all proposals to be voted on at the Annual Meeting.</w:t>
      </w:r>
    </w:p>
    <w:p>
      <w:pPr>
        <w:spacing w:after="0" w:line="158"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This Supplement should be read together with the Proxy Statement, which should be read in its entirety. Capitalized terms used but not otherwise defined in this Supplement have the meanings ascribed to them in the Proxy Statement.</w:t>
      </w:r>
    </w:p>
    <w:p>
      <w:pPr>
        <w:sectPr>
          <w:pgSz w:w="11900" w:h="16838" w:orient="portrait"/>
          <w:cols w:equalWidth="0" w:num="1">
            <w:col w:w="11000"/>
          </w:cols>
          <w:pgMar w:left="440" w:top="266" w:right="459" w:bottom="1440" w:gutter="0" w:footer="0" w:header="0"/>
        </w:sectPr>
      </w:pPr>
    </w:p>
    <w:bookmarkStart w:id="3" w:name="page4"/>
    <w:bookmarkEnd w:id="3"/>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PROXY STATEMENT SUPPLEMENT</w:t>
      </w:r>
    </w:p>
    <w:p>
      <w:pPr>
        <w:spacing w:after="0" w:line="229"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This Supplement supplements and amends the Proxy Statement to add a new Proposal 3 to the Proxy Statement that provides for an advisory vote on the compensation of our named executive officers and to update the Notice of Annual Meeting of Stockholders to add Proposal 3. This Supplement and a revised proxy card (the “Revised Proxy Card”) are being made available to stockholders beginning on or about June 10, 2026. This Supplement does not provide all of the information that you should read and consider before voting on all of the proposals that are being presented to stockholders for their vote at the Annual Meeting. Additional information is contained in the Proxy Statement.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Additional Questions and Answers about these Proxy Materials and Voting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the proposals, including new Proposal 3, and how are votes counted?</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ectPr>
          <w:pgSz w:w="11900" w:h="16838" w:orient="portrait"/>
          <w:cols w:equalWidth="0" w:num="1">
            <w:col w:w="11024"/>
          </w:cols>
          <w:pgMar w:left="436" w:top="266" w:right="439"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9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-635</wp:posOffset>
            </wp:positionV>
            <wp:extent cx="2202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764" w:hanging="764"/>
        <w:spacing w:after="0"/>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326" w:lineRule="exact"/>
        <w:rPr>
          <w:rFonts w:ascii="Times New Roman" w:cs="Times New Roman" w:eastAsia="Times New Roman" w:hAnsi="Times New Roman"/>
          <w:sz w:val="18"/>
          <w:szCs w:val="18"/>
          <w:color w:val="auto"/>
        </w:rPr>
      </w:pPr>
    </w:p>
    <w:p>
      <w:pPr>
        <w:ind w:left="764" w:right="300" w:hanging="764"/>
        <w:spacing w:after="0" w:line="261" w:lineRule="auto"/>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December 31, 2026</w:t>
      </w:r>
    </w:p>
    <w:p>
      <w:pPr>
        <w:spacing w:after="0" w:line="71" w:lineRule="exact"/>
        <w:rPr>
          <w:rFonts w:ascii="Times New Roman" w:cs="Times New Roman" w:eastAsia="Times New Roman" w:hAnsi="Times New Roman"/>
          <w:sz w:val="18"/>
          <w:szCs w:val="18"/>
          <w:color w:val="auto"/>
        </w:rPr>
      </w:pPr>
    </w:p>
    <w:p>
      <w:pPr>
        <w:ind w:left="764" w:hanging="764"/>
        <w:spacing w:after="0" w:line="266" w:lineRule="auto"/>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of our named executive officers, as described in the Proxy Statement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60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Votes(1)(2)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Each nominee for director must receive a</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3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plurality of the votes cast</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votes from the holders of a majority in</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power of shares of stock present or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represented by proxy and entitled to vote 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proposal</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votes from the holders of a majority in</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Against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voting power of shares of stock present or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represented by proxy and entitled to vote on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proposal</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24" w:space="320"/>
            <w:col w:w="6580"/>
          </w:cols>
          <w:pgMar w:left="436" w:top="266" w:right="439" w:bottom="1440" w:gutter="0" w:footer="0" w:header="0"/>
          <w:type w:val="continuous"/>
        </w:sectPr>
      </w:pPr>
    </w:p>
    <w:p>
      <w:pPr>
        <w:spacing w:after="0" w:line="25" w:lineRule="exact"/>
        <w:rPr>
          <w:sz w:val="20"/>
          <w:szCs w:val="20"/>
          <w:color w:val="auto"/>
        </w:rPr>
      </w:pPr>
    </w:p>
    <w:p>
      <w:pPr>
        <w:ind w:left="424" w:right="160" w:hanging="424"/>
        <w:spacing w:after="0" w:line="261"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and the new Proposal 3 are considered to be “non-routine” under applicable rules, meaning that your broker may not vote your shares on those proposals in the absence of your voting instructions.</w:t>
      </w: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is considered a “routine” matter, and brokers will have discretionary authority to vote uninstructed shares on this proposal.</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How do I cast my vote or revoke my proxy?</w:t>
      </w:r>
    </w:p>
    <w:p>
      <w:pPr>
        <w:spacing w:after="0" w:line="121"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Because this Supplement describes a new proposal to be voted on at the Annual Meeting that was not reflected or described in the original Proxy Statement, proxies submitted before the date of this Supplement using the original proxy card will not include a vote on the new proposal. As a result, if you want to vote on the new proposal described in this Supplement, you must cast a new vote before the adjourned Annual Meeting by following the instructions on the Revised Proxy Card to vote by Internet or telephone or by completing the Revised Proxy Card in its entirety, signing, dating, and returning it in the enclosed envelope. We encourage you to submit your proxy so that your shares will be represented and voted at the meeting, whether or not you plan to attend the meeting via live webcast.</w:t>
      </w:r>
    </w:p>
    <w:p>
      <w:pPr>
        <w:spacing w:after="0" w:line="187"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Revised Proxy Card permits you to submit your vote for all three of the proposals included in the Proxy Statement and this Supplement and will replace any previously submitted proxy in connection with the Annual Meeting. If you have already submitted your proxy and do not submit a new proxy, your previously submitted proxy will be voted at the Annual Meeting with respect to Proposal 1 and 2;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we strongly encourage you to submit a new proxy so that your vote will be counted on Proposal 3.</w:t>
      </w:r>
    </w:p>
    <w:p>
      <w:pPr>
        <w:sectPr>
          <w:pgSz w:w="11900" w:h="16838" w:orient="portrait"/>
          <w:cols w:equalWidth="0" w:num="1">
            <w:col w:w="11024"/>
          </w:cols>
          <w:pgMar w:left="436" w:top="266" w:right="439" w:bottom="1440" w:gutter="0" w:footer="0" w:header="0"/>
          <w:type w:val="continuous"/>
        </w:sectPr>
      </w:pPr>
    </w:p>
    <w:bookmarkStart w:id="4" w:name="page5"/>
    <w:bookmarkEnd w:id="4"/>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Voting by Internet or telephone, by signing and submitting the new proxy card, or by voting virtually at the Annual Meeting, will revoke any prior proxy in its entirety. </w:t>
      </w:r>
      <w:r>
        <w:rPr>
          <w:rFonts w:ascii="Times New Roman" w:cs="Times New Roman" w:eastAsia="Times New Roman" w:hAnsi="Times New Roman"/>
          <w:sz w:val="18"/>
          <w:szCs w:val="18"/>
          <w:b w:val="1"/>
          <w:bCs w:val="1"/>
          <w:color w:val="auto"/>
        </w:rPr>
        <w:t>Therefore, if you submit the new proxy card (or vote by Internet or telephone), in addition to voting on Proposal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must mark the new proxy card in the appropriate place (or follow the instructions to vote by Internet or telephone) to indicate your vote on Proposals 1 and 2. If you submit the new proxy card (or vote by Internet or telephone), and you do not indicate your vote on one or more of the proposals, then your proxy will be voted in accordance with the Board of Directors’ recommendations for each proposal for which you do not indicate a vote, even if your prior proxy had indicated a contrary vote.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ADVISORY VOTE ON THE EXECUTIVE COMPENSATION OF OUR NAMED EXECUTIVE OFFICERS</w:t>
      </w:r>
    </w:p>
    <w:p>
      <w:pPr>
        <w:spacing w:after="0" w:line="229"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“Dodd-Frank Act”) and Section 14A of the Exchange Act, our stockholders are entitled to vote to approve, on an advisory basis, the compensation of the Company’s named executive officers as disclosed in the “Executive Compensation” section of the Proxy Statement in accordance with SEC rules.</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the “Executive Compensation” section of the Proxy Statement. The compensation of our named executive officers subject to the vote is disclosed in the compensation tables and the related narrative disclosure contained in the “Executive Compensation” section of the Proxy Statement. We believe that our compensation policies and decisions are consistent with current market practices. Compensation of our named executive officers is designed to enable the Company to attract and retain talented and experienced executives to lead us successfully in a competitive environment.</w:t>
      </w:r>
    </w:p>
    <w:p>
      <w:pPr>
        <w:spacing w:after="0" w:line="187"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the “Executive Compensation” section of the Proxy Statement by casting a non-binding advisory vote “FOR” the following resolution:</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pursuant to Item 402 of Regulation S-K, including the compensation tables and narrative discussion, is hereby APPROVED.”</w:t>
      </w:r>
    </w:p>
    <w:p>
      <w:pPr>
        <w:spacing w:after="0" w:line="159" w:lineRule="exact"/>
        <w:rPr>
          <w:sz w:val="20"/>
          <w:szCs w:val="20"/>
          <w:color w:val="auto"/>
        </w:rPr>
      </w:pPr>
    </w:p>
    <w:p>
      <w:pPr>
        <w:jc w:val="both"/>
        <w:ind w:right="440" w:firstLine="991"/>
        <w:spacing w:after="0" w:line="289" w:lineRule="auto"/>
        <w:rPr>
          <w:sz w:val="20"/>
          <w:szCs w:val="20"/>
          <w:color w:val="auto"/>
        </w:rPr>
      </w:pPr>
      <w:r>
        <w:rPr>
          <w:rFonts w:ascii="Times New Roman" w:cs="Times New Roman" w:eastAsia="Times New Roman" w:hAnsi="Times New Roman"/>
          <w:sz w:val="17"/>
          <w:szCs w:val="17"/>
          <w:color w:val="auto"/>
        </w:rPr>
        <w:t>The vote is advisory and therefore not binding on the Board or the Company. Nevertheless, the views expressed by our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Advisory (non-binding) approval of our executive compensation requires the affirmative vote of the holders of a majority of the outstanding shares of our Class A common stock and Class B common stock, entitled to vote as a single class, that are present or represented by proxy at the Annual Meeting. Abstentions will be counted for purposes of determining the number of shares present or represented by proxy at the Annual Meeting and accordingly will have the same effect as a vote cast against this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THAT YOU VOTE IN FAVOR OF PROPOSAL 3.</w:t>
      </w:r>
    </w:p>
    <w:p>
      <w:pPr>
        <w:sectPr>
          <w:pgSz w:w="11900" w:h="16838" w:orient="portrait"/>
          <w:cols w:equalWidth="0" w:num="1">
            <w:col w:w="11000"/>
          </w:cols>
          <w:pgMar w:left="440" w:top="270" w:right="459" w:bottom="1440"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2026-06-10T15:15:56Z</dcterms:created>
  <dcterms:modified xsi:type="dcterms:W3CDTF">2026-06-10T15:15:56Z</dcterms:modified>
</cp:coreProperties>
</file>