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before="12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120"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8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40" w:before="8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40"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40" w:before="8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80" w:after="283"/>
        <w:jc w:val="center"/>
        <w:rPr/>
      </w:pPr>
      <w:r>
        <w:rPr>
          <w:rFonts w:ascii="Times New Roman;serif" w:hAnsi="Times New Roman;serif"/>
          <w:b/>
          <w:color w:val="000000"/>
          <w:sz w:val="20"/>
        </w:rPr>
        <w:t>For the quarterly period ended September 30, 2025</w:t>
      </w:r>
      <w:r>
        <w:rPr>
          <w:color w:val="000000"/>
        </w:rPr>
        <w:t xml:space="preserve"> </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Commission file number: 001-37524</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vTv Therapeutics Inc.</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tbl>
      <w:tblPr>
        <w:tblW w:w="4409" w:type="dxa"/>
        <w:jc w:val="left"/>
        <w:tblInd w:w="0" w:type="dxa"/>
        <w:tblLayout w:type="fixed"/>
        <w:tblCellMar>
          <w:top w:w="28" w:type="dxa"/>
          <w:left w:w="28" w:type="dxa"/>
          <w:bottom w:w="28" w:type="dxa"/>
          <w:right w:w="28" w:type="dxa"/>
        </w:tblCellMar>
      </w:tblPr>
      <w:tblGrid>
        <w:gridCol w:w="1058"/>
        <w:gridCol w:w="927"/>
        <w:gridCol w:w="940"/>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47-3916571</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3980 Premier Dr, Suite 310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High Point, NC</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27265</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(336) 841-0300</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VTVT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40" w:before="80" w:after="283"/>
        <w:ind w:left="0" w:right="0" w:firstLine="5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40" w:before="80" w:after="283"/>
        <w:ind w:left="0" w:right="0" w:firstLine="54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tbl>
      <w:tblPr>
        <w:tblW w:w="7751" w:type="dxa"/>
        <w:jc w:val="center"/>
        <w:tblInd w:w="0" w:type="dxa"/>
        <w:tblLayout w:type="fixed"/>
        <w:tblCellMar>
          <w:top w:w="28" w:type="dxa"/>
          <w:left w:w="28" w:type="dxa"/>
          <w:bottom w:w="28" w:type="dxa"/>
          <w:right w:w="28" w:type="dxa"/>
        </w:tblCellMar>
      </w:tblPr>
      <w:tblGrid>
        <w:gridCol w:w="1474"/>
        <w:gridCol w:w="1295"/>
        <w:gridCol w:w="1310"/>
        <w:gridCol w:w="109"/>
        <w:gridCol w:w="109"/>
        <w:gridCol w:w="109"/>
        <w:gridCol w:w="978"/>
        <w:gridCol w:w="978"/>
        <w:gridCol w:w="1389"/>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 Outstanding as of November 6, 2025</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3,938,018 </w:t>
            </w:r>
          </w:p>
        </w:tc>
        <w:tc>
          <w:tcPr>
            <w:tcW w:w="1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vTv THERAPEUTICS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 TO FORM 10-Q</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 ENDED SEPTEMBER 30, 2025</w:t>
      </w:r>
    </w:p>
    <w:tbl>
      <w:tblPr>
        <w:tblW w:w="10205" w:type="dxa"/>
        <w:jc w:val="left"/>
        <w:tblInd w:w="0" w:type="dxa"/>
        <w:tblLayout w:type="fixed"/>
        <w:tblCellMar>
          <w:top w:w="28" w:type="dxa"/>
          <w:left w:w="28" w:type="dxa"/>
          <w:bottom w:w="28" w:type="dxa"/>
          <w:right w:w="28" w:type="dxa"/>
        </w:tblCellMar>
      </w:tblPr>
      <w:tblGrid>
        <w:gridCol w:w="426"/>
        <w:gridCol w:w="376"/>
        <w:gridCol w:w="376"/>
        <w:gridCol w:w="2882"/>
        <w:gridCol w:w="2633"/>
        <w:gridCol w:w="2654"/>
        <w:gridCol w:w="250"/>
        <w:gridCol w:w="250"/>
        <w:gridCol w:w="358"/>
      </w:tblGrid>
      <w:tr>
        <w:trPr/>
        <w:tc>
          <w:tcPr>
            <w:tcW w:w="4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br/>
              <w:t>NUMBER</w:t>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7"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c60bf641e18d443d8fee2fea1792d052_10">
              <w:r>
                <w:rPr>
                  <w:rStyle w:val="InternetLink"/>
                  <w:rFonts w:ascii="Times New Roman;serif" w:hAnsi="Times New Roman;serif"/>
                  <w:b w:val="false"/>
                  <w:color w:val="0000FF"/>
                  <w:sz w:val="20"/>
                  <w:u w:val="single"/>
                </w:rPr>
                <w:t>PART I – FINANCIAL INFORMATION</w:t>
              </w:r>
            </w:hyperlink>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60bf641e18d443d8fee2fea1792d052_13">
              <w:r>
                <w:rPr>
                  <w:rStyle w:val="InternetLink"/>
                  <w:rFonts w:ascii="Times New Roman;serif" w:hAnsi="Times New Roman;serif"/>
                  <w:b w:val="false"/>
                  <w:strike w:val="false"/>
                  <w:dstrike w:val="false"/>
                  <w:color w:val="000000"/>
                  <w:sz w:val="20"/>
                  <w:u w:val="none"/>
                  <w:effect w:val="none"/>
                </w:rPr>
                <w:t>Item 1.</w:t>
              </w:r>
            </w:hyperlink>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c60bf641e18d443d8fee2fea1792d052_13">
              <w:r>
                <w:rPr>
                  <w:rStyle w:val="InternetLink"/>
                  <w:rFonts w:ascii="Times New Roman;serif" w:hAnsi="Times New Roman;serif"/>
                  <w:b w:val="false"/>
                  <w:color w:val="000080"/>
                  <w:sz w:val="20"/>
                  <w:u w:val="single"/>
                </w:rPr>
                <w:t xml:space="preserve">Condensed Consolidated Balance Sheets as of </w:t>
              </w:r>
            </w:hyperlink>
            <w:hyperlink w:anchor="ic60bf641e18d443d8fee2fea1792d052_13">
              <w:r>
                <w:rPr>
                  <w:rStyle w:val="InternetLink"/>
                  <w:rFonts w:ascii="Times New Roman;serif" w:hAnsi="Times New Roman;serif"/>
                  <w:b w:val="false"/>
                  <w:color w:val="000080"/>
                  <w:sz w:val="20"/>
                  <w:u w:val="single"/>
                </w:rPr>
                <w:t>September</w:t>
              </w:r>
            </w:hyperlink>
            <w:hyperlink w:anchor="ic60bf641e18d443d8fee2fea1792d052_13">
              <w:r>
                <w:rPr>
                  <w:rStyle w:val="InternetLink"/>
                  <w:rFonts w:ascii="Times New Roman;serif" w:hAnsi="Times New Roman;serif"/>
                  <w:b w:val="false"/>
                  <w:color w:val="000080"/>
                  <w:sz w:val="20"/>
                  <w:u w:val="single"/>
                </w:rPr>
                <w:t xml:space="preserve"> 30, 2025 (Unaudited) and December 31, 2024</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13">
              <w:r>
                <w:rPr>
                  <w:rStyle w:val="InternetLink"/>
                  <w:rFonts w:ascii="Times New Roman;serif" w:hAnsi="Times New Roman;serif"/>
                  <w:b w:val="false"/>
                  <w:strike w:val="false"/>
                  <w:dstrike w:val="false"/>
                  <w:color w:val="000000"/>
                  <w:sz w:val="20"/>
                  <w:u w:val="none"/>
                  <w:effect w:val="none"/>
                </w:rPr>
                <w:t>4</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c60bf641e18d443d8fee2fea1792d052_16">
              <w:r>
                <w:rPr>
                  <w:rStyle w:val="InternetLink"/>
                  <w:rFonts w:ascii="Times New Roman;serif" w:hAnsi="Times New Roman;serif"/>
                  <w:b w:val="false"/>
                  <w:color w:val="000080"/>
                  <w:sz w:val="20"/>
                  <w:u w:val="single"/>
                </w:rPr>
                <w:t xml:space="preserve">Unaudited Condensed Consolidated Statements of Operations for the three and </w:t>
              </w:r>
            </w:hyperlink>
            <w:hyperlink w:anchor="ic60bf641e18d443d8fee2fea1792d052_16">
              <w:r>
                <w:rPr>
                  <w:rStyle w:val="InternetLink"/>
                  <w:rFonts w:ascii="Times New Roman;serif" w:hAnsi="Times New Roman;serif"/>
                  <w:b w:val="false"/>
                  <w:color w:val="000080"/>
                  <w:sz w:val="20"/>
                  <w:u w:val="single"/>
                </w:rPr>
                <w:t>nine</w:t>
              </w:r>
            </w:hyperlink>
            <w:hyperlink w:anchor="ic60bf641e18d443d8fee2fea1792d052_16">
              <w:r>
                <w:rPr>
                  <w:rStyle w:val="InternetLink"/>
                  <w:rFonts w:ascii="Times New Roman;serif" w:hAnsi="Times New Roman;serif"/>
                  <w:b w:val="false"/>
                  <w:color w:val="000080"/>
                  <w:sz w:val="20"/>
                  <w:u w:val="single"/>
                </w:rPr>
                <w:t xml:space="preserve"> months ended </w:t>
              </w:r>
            </w:hyperlink>
            <w:hyperlink w:anchor="ic60bf641e18d443d8fee2fea1792d052_16">
              <w:r>
                <w:rPr>
                  <w:rStyle w:val="InternetLink"/>
                  <w:rFonts w:ascii="Times New Roman;serif" w:hAnsi="Times New Roman;serif"/>
                  <w:b w:val="false"/>
                  <w:color w:val="000080"/>
                  <w:sz w:val="20"/>
                  <w:u w:val="single"/>
                </w:rPr>
                <w:t>September</w:t>
              </w:r>
            </w:hyperlink>
            <w:hyperlink w:anchor="ic60bf641e18d443d8fee2fea1792d052_16">
              <w:r>
                <w:rPr>
                  <w:rStyle w:val="InternetLink"/>
                  <w:rFonts w:ascii="Times New Roman;serif" w:hAnsi="Times New Roman;serif"/>
                  <w:b w:val="false"/>
                  <w:color w:val="000080"/>
                  <w:sz w:val="20"/>
                  <w:u w:val="single"/>
                </w:rPr>
                <w:t xml:space="preserve"> 30, 2025 and 2024</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16">
              <w:r>
                <w:rPr>
                  <w:rStyle w:val="InternetLink"/>
                  <w:rFonts w:ascii="Times New Roman;serif" w:hAnsi="Times New Roman;serif"/>
                  <w:b w:val="false"/>
                  <w:strike w:val="false"/>
                  <w:dstrike w:val="false"/>
                  <w:color w:val="000000"/>
                  <w:sz w:val="20"/>
                  <w:u w:val="none"/>
                  <w:effect w:val="none"/>
                </w:rPr>
                <w:t>5</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c60bf641e18d443d8fee2fea1792d052_22">
              <w:r>
                <w:rPr>
                  <w:rStyle w:val="InternetLink"/>
                  <w:rFonts w:ascii="Times New Roman;serif" w:hAnsi="Times New Roman;serif"/>
                  <w:b w:val="false"/>
                  <w:color w:val="000080"/>
                  <w:sz w:val="20"/>
                  <w:u w:val="single"/>
                </w:rPr>
                <w:t xml:space="preserve">Unaudited Condensed Consolidated Statement of Changes in Redeemable Noncontrolling Interest and Stockholders’ Equity (Deficit) for the three and </w:t>
              </w:r>
            </w:hyperlink>
            <w:hyperlink w:anchor="ic60bf641e18d443d8fee2fea1792d052_22">
              <w:r>
                <w:rPr>
                  <w:rStyle w:val="InternetLink"/>
                  <w:rFonts w:ascii="Times New Roman;serif" w:hAnsi="Times New Roman;serif"/>
                  <w:b w:val="false"/>
                  <w:color w:val="000080"/>
                  <w:sz w:val="20"/>
                  <w:u w:val="single"/>
                </w:rPr>
                <w:t>nine</w:t>
              </w:r>
            </w:hyperlink>
            <w:hyperlink w:anchor="ic60bf641e18d443d8fee2fea1792d052_22">
              <w:r>
                <w:rPr>
                  <w:rStyle w:val="InternetLink"/>
                  <w:rFonts w:ascii="Times New Roman;serif" w:hAnsi="Times New Roman;serif"/>
                  <w:b w:val="false"/>
                  <w:color w:val="000080"/>
                  <w:sz w:val="20"/>
                  <w:u w:val="single"/>
                </w:rPr>
                <w:t xml:space="preserve"> months ended </w:t>
              </w:r>
            </w:hyperlink>
            <w:hyperlink w:anchor="ic60bf641e18d443d8fee2fea1792d052_22">
              <w:r>
                <w:rPr>
                  <w:rStyle w:val="InternetLink"/>
                  <w:rFonts w:ascii="Times New Roman;serif" w:hAnsi="Times New Roman;serif"/>
                  <w:b w:val="false"/>
                  <w:color w:val="000080"/>
                  <w:sz w:val="20"/>
                  <w:u w:val="single"/>
                </w:rPr>
                <w:t>September</w:t>
              </w:r>
            </w:hyperlink>
            <w:hyperlink w:anchor="ic60bf641e18d443d8fee2fea1792d052_22">
              <w:r>
                <w:rPr>
                  <w:rStyle w:val="InternetLink"/>
                  <w:rFonts w:ascii="Times New Roman;serif" w:hAnsi="Times New Roman;serif"/>
                  <w:b w:val="false"/>
                  <w:color w:val="000080"/>
                  <w:sz w:val="20"/>
                  <w:u w:val="single"/>
                </w:rPr>
                <w:t xml:space="preserve"> 30, 2025 and 2024</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22">
              <w:r>
                <w:rPr>
                  <w:rStyle w:val="InternetLink"/>
                  <w:rFonts w:ascii="Times New Roman;serif" w:hAnsi="Times New Roman;serif"/>
                  <w:b w:val="false"/>
                  <w:strike w:val="false"/>
                  <w:dstrike w:val="false"/>
                  <w:color w:val="000000"/>
                  <w:sz w:val="20"/>
                  <w:u w:val="none"/>
                  <w:effect w:val="none"/>
                </w:rPr>
                <w:t>6</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c60bf641e18d443d8fee2fea1792d052_31">
              <w:r>
                <w:rPr>
                  <w:rStyle w:val="InternetLink"/>
                  <w:rFonts w:ascii="Times New Roman;serif" w:hAnsi="Times New Roman;serif"/>
                  <w:b w:val="false"/>
                  <w:color w:val="000080"/>
                  <w:sz w:val="20"/>
                  <w:u w:val="single"/>
                </w:rPr>
                <w:t xml:space="preserve">Unaudited Condensed Consolidated Statements of Cash Flows for the </w:t>
              </w:r>
            </w:hyperlink>
            <w:hyperlink w:anchor="ic60bf641e18d443d8fee2fea1792d052_31">
              <w:r>
                <w:rPr>
                  <w:rStyle w:val="InternetLink"/>
                  <w:rFonts w:ascii="Times New Roman;serif" w:hAnsi="Times New Roman;serif"/>
                  <w:b w:val="false"/>
                  <w:color w:val="000080"/>
                  <w:sz w:val="20"/>
                  <w:u w:val="single"/>
                </w:rPr>
                <w:t>nine</w:t>
              </w:r>
            </w:hyperlink>
            <w:hyperlink w:anchor="ic60bf641e18d443d8fee2fea1792d052_31">
              <w:r>
                <w:rPr>
                  <w:rStyle w:val="InternetLink"/>
                  <w:rFonts w:ascii="Times New Roman;serif" w:hAnsi="Times New Roman;serif"/>
                  <w:b w:val="false"/>
                  <w:color w:val="000080"/>
                  <w:sz w:val="20"/>
                  <w:u w:val="single"/>
                </w:rPr>
                <w:t xml:space="preserve"> months ended </w:t>
              </w:r>
            </w:hyperlink>
            <w:hyperlink w:anchor="ic60bf641e18d443d8fee2fea1792d052_31">
              <w:r>
                <w:rPr>
                  <w:rStyle w:val="InternetLink"/>
                  <w:rFonts w:ascii="Times New Roman;serif" w:hAnsi="Times New Roman;serif"/>
                  <w:b w:val="false"/>
                  <w:color w:val="000080"/>
                  <w:sz w:val="20"/>
                  <w:u w:val="single"/>
                </w:rPr>
                <w:t>September</w:t>
              </w:r>
            </w:hyperlink>
            <w:hyperlink w:anchor="ic60bf641e18d443d8fee2fea1792d052_31">
              <w:r>
                <w:rPr>
                  <w:rStyle w:val="InternetLink"/>
                  <w:rFonts w:ascii="Times New Roman;serif" w:hAnsi="Times New Roman;serif"/>
                  <w:b w:val="false"/>
                  <w:color w:val="000080"/>
                  <w:sz w:val="20"/>
                  <w:u w:val="single"/>
                </w:rPr>
                <w:t xml:space="preserve"> 30, 2025 and 2024</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31">
              <w:r>
                <w:rPr>
                  <w:rStyle w:val="InternetLink"/>
                  <w:rFonts w:ascii="Times New Roman;serif" w:hAnsi="Times New Roman;serif"/>
                  <w:b w:val="false"/>
                  <w:strike w:val="false"/>
                  <w:dstrike w:val="false"/>
                  <w:color w:val="000000"/>
                  <w:sz w:val="20"/>
                  <w:u w:val="none"/>
                  <w:effect w:val="none"/>
                </w:rPr>
                <w:t>8</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c60bf641e18d443d8fee2fea1792d052_34">
              <w:r>
                <w:rPr>
                  <w:rStyle w:val="InternetLink"/>
                  <w:rFonts w:ascii="Times New Roman;serif" w:hAnsi="Times New Roman;serif"/>
                  <w:b w:val="false"/>
                  <w:color w:val="0000FF"/>
                  <w:sz w:val="20"/>
                  <w:u w:val="single"/>
                </w:rPr>
                <w:t>Notes to Unaudited Consolidated Financial Statements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34">
              <w:r>
                <w:rPr>
                  <w:rStyle w:val="InternetLink"/>
                  <w:rFonts w:ascii="Times New Roman;serif" w:hAnsi="Times New Roman;serif"/>
                  <w:b w:val="false"/>
                  <w:strike w:val="false"/>
                  <w:dstrike w:val="false"/>
                  <w:color w:val="000000"/>
                  <w:sz w:val="20"/>
                  <w:u w:val="none"/>
                  <w:effect w:val="none"/>
                </w:rPr>
                <w:t>9</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60bf641e18d443d8fee2fea1792d052_88">
              <w:r>
                <w:rPr>
                  <w:rStyle w:val="InternetLink"/>
                  <w:rFonts w:ascii="Times New Roman;serif" w:hAnsi="Times New Roman;serif"/>
                  <w:b w:val="false"/>
                  <w:strike w:val="false"/>
                  <w:dstrike w:val="false"/>
                  <w:color w:val="000000"/>
                  <w:sz w:val="20"/>
                  <w:u w:val="none"/>
                  <w:effect w:val="none"/>
                </w:rPr>
                <w:t>Item 2.</w:t>
              </w:r>
            </w:hyperlink>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c60bf641e18d443d8fee2fea1792d052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88">
              <w:r>
                <w:rPr>
                  <w:rStyle w:val="InternetLink"/>
                  <w:rFonts w:ascii="Times New Roman;serif" w:hAnsi="Times New Roman;serif"/>
                  <w:b w:val="false"/>
                  <w:strike w:val="false"/>
                  <w:dstrike w:val="false"/>
                  <w:color w:val="000000"/>
                  <w:sz w:val="20"/>
                  <w:u w:val="none"/>
                  <w:effect w:val="none"/>
                </w:rPr>
                <w:t>20</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60bf641e18d443d8fee2fea1792d052_127">
              <w:r>
                <w:rPr>
                  <w:rStyle w:val="InternetLink"/>
                  <w:rFonts w:ascii="Times New Roman;serif" w:hAnsi="Times New Roman;serif"/>
                  <w:b w:val="false"/>
                  <w:strike w:val="false"/>
                  <w:dstrike w:val="false"/>
                  <w:color w:val="000000"/>
                  <w:sz w:val="20"/>
                  <w:u w:val="none"/>
                  <w:effect w:val="none"/>
                </w:rPr>
                <w:t>Item 3.</w:t>
              </w:r>
            </w:hyperlink>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c60bf641e18d443d8fee2fea1792d052_127">
              <w:r>
                <w:rPr>
                  <w:rStyle w:val="InternetLink"/>
                  <w:rFonts w:ascii="Times New Roman;serif" w:hAnsi="Times New Roman;serif"/>
                  <w:b w:val="false"/>
                  <w:color w:val="0000FF"/>
                  <w:sz w:val="20"/>
                  <w:u w:val="single"/>
                </w:rPr>
                <w:t>Quantitative and Qualitative Disclosures About Market Risk</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127">
              <w:r>
                <w:rPr>
                  <w:rStyle w:val="InternetLink"/>
                  <w:rFonts w:ascii="Times New Roman;serif" w:hAnsi="Times New Roman;serif"/>
                  <w:b w:val="false"/>
                  <w:strike w:val="false"/>
                  <w:dstrike w:val="false"/>
                  <w:color w:val="000000"/>
                  <w:sz w:val="20"/>
                  <w:u w:val="none"/>
                  <w:effect w:val="none"/>
                </w:rPr>
                <w:t>29</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60bf641e18d443d8fee2fea1792d052_130">
              <w:r>
                <w:rPr>
                  <w:rStyle w:val="InternetLink"/>
                  <w:rFonts w:ascii="Times New Roman;serif" w:hAnsi="Times New Roman;serif"/>
                  <w:b w:val="false"/>
                  <w:strike w:val="false"/>
                  <w:dstrike w:val="false"/>
                  <w:color w:val="000000"/>
                  <w:sz w:val="20"/>
                  <w:u w:val="none"/>
                  <w:effect w:val="none"/>
                </w:rPr>
                <w:t>Item 4.</w:t>
              </w:r>
            </w:hyperlink>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c60bf641e18d443d8fee2fea1792d052_130">
              <w:r>
                <w:rPr>
                  <w:rStyle w:val="InternetLink"/>
                  <w:rFonts w:ascii="Times New Roman;serif" w:hAnsi="Times New Roman;serif"/>
                  <w:b w:val="false"/>
                  <w:color w:val="0000FF"/>
                  <w:sz w:val="20"/>
                  <w:u w:val="single"/>
                </w:rPr>
                <w:t>Controls and Procedures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130">
              <w:r>
                <w:rPr>
                  <w:rStyle w:val="InternetLink"/>
                  <w:rFonts w:ascii="Times New Roman;serif" w:hAnsi="Times New Roman;serif"/>
                  <w:b w:val="false"/>
                  <w:strike w:val="false"/>
                  <w:dstrike w:val="false"/>
                  <w:color w:val="000000"/>
                  <w:sz w:val="20"/>
                  <w:u w:val="none"/>
                  <w:effect w:val="none"/>
                </w:rPr>
                <w:t>29</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7"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c60bf641e18d443d8fee2fea1792d052_133">
              <w:r>
                <w:rPr>
                  <w:rStyle w:val="InternetLink"/>
                  <w:rFonts w:ascii="Times New Roman;serif" w:hAnsi="Times New Roman;serif"/>
                  <w:b w:val="false"/>
                  <w:color w:val="0000FF"/>
                  <w:sz w:val="20"/>
                  <w:u w:val="single"/>
                </w:rPr>
                <w:t xml:space="preserve">PART II – OTHER INFORMATION </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60bf641e18d443d8fee2fea1792d052_136">
              <w:r>
                <w:rPr>
                  <w:rStyle w:val="InternetLink"/>
                  <w:rFonts w:ascii="Times New Roman;serif" w:hAnsi="Times New Roman;serif"/>
                  <w:b w:val="false"/>
                  <w:strike w:val="false"/>
                  <w:dstrike w:val="false"/>
                  <w:color w:val="000000"/>
                  <w:sz w:val="20"/>
                  <w:u w:val="none"/>
                  <w:effect w:val="none"/>
                </w:rPr>
                <w:t>Item 1.</w:t>
              </w:r>
            </w:hyperlink>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c60bf641e18d443d8fee2fea1792d052_136">
              <w:r>
                <w:rPr>
                  <w:rStyle w:val="InternetLink"/>
                  <w:rFonts w:ascii="Times New Roman;serif" w:hAnsi="Times New Roman;serif"/>
                  <w:b w:val="false"/>
                  <w:color w:val="0000FF"/>
                  <w:sz w:val="20"/>
                  <w:u w:val="single"/>
                </w:rPr>
                <w:t>Legal Proceedings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136">
              <w:r>
                <w:rPr>
                  <w:rStyle w:val="InternetLink"/>
                  <w:rFonts w:ascii="Times New Roman;serif" w:hAnsi="Times New Roman;serif"/>
                  <w:b w:val="false"/>
                  <w:strike w:val="false"/>
                  <w:dstrike w:val="false"/>
                  <w:color w:val="000000"/>
                  <w:sz w:val="20"/>
                  <w:u w:val="none"/>
                  <w:effect w:val="none"/>
                </w:rPr>
                <w:t>30</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60bf641e18d443d8fee2fea1792d052_139">
              <w:r>
                <w:rPr>
                  <w:rStyle w:val="InternetLink"/>
                  <w:rFonts w:ascii="Times New Roman;serif" w:hAnsi="Times New Roman;serif"/>
                  <w:b w:val="false"/>
                  <w:strike w:val="false"/>
                  <w:dstrike w:val="false"/>
                  <w:color w:val="000000"/>
                  <w:sz w:val="20"/>
                  <w:u w:val="none"/>
                  <w:effect w:val="none"/>
                </w:rPr>
                <w:t>Item 1A.</w:t>
              </w:r>
            </w:hyperlink>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c60bf641e18d443d8fee2fea1792d052_139">
              <w:r>
                <w:rPr>
                  <w:rStyle w:val="InternetLink"/>
                  <w:rFonts w:ascii="Times New Roman;serif" w:hAnsi="Times New Roman;serif"/>
                  <w:b w:val="false"/>
                  <w:color w:val="0000FF"/>
                  <w:sz w:val="20"/>
                  <w:u w:val="single"/>
                </w:rPr>
                <w:t>Risk Factors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139">
              <w:r>
                <w:rPr>
                  <w:rStyle w:val="InternetLink"/>
                  <w:rFonts w:ascii="Times New Roman;serif" w:hAnsi="Times New Roman;serif"/>
                  <w:b w:val="false"/>
                  <w:strike w:val="false"/>
                  <w:dstrike w:val="false"/>
                  <w:color w:val="000000"/>
                  <w:sz w:val="20"/>
                  <w:u w:val="none"/>
                  <w:effect w:val="none"/>
                </w:rPr>
                <w:t>30</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60bf641e18d443d8fee2fea1792d052_142">
              <w:r>
                <w:rPr>
                  <w:rStyle w:val="InternetLink"/>
                  <w:rFonts w:ascii="Times New Roman;serif" w:hAnsi="Times New Roman;serif"/>
                  <w:b w:val="false"/>
                  <w:strike w:val="false"/>
                  <w:dstrike w:val="false"/>
                  <w:color w:val="000000"/>
                  <w:sz w:val="20"/>
                  <w:u w:val="none"/>
                  <w:effect w:val="none"/>
                </w:rPr>
                <w:t>Item 2.</w:t>
              </w:r>
            </w:hyperlink>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c60bf641e18d443d8fee2fea1792d052_142">
              <w:r>
                <w:rPr>
                  <w:rStyle w:val="InternetLink"/>
                  <w:rFonts w:ascii="Times New Roman;serif" w:hAnsi="Times New Roman;serif"/>
                  <w:b w:val="false"/>
                  <w:color w:val="0000FF"/>
                  <w:sz w:val="20"/>
                  <w:u w:val="single"/>
                </w:rPr>
                <w:t>Unregistered Sales of Equity Securities and Use of Proceeds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142">
              <w:r>
                <w:rPr>
                  <w:rStyle w:val="InternetLink"/>
                  <w:rFonts w:ascii="Times New Roman;serif" w:hAnsi="Times New Roman;serif"/>
                  <w:b w:val="false"/>
                  <w:strike w:val="false"/>
                  <w:dstrike w:val="false"/>
                  <w:color w:val="000000"/>
                  <w:sz w:val="20"/>
                  <w:u w:val="none"/>
                  <w:effect w:val="none"/>
                </w:rPr>
                <w:t>30</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60bf641e18d443d8fee2fea1792d052_145">
              <w:r>
                <w:rPr>
                  <w:rStyle w:val="InternetLink"/>
                  <w:rFonts w:ascii="Times New Roman;serif" w:hAnsi="Times New Roman;serif"/>
                  <w:b w:val="false"/>
                  <w:strike w:val="false"/>
                  <w:dstrike w:val="false"/>
                  <w:color w:val="000000"/>
                  <w:sz w:val="20"/>
                  <w:u w:val="none"/>
                  <w:effect w:val="none"/>
                </w:rPr>
                <w:t>Item 3.</w:t>
              </w:r>
            </w:hyperlink>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c60bf641e18d443d8fee2fea1792d052_145">
              <w:r>
                <w:rPr>
                  <w:rStyle w:val="InternetLink"/>
                  <w:rFonts w:ascii="Times New Roman;serif" w:hAnsi="Times New Roman;serif"/>
                  <w:b w:val="false"/>
                  <w:color w:val="0000FF"/>
                  <w:sz w:val="20"/>
                  <w:u w:val="single"/>
                </w:rPr>
                <w:t>Defaults Upon Senior Securities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145">
              <w:r>
                <w:rPr>
                  <w:rStyle w:val="InternetLink"/>
                  <w:rFonts w:ascii="Times New Roman;serif" w:hAnsi="Times New Roman;serif"/>
                  <w:b w:val="false"/>
                  <w:strike w:val="false"/>
                  <w:dstrike w:val="false"/>
                  <w:color w:val="000000"/>
                  <w:sz w:val="20"/>
                  <w:u w:val="none"/>
                  <w:effect w:val="none"/>
                </w:rPr>
                <w:t>30</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60bf641e18d443d8fee2fea1792d052_148">
              <w:r>
                <w:rPr>
                  <w:rStyle w:val="InternetLink"/>
                  <w:rFonts w:ascii="Times New Roman;serif" w:hAnsi="Times New Roman;serif"/>
                  <w:b w:val="false"/>
                  <w:strike w:val="false"/>
                  <w:dstrike w:val="false"/>
                  <w:color w:val="000000"/>
                  <w:sz w:val="20"/>
                  <w:u w:val="none"/>
                  <w:effect w:val="none"/>
                </w:rPr>
                <w:t>Item 4.</w:t>
              </w:r>
            </w:hyperlink>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c60bf641e18d443d8fee2fea1792d052_148">
              <w:r>
                <w:rPr>
                  <w:rStyle w:val="InternetLink"/>
                  <w:rFonts w:ascii="Times New Roman;serif" w:hAnsi="Times New Roman;serif"/>
                  <w:b w:val="false"/>
                  <w:color w:val="0000FF"/>
                  <w:sz w:val="20"/>
                  <w:u w:val="single"/>
                </w:rPr>
                <w:t>Mine Safety Disclosures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148">
              <w:r>
                <w:rPr>
                  <w:rStyle w:val="InternetLink"/>
                  <w:rFonts w:ascii="Times New Roman;serif" w:hAnsi="Times New Roman;serif"/>
                  <w:b w:val="false"/>
                  <w:strike w:val="false"/>
                  <w:dstrike w:val="false"/>
                  <w:color w:val="000000"/>
                  <w:sz w:val="20"/>
                  <w:u w:val="none"/>
                  <w:effect w:val="none"/>
                </w:rPr>
                <w:t>30</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60bf641e18d443d8fee2fea1792d052_151">
              <w:r>
                <w:rPr>
                  <w:rStyle w:val="InternetLink"/>
                  <w:rFonts w:ascii="Times New Roman;serif" w:hAnsi="Times New Roman;serif"/>
                  <w:b w:val="false"/>
                  <w:strike w:val="false"/>
                  <w:dstrike w:val="false"/>
                  <w:color w:val="000000"/>
                  <w:sz w:val="20"/>
                  <w:u w:val="none"/>
                  <w:effect w:val="none"/>
                </w:rPr>
                <w:t>Item 5.</w:t>
              </w:r>
            </w:hyperlink>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c60bf641e18d443d8fee2fea1792d052_151">
              <w:r>
                <w:rPr>
                  <w:rStyle w:val="InternetLink"/>
                  <w:rFonts w:ascii="Times New Roman;serif" w:hAnsi="Times New Roman;serif"/>
                  <w:b w:val="false"/>
                  <w:color w:val="0000FF"/>
                  <w:sz w:val="20"/>
                  <w:u w:val="single"/>
                </w:rPr>
                <w:t>Other Information</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151">
              <w:r>
                <w:rPr>
                  <w:rStyle w:val="InternetLink"/>
                  <w:rFonts w:ascii="Times New Roman;serif" w:hAnsi="Times New Roman;serif"/>
                  <w:b w:val="false"/>
                  <w:strike w:val="false"/>
                  <w:dstrike w:val="false"/>
                  <w:color w:val="000000"/>
                  <w:sz w:val="20"/>
                  <w:u w:val="none"/>
                  <w:effect w:val="none"/>
                </w:rPr>
                <w:t>30</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c60bf641e18d443d8fee2fea1792d052_154">
              <w:r>
                <w:rPr>
                  <w:rStyle w:val="InternetLink"/>
                  <w:rFonts w:ascii="Times New Roman;serif" w:hAnsi="Times New Roman;serif"/>
                  <w:b w:val="false"/>
                  <w:strike w:val="false"/>
                  <w:dstrike w:val="false"/>
                  <w:color w:val="000000"/>
                  <w:sz w:val="20"/>
                  <w:u w:val="none"/>
                  <w:effect w:val="none"/>
                </w:rPr>
                <w:t>Item 6.</w:t>
              </w:r>
            </w:hyperlink>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c60bf641e18d443d8fee2fea1792d052_154">
              <w:r>
                <w:rPr>
                  <w:rStyle w:val="InternetLink"/>
                  <w:rFonts w:ascii="Times New Roman;serif" w:hAnsi="Times New Roman;serif"/>
                  <w:b w:val="false"/>
                  <w:color w:val="0000FF"/>
                  <w:sz w:val="20"/>
                  <w:u w:val="single"/>
                </w:rPr>
                <w:t>Exhibits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154">
              <w:r>
                <w:rPr>
                  <w:rStyle w:val="InternetLink"/>
                  <w:rFonts w:ascii="Times New Roman;serif" w:hAnsi="Times New Roman;serif"/>
                  <w:b w:val="false"/>
                  <w:strike w:val="false"/>
                  <w:dstrike w:val="false"/>
                  <w:color w:val="000000"/>
                  <w:sz w:val="20"/>
                  <w:u w:val="none"/>
                  <w:effect w:val="none"/>
                </w:rPr>
                <w:t>31</w:t>
              </w:r>
            </w:hyperlink>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c60bf641e18d443d8fee2fea1792d052_157">
              <w:r>
                <w:rPr>
                  <w:rStyle w:val="InternetLink"/>
                  <w:rFonts w:ascii="Times New Roman;serif" w:hAnsi="Times New Roman;serif"/>
                  <w:b w:val="false"/>
                  <w:color w:val="0000FF"/>
                  <w:sz w:val="20"/>
                  <w:u w:val="single"/>
                </w:rPr>
                <w:t>Signatures</w:t>
              </w:r>
            </w:hyperlink>
          </w:p>
        </w:tc>
        <w:tc>
          <w:tcPr>
            <w:tcW w:w="858"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c60bf641e18d443d8fee2fea1792d052_157">
              <w:r>
                <w:rPr>
                  <w:rStyle w:val="InternetLink"/>
                  <w:rFonts w:ascii="Times New Roman;serif" w:hAnsi="Times New Roman;serif"/>
                  <w:b w:val="false"/>
                  <w:strike w:val="false"/>
                  <w:dstrike w:val="false"/>
                  <w:color w:val="000000"/>
                  <w:sz w:val="20"/>
                  <w:u w:val="none"/>
                  <w:effect w:val="non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2911"/>
        <w:gridCol w:w="2402"/>
        <w:gridCol w:w="2362"/>
        <w:gridCol w:w="220"/>
        <w:gridCol w:w="754"/>
        <w:gridCol w:w="113"/>
        <w:gridCol w:w="109"/>
        <w:gridCol w:w="109"/>
        <w:gridCol w:w="109"/>
        <w:gridCol w:w="215"/>
        <w:gridCol w:w="738"/>
        <w:gridCol w:w="163"/>
      </w:tblGrid>
      <w:tr>
        <w:trPr/>
        <w:tc>
          <w:tcPr>
            <w:tcW w:w="2911"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98,504 </w:t>
            </w:r>
          </w:p>
        </w:tc>
        <w:tc>
          <w:tcPr>
            <w:tcW w:w="11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36,746 </w:t>
            </w:r>
          </w:p>
        </w:tc>
        <w:tc>
          <w:tcPr>
            <w:tcW w:w="16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99,456 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7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99,494 </w:t>
            </w:r>
          </w:p>
        </w:tc>
        <w:tc>
          <w:tcPr>
            <w:tcW w:w="11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38,266 </w:t>
            </w:r>
          </w:p>
        </w:tc>
        <w:tc>
          <w:tcPr>
            <w:tcW w:w="16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97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6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notes payable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4"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10,163 </w:t>
            </w:r>
          </w:p>
        </w:tc>
        <w:tc>
          <w:tcPr>
            <w:tcW w:w="11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6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net of current portion</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related party</w:t>
            </w:r>
          </w:p>
        </w:tc>
        <w:tc>
          <w:tcPr>
            <w:tcW w:w="97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4"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28,951 </w:t>
            </w:r>
          </w:p>
        </w:tc>
        <w:tc>
          <w:tcPr>
            <w:tcW w:w="11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23,965 </w:t>
            </w:r>
          </w:p>
        </w:tc>
        <w:tc>
          <w:tcPr>
            <w:tcW w:w="16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8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200,000,000 shares authorized, 3,938,018 and 2,612,257 outstanding as of September 30, 2025 and December 31, 2024, respectively</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100,000,000 shares authorized, 241 and 577,349 outstanding as of September 30, 2025 and December 31, 2024, respectively</w:t>
            </w:r>
          </w:p>
        </w:tc>
        <w:tc>
          <w:tcPr>
            <w:tcW w:w="97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7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(319,554)</w:t>
            </w:r>
          </w:p>
        </w:tc>
        <w:tc>
          <w:tcPr>
            <w:tcW w:w="11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(299,718)</w:t>
            </w:r>
          </w:p>
        </w:tc>
        <w:tc>
          <w:tcPr>
            <w:tcW w:w="16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attributable to vTv Therapeutics Inc.</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97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6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22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99,494 </w:t>
            </w:r>
          </w:p>
        </w:tc>
        <w:tc>
          <w:tcPr>
            <w:tcW w:w="11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38,266 </w:t>
            </w:r>
          </w:p>
        </w:tc>
        <w:tc>
          <w:tcPr>
            <w:tcW w:w="16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1855"/>
        <w:gridCol w:w="1468"/>
        <w:gridCol w:w="1480"/>
        <w:gridCol w:w="244"/>
        <w:gridCol w:w="732"/>
        <w:gridCol w:w="109"/>
        <w:gridCol w:w="109"/>
        <w:gridCol w:w="109"/>
        <w:gridCol w:w="109"/>
        <w:gridCol w:w="244"/>
        <w:gridCol w:w="732"/>
        <w:gridCol w:w="109"/>
        <w:gridCol w:w="109"/>
        <w:gridCol w:w="109"/>
        <w:gridCol w:w="109"/>
        <w:gridCol w:w="211"/>
        <w:gridCol w:w="781"/>
        <w:gridCol w:w="109"/>
        <w:gridCol w:w="109"/>
        <w:gridCol w:w="109"/>
        <w:gridCol w:w="109"/>
        <w:gridCol w:w="211"/>
        <w:gridCol w:w="781"/>
        <w:gridCol w:w="158"/>
      </w:tblGrid>
      <w:tr>
        <w:trPr/>
        <w:tc>
          <w:tcPr>
            <w:tcW w:w="185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5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10,699 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24,923 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20,288 </w:t>
            </w:r>
          </w:p>
        </w:tc>
        <w:tc>
          <w:tcPr>
            <w:tcW w:w="15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 related party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5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noncontrolling interest</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(23,942)</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(18,168)</w:t>
            </w:r>
          </w:p>
        </w:tc>
        <w:tc>
          <w:tcPr>
            <w:tcW w:w="15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noncontrolling interest</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(23,942)</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(18,268)</w:t>
            </w:r>
          </w:p>
        </w:tc>
        <w:tc>
          <w:tcPr>
            <w:tcW w:w="15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vTv Therapeutics Inc.</w:t>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w:t>
            </w:r>
          </w:p>
        </w:tc>
        <w:tc>
          <w:tcPr>
            <w:tcW w:w="15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vTv Therapeutics Inc. common shareholders</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3"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vTv Therapeutics Inc. Class A common stock, basic and diluted</w:t>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5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vTv Therapeutics Inc. Class A common stock, basic and diluted</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8,055,940 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5,456,307 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7,080,681 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5,498,479 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 of Changes in Redeemable Noncontrolling Interest and Stockholders’ Equity (Deficit)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w:t>
      </w:r>
    </w:p>
    <w:tbl>
      <w:tblPr>
        <w:tblW w:w="13110" w:type="dxa"/>
        <w:jc w:val="center"/>
        <w:tblInd w:w="0" w:type="dxa"/>
        <w:tblLayout w:type="fixed"/>
        <w:tblCellMar>
          <w:top w:w="28" w:type="dxa"/>
          <w:left w:w="28" w:type="dxa"/>
          <w:bottom w:w="28" w:type="dxa"/>
          <w:right w:w="28" w:type="dxa"/>
        </w:tblCellMar>
      </w:tblPr>
      <w:tblGrid>
        <w:gridCol w:w="707"/>
        <w:gridCol w:w="239"/>
        <w:gridCol w:w="240"/>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196"/>
        <w:gridCol w:w="406"/>
        <w:gridCol w:w="109"/>
        <w:gridCol w:w="109"/>
        <w:gridCol w:w="109"/>
        <w:gridCol w:w="109"/>
        <w:gridCol w:w="196"/>
        <w:gridCol w:w="751"/>
        <w:gridCol w:w="109"/>
        <w:gridCol w:w="109"/>
        <w:gridCol w:w="109"/>
        <w:gridCol w:w="109"/>
        <w:gridCol w:w="196"/>
        <w:gridCol w:w="751"/>
        <w:gridCol w:w="109"/>
        <w:gridCol w:w="109"/>
        <w:gridCol w:w="109"/>
        <w:gridCol w:w="109"/>
        <w:gridCol w:w="222"/>
        <w:gridCol w:w="749"/>
        <w:gridCol w:w="125"/>
        <w:gridCol w:w="109"/>
        <w:gridCol w:w="109"/>
        <w:gridCol w:w="109"/>
        <w:gridCol w:w="317"/>
        <w:gridCol w:w="706"/>
        <w:gridCol w:w="178"/>
        <w:gridCol w:w="109"/>
        <w:gridCol w:w="109"/>
        <w:gridCol w:w="109"/>
        <w:gridCol w:w="221"/>
        <w:gridCol w:w="745"/>
        <w:gridCol w:w="175"/>
      </w:tblGrid>
      <w:tr>
        <w:trPr/>
        <w:tc>
          <w:tcPr>
            <w:tcW w:w="70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44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 2025</w:t>
            </w:r>
          </w:p>
        </w:tc>
        <w:tc>
          <w:tcPr>
            <w:tcW w:w="2669" w:type="dxa"/>
            <w:gridSpan w:val="9"/>
            <w:tcBorders/>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vTv Therapeutics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w:t>
              <w:br/>
              <w:t>Equity</w:t>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2,617,215</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313,586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(310,856)</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2,762</w:t>
            </w:r>
            <w:r>
              <w:rPr>
                <w:color w:val="000000"/>
              </w:rPr>
              <w:t> </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(357)</w:t>
            </w:r>
          </w:p>
        </w:tc>
        <w:tc>
          <w:tcPr>
            <w:tcW w:w="17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2,405</w:t>
            </w:r>
            <w:r>
              <w:rPr>
                <w:color w:val="000000"/>
              </w:rPr>
              <w:t> </w:t>
            </w:r>
          </w:p>
        </w:tc>
        <w:tc>
          <w:tcPr>
            <w:tcW w:w="17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vTv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shares withheld for tax withholding related to the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and equity classified warrants,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682,018 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pre-funded warrants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61,677 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B common stock to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noncontrolling interest to 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2,004 </w:t>
            </w:r>
          </w:p>
        </w:tc>
        <w:tc>
          <w:tcPr>
            <w:tcW w:w="1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3,938,018</w:t>
            </w:r>
            <w:r>
              <w:rPr>
                <w:color w:val="000000"/>
              </w:rPr>
              <w:t> </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w:t>
            </w:r>
            <w:r>
              <w:rPr>
                <w:color w:val="000000"/>
              </w:rPr>
              <w:t> </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390,058</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(319,554)</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70,543</w:t>
            </w:r>
            <w:r>
              <w:rPr>
                <w:color w:val="000000"/>
              </w:rPr>
              <w:t> </w:t>
            </w:r>
          </w:p>
        </w:tc>
        <w:tc>
          <w:tcPr>
            <w:tcW w:w="12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70,543</w:t>
            </w:r>
            <w:r>
              <w:rPr>
                <w:color w:val="000000"/>
              </w:rPr>
              <w:t> </w:t>
            </w:r>
          </w:p>
        </w:tc>
        <w:tc>
          <w:tcPr>
            <w:tcW w:w="17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060" w:type="dxa"/>
        <w:jc w:val="left"/>
        <w:tblInd w:w="0" w:type="dxa"/>
        <w:tblLayout w:type="fixed"/>
        <w:tblCellMar>
          <w:top w:w="28" w:type="dxa"/>
          <w:left w:w="28" w:type="dxa"/>
          <w:bottom w:w="28" w:type="dxa"/>
          <w:right w:w="28" w:type="dxa"/>
        </w:tblCellMar>
      </w:tblPr>
      <w:tblGrid>
        <w:gridCol w:w="677"/>
        <w:gridCol w:w="239"/>
        <w:gridCol w:w="240"/>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22"/>
        <w:gridCol w:w="749"/>
        <w:gridCol w:w="125"/>
        <w:gridCol w:w="109"/>
        <w:gridCol w:w="109"/>
        <w:gridCol w:w="109"/>
        <w:gridCol w:w="268"/>
        <w:gridCol w:w="782"/>
        <w:gridCol w:w="151"/>
        <w:gridCol w:w="109"/>
        <w:gridCol w:w="109"/>
        <w:gridCol w:w="109"/>
        <w:gridCol w:w="221"/>
        <w:gridCol w:w="745"/>
        <w:gridCol w:w="175"/>
      </w:tblGrid>
      <w:tr>
        <w:trPr/>
        <w:tc>
          <w:tcPr>
            <w:tcW w:w="6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39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 2024</w:t>
            </w:r>
          </w:p>
        </w:tc>
        <w:tc>
          <w:tcPr>
            <w:tcW w:w="2669" w:type="dxa"/>
            <w:gridSpan w:val="9"/>
            <w:tcBorders/>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vTv Therapeutics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2,432,857</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307,746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(291,301)</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16,475</w:t>
            </w:r>
            <w:r>
              <w:rPr>
                <w:color w:val="000000"/>
              </w:rPr>
              <w:t> </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3,962</w:t>
            </w: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20,437</w:t>
            </w:r>
            <w:r>
              <w:rPr>
                <w:color w:val="000000"/>
              </w:rPr>
              <w:t> </w:t>
            </w:r>
          </w:p>
        </w:tc>
        <w:tc>
          <w:tcPr>
            <w:tcW w:w="17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vTv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under ATM offering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at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2,612,257</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311,060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(296,084)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15,008</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2,905</w:t>
            </w: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17,913</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Condensed Consolidated Statement of Changes in Redeemable Noncontrolling Interest and Stockholders’ Equity (Deficit) - Unaudited</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(in thousands, except number of shares)</w:t>
      </w:r>
    </w:p>
    <w:tbl>
      <w:tblPr>
        <w:tblW w:w="13110" w:type="dxa"/>
        <w:jc w:val="left"/>
        <w:tblInd w:w="0" w:type="dxa"/>
        <w:tblLayout w:type="fixed"/>
        <w:tblCellMar>
          <w:top w:w="28" w:type="dxa"/>
          <w:left w:w="28" w:type="dxa"/>
          <w:bottom w:w="28" w:type="dxa"/>
          <w:right w:w="28" w:type="dxa"/>
        </w:tblCellMar>
      </w:tblPr>
      <w:tblGrid>
        <w:gridCol w:w="649"/>
        <w:gridCol w:w="268"/>
        <w:gridCol w:w="269"/>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196"/>
        <w:gridCol w:w="406"/>
        <w:gridCol w:w="109"/>
        <w:gridCol w:w="109"/>
        <w:gridCol w:w="109"/>
        <w:gridCol w:w="109"/>
        <w:gridCol w:w="196"/>
        <w:gridCol w:w="751"/>
        <w:gridCol w:w="109"/>
        <w:gridCol w:w="109"/>
        <w:gridCol w:w="109"/>
        <w:gridCol w:w="109"/>
        <w:gridCol w:w="196"/>
        <w:gridCol w:w="751"/>
        <w:gridCol w:w="109"/>
        <w:gridCol w:w="109"/>
        <w:gridCol w:w="109"/>
        <w:gridCol w:w="109"/>
        <w:gridCol w:w="222"/>
        <w:gridCol w:w="749"/>
        <w:gridCol w:w="125"/>
        <w:gridCol w:w="109"/>
        <w:gridCol w:w="109"/>
        <w:gridCol w:w="109"/>
        <w:gridCol w:w="268"/>
        <w:gridCol w:w="782"/>
        <w:gridCol w:w="151"/>
        <w:gridCol w:w="109"/>
        <w:gridCol w:w="109"/>
        <w:gridCol w:w="109"/>
        <w:gridCol w:w="221"/>
        <w:gridCol w:w="745"/>
        <w:gridCol w:w="175"/>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441"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 2025</w:t>
            </w:r>
          </w:p>
        </w:tc>
        <w:tc>
          <w:tcPr>
            <w:tcW w:w="2669" w:type="dxa"/>
            <w:gridSpan w:val="9"/>
            <w:tcBorders/>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vTv Therapeutics Inc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w:t>
              <w:br/>
              <w:t>Equity</w:t>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2,612,257</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311,885</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(299,718)</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12,199</w:t>
            </w:r>
            <w:r>
              <w:rPr>
                <w:color w:val="000000"/>
              </w:rPr>
              <w:t> </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2,102</w:t>
            </w: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14,301</w:t>
            </w:r>
            <w:r>
              <w:rPr>
                <w:color w:val="000000"/>
              </w:rPr>
              <w:t> </w:t>
            </w:r>
          </w:p>
        </w:tc>
        <w:tc>
          <w:tcPr>
            <w:tcW w:w="17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vTv Therapeutics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shares withheld for tax withholding related to the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2,750 </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shares and equity classified warrants,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682,018 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Pre-Funded Warrants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61,677 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B common stock to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noncontrolling interest to 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3,938,018</w:t>
            </w:r>
            <w:r>
              <w:rPr>
                <w:color w:val="000000"/>
              </w:rPr>
              <w:t> </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w:t>
            </w:r>
            <w:r>
              <w:rPr>
                <w:color w:val="000000"/>
              </w:rPr>
              <w:t> </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390,058</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(319,554)</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70,543</w:t>
            </w:r>
            <w:r>
              <w:rPr>
                <w:color w:val="000000"/>
              </w:rPr>
              <w:t> </w:t>
            </w:r>
          </w:p>
        </w:tc>
        <w:tc>
          <w:tcPr>
            <w:tcW w:w="12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70,543</w:t>
            </w:r>
            <w:r>
              <w:rPr>
                <w:color w:val="000000"/>
              </w:rPr>
              <w:t> </w:t>
            </w:r>
          </w:p>
        </w:tc>
        <w:tc>
          <w:tcPr>
            <w:tcW w:w="17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4618" w:type="dxa"/>
        <w:jc w:val="left"/>
        <w:tblInd w:w="0" w:type="dxa"/>
        <w:tblLayout w:type="fixed"/>
        <w:tblCellMar>
          <w:top w:w="28" w:type="dxa"/>
          <w:left w:w="28" w:type="dxa"/>
          <w:bottom w:w="28" w:type="dxa"/>
          <w:right w:w="28" w:type="dxa"/>
        </w:tblCellMar>
      </w:tblPr>
      <w:tblGrid>
        <w:gridCol w:w="649"/>
        <w:gridCol w:w="268"/>
        <w:gridCol w:w="269"/>
        <w:gridCol w:w="268"/>
        <w:gridCol w:w="782"/>
        <w:gridCol w:w="151"/>
        <w:gridCol w:w="109"/>
        <w:gridCol w:w="109"/>
        <w:gridCol w:w="109"/>
        <w:gridCol w:w="109"/>
        <w:gridCol w:w="109"/>
        <w:gridCol w:w="109"/>
        <w:gridCol w:w="443"/>
        <w:gridCol w:w="443"/>
        <w:gridCol w:w="196"/>
        <w:gridCol w:w="109"/>
        <w:gridCol w:w="109"/>
        <w:gridCol w:w="109"/>
        <w:gridCol w:w="236"/>
        <w:gridCol w:w="346"/>
        <w:gridCol w:w="109"/>
        <w:gridCol w:w="109"/>
        <w:gridCol w:w="109"/>
        <w:gridCol w:w="109"/>
        <w:gridCol w:w="375"/>
        <w:gridCol w:w="376"/>
        <w:gridCol w:w="196"/>
        <w:gridCol w:w="109"/>
        <w:gridCol w:w="109"/>
        <w:gridCol w:w="109"/>
        <w:gridCol w:w="288"/>
        <w:gridCol w:w="294"/>
        <w:gridCol w:w="109"/>
        <w:gridCol w:w="109"/>
        <w:gridCol w:w="109"/>
        <w:gridCol w:w="109"/>
        <w:gridCol w:w="196"/>
        <w:gridCol w:w="751"/>
        <w:gridCol w:w="109"/>
        <w:gridCol w:w="109"/>
        <w:gridCol w:w="109"/>
        <w:gridCol w:w="109"/>
        <w:gridCol w:w="196"/>
        <w:gridCol w:w="751"/>
        <w:gridCol w:w="109"/>
        <w:gridCol w:w="109"/>
        <w:gridCol w:w="109"/>
        <w:gridCol w:w="109"/>
        <w:gridCol w:w="222"/>
        <w:gridCol w:w="749"/>
        <w:gridCol w:w="125"/>
        <w:gridCol w:w="109"/>
        <w:gridCol w:w="109"/>
        <w:gridCol w:w="109"/>
        <w:gridCol w:w="268"/>
        <w:gridCol w:w="782"/>
        <w:gridCol w:w="151"/>
        <w:gridCol w:w="109"/>
        <w:gridCol w:w="109"/>
        <w:gridCol w:w="109"/>
        <w:gridCol w:w="221"/>
        <w:gridCol w:w="745"/>
        <w:gridCol w:w="175"/>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4618"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 2024</w:t>
            </w:r>
          </w:p>
        </w:tc>
      </w:tr>
      <w:tr>
        <w:trPr/>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vTv Therapeutics Inc Stockholders’ (Deficit)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(Deficit)</w:t>
              <w:br/>
              <w:t xml:space="preserve">Equity </w:t>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December 31, 2023</w:t>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6,131</w:t>
            </w: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2,084,973</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256,335</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(281,042)</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(24,680)</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(24,680)</w:t>
            </w:r>
          </w:p>
        </w:tc>
        <w:tc>
          <w:tcPr>
            <w:tcW w:w="17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vTv Therapeutics Inc.</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loss attributable to redeemable noncontrolling interest</w:t>
            </w:r>
            <w:r>
              <w:rPr>
                <w:rFonts w:ascii="Times New Roman;serif" w:hAnsi="Times New Roman;serif"/>
                <w:b w:val="false"/>
                <w:color w:val="000000"/>
                <w:sz w:val="10"/>
              </w:rPr>
              <w:t>(*)</w:t>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redeemable noncontrolling interest to permanent equity (See Note 6)</w:t>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5,260 </w:t>
            </w:r>
          </w:p>
        </w:tc>
        <w:tc>
          <w:tcPr>
            <w:tcW w:w="175"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and equity classified warrants, net offering costs</w:t>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347,884 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50,332 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50,335 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50,335 </w:t>
            </w:r>
          </w:p>
        </w:tc>
        <w:tc>
          <w:tcPr>
            <w:tcW w:w="175" w:type="dxa"/>
            <w:tcBorders/>
            <w:shd w:fill="EBF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under ATM offering</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noncontrolling interest</w:t>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w:t>
            </w:r>
          </w:p>
        </w:tc>
        <w:tc>
          <w:tcPr>
            <w:tcW w:w="15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w:t>
            </w:r>
          </w:p>
        </w:tc>
        <w:tc>
          <w:tcPr>
            <w:tcW w:w="17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Balances at September 30, 2024</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2,612,257</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577,349</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311,060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(296,084)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15,008</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2,905</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17,913</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Allocation of NCI net loss was a result from the reclassification to permanent equity on February 27, 2024 (See Note 6)</w:t>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678"/>
        <w:gridCol w:w="2283"/>
        <w:gridCol w:w="2299"/>
        <w:gridCol w:w="239"/>
        <w:gridCol w:w="896"/>
        <w:gridCol w:w="123"/>
        <w:gridCol w:w="123"/>
        <w:gridCol w:w="123"/>
        <w:gridCol w:w="123"/>
        <w:gridCol w:w="239"/>
        <w:gridCol w:w="896"/>
        <w:gridCol w:w="183"/>
      </w:tblGrid>
      <w:tr>
        <w:trPr/>
        <w:tc>
          <w:tcPr>
            <w:tcW w:w="2678"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60"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58"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noncontrolling interest</w:t>
            </w:r>
          </w:p>
        </w:tc>
        <w:tc>
          <w:tcPr>
            <w:tcW w:w="239"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(23,942)</w:t>
            </w:r>
          </w:p>
        </w:tc>
        <w:tc>
          <w:tcPr>
            <w:tcW w:w="12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(18,268)</w:t>
            </w:r>
          </w:p>
        </w:tc>
        <w:tc>
          <w:tcPr>
            <w:tcW w:w="183"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before noncontrolling interest to net cash used in operating activities:</w:t>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related party</w:t>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8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5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8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12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8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3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(16,004)</w:t>
            </w:r>
          </w:p>
        </w:tc>
        <w:tc>
          <w:tcPr>
            <w:tcW w:w="12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(20,482)</w:t>
            </w:r>
          </w:p>
        </w:tc>
        <w:tc>
          <w:tcPr>
            <w:tcW w:w="18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58"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Class A common stock, Pre-Funded and Common Warrants, net of offering costs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Class A common stock and Pre-Funded Warrants, net of offering costs</w:t>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Class A common stock, net of offering costs</w:t>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8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2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issuance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notes payable</w:t>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83"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61,758 </w:t>
            </w:r>
          </w:p>
        </w:tc>
        <w:tc>
          <w:tcPr>
            <w:tcW w:w="12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32,125 </w:t>
            </w:r>
          </w:p>
        </w:tc>
        <w:tc>
          <w:tcPr>
            <w:tcW w:w="183"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beginning of period</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end of period</w:t>
            </w:r>
          </w:p>
        </w:tc>
        <w:tc>
          <w:tcPr>
            <w:tcW w:w="23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98,504 </w:t>
            </w:r>
          </w:p>
        </w:tc>
        <w:tc>
          <w:tcPr>
            <w:tcW w:w="12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41,571 </w:t>
            </w:r>
          </w:p>
        </w:tc>
        <w:tc>
          <w:tcPr>
            <w:tcW w:w="18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activities:</w:t>
            </w:r>
          </w:p>
        </w:tc>
        <w:tc>
          <w:tcPr>
            <w:tcW w:w="1258"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redemption value of noncontrolling interest</w:t>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noncontrolling interest to additional paid-in capital</w:t>
            </w:r>
          </w:p>
        </w:tc>
        <w:tc>
          <w:tcPr>
            <w:tcW w:w="239"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12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8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vTv Therapeutics Inc.</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(dollar amounts are in thousands,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 xml:space="preserve">Note 1: Description of Business and Basis of Presentation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vTv Therapeutics Inc. (the “Company,” the “Registrant,” “we” or “us”) was incorporated in the state of Delaware in April 2015. The Company is a clinical stage biopharmaceutical company focused on developing oral, small molecule drug candidates intended to help treat people living with diabetes and other chronic diseases. The Company’s clinical pipeline is led by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currently in a Phase 3 trial, a potential first-in-class oral liver-selective glucokinase activator being investigated as an adjunctive therapy to insulin for the treatment of type 1 diabetes. The Company and its development partners are investigating multiple molecules across different indications for chronic diseases.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vTv Therapeutics Inc. is a holding company, and its principal asset is a controlling equity interest in vTv Therapeutics LLC (“vTv LLC”), the Company’s principal operating subsidiary.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Unaudited Condensed Consolidated Financial Statements. The assets and liabilities of vTv LLC represent substantially all of the Company’s consolidated assets and liabilities with the exception of the Warrants and $96.1 million of cash and cash equivalents.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Various holders own non-voting interests in vTv LLC, representing a de minimis amount of economic interest. Effectively, vTv Therapeutics Inc.’s interest is approximately 100.0% of vTv LLC’s economic results. vTv Therapeutics Inc. has provided financial and other support to vTv LLC in the form of its purchase of vTv Units with the net proceeds of the Company’s various debt and equity transactions in prior years and equity purchase agreements with various parties. v</w:t>
      </w:r>
      <w:r>
        <w:rPr>
          <w:rFonts w:ascii="Times New Roman;serif" w:hAnsi="Times New Roman;serif"/>
          <w:b w:val="false"/>
          <w:color w:val="000000"/>
          <w:sz w:val="20"/>
          <w:shd w:fill="FFFFFF" w:val="clear"/>
        </w:rPr>
        <w:t xml:space="preserve">Tv Therapeutics Inc. will not be required to provide financial or other support for vTv LLC. </w:t>
      </w:r>
      <w:r>
        <w:rPr>
          <w:rFonts w:ascii="Times New Roman;serif" w:hAnsi="Times New Roman;serif"/>
          <w:b w:val="false"/>
          <w:color w:val="000000"/>
          <w:sz w:val="20"/>
        </w:rPr>
        <w:t>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date, the Company has not generated any product revenue and has not achieved profitable operations. The continuing development of our drug candidates will require additional financing. From its inception through September 30, 2025,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September 30, 2025, the Company had an accumulated deficit of $319.6 million and has generated net losses in each year of its existence. As of September 30, 2025, the Company’s liquidity sources included cash and cash equivalents of $98.5 million. We are evaluating several financing strategies to increase our cash reserves, including direct equity investments and the potential licensing and monetization of other clinical development programs.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29, 2025, we entered into a securities purchase agreement (the “Securities Purchase Agreement”) with certain institutional accredited investors (the “Private Placement Investors”), pursuant to which we agreed to issue and sell 5,243,732 units (the “Units”) to the Private Placement Investors in a private placement (the “Private Placement”). Each Unit includes (i) either (A) one share (the “Shares”) of our Class A common stock at purchase price of $15.265 per share, (the “Common Stock”), or (B) a Pre-Funded Warrant (the “Pre-Funded Warrants”) to purchase one share of Common Stock (the “Pre-Funded Warrant Shares”) at a purchase price of $15.255 per share (representing per Private Placement Share purchase price less the exercise price of $0.01) and (ii) a warrant (the “Common Warrants”) to purchase one share of Common Stock (the “Warrant Shares”) (or a Pre-Funded warrant to purchase one share of Common Stock in lieu of a share of Common Stock (the “Replacement Warrants” and,together with the Pre-Funded Warrants and the Common Warrants, the “Warrants”).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received aggregate gross proceeds from the Private Placement of approximately $80.0 million, before deducting offering costs payable by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Pre-Funded Warrants are exercisable for $0.01, at any time after their original issuance and will not expire. The common warrants are exercisable for (x) $22.71, if exercised for a Share, or (y) $22.70 if exercised for a Pre-Funded Warrant, after the original issuance through the termination date. The Common Warrants will expire upon the earlier to occur of (i) the fifth anniversary of the issuance of the Warrants and (ii) 90 days following the announcement of positive top-line data from the Company’s ongoing CATT1 clinical trial.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28, 2024, we entered into the TD Cowen Sales Agreement,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 On September 17, 2024, the Company sold 179,400 shares of Class A common stock under the TD Cowen ATM Offering for net proceeds of $2.5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the issuance date of the Company’s June 30, 2025 Form 10-Q, the Company disclosed, as required under applicable accounting standards, that substantial doubt existed surrounding the Company’s ability to continue as a going concern within one year of the issuance date of the June 30, 2025, condensed consolidated financial statements. Based on the cash and cash equivalents currently available to the Company as discussed above, the Company has concluded there is no longer substantial doubt regarding the ability to continue as a going concern for at least twelve months from the issuance of the September 30, 2025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have been prepared in accordance with accounting principles generally accepted in the United States of America (“GAAP”). The accompanying Condensed Consolidated Balance Sheet as of September 30, 2025, Condensed Consolidated Statements of Operations for the three and nine months ended September 30, 2025, and 2024 Condensed Consolidated Statement of Changes in Redeemable Noncontrolling Interest and Stockholders’ Equity (Deficit) for the three and nine months ended September 30, 2025, and 2024 and Condensed Consolidated Statements of Cash Flows for the nine months ended September 30, 2025, and 2024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2024,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September 30, 2025, the results of operations for the three and nine months ended September 30, 2025, and 2024 and cash flows for the nine months ended September 30, 2025, and 2024. The December 31, 2024, Condensed Consolidated Balance Sheet included herein was derived from the audited financial statements but does not include all disclosures or notes required by GAAP for complete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data and other information disclosed in these notes to the financial statements related to the three and nine months ended September 30, 2025, and 2024 are unaudited. Interim results are not necessarily indicative of results for an entire year.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its estimates, including those related to the grant date fair value of equity awards, the fair value of warrants to purchase shares of its Class A common stock, the useful lives of property and equipment, among others. The Company bases its estimates on historical experience and on various other assumptions that it believes to be reasonable, the results of which form the basis for making judgments about the carrying value of assets and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uncertainty and disruption in the global economy and financial markets due to a number of factors, including geopolitical instability, inflationary pressures, high interest rates, a recessionary environment, domestic and global monetary and fiscal policy, changes in trade policy, including tariffs or other trade restrictions or the threat of such actions, banking and other financial institution instability and other factors. Our business may also be impacted by changes or disruptions at the U.S. Food and Drug Administration (“FDA”) and other government agencies. The Company has taken into consideration any known impacts to its accounting estimates to date and is not aware of any additional specific events or circumstances that would require any additional updates to its estimates or judgments or a revision of the carrying value of its assets or liabilities as of the filing date of this Quarterly Report on Form 10-Q.</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Company’s significant accounting policies during the three and nine months ended September 30, 2025, as compared to those disclosed in Note 2 Summary of Significant Accounting Policies included in the Company’s Annual Report on Form 10-K for the year ended December 31, 2024.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20" w:after="283"/>
        <w:ind w:left="0" w:right="0" w:firstLine="540"/>
        <w:jc w:val="both"/>
        <w:rPr/>
      </w:pPr>
      <w:r>
        <w:rPr>
          <w:rFonts w:ascii="Times New Roman;serif" w:hAnsi="Times New Roman;serif"/>
          <w:b/>
          <w:color w:val="000000"/>
          <w:sz w:val="20"/>
        </w:rPr>
        <w:t>Income Taxes</w:t>
      </w:r>
      <w:r>
        <w:rPr>
          <w:rFonts w:ascii="Times New Roman;serif" w:hAnsi="Times New Roman;serif"/>
          <w:b w:val="false"/>
          <w:color w:val="000000"/>
          <w:sz w:val="20"/>
        </w:rPr>
        <w:t>: In December 2023, the FASB issued ASU 2023-09: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(“ASU 2023-09”). The ASU is intended to enhance the transparency and decision usefulness of income tax disclosures. The amendments in the ASU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the Company’s Consolidated Financial Statements and disclosures, and we expect considerable changes to our income tax disclosures.</w:t>
      </w:r>
    </w:p>
    <w:p>
      <w:pPr>
        <w:pStyle w:val="TextBody"/>
        <w:bidi w:val="0"/>
        <w:spacing w:lineRule="auto" w:line="288" w:before="120" w:after="283"/>
        <w:ind w:left="0" w:right="0" w:firstLine="540"/>
        <w:jc w:val="both"/>
        <w:rPr/>
      </w:pPr>
      <w:r>
        <w:rPr>
          <w:rFonts w:ascii="Times New Roman;serif" w:hAnsi="Times New Roman;serif"/>
          <w:b/>
          <w:color w:val="000000"/>
          <w:sz w:val="20"/>
        </w:rPr>
        <w:t>Disaggregation of Income Statement Expenses:</w:t>
      </w:r>
      <w:r>
        <w:rPr>
          <w:color w:val="000000"/>
        </w:rPr>
        <w:t xml:space="preserve"> </w:t>
      </w:r>
      <w:r>
        <w:rPr>
          <w:rFonts w:ascii="Times New Roman;serif" w:hAnsi="Times New Roman;serif"/>
          <w:b w:val="false"/>
          <w:color w:val="000000"/>
          <w:sz w:val="20"/>
        </w:rPr>
        <w:t xml:space="preserve">In November 2024, the FASB issued ASU No. 2024-03, </w:t>
      </w:r>
      <w:r>
        <w:rPr>
          <w:color w:val="000000"/>
        </w:rPr>
        <w:t>“</w:t>
      </w:r>
      <w:r>
        <w:rPr>
          <w:rFonts w:ascii="Times New Roman;serif" w:hAnsi="Times New Roman;serif"/>
          <w:b w:val="false"/>
          <w:i/>
          <w:color w:val="000000"/>
          <w:sz w:val="20"/>
        </w:rPr>
        <w:t>Income Statement—Reporting Comprehensive Income—Expense Disaggregation Disclosures: Disaggregation of Income Statement Expenses.</w:t>
      </w:r>
      <w:r>
        <w:rPr>
          <w:color w:val="000000"/>
        </w:rPr>
        <w:t>”</w:t>
      </w:r>
      <w:r>
        <w:rPr>
          <w:rFonts w:ascii="Times New Roman;serif" w:hAnsi="Times New Roman;serif"/>
          <w:b w:val="false"/>
          <w:color w:val="000000"/>
          <w:sz w:val="20"/>
        </w:rPr>
        <w:t>This guidance requires disclosures about significant expense categories, including but not limited to, inventory purchases, employee compensation, depreciation, amortization, and selling expenses</w:t>
      </w:r>
      <w:r>
        <w:rPr>
          <w:rFonts w:ascii="Times New Roman;serif" w:hAnsi="Times New Roman;serif"/>
          <w:b w:val="false"/>
          <w:color w:val="000000"/>
          <w:sz w:val="20"/>
          <w:shd w:fill="FFFFFF" w:val="clear"/>
        </w:rPr>
        <w:t>. This amendment is effective for our annual reporting periods beginning after December 15, 2026, and interim reporting periods beginning after December 15, 2027. We are currently assessing the impact of this guidance on our disclosures.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Note 3: Collaboration Agreements</w:t>
      </w:r>
    </w:p>
    <w:p>
      <w:pPr>
        <w:pStyle w:val="TextBody"/>
        <w:bidi w:val="0"/>
        <w:spacing w:lineRule="auto" w:line="288" w:before="120" w:after="283"/>
        <w:ind w:left="0" w:right="0" w:hanging="540"/>
        <w:jc w:val="both"/>
        <w:rPr>
          <w:rFonts w:ascii="Times New Roman;serif" w:hAnsi="Times New Roman;serif"/>
          <w:b/>
          <w:i/>
          <w:color w:val="000000"/>
          <w:sz w:val="20"/>
        </w:rPr>
      </w:pPr>
      <w:r>
        <w:rPr>
          <w:rFonts w:ascii="Times New Roman;serif" w:hAnsi="Times New Roman;serif"/>
          <w:b/>
          <w:i/>
          <w:color w:val="000000"/>
          <w:sz w:val="20"/>
        </w:rPr>
        <w:t>Newsoara License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serif" w:hAnsi="Times New Roman;serif"/>
          <w:b w:val="false"/>
          <w:i/>
          <w:color w:val="000000"/>
          <w:sz w:val="20"/>
        </w:rPr>
        <w:t>HPP737</w:t>
      </w:r>
      <w:r>
        <w:rPr>
          <w:rFonts w:ascii="Times New Roman;serif" w:hAnsi="Times New Roman;serif"/>
          <w:b w:val="false"/>
          <w:color w:val="000000"/>
          <w:sz w:val="20"/>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Newsoara License Agreement was amended in 2020 to change certain future milestone payments and patent rights (the “First Newsoara Amendment”). On June 26, 2024, the Company entered into the second amendment to the Newsoara License Agreement (the “Second Newsoara Amendment”); that amendment is now null and void as of June 26,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In the first quarter of 2024, the transaction price for this performance obligation was increased by $1.0 million due to the satisfaction of a development milestone under the Newsoara License Agreement. This amount was fully recognized as revenue during the nine months ended September 30, 2024, as the related performance obligation was fully satisfied. No revenue related to this performance obligation was recognized and there were no changes to the transaction price during the three and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4: Share-Based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issued non-qualified stock option awards to management, other key employees, consultants, and non-employee directors and these options ratably vest over a four-year service period. In addition, we issued options in connection with the private placement on February 27, 2024, that vest ratably over a three-year period. The option awards expire after a term of ten years from the date of grant. As of September 30, 2025, the Company had total unrecognized stock-based compensation expense for its outstanding stock option awards of approximately $6.2 million, which is expected to be recognized over a weighted average period of 2.6 years. The weighted average grant date fair value of options granted during the nine months ended September 30, 2025, and 2024 was $15.00 and $14.85 per option, respectively. The aggregate intrinsic value of the in-the-money awards outstanding at September 30, 2025, was de minimis.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related to the stock option awards for the nine months ended September 30, 2025:</w:t>
      </w:r>
    </w:p>
    <w:tbl>
      <w:tblPr>
        <w:tblW w:w="8602" w:type="dxa"/>
        <w:jc w:val="left"/>
        <w:tblInd w:w="0" w:type="dxa"/>
        <w:tblLayout w:type="fixed"/>
        <w:tblCellMar>
          <w:top w:w="28" w:type="dxa"/>
          <w:left w:w="28" w:type="dxa"/>
          <w:bottom w:w="28" w:type="dxa"/>
          <w:right w:w="28" w:type="dxa"/>
        </w:tblCellMar>
      </w:tblPr>
      <w:tblGrid>
        <w:gridCol w:w="1777"/>
        <w:gridCol w:w="1562"/>
        <w:gridCol w:w="1566"/>
        <w:gridCol w:w="571"/>
        <w:gridCol w:w="484"/>
        <w:gridCol w:w="486"/>
        <w:gridCol w:w="109"/>
        <w:gridCol w:w="109"/>
        <w:gridCol w:w="109"/>
        <w:gridCol w:w="393"/>
        <w:gridCol w:w="1149"/>
        <w:gridCol w:w="287"/>
      </w:tblGrid>
      <w:tr>
        <w:trPr/>
        <w:tc>
          <w:tcPr>
            <w:tcW w:w="177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 Exercise Price</w:t>
            </w:r>
          </w:p>
        </w:tc>
      </w:tr>
      <w:tr>
        <w:trPr/>
        <w:tc>
          <w:tcPr>
            <w:tcW w:w="49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December 31, 2024</w:t>
            </w:r>
          </w:p>
        </w:tc>
        <w:tc>
          <w:tcPr>
            <w:tcW w:w="105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705,593 </w:t>
            </w:r>
          </w:p>
        </w:tc>
        <w:tc>
          <w:tcPr>
            <w:tcW w:w="48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28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388,816 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5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(20,719)</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28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Expired</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(66,384)</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outstanding at September 30, 2025</w:t>
            </w:r>
          </w:p>
        </w:tc>
        <w:tc>
          <w:tcPr>
            <w:tcW w:w="105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1,007,306 </w:t>
            </w:r>
          </w:p>
        </w:tc>
        <w:tc>
          <w:tcPr>
            <w:tcW w:w="48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28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September 30, 2025</w:t>
            </w:r>
          </w:p>
        </w:tc>
        <w:tc>
          <w:tcPr>
            <w:tcW w:w="105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372,211 </w:t>
            </w:r>
          </w:p>
        </w:tc>
        <w:tc>
          <w:tcPr>
            <w:tcW w:w="4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contractual term</w:t>
            </w:r>
          </w:p>
        </w:tc>
        <w:tc>
          <w:tcPr>
            <w:tcW w:w="154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Years</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at September 30, 2025</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843,656 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contractual term</w:t>
            </w:r>
          </w:p>
        </w:tc>
        <w:tc>
          <w:tcPr>
            <w:tcW w:w="154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Years</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Compensation expense related to the grants of stock options is included in research and development and general and administrative expense as follows (in thousands):</w:t>
      </w:r>
    </w:p>
    <w:tbl>
      <w:tblPr>
        <w:tblW w:w="9405" w:type="dxa"/>
        <w:jc w:val="left"/>
        <w:tblInd w:w="0" w:type="dxa"/>
        <w:tblLayout w:type="fixed"/>
        <w:tblCellMar>
          <w:top w:w="28" w:type="dxa"/>
          <w:left w:w="28" w:type="dxa"/>
          <w:bottom w:w="28" w:type="dxa"/>
          <w:right w:w="28" w:type="dxa"/>
        </w:tblCellMar>
      </w:tblPr>
      <w:tblGrid>
        <w:gridCol w:w="1245"/>
        <w:gridCol w:w="1092"/>
        <w:gridCol w:w="1098"/>
        <w:gridCol w:w="276"/>
        <w:gridCol w:w="807"/>
        <w:gridCol w:w="142"/>
        <w:gridCol w:w="142"/>
        <w:gridCol w:w="142"/>
        <w:gridCol w:w="142"/>
        <w:gridCol w:w="276"/>
        <w:gridCol w:w="610"/>
        <w:gridCol w:w="142"/>
        <w:gridCol w:w="109"/>
        <w:gridCol w:w="109"/>
        <w:gridCol w:w="109"/>
        <w:gridCol w:w="109"/>
        <w:gridCol w:w="109"/>
        <w:gridCol w:w="109"/>
        <w:gridCol w:w="248"/>
        <w:gridCol w:w="724"/>
        <w:gridCol w:w="128"/>
        <w:gridCol w:w="128"/>
        <w:gridCol w:w="128"/>
        <w:gridCol w:w="128"/>
        <w:gridCol w:w="248"/>
        <w:gridCol w:w="724"/>
        <w:gridCol w:w="181"/>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7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4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4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2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7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4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4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2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5: Commitments and Contingencies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Novo Nordisk</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February 2007, the Company entered into an Agreement (the “Novo License Agreement”) Concerning Glucokinase Activator Project with Novo Nordisk A/S (the “Novo Nordisk”)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w:t>
      </w:r>
      <w:r>
        <w:rPr>
          <w:color w:val="000000"/>
        </w:rPr>
        <w:t xml:space="preserve">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This agreement was amended in May 2019 to create milestone payments applicable to certain specific and non-specific areas of therapeutic use. Under the terms of the amended Novo License Agreement, the Company has potential developmental and regulatory milestone payment obligations totaling up to $7.0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royalty payments, at mid-single digit royalty rates, based on tiered sales of commercialized licensed products. During the three and nine months ended September 30, 2025, the Company recorded an accrual of $1.0 million for the milestone associated with the initiation of a phase 3 clinical trial under this agreement. As of September 30, 2025, the Company does not have any commercialized licensed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6: Noncontrolling Interest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the Exchange Agreement with respect to the vTv Units representing a de minimis noncontrolling interest in vTv LLC outstanding as of September 30, 2025 (see Note 8).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2024, in connection with the Private Placement financing, the Investor Rights Agreement altered M&amp;F TTP Holdings Two LLC (“M&amp;F”) governance rights such that directors designated by M&amp;F no longer comprised a majority of the Company’s Board of Directors (see Note 8). The redeemable noncontrolling interest redemption feature to exchange vTv Units for cash rather than shares of Class A common stock is a contingent event that is now within control of the Company through the Company’s independent Board of Directors. As a result, $5.3 million representing the fair value of redeemable noncontrolling interest on February 27, 2024, was reclassified from temporary equity in the mezzanine section of the Condensed Consolidated Balance Sheets to noncontrolling interest as a component of permanent equity.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Prior to February 27, 2024, the Company recorded redeemable noncontrolling interest at the higher of (1) its initial fair value plus accumulated earnings/losses associated with the noncontrolling interest or (2) the redemption value as of the balance sheet date.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tbl>
      <w:tblPr>
        <w:tblW w:w="10205" w:type="dxa"/>
        <w:jc w:val="left"/>
        <w:tblInd w:w="0" w:type="dxa"/>
        <w:tblLayout w:type="fixed"/>
        <w:tblCellMar>
          <w:top w:w="28" w:type="dxa"/>
          <w:left w:w="28" w:type="dxa"/>
          <w:bottom w:w="28" w:type="dxa"/>
          <w:right w:w="28" w:type="dxa"/>
        </w:tblCellMar>
      </w:tblPr>
      <w:tblGrid>
        <w:gridCol w:w="1692"/>
        <w:gridCol w:w="1386"/>
        <w:gridCol w:w="1390"/>
        <w:gridCol w:w="235"/>
        <w:gridCol w:w="850"/>
        <w:gridCol w:w="121"/>
        <w:gridCol w:w="121"/>
        <w:gridCol w:w="121"/>
        <w:gridCol w:w="121"/>
        <w:gridCol w:w="235"/>
        <w:gridCol w:w="733"/>
        <w:gridCol w:w="121"/>
        <w:gridCol w:w="109"/>
        <w:gridCol w:w="109"/>
        <w:gridCol w:w="109"/>
        <w:gridCol w:w="228"/>
        <w:gridCol w:w="824"/>
        <w:gridCol w:w="118"/>
        <w:gridCol w:w="118"/>
        <w:gridCol w:w="118"/>
        <w:gridCol w:w="118"/>
        <w:gridCol w:w="228"/>
        <w:gridCol w:w="824"/>
        <w:gridCol w:w="176"/>
      </w:tblGrid>
      <w:tr>
        <w:trPr/>
        <w:tc>
          <w:tcPr>
            <w:tcW w:w="169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4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6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vTv Therapeutics Inc. common shareholders</w:t>
            </w:r>
          </w:p>
        </w:tc>
        <w:tc>
          <w:tcPr>
            <w:tcW w:w="23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w:t>
            </w:r>
          </w:p>
        </w:tc>
        <w:tc>
          <w:tcPr>
            <w:tcW w:w="1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w:t>
            </w:r>
          </w:p>
        </w:tc>
        <w:tc>
          <w:tcPr>
            <w:tcW w:w="1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w:t>
            </w:r>
          </w:p>
        </w:tc>
        <w:tc>
          <w:tcPr>
            <w:tcW w:w="11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w:t>
            </w:r>
          </w:p>
        </w:tc>
        <w:tc>
          <w:tcPr>
            <w:tcW w:w="17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(Decrease)/Increase in vTv Therapeutics Inc. stockholders’ equity for sale of vTv Units as a result of common stock issuances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from net loss attributable to vTv Therapeutics Inc. common shareholders and transfers to noncontrolling interest</w:t>
            </w:r>
          </w:p>
        </w:tc>
        <w:tc>
          <w:tcPr>
            <w:tcW w:w="23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w:t>
            </w:r>
          </w:p>
        </w:tc>
        <w:tc>
          <w:tcPr>
            <w:tcW w:w="12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w:t>
            </w:r>
          </w:p>
        </w:tc>
        <w:tc>
          <w:tcPr>
            <w:tcW w:w="12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w:t>
            </w:r>
          </w:p>
        </w:tc>
        <w:tc>
          <w:tcPr>
            <w:tcW w:w="11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w:t>
            </w:r>
          </w:p>
        </w:tc>
        <w:tc>
          <w:tcPr>
            <w:tcW w:w="17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7: Stockholders’ Equity (Deficit)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Amendment to Certificate of Incorporation</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November 20, 2023, the Company filed an amendment to its Amended and Restated Certificate of Incorporation as amended, to effect a reverse stock split at a ratio of 1-for-40 (the “Reverse Stock Split”). Pursuant to the Reverse Stock Split, every 40 shares of the Company’s Class A common stock was combined into one issued and outstanding share of Class A Common Stock and every 40 shares of the Company’s Class B common stock was combined into one issued and outstanding share of Class B Common Stock. The Reverse Stock Split did not reduce the number of authorized shares of Class A and Class B common stock, which remained at 200,000,000 and 100,000,000 respectively and did not change the par value of the common stock, which remained at $0.01 per share. The Reverse Stock Split did not have any effect on the number of authorized shares of the Company’s preferred stock, par value of $0.01 per share, which remained at 50,000,000 shares. Currently no shares of preferred stock are outstanding.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Common Stock and Pre-funded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 August 2025, the Company entered into </w:t>
      </w:r>
      <w:r>
        <w:rPr>
          <w:rFonts w:ascii="Times New Roman;serif" w:hAnsi="Times New Roman;serif"/>
          <w:b w:val="false"/>
          <w:color w:val="000000"/>
          <w:sz w:val="20"/>
        </w:rPr>
        <w:t xml:space="preserve">a securities purchase agreement with certain Private Placement Investors, pursuant to which we agreed to issue and sell 5,243,732 Units to the Private Placement Investors in a private placement. Each unit is comprised of one share of Class A common stock for an aggregate of 682,018 shares, at a purchase price of $15.265 per share and </w:t>
      </w:r>
      <w:r>
        <w:rPr>
          <w:rFonts w:ascii="Times New Roman;serif" w:hAnsi="Times New Roman;serif"/>
          <w:b w:val="false"/>
          <w:color w:val="000000"/>
          <w:sz w:val="20"/>
          <w:shd w:fill="FFFFFF" w:val="clear"/>
        </w:rPr>
        <w:t xml:space="preserve">Pre-Funded Warrants to purchase an aggregate of 4,561,714 shares of the Company’s Class A common stock at a price of </w:t>
      </w:r>
      <w:r>
        <w:rPr>
          <w:rFonts w:ascii="Times New Roman;serif" w:hAnsi="Times New Roman;serif"/>
          <w:b w:val="false"/>
          <w:color w:val="000000"/>
          <w:sz w:val="20"/>
        </w:rPr>
        <w:t>$15.255</w:t>
      </w:r>
      <w:r>
        <w:rPr>
          <w:color w:val="000000"/>
          <w:shd w:fill="FFFFFF" w:val="clear"/>
        </w:rPr>
        <w:t xml:space="preserve"> </w:t>
      </w:r>
      <w:r>
        <w:rPr>
          <w:rFonts w:ascii="Times New Roman;serif" w:hAnsi="Times New Roman;serif"/>
          <w:b w:val="false"/>
          <w:color w:val="000000"/>
          <w:sz w:val="20"/>
          <w:shd w:fill="FFFFFF" w:val="clear"/>
        </w:rPr>
        <w:t xml:space="preserve">per Pre-Funded Warrant. Additionally, each unit has an accompanying Common Warrant to purchase an aggregate of 5,243,732 shares of the Company’s Class A common stock. The Pre-Funded Warrants were immediately exercisable, have an exercise price of </w:t>
      </w:r>
      <w:r>
        <w:rPr>
          <w:rFonts w:ascii="Times New Roman;serif" w:hAnsi="Times New Roman;serif"/>
          <w:b w:val="false"/>
          <w:color w:val="000000"/>
          <w:sz w:val="20"/>
        </w:rPr>
        <w:t>$0.01</w:t>
      </w:r>
      <w:r>
        <w:rPr>
          <w:color w:val="000000"/>
          <w:shd w:fill="FFFFFF" w:val="clear"/>
        </w:rPr>
        <w:t xml:space="preserve"> </w:t>
      </w:r>
      <w:r>
        <w:rPr>
          <w:rFonts w:ascii="Times New Roman;serif" w:hAnsi="Times New Roman;serif"/>
          <w:b w:val="false"/>
          <w:color w:val="000000"/>
          <w:sz w:val="20"/>
          <w:shd w:fill="FFFFFF" w:val="clear"/>
        </w:rPr>
        <w:t>and may be exercised at any time after the date of issuance. The Common Warrants are exercisable for (x) $22.71, if exercised for a Share, or (y) $22.70 if exercised for a Pre-Funded Warrant, after the original issuance through the termination date.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 February 2024, the Company </w:t>
      </w:r>
      <w:r>
        <w:rPr>
          <w:rFonts w:ascii="Times New Roman;serif" w:hAnsi="Times New Roman;serif"/>
          <w:b w:val="false"/>
          <w:color w:val="000000"/>
          <w:sz w:val="20"/>
        </w:rPr>
        <w:t xml:space="preserve">entered into a securities purchase agreement with certain Private Placement Investors, pursuant to which we agreed to issue and sell to the Private Placement Investors in a private placement (i) an aggregate of 464,377 shares of our Class A common stock, at a purchase price of $11.81 per share and (ii) </w:t>
      </w:r>
      <w:r>
        <w:rPr>
          <w:rFonts w:ascii="Times New Roman;serif" w:hAnsi="Times New Roman;serif"/>
          <w:b w:val="false"/>
          <w:color w:val="000000"/>
          <w:sz w:val="20"/>
          <w:shd w:fill="FFFFFF" w:val="clear"/>
        </w:rPr>
        <w:t xml:space="preserve">issued pre-funded warrants to purchase an aggregate of </w:t>
      </w:r>
      <w:r>
        <w:rPr>
          <w:rFonts w:ascii="Times New Roman;serif" w:hAnsi="Times New Roman;serif"/>
          <w:b w:val="false"/>
          <w:color w:val="000000"/>
          <w:sz w:val="20"/>
        </w:rPr>
        <w:t>3,853,997</w:t>
      </w:r>
      <w:r>
        <w:rPr>
          <w:color w:val="000000"/>
          <w:shd w:fill="FFFFFF" w:val="clear"/>
        </w:rPr>
        <w:t xml:space="preserve"> </w:t>
      </w:r>
      <w:r>
        <w:rPr>
          <w:rFonts w:ascii="Times New Roman;serif" w:hAnsi="Times New Roman;serif"/>
          <w:b w:val="false"/>
          <w:color w:val="000000"/>
          <w:sz w:val="20"/>
          <w:shd w:fill="FFFFFF" w:val="clear"/>
        </w:rPr>
        <w:t xml:space="preserve">shares of the Company’s Class A common stock at a price of </w:t>
      </w:r>
      <w:r>
        <w:rPr>
          <w:rFonts w:ascii="Times New Roman;serif" w:hAnsi="Times New Roman;serif"/>
          <w:b w:val="false"/>
          <w:color w:val="000000"/>
          <w:sz w:val="20"/>
        </w:rPr>
        <w:t>$11.80</w:t>
      </w:r>
      <w:r>
        <w:rPr>
          <w:color w:val="000000"/>
          <w:shd w:fill="FFFFFF" w:val="clear"/>
        </w:rPr>
        <w:t xml:space="preserve"> </w:t>
      </w:r>
      <w:r>
        <w:rPr>
          <w:rFonts w:ascii="Times New Roman;serif" w:hAnsi="Times New Roman;serif"/>
          <w:b w:val="false"/>
          <w:color w:val="000000"/>
          <w:sz w:val="20"/>
          <w:shd w:fill="FFFFFF" w:val="clear"/>
        </w:rPr>
        <w:t xml:space="preserve">per pre-funded warrant. The pre-funded warrants were immediately exercisable, have an exercise price of </w:t>
      </w:r>
      <w:r>
        <w:rPr>
          <w:rFonts w:ascii="Times New Roman;serif" w:hAnsi="Times New Roman;serif"/>
          <w:b w:val="false"/>
          <w:color w:val="000000"/>
          <w:sz w:val="20"/>
        </w:rPr>
        <w:t>$0.01</w:t>
      </w:r>
      <w:r>
        <w:rPr>
          <w:color w:val="000000"/>
          <w:shd w:fill="FFFFFF" w:val="clear"/>
        </w:rPr>
        <w:t xml:space="preserve"> </w:t>
      </w:r>
      <w:r>
        <w:rPr>
          <w:rFonts w:ascii="Times New Roman;serif" w:hAnsi="Times New Roman;serif"/>
          <w:b w:val="false"/>
          <w:color w:val="000000"/>
          <w:sz w:val="20"/>
          <w:shd w:fill="FFFFFF" w:val="clear"/>
        </w:rPr>
        <w:t xml:space="preserve">and may be exercised at any time after the date of issuance. </w:t>
      </w:r>
      <w:r>
        <w:rPr>
          <w:rFonts w:ascii="Times New Roman;serif" w:hAnsi="Times New Roman;serif"/>
          <w:b w:val="false"/>
          <w:color w:val="000000"/>
          <w:sz w:val="20"/>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A holder of Pre-Funded Warrants may not exercise the warrant if the holder, together with its affiliates, would beneficially own more than </w:t>
      </w:r>
      <w:r>
        <w:rPr>
          <w:rFonts w:ascii="Times New Roman;serif" w:hAnsi="Times New Roman;serif"/>
          <w:b w:val="false"/>
          <w:color w:val="000000"/>
          <w:sz w:val="20"/>
        </w:rPr>
        <w:t>4.99%</w:t>
      </w:r>
      <w:r>
        <w:rPr>
          <w:color w:val="000000"/>
          <w:shd w:fill="FFFFFF" w:val="clear"/>
        </w:rPr>
        <w:t xml:space="preserve"> </w:t>
      </w:r>
      <w:r>
        <w:rPr>
          <w:rFonts w:ascii="Times New Roman;serif" w:hAnsi="Times New Roman;serif"/>
          <w:b w:val="false"/>
          <w:color w:val="000000"/>
          <w:sz w:val="20"/>
          <w:shd w:fill="FFFFFF" w:val="clear"/>
        </w:rPr>
        <w:t xml:space="preserve">or </w:t>
      </w:r>
      <w:r>
        <w:rPr>
          <w:rFonts w:ascii="Times New Roman;serif" w:hAnsi="Times New Roman;serif"/>
          <w:b w:val="false"/>
          <w:color w:val="000000"/>
          <w:sz w:val="20"/>
        </w:rPr>
        <w:t>9.99%, depending on the holder,</w:t>
      </w:r>
      <w:r>
        <w:rPr>
          <w:color w:val="000000"/>
          <w:shd w:fill="FFFFFF" w:val="clear"/>
        </w:rPr>
        <w:t xml:space="preserve"> </w:t>
      </w:r>
      <w:r>
        <w:rPr>
          <w:rFonts w:ascii="Times New Roman;serif" w:hAnsi="Times New Roman;serif"/>
          <w:b w:val="false"/>
          <w:color w:val="000000"/>
          <w:sz w:val="20"/>
          <w:shd w:fill="FFFFFF" w:val="clear"/>
        </w:rPr>
        <w:t xml:space="preserve">of the number of shares of the Company’s common stock outstanding immediately after giving effect to such exercise. A holder of the Pre-Funded Warrants may increase or decrease this percentage not in excess of </w:t>
      </w:r>
      <w:r>
        <w:rPr>
          <w:rFonts w:ascii="Times New Roman;serif" w:hAnsi="Times New Roman;serif"/>
          <w:b w:val="false"/>
          <w:color w:val="000000"/>
          <w:sz w:val="20"/>
        </w:rPr>
        <w:t>19.99%</w:t>
      </w:r>
      <w:r>
        <w:rPr>
          <w:color w:val="000000"/>
          <w:shd w:fill="FFFFFF" w:val="clear"/>
        </w:rPr>
        <w:t xml:space="preserve"> </w:t>
      </w:r>
      <w:r>
        <w:rPr>
          <w:rFonts w:ascii="Times New Roman;serif" w:hAnsi="Times New Roman;serif"/>
          <w:b w:val="false"/>
          <w:color w:val="000000"/>
          <w:sz w:val="20"/>
          <w:shd w:fill="FFFFFF" w:val="clear"/>
        </w:rPr>
        <w:t xml:space="preserve">by providing at least 61 days’ prior notice to the Company. </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Equity-Based Stock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equity-based stock warrant activity for the nine months ended September 30, 2025:</w:t>
      </w:r>
    </w:p>
    <w:tbl>
      <w:tblPr>
        <w:tblW w:w="8051" w:type="dxa"/>
        <w:jc w:val="left"/>
        <w:tblInd w:w="0" w:type="dxa"/>
        <w:tblLayout w:type="fixed"/>
        <w:tblCellMar>
          <w:top w:w="28" w:type="dxa"/>
          <w:left w:w="28" w:type="dxa"/>
          <w:bottom w:w="28" w:type="dxa"/>
          <w:right w:w="28" w:type="dxa"/>
        </w:tblCellMar>
      </w:tblPr>
      <w:tblGrid>
        <w:gridCol w:w="1119"/>
        <w:gridCol w:w="983"/>
        <w:gridCol w:w="988"/>
        <w:gridCol w:w="109"/>
        <w:gridCol w:w="109"/>
        <w:gridCol w:w="109"/>
        <w:gridCol w:w="540"/>
        <w:gridCol w:w="541"/>
        <w:gridCol w:w="226"/>
        <w:gridCol w:w="109"/>
        <w:gridCol w:w="109"/>
        <w:gridCol w:w="109"/>
        <w:gridCol w:w="645"/>
        <w:gridCol w:w="1884"/>
        <w:gridCol w:w="471"/>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rPr/>
        <w:tc>
          <w:tcPr>
            <w:tcW w:w="309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3,970,587 </w:t>
            </w:r>
          </w:p>
        </w:tc>
        <w:tc>
          <w:tcPr>
            <w:tcW w:w="22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9,805,446 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(61,677)</w:t>
            </w:r>
          </w:p>
        </w:tc>
        <w:tc>
          <w:tcPr>
            <w:tcW w:w="22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 or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13,714,356 </w:t>
            </w:r>
          </w:p>
        </w:tc>
        <w:tc>
          <w:tcPr>
            <w:tcW w:w="22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4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13,714,356 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4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*Amount includes 8,470,624 Pre-Funded Warrants and 5,243,732 Common Warrants.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Pre-Funded and Common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ATM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the Company did not sell any shares of Class A common stock under the TD Cowen ATM Offering.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2024, the Company sold 179,400 shares of Class A common stock under the TD Cowen ATM Offering for net proceeds of $2.5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8: Related-Party Transactions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MacAndrews &amp; Forbes Incorporated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MacAndrews converted all 577,108 outstanding shares of their Class B common stock (together with an equal number of vTv LLC units) into Class A common stock. As a result, vTv Therapeutics Inc. now owns approximately 100% of vTv LLC, as of September 30, 2025. Further, as of September 30, 2025, MacAndrews directly or indirectly holds 1,490,090 shares of the Company’s Class A common stock. As a result, MacAndrews’ holdings represent approximately 37.8% of the combined voting power of the Company’s outstanding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several agreements with MacAndrews or its affiliates as further detailed below:</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Letter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previously entered into the Letter Agreements with MacAndrews. Under the terms of the Letter Agreements, during the one year commitment period beginning on the date of each Letter Agreement, the Company had the right to sell to MacAndrews shares of its Class A common stock at a specified price per share, and MacAndrews had the right (exercisable up to three times) to require the Company to sell to it shares of Class A common stock at the same price. The commitment period of each of the Letter Agreements has now expired. In addition, in connection with and as a commitment fee for the entrance into certain of these Letter Agreements, the Company also issued MacAndrews warrants (the “Letter Agreement Warrants”) to purchase additional shares of the Company’s Class A common stock.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Exchange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On September 19, 2025, MacAndrews exchanged 577,108 shares under the provisions of the Exchange Agreement.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Tax Receivable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MacAndrews exchanged 577,108 shares pursuant to the Exchange Agreement (discussed above), and the Company has not recognized any liability, nor has it made any payments pursuant to the Tax Receivable Agreement as of September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Investor Rights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an investor rights agreement with M&amp;F, as successor in interest to vTv Therapeutics Holdings (the “Investor Rights Agreement”). The Investor Rights Agreement provides M&amp;F with certain demand, shelf,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 The Investor Rights Agreement was amended on February 27, 2024 to alter M&amp;F governance rights that now entitles M&amp;F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9: Segment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our President and Chief Executive Officer, Paul Sekhri. The CODM makes decisions on resource allocation, assesses performance of the business, and monitors budget versus actual results using net loss. Net loss is also a measure that is considered in monitoring budget versus actual results. The measure of the segment assets is reported on the Condensed Consolidated Balance Sheet as total assets.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manages its business activities on a consolidated basis and operates in a single reportable segment. Its operations primarily focus on the research and development of its lead product candidate,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and it has not yet generated any revenue. All of the Company’s principal operations, assets, and decision-making functions are based in the U.S., and as a result, all of our financial information is derived from domestic sources except for revenue of $1.0 million during the nine months ended September 30, 2024, which was derived from one foreign collaboration partner located in China.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segment expenses are included in the table below and represent direct and indirect research and development expenses by project for the three and nine months ended September 30, 2025, and 2024 were as follows (in thousands):</w:t>
      </w:r>
    </w:p>
    <w:tbl>
      <w:tblPr>
        <w:tblW w:w="9321" w:type="dxa"/>
        <w:jc w:val="left"/>
        <w:tblInd w:w="0" w:type="dxa"/>
        <w:tblLayout w:type="fixed"/>
        <w:tblCellMar>
          <w:top w:w="28" w:type="dxa"/>
          <w:left w:w="28" w:type="dxa"/>
          <w:bottom w:w="28" w:type="dxa"/>
          <w:right w:w="28" w:type="dxa"/>
        </w:tblCellMar>
      </w:tblPr>
      <w:tblGrid>
        <w:gridCol w:w="1348"/>
        <w:gridCol w:w="1182"/>
        <w:gridCol w:w="1189"/>
        <w:gridCol w:w="257"/>
        <w:gridCol w:w="752"/>
        <w:gridCol w:w="133"/>
        <w:gridCol w:w="133"/>
        <w:gridCol w:w="133"/>
        <w:gridCol w:w="133"/>
        <w:gridCol w:w="257"/>
        <w:gridCol w:w="752"/>
        <w:gridCol w:w="133"/>
        <w:gridCol w:w="109"/>
        <w:gridCol w:w="109"/>
        <w:gridCol w:w="109"/>
        <w:gridCol w:w="233"/>
        <w:gridCol w:w="796"/>
        <w:gridCol w:w="120"/>
        <w:gridCol w:w="120"/>
        <w:gridCol w:w="120"/>
        <w:gridCol w:w="120"/>
        <w:gridCol w:w="233"/>
        <w:gridCol w:w="680"/>
        <w:gridCol w:w="170"/>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w:t>
            </w:r>
          </w:p>
        </w:tc>
        <w:tc>
          <w:tcPr>
            <w:tcW w:w="114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Cadisegliatin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projects</w:t>
            </w:r>
            <w:r>
              <w:rPr>
                <w:rFonts w:ascii="Times New Roman;serif" w:hAnsi="Times New Roman;serif"/>
                <w:b w:val="false"/>
                <w:color w:val="000000"/>
                <w:sz w:val="16"/>
              </w:rPr>
              <w:t>*</w:t>
            </w:r>
          </w:p>
        </w:tc>
        <w:tc>
          <w:tcPr>
            <w:tcW w:w="100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3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7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5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3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3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13,953 </w:t>
            </w:r>
          </w:p>
        </w:tc>
        <w:tc>
          <w:tcPr>
            <w:tcW w:w="12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7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576" w:type="dxa"/>
        <w:jc w:val="left"/>
        <w:tblInd w:w="0" w:type="dxa"/>
        <w:tblLayout w:type="fixed"/>
        <w:tblCellMar>
          <w:top w:w="28" w:type="dxa"/>
          <w:left w:w="28" w:type="dxa"/>
          <w:bottom w:w="28" w:type="dxa"/>
          <w:right w:w="28" w:type="dxa"/>
        </w:tblCellMar>
      </w:tblPr>
      <w:tblGrid>
        <w:gridCol w:w="124"/>
        <w:gridCol w:w="109"/>
        <w:gridCol w:w="109"/>
        <w:gridCol w:w="654"/>
        <w:gridCol w:w="654"/>
        <w:gridCol w:w="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Includes HPP737 and azeliragon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Includes share-based compensation</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Segment revenue is consistent with what is presented in the Company’s Condensed Consolidated Statements of Operations. Other segment items consist of (i) operating expenses, which include share-based compensation, (ii) interest and other expense and (iii) income tax expense, all of which are reflected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U.S. federal income taxes as well as state taxes. The Company’s income tax provision for the nine months ended September 30, 2024, was $0.1 million representing foreign withholding taxes accrued in connection with revenue recorded under license agreements with a foreign entity. The Company did not record an income tax provision for the three months ended September 30, 2025, and 2024 nor the nine months ended September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on September 30, 2025, is due to the valuation allowance against the Company’s expected net operating losses.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Note 8, the Company is party to a tax receivable agreement with a related party which provides for the payment by the Company to M&amp;F (or certain of its transferees or other assignees) of 85% of the amount of cash savings,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11: Net Loss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used in the calculation of basic and diluted net loss per share of Class A common stock is as follows (amounts 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1500"/>
        <w:gridCol w:w="1321"/>
        <w:gridCol w:w="1330"/>
        <w:gridCol w:w="259"/>
        <w:gridCol w:w="889"/>
        <w:gridCol w:w="125"/>
        <w:gridCol w:w="125"/>
        <w:gridCol w:w="125"/>
        <w:gridCol w:w="125"/>
        <w:gridCol w:w="281"/>
        <w:gridCol w:w="801"/>
        <w:gridCol w:w="125"/>
        <w:gridCol w:w="109"/>
        <w:gridCol w:w="109"/>
        <w:gridCol w:w="109"/>
        <w:gridCol w:w="249"/>
        <w:gridCol w:w="853"/>
        <w:gridCol w:w="121"/>
        <w:gridCol w:w="121"/>
        <w:gridCol w:w="121"/>
        <w:gridCol w:w="121"/>
        <w:gridCol w:w="249"/>
        <w:gridCol w:w="853"/>
        <w:gridCol w:w="184"/>
      </w:tblGrid>
      <w:tr>
        <w:trPr/>
        <w:tc>
          <w:tcPr>
            <w:tcW w:w="150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4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5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7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(18,268)</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14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2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184"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 of vTv Therapeutics Inc., basic and diluted</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7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Weighted average vTv Therapeutics Inc. Class A common stock, basic and diluted </w:t>
            </w:r>
            <w:r>
              <w:rPr>
                <w:rFonts w:ascii="Times New Roman;serif" w:hAnsi="Times New Roman;serif"/>
                <w:b w:val="false"/>
                <w:color w:val="000000"/>
                <w:sz w:val="13"/>
              </w:rPr>
              <w:t>(1)</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8,055,940 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5,456,307 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7,080,681 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5,498,479 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vTv Therapeutics Inc. Class A common stock, basic and diluted</w:t>
            </w:r>
          </w:p>
        </w:tc>
        <w:tc>
          <w:tcPr>
            <w:tcW w:w="25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c>
          <w:tcPr>
            <w:tcW w:w="12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8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underlying the pre-funded warrants to purchase shares of the Company’s common stock have been included in the calculation of the weighted-average number of shares outstanding, basic and diluted, for the three and nine months ended September 30, 2025, and 2024.</w:t>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not included in the calculation of dilutive net loss per share are as follows:</w:t>
      </w:r>
    </w:p>
    <w:tbl>
      <w:tblPr>
        <w:tblW w:w="7475" w:type="dxa"/>
        <w:jc w:val="left"/>
        <w:tblInd w:w="0" w:type="dxa"/>
        <w:tblLayout w:type="fixed"/>
        <w:tblCellMar>
          <w:top w:w="28" w:type="dxa"/>
          <w:left w:w="28" w:type="dxa"/>
          <w:bottom w:w="28" w:type="dxa"/>
          <w:right w:w="28" w:type="dxa"/>
        </w:tblCellMar>
      </w:tblPr>
      <w:tblGrid>
        <w:gridCol w:w="1423"/>
        <w:gridCol w:w="1251"/>
        <w:gridCol w:w="1256"/>
        <w:gridCol w:w="514"/>
        <w:gridCol w:w="514"/>
        <w:gridCol w:w="516"/>
        <w:gridCol w:w="109"/>
        <w:gridCol w:w="109"/>
        <w:gridCol w:w="109"/>
        <w:gridCol w:w="549"/>
        <w:gridCol w:w="465"/>
        <w:gridCol w:w="660"/>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930"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Class B common stock </w:t>
            </w:r>
            <w:r>
              <w:rPr>
                <w:rFonts w:ascii="Times New Roman;serif" w:hAnsi="Times New Roman;serif"/>
                <w:b w:val="false"/>
                <w:color w:val="000000"/>
                <w:sz w:val="13"/>
              </w:rPr>
              <w:t>(1)</w:t>
            </w:r>
          </w:p>
        </w:tc>
        <w:tc>
          <w:tcPr>
            <w:tcW w:w="1028"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51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577,349 </w:t>
            </w:r>
          </w:p>
        </w:tc>
        <w:tc>
          <w:tcPr>
            <w:tcW w:w="66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options granted under the Plan </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1,007,306 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691,593 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warrants </w:t>
            </w:r>
          </w:p>
        </w:tc>
        <w:tc>
          <w:tcPr>
            <w:tcW w:w="10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5,301,405 </w:t>
            </w:r>
          </w:p>
        </w:tc>
        <w:tc>
          <w:tcPr>
            <w:tcW w:w="51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75,595 </w:t>
            </w:r>
          </w:p>
        </w:tc>
        <w:tc>
          <w:tcPr>
            <w:tcW w:w="66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6,308,952 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1,344,537 </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Note 12: Fair Value of Financial Instruments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carrying amount of certain of the Company’s financial instruments, including cash and cash equivalents, other current assets, which includes net accounts receivable and short-term deposits, accounts payable and other accrued liabilities approximate fair value due to their short-term nature.</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September 30, 2025, and December 31, 2024 (in thousands):</w:t>
      </w:r>
    </w:p>
    <w:tbl>
      <w:tblPr>
        <w:tblW w:w="10205" w:type="dxa"/>
        <w:jc w:val="left"/>
        <w:tblInd w:w="0" w:type="dxa"/>
        <w:tblLayout w:type="fixed"/>
        <w:tblCellMar>
          <w:top w:w="28" w:type="dxa"/>
          <w:left w:w="28" w:type="dxa"/>
          <w:bottom w:w="28" w:type="dxa"/>
          <w:right w:w="28" w:type="dxa"/>
        </w:tblCellMar>
      </w:tblPr>
      <w:tblGrid>
        <w:gridCol w:w="733"/>
        <w:gridCol w:w="644"/>
        <w:gridCol w:w="648"/>
        <w:gridCol w:w="484"/>
        <w:gridCol w:w="1073"/>
        <w:gridCol w:w="253"/>
        <w:gridCol w:w="109"/>
        <w:gridCol w:w="109"/>
        <w:gridCol w:w="109"/>
        <w:gridCol w:w="468"/>
        <w:gridCol w:w="905"/>
        <w:gridCol w:w="246"/>
        <w:gridCol w:w="109"/>
        <w:gridCol w:w="109"/>
        <w:gridCol w:w="109"/>
        <w:gridCol w:w="517"/>
        <w:gridCol w:w="998"/>
        <w:gridCol w:w="270"/>
        <w:gridCol w:w="109"/>
        <w:gridCol w:w="109"/>
        <w:gridCol w:w="109"/>
        <w:gridCol w:w="500"/>
        <w:gridCol w:w="1107"/>
        <w:gridCol w:w="378"/>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Active </w:t>
              <w:br/>
              <w:t>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Other Observable </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81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Warrant liability, related party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5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5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7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9"/>
        <w:gridCol w:w="641"/>
        <w:gridCol w:w="644"/>
        <w:gridCol w:w="476"/>
        <w:gridCol w:w="1055"/>
        <w:gridCol w:w="250"/>
        <w:gridCol w:w="109"/>
        <w:gridCol w:w="109"/>
        <w:gridCol w:w="109"/>
        <w:gridCol w:w="472"/>
        <w:gridCol w:w="913"/>
        <w:gridCol w:w="248"/>
        <w:gridCol w:w="109"/>
        <w:gridCol w:w="109"/>
        <w:gridCol w:w="109"/>
        <w:gridCol w:w="522"/>
        <w:gridCol w:w="1006"/>
        <w:gridCol w:w="272"/>
        <w:gridCol w:w="109"/>
        <w:gridCol w:w="109"/>
        <w:gridCol w:w="109"/>
        <w:gridCol w:w="504"/>
        <w:gridCol w:w="1115"/>
        <w:gridCol w:w="377"/>
      </w:tblGrid>
      <w:tr>
        <w:trPr/>
        <w:tc>
          <w:tcPr>
            <w:tcW w:w="72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Active </w:t>
              <w:br/>
              <w:t>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Other Observable </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1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781"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related party</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53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5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7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640"/>
        <w:gridCol w:w="560"/>
        <w:gridCol w:w="567"/>
        <w:gridCol w:w="350"/>
        <w:gridCol w:w="775"/>
        <w:gridCol w:w="180"/>
        <w:gridCol w:w="109"/>
        <w:gridCol w:w="109"/>
        <w:gridCol w:w="109"/>
        <w:gridCol w:w="318"/>
        <w:gridCol w:w="790"/>
        <w:gridCol w:w="163"/>
        <w:gridCol w:w="109"/>
        <w:gridCol w:w="109"/>
        <w:gridCol w:w="109"/>
        <w:gridCol w:w="253"/>
        <w:gridCol w:w="487"/>
        <w:gridCol w:w="131"/>
        <w:gridCol w:w="109"/>
        <w:gridCol w:w="109"/>
        <w:gridCol w:w="109"/>
        <w:gridCol w:w="292"/>
        <w:gridCol w:w="562"/>
        <w:gridCol w:w="152"/>
        <w:gridCol w:w="109"/>
        <w:gridCol w:w="109"/>
        <w:gridCol w:w="109"/>
        <w:gridCol w:w="212"/>
        <w:gridCol w:w="517"/>
        <w:gridCol w:w="109"/>
        <w:gridCol w:w="109"/>
        <w:gridCol w:w="109"/>
        <w:gridCol w:w="109"/>
        <w:gridCol w:w="378"/>
        <w:gridCol w:w="837"/>
        <w:gridCol w:w="297"/>
      </w:tblGrid>
      <w:tr>
        <w:trPr/>
        <w:tc>
          <w:tcPr>
            <w:tcW w:w="6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Changes in Level 3 instruments for the nine months ended September 30, 2025 and 2024</w:t>
            </w:r>
          </w:p>
        </w:tc>
      </w:tr>
      <w:tr>
        <w:trPr/>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Balance at January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Change in</w:t>
              <w:br/>
              <w:t xml:space="preserve">fair value included in </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 /</w:t>
              <w:b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 /</w:t>
              <w:br/>
              <w:t>Repurchases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September 30,</w:t>
            </w:r>
          </w:p>
        </w:tc>
      </w:tr>
      <w:tr>
        <w:trPr/>
        <w:tc>
          <w:tcPr>
            <w:tcW w:w="176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w:t>
            </w:r>
          </w:p>
        </w:tc>
        <w:tc>
          <w:tcPr>
            <w:tcW w:w="1305"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related party</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35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9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2024</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related party</w:t>
            </w:r>
          </w:p>
        </w:tc>
        <w:tc>
          <w:tcPr>
            <w:tcW w:w="35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6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9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7"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5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9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into or out of level 3 instruments and/or between level 1 and level 2 instruments during the nine months ended September 30, 2025. Gains and losses recognized due to the change in fair value of the warrant liability, related party are recognized as a component of other expense, related party in the Company’s Condensed Consolidated Statements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Letter Agreement Warrants and other Warrants were determined using the Black-Scholes option pricing model or option pricing models based on the Company’s current capitalization. Expected volatility is based on the historical volatility of the Company’s common stock over the most recent period. The risk-free rate is based on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Treasury yield curve in effect at the time of valuation. Significant inputs utilized in the valuation of the Letter Agreement Warrants and other Warrants as of September 30, 2025, and December 31, 2024, were:</w:t>
      </w:r>
    </w:p>
    <w:tbl>
      <w:tblPr>
        <w:tblW w:w="8365" w:type="dxa"/>
        <w:jc w:val="left"/>
        <w:tblInd w:w="0" w:type="dxa"/>
        <w:tblLayout w:type="fixed"/>
        <w:tblCellMar>
          <w:top w:w="28" w:type="dxa"/>
          <w:left w:w="28" w:type="dxa"/>
          <w:bottom w:w="28" w:type="dxa"/>
          <w:right w:w="28" w:type="dxa"/>
        </w:tblCellMar>
      </w:tblPr>
      <w:tblGrid>
        <w:gridCol w:w="669"/>
        <w:gridCol w:w="587"/>
        <w:gridCol w:w="589"/>
        <w:gridCol w:w="540"/>
        <w:gridCol w:w="540"/>
        <w:gridCol w:w="540"/>
        <w:gridCol w:w="482"/>
        <w:gridCol w:w="482"/>
        <w:gridCol w:w="490"/>
        <w:gridCol w:w="109"/>
        <w:gridCol w:w="109"/>
        <w:gridCol w:w="109"/>
        <w:gridCol w:w="624"/>
        <w:gridCol w:w="512"/>
        <w:gridCol w:w="484"/>
        <w:gridCol w:w="433"/>
        <w:gridCol w:w="433"/>
        <w:gridCol w:w="633"/>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8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620"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58.63% - 103.24%</w:t>
            </w:r>
          </w:p>
        </w:tc>
        <w:tc>
          <w:tcPr>
            <w:tcW w:w="1454"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97.68%</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88.01% - 116.31%</w:t>
            </w:r>
          </w:p>
        </w:tc>
        <w:tc>
          <w:tcPr>
            <w:tcW w:w="14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101.94%</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3.62% - 4.10%</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4.17% - 4.26%</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4.24%</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the unobservable inputs noted above would impact the amount of the liabilities. Increases (decreases) in the estimates of the Company’s annual volatility would increase (decrease) the liability and an increase (decrease) in the annual risk-free rate would increase (decrease) the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Note 13: Subsequent Events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evaluated subsequent events through November 6, 2025, and determined that there have been no events that have occurred that would require adjustments to our disclosures or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hanging="540"/>
        <w:jc w:val="left"/>
        <w:rPr>
          <w:rFonts w:ascii="Times New Roman;serif" w:hAnsi="Times New Roman;serif"/>
          <w:b/>
          <w:color w:val="000000"/>
          <w:sz w:val="20"/>
        </w:rPr>
      </w:pPr>
      <w:r>
        <w:rPr>
          <w:rFonts w:ascii="Times New Roman;serif" w:hAnsi="Times New Roman;serif"/>
          <w:b/>
          <w:color w:val="000000"/>
          <w:sz w:val="20"/>
        </w:rPr>
        <w:t>Cautionary Note Regarding Forward Looking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 addition to historical financial information, this Quarterly Report on Form 10-Q contains forward-looking statements within the meaning of the federal securities laws regarding, among other things, our intentions, plans, estimates, assumptions, predictions and beliefs. Although we believe that these forward-looking statements are based upon reasonable assumptions that we have made in light of our experience in the industry, as well as our perceptions of historical trends, current conditions, expected future developments and other factors that we believe are appropriate under the circumstances, our actual results could differ materially from those discussed in the forward-looking statements. Factors that could cause or contribute to these differences include those discussed below and elsewhere in this report under “Part II, Other Information—Item 1A, Risk Factors” and under the heading “Risk Factors” under Item 1A of Part I in our Annual Report on Form 10-K.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 numerous uncertainties and factors to our operations and business environment, all of which are difficult to predict and many of which are beyond our control, you should not place undue reliance on these forward-looking statements and understand that these statements are not guarantees of performance or results.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are a late-stage biopharmaceutical company focused on developing oral, small molecule drug candidates intended to help treat people living with diabetes and other chronic diseases. The Company’s clinical pipeline is led by </w:t>
      </w:r>
      <w:r>
        <w:rPr>
          <w:rFonts w:ascii="Times New Roman;serif" w:hAnsi="Times New Roman;serif"/>
          <w:b w:val="false"/>
          <w:i/>
          <w:color w:val="000000"/>
          <w:sz w:val="20"/>
        </w:rPr>
        <w:t>cadisegliatin</w:t>
      </w:r>
      <w:r>
        <w:rPr>
          <w:rFonts w:ascii="Times New Roman;serif" w:hAnsi="Times New Roman;serif"/>
          <w:b w:val="false"/>
          <w:color w:val="000000"/>
          <w:sz w:val="20"/>
        </w:rPr>
        <w:t xml:space="preserve">, currently in a Phase 3 trial, a potential first-in-class oral liver-selective glucokinase activator (“GKA”) being investigated as an adjunctive therapy to insulin for the treatment of type 1 diabetes (“T1D”). The Company and its development partners are investigating multiple molecules across different indications for chronic diseases.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material developments since our last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current clinical development candidates and their respective stages of development:</w:t>
      </w:r>
    </w:p>
    <w:p>
      <w:pPr>
        <w:pStyle w:val="TextBody"/>
        <w:bidi w:val="0"/>
        <w:spacing w:before="120" w:after="283"/>
        <w:jc w:val="left"/>
        <w:rPr/>
      </w:pPr>
      <w:r>
        <w:rPr/>
        <w:drawing>
          <wp:inline distT="0" distB="0" distL="0" distR="0">
            <wp:extent cx="6477000" cy="3286125"/>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6477000" cy="3286125"/>
                    </a:xfrm>
                    <a:prstGeom prst="rect">
                      <a:avLst/>
                    </a:prstGeom>
                  </pic:spPr>
                </pic:pic>
              </a:graphicData>
            </a:graphic>
          </wp:inline>
        </w:drawing>
      </w:r>
      <w:bookmarkStart w:id="0" w:name="i-1"/>
      <w:bookmarkEnd w:id="0"/>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shd w:fill="FFFFFF" w:val="clear"/>
        </w:rPr>
        <w:t xml:space="preserve">Our Type 1 Diabetes Program – </w:t>
      </w:r>
      <w:r>
        <w:rPr>
          <w:rFonts w:ascii="Times New Roman;serif" w:hAnsi="Times New Roman;serif"/>
          <w:b/>
          <w:i/>
          <w:color w:val="000000"/>
          <w:sz w:val="20"/>
          <w:shd w:fill="FFFFFF" w:val="clear"/>
        </w:rPr>
        <w:t>Cadisegliatin (TTP399)</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U.S. Food and Drug Administration (FDA) granted Breakthrough Therapy designation in 2021 for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as an adjunctive therapy to insulin for the treatment of type 1 diabetes. The Breakthrough Therapy designation provides a sponsor with added support and the potential to expedite development and review timelines for a promising new investigational medicine. The Breakthrough Therapy designation for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in T1D was supported by the positive results from the Phase 2 SimpliciT-1 study, a multi-center, randomized, double-blind, adaptive study assessing the safety and efficacy of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 xml:space="preserve">as an adjunct to insulin therapy in adults with T1D. In this trial, treatment with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resulted in a statistically significant improvement in HbA1c relative to placebo and a clinically meaningful decrease (40%) in the frequency of severe and symptomatic hypoglycemia.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demonstrated a favorable safety profile, in which abnormal levels of serum or urine ketones were detected less frequently in patients taking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than those taking placebo.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May of 2023, the FDA issued new draft guidance on “Diabetes Mellitus: Efficacy Endpoints for Clinical Trials Investigating Antidiabetic Drugs and Biological Products” which, for the first time, permitted the use of hypoglycemia as an endpoint to support a label claim. Consistent with this guidance and with input from the FDA, we initiated our CATT1 trial to assess the effect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on reducing the frequency of Level 2 hypoglycemia (blood glucose levels are less than 54 mg/dL or 3 mmol/L, regardless of symptoms) and Level 3 hypoglycemia (“severe” hypoglycemia e.g., requiring assistance of another person) in 150 patients with type 1 diabetes. On July 26, 2024, the FDA issued a clinical hold for the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program, including the CATT1 trial, based on the discovery of a chromatographic signal in a recent human absorption, distribution, metabolism, and excretion (ADME) study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 xml:space="preserve">that could not be resolved by standard mass spectroscopy. Following submission of a complete response by vTv to the FDA detailing additional research findings and the conclusion that the original chromatographic signal was an experimental artifact, the FDA removed the clinical hold on March 14, 2025. The Company also submitted protocol amendment to shorten the overall duration of the CATT1 study from 12 months to 6 months with no change to the primary study endpoints. Based upon the shortened duration of the trial, the Company expects to have top-line data from the CATT1 study in the second half of 2026.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June 2025, the Company initiated a food effect study in healthy volunteers to assess the impact of low or high fats food on the pharmacokinetics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compared to fasting. The study completed the life phase and data are being analyzed currently.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continues to work on the design for further registrational studies for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in type 1 diabetes,</w:t>
      </w:r>
      <w:r>
        <w:rPr>
          <w:color w:val="000000"/>
        </w:rPr>
        <w:t xml:space="preserve"> </w:t>
      </w:r>
      <w:r>
        <w:rPr>
          <w:rFonts w:ascii="Times New Roman;serif" w:hAnsi="Times New Roman;serif"/>
          <w:b w:val="false"/>
          <w:color w:val="000000"/>
          <w:sz w:val="20"/>
        </w:rPr>
        <w:t xml:space="preserve">which we expect to start in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addition, we continue to work with our partner, G42 Investments AI Holding RSC Ltd. (“G42”), to initiate a double-blind, randomized, controlled Phase 2 trial in the Middle East region in insulin-using patients with type 2 diabetes (“T2D”). The study will randomize 300 patients to assess the potential of </w:t>
      </w:r>
      <w:r>
        <w:rPr>
          <w:rFonts w:ascii="Times New Roman;serif" w:hAnsi="Times New Roman;serif"/>
          <w:b w:val="false"/>
          <w:i/>
          <w:color w:val="000000"/>
          <w:sz w:val="20"/>
        </w:rPr>
        <w:t>cadisegliatin</w:t>
      </w:r>
      <w:r>
        <w:rPr>
          <w:color w:val="000000"/>
        </w:rPr>
        <w:t xml:space="preserve"> </w:t>
      </w:r>
      <w:r>
        <w:rPr>
          <w:rFonts w:ascii="Times New Roman;serif" w:hAnsi="Times New Roman;serif"/>
          <w:b w:val="false"/>
          <w:color w:val="000000"/>
          <w:sz w:val="20"/>
        </w:rPr>
        <w:t>as an adjunct therapy to insulin in patients with T2D. We expect that trial to begin in the fourth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Holding Company Structure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drug sales. Our revenue has been primarily derived from milestone payments, up-front proceeds and research fees under collaboration and license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by project for the three and nine months ended September 30, 2025, and 2024 were as follows (in thousands):</w:t>
      </w:r>
    </w:p>
    <w:tbl>
      <w:tblPr>
        <w:tblW w:w="9261" w:type="dxa"/>
        <w:jc w:val="left"/>
        <w:tblInd w:w="0" w:type="dxa"/>
        <w:tblLayout w:type="fixed"/>
        <w:tblCellMar>
          <w:top w:w="28" w:type="dxa"/>
          <w:left w:w="28" w:type="dxa"/>
          <w:bottom w:w="28" w:type="dxa"/>
          <w:right w:w="28" w:type="dxa"/>
        </w:tblCellMar>
      </w:tblPr>
      <w:tblGrid>
        <w:gridCol w:w="1310"/>
        <w:gridCol w:w="1149"/>
        <w:gridCol w:w="1155"/>
        <w:gridCol w:w="257"/>
        <w:gridCol w:w="752"/>
        <w:gridCol w:w="133"/>
        <w:gridCol w:w="133"/>
        <w:gridCol w:w="133"/>
        <w:gridCol w:w="133"/>
        <w:gridCol w:w="257"/>
        <w:gridCol w:w="752"/>
        <w:gridCol w:w="133"/>
        <w:gridCol w:w="109"/>
        <w:gridCol w:w="109"/>
        <w:gridCol w:w="109"/>
        <w:gridCol w:w="237"/>
        <w:gridCol w:w="810"/>
        <w:gridCol w:w="122"/>
        <w:gridCol w:w="122"/>
        <w:gridCol w:w="122"/>
        <w:gridCol w:w="122"/>
        <w:gridCol w:w="237"/>
        <w:gridCol w:w="692"/>
        <w:gridCol w:w="173"/>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research and development expense:</w:t>
            </w:r>
          </w:p>
        </w:tc>
        <w:tc>
          <w:tcPr>
            <w:tcW w:w="114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Cadisegliatin</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projects*</w:t>
            </w:r>
          </w:p>
        </w:tc>
        <w:tc>
          <w:tcPr>
            <w:tcW w:w="100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3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2"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73"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research and development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5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3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3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13,953 </w:t>
            </w:r>
          </w:p>
        </w:tc>
        <w:tc>
          <w:tcPr>
            <w:tcW w:w="12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7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6"/>
        </w:rPr>
        <w:t xml:space="preserve">*Includes </w:t>
      </w:r>
      <w:r>
        <w:rPr>
          <w:rFonts w:ascii="Times New Roman;serif" w:hAnsi="Times New Roman;serif"/>
          <w:b w:val="false"/>
          <w:i/>
          <w:color w:val="000000"/>
          <w:sz w:val="16"/>
        </w:rPr>
        <w:t>HPP737</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val="false"/>
          <w:i/>
          <w:color w:val="000000"/>
          <w:sz w:val="16"/>
        </w:rPr>
        <w:t>azeliragon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plan to continue to incur significant research and development expenses for the foreseeable future as we continue the development of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and further advance the development of our other drug candidates, subject to the availability of additional funding.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scope, rate of progress and expense of our clinical trials as well as any additional, clinical trials and other research and development activities;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potential benefits of our candidates over other therapies;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market, commercialize and achieve market acceptance for any of our drug candidates that we are developing or may develop in the future;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future clinical trial results;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enroll patients in our clinical trials;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timing and receipt of any regulatory approvals;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secure sufficient capital and cash resources, including access to available debt and equity financing and revenues from operations, to satisfy all of our short-term and longer-term cash requirements and other cash needs, at the times and in the amounts needed;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legislation and regulatory actions and changes in laws or regulations;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filing, prosecuting, defending and enforcing of patent claims and other intellectual property rights, and the expense of doing so.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represents cash interest income from dividends and interest from our money market accounts, all of which are recognized in our Condensed Consolidated Statement of Operations.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(Expense)/Income,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(expense)/income primarily consists of the recognition of changes in fair value of the warrants to purchase shares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months ended September 30, 2025, and 2024</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concerning our results of operations for the periods shown:</w:t>
      </w:r>
    </w:p>
    <w:tbl>
      <w:tblPr>
        <w:tblW w:w="8659" w:type="dxa"/>
        <w:jc w:val="left"/>
        <w:tblInd w:w="0" w:type="dxa"/>
        <w:tblLayout w:type="fixed"/>
        <w:tblCellMar>
          <w:top w:w="28" w:type="dxa"/>
          <w:left w:w="28" w:type="dxa"/>
          <w:bottom w:w="28" w:type="dxa"/>
          <w:right w:w="28" w:type="dxa"/>
        </w:tblCellMar>
      </w:tblPr>
      <w:tblGrid>
        <w:gridCol w:w="1603"/>
        <w:gridCol w:w="1408"/>
        <w:gridCol w:w="1413"/>
        <w:gridCol w:w="388"/>
        <w:gridCol w:w="343"/>
        <w:gridCol w:w="347"/>
        <w:gridCol w:w="173"/>
        <w:gridCol w:w="173"/>
        <w:gridCol w:w="173"/>
        <w:gridCol w:w="340"/>
        <w:gridCol w:w="344"/>
        <w:gridCol w:w="346"/>
        <w:gridCol w:w="173"/>
        <w:gridCol w:w="173"/>
        <w:gridCol w:w="173"/>
        <w:gridCol w:w="354"/>
        <w:gridCol w:w="303"/>
        <w:gridCol w:w="432"/>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38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7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78"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10,699</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(10,699)</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7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7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noncontrolling interest</w:t>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7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noncontrolling interest</w:t>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07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5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vTv Therapeutics Inc.</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revenue for the three months ended September 30, 2025, and 2024.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Research and development expenses were $7.0 million and $3.2 million for the three months ended September 30, 2025, and 2024, respectively. The increase in research and development expenses during this period of $3.8 million or 117.7%, was primarily driven by i) an increase in spending on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and on other projects of $2.4 million due to increases in clinical studies and drug manufacturing related costs and ii) an increase in indirect research and development expense of $1.4 million primarily related to the Novo Nordisk license milestone accrual and increases in payroll and share-based expenses.</w:t>
      </w:r>
    </w:p>
    <w:p>
      <w:pPr>
        <w:pStyle w:val="TextBody"/>
        <w:bidi w:val="0"/>
        <w:spacing w:lineRule="auto" w:line="288" w:before="120" w:after="283"/>
        <w:jc w:val="both"/>
        <w:rPr/>
      </w:pPr>
      <w:r>
        <w:rPr>
          <w:rFonts w:ascii="Times New Roman;serif" w:hAnsi="Times New Roman;serif"/>
          <w:b/>
          <w:i/>
          <w:color w:val="000000"/>
          <w:sz w:val="20"/>
        </w:rPr>
        <w:t>General and Administrative Expense</w:t>
      </w:r>
      <w:r>
        <w:rPr>
          <w:rFonts w:ascii="Times New Roman;serif" w:hAnsi="Times New Roman;serif"/>
          <w:b w:val="false"/>
          <w:i/>
          <w:color w:val="000000"/>
          <w:sz w:val="20"/>
        </w:rPr>
        <w: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$3.7 million and $3.3 million for the three months ended September 30, 2025, and 2024, respectively. The increase in general and administrative expenses during this period of $0.4 million, or 12.1%, was primarily driven by i) increases of $0.3 million in payroll related costs and ii) increases of $0.1 million in legal expenses.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Interest income for the three months ended September 30, 2025, 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of $0.4 million and </w:t>
      </w:r>
      <w:r>
        <w:rPr>
          <w:rFonts w:ascii="Times New Roman;serif" w:hAnsi="Times New Roman;serif"/>
          <w:b w:val="false"/>
          <w:color w:val="000000"/>
          <w:sz w:val="20"/>
        </w:rPr>
        <w:t>$0.5 million</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is related to dividend income from our money market accounts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both"/>
        <w:rPr/>
      </w:pPr>
      <w:r>
        <w:rPr>
          <w:rFonts w:ascii="Times New Roman;serif" w:hAnsi="Times New Roman;serif"/>
          <w:b/>
          <w:i/>
          <w:color w:val="000000"/>
          <w:sz w:val="20"/>
        </w:rPr>
        <w:t xml:space="preserve">Other </w:t>
      </w:r>
      <w:r>
        <w:rPr>
          <w:rFonts w:ascii="Times New Roman;serif" w:hAnsi="Times New Roman;serif"/>
          <w:b/>
          <w:i/>
          <w:color w:val="000000"/>
          <w:sz w:val="20"/>
          <w:shd w:fill="FFFFFF" w:val="clear"/>
        </w:rPr>
        <w:t>(Expense)/Income,</w:t>
      </w:r>
      <w:r>
        <w:rPr>
          <w:color w:val="000000"/>
        </w:rPr>
        <w:t xml:space="preserve"> </w:t>
      </w:r>
      <w:r>
        <w:rPr>
          <w:rFonts w:ascii="Times New Roman;serif" w:hAnsi="Times New Roman;serif"/>
          <w:b/>
          <w:i/>
          <w:color w:val="000000"/>
          <w:sz w:val="20"/>
        </w:rPr>
        <w:t>Net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Other expense for the three months ended September 30, 2025, was immaterial. Other income of $0.2 million for the three months ended September 30, 2024,</w:t>
      </w:r>
      <w:r>
        <w:rPr>
          <w:color w:val="000000"/>
          <w:shd w:fill="FFFFFF" w:val="clear"/>
        </w:rPr>
        <w:t xml:space="preserve"> </w:t>
      </w:r>
      <w:r>
        <w:rPr>
          <w:rFonts w:ascii="Times New Roman;serif" w:hAnsi="Times New Roman;serif"/>
          <w:b w:val="false"/>
          <w:color w:val="000000"/>
          <w:sz w:val="20"/>
        </w:rPr>
        <w:t>was driven by gains related to the change in the fair value of the outstanding warrants to purchase shares of our own stock.</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nine months ended September 30, 2025, and 2024</w:t>
      </w:r>
    </w:p>
    <w:p>
      <w:pPr>
        <w:pStyle w:val="TextBody"/>
        <w:bidi w:val="0"/>
        <w:spacing w:lineRule="auto" w:line="288" w:before="120" w:after="283"/>
        <w:ind w:left="0" w:right="0" w:firstLine="612"/>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concerning our results of operations for the periods shown:</w:t>
      </w:r>
    </w:p>
    <w:tbl>
      <w:tblPr>
        <w:tblW w:w="8802" w:type="dxa"/>
        <w:jc w:val="left"/>
        <w:tblInd w:w="0" w:type="dxa"/>
        <w:tblLayout w:type="fixed"/>
        <w:tblCellMar>
          <w:top w:w="28" w:type="dxa"/>
          <w:left w:w="28" w:type="dxa"/>
          <w:bottom w:w="28" w:type="dxa"/>
          <w:right w:w="28" w:type="dxa"/>
        </w:tblCellMar>
      </w:tblPr>
      <w:tblGrid>
        <w:gridCol w:w="1603"/>
        <w:gridCol w:w="1408"/>
        <w:gridCol w:w="1413"/>
        <w:gridCol w:w="374"/>
        <w:gridCol w:w="393"/>
        <w:gridCol w:w="402"/>
        <w:gridCol w:w="167"/>
        <w:gridCol w:w="167"/>
        <w:gridCol w:w="167"/>
        <w:gridCol w:w="323"/>
        <w:gridCol w:w="396"/>
        <w:gridCol w:w="399"/>
        <w:gridCol w:w="167"/>
        <w:gridCol w:w="167"/>
        <w:gridCol w:w="167"/>
        <w:gridCol w:w="354"/>
        <w:gridCol w:w="303"/>
        <w:gridCol w:w="432"/>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43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 data:</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37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16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10,976</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6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24,923</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20,288</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(24,923)</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(19,288)</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6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6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noncontrolling interest</w:t>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(23,942)</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(18,168)</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6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before noncontrolling interest</w:t>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(23,942)</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(18,268)</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16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5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vTv Therapeutics Inc.</w:t>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(19,836)</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 the nine months ended September 30, 2024 includes a $1.0 million increase to the transaction price for the license performance obligation under the Newsoara License Agreement due to the satisfaction of a development milestone. There was no revenue for the nine months ended September 30, 2025.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Research and development expenses were $14.0 million and $9.3 million for the nine months ended September 30, 2025, and 2024, respectively. The increase in research and development expenses during the period of $4.6 million, or 49.8%, was primarily driven by i) increases in indirect costs of $3.0 million primarily related to the Novo Nordisk license milestone accrual and increases in payroll, bonus and share-based expenses and ii) an increase in spending on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of $1.8 million due to increases in clinical studies, partially offset by iii)</w:t>
      </w:r>
      <w:r>
        <w:rPr>
          <w:color w:val="000000"/>
        </w:rPr>
        <w:t xml:space="preserve"> </w:t>
      </w:r>
      <w:r>
        <w:rPr>
          <w:rFonts w:ascii="Times New Roman;serif" w:hAnsi="Times New Roman;serif"/>
          <w:b w:val="false"/>
          <w:color w:val="000000"/>
          <w:sz w:val="20"/>
        </w:rPr>
        <w:t>lower spending on other projects of $0.2 million.</w:t>
      </w:r>
    </w:p>
    <w:p>
      <w:pPr>
        <w:pStyle w:val="TextBody"/>
        <w:bidi w:val="0"/>
        <w:spacing w:lineRule="auto" w:line="288" w:before="120" w:after="283"/>
        <w:jc w:val="both"/>
        <w:rPr/>
      </w:pPr>
      <w:r>
        <w:rPr>
          <w:rFonts w:ascii="Times New Roman;serif" w:hAnsi="Times New Roman;serif"/>
          <w:b/>
          <w:i/>
          <w:color w:val="000000"/>
          <w:sz w:val="20"/>
        </w:rPr>
        <w:t>General and Administrative Expense</w:t>
      </w:r>
      <w:r>
        <w:rPr>
          <w:rFonts w:ascii="Times New Roman;serif" w:hAnsi="Times New Roman;serif"/>
          <w:b w:val="false"/>
          <w:i/>
          <w:color w:val="000000"/>
          <w:sz w:val="20"/>
        </w:rPr>
        <w: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$11.0 million and $11.0 million for the nine months ended September 30, 2025, and 2024, respectively. The decrease of $0.0 million or 0.1%, was primarily driven by i) decreases of $0.5 million in other general and administrative costs, partially offset by ii) increases of $0.5 million in share-based expense.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Interest income for the nine months ended September 30, 2025, 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of $1.0 million and $1.1 million respectively, is related to </w:t>
      </w:r>
      <w:r>
        <w:rPr>
          <w:rFonts w:ascii="Times New Roman;serif" w:hAnsi="Times New Roman;serif"/>
          <w:b w:val="false"/>
          <w:color w:val="000000"/>
          <w:sz w:val="20"/>
        </w:rPr>
        <w:t>dividend income from our money market accounts</w:t>
      </w:r>
      <w:r>
        <w:rPr>
          <w:rFonts w:ascii="Times New Roman;serif" w:hAnsi="Times New Roman;serif"/>
          <w:b w:val="false"/>
          <w:color w:val="000000"/>
          <w:sz w:val="20"/>
          <w:shd w:fill="FFFFFF" w:val="clear"/>
        </w:rPr>
        <w:t xml:space="preserve">. </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Other Expense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expense for the nine months ended September 30, 2025, and September 30, 2024,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Liquidity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an accumulated deficit of $319.6 million. Since our inception, we have experienced a history of negative cash flows from operating activities. We anticipate that we will continue to incur losses and negative cash flow from operations for the foreseeable future as we continue our clinical trials. Further, we expect that we will need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capital to continue to fund our operations. As of September 30, 2025, we had cash and cash equivalents of $98.5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29, 2025, we entered into a securities purchase agreement (the “Securities Purchase Agreement”) with certain institutional accredited investors (the “Private Placement Investors”), pursuant to which we agreed to issue and sell 5,243,732 units (the “Units”) to the Private Placement Investors in a private placement (the “Private Placement”). Each Unit includes (i) either (A) one share (the “Shares”) of our Class A common stock at purchase price of $15.265 per share, (the “Common Stock”), or (B) a Pre-Funded Warrant (the “Pre-Funded Warrants”) to purchase one share of Common Stock (the “Pre-Funded Warrant Shares”) at a purchase price of $15.255 per share (representing per Private Placement Share purchase price less the exercise price of $0.01) and (ii) a warrant (the “Common Warrants”) to purchase one share of Common Stock (the “Warrant Shares”) (or a Pre-Funded warrant to purchase one share of Common Stock in lieu of a share of Common Stock (the “Replacement Warrants” and,together with the Pre-Funded Warrants and the Common Warrants, the “Warrants”). We received aggregate gross proceeds from the Private Placement of approximately $80.0 million, before deducting offering costs payable by us.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Pre-Funded Warrants are exercisable for $0.01, at any time after their original issuance and will not expire. The common warrants are exercisable for (x) $22.71, if exercised for a Share, or (y) $22.70 if exercised for a Pre-Funded Warrant, after the original issuance through the termination date. The Common Warrants will expire upon the earlier to occur of (i) the fifth anniversary of the issuance of the Warrants and (ii) 90 days following the announcement of positive top-line data from the Company’s ongoing CATT1 clinical trial.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evaluating several financing strategies to increase our cash reserves, including direct equity investments and the potential licensing and monetization of other Company programs. The timing and availability of such additional funding are not yet known and we can provide no assurance that these plans will be successful.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ATM Offering</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TD Cowen Sales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although we may only offer and sell under the TD Cowen ATM Offering up to one-third of the aggregate market value of our Class A common stock held by non-affiliates during any 12 calendar month period pursuant to </w:t>
      </w:r>
      <w:r>
        <w:rPr>
          <w:rFonts w:ascii="Times New Roman;serif" w:hAnsi="Times New Roman;serif"/>
          <w:b w:val="false"/>
          <w:color w:val="000000"/>
          <w:sz w:val="20"/>
          <w:shd w:fill="FFFFFF" w:val="clear"/>
        </w:rPr>
        <w:t>General Instruction I.B.6 of Form S-3</w:t>
      </w:r>
      <w:r>
        <w:rPr>
          <w:rFonts w:ascii="Times New Roman;serif" w:hAnsi="Times New Roman;serif"/>
          <w:b w:val="false"/>
          <w:color w:val="000000"/>
          <w:sz w:val="20"/>
        </w:rPr>
        <w:t>. We are not obligated to sell any shares under the TD Cowen Sales Agreement. Under the terms of the TD Cowen Sales Agreement, we will pay TD Cowen a commission of 3% of the aggregate proceeds from the sale of shares and reimburse certain legal fees or other disbursements. As of September 30, 2025, we have sold 179,400 shares of Class A common stock under the TD Cowen ATM Offering for net proceeds of $2.5 million, leaving $47.5 million available to be sold. The shares are offered and sold pursuant to the Company’s shelf registration statement on Form S-3.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Flows</w:t>
      </w:r>
    </w:p>
    <w:tbl>
      <w:tblPr>
        <w:tblW w:w="6100" w:type="dxa"/>
        <w:jc w:val="left"/>
        <w:tblInd w:w="0" w:type="dxa"/>
        <w:tblLayout w:type="fixed"/>
        <w:tblCellMar>
          <w:top w:w="28" w:type="dxa"/>
          <w:left w:w="28" w:type="dxa"/>
          <w:bottom w:w="28" w:type="dxa"/>
          <w:right w:w="28" w:type="dxa"/>
        </w:tblCellMar>
      </w:tblPr>
      <w:tblGrid>
        <w:gridCol w:w="1252"/>
        <w:gridCol w:w="1104"/>
        <w:gridCol w:w="1108"/>
        <w:gridCol w:w="213"/>
        <w:gridCol w:w="807"/>
        <w:gridCol w:w="110"/>
        <w:gridCol w:w="110"/>
        <w:gridCol w:w="110"/>
        <w:gridCol w:w="110"/>
        <w:gridCol w:w="213"/>
        <w:gridCol w:w="807"/>
        <w:gridCol w:w="156"/>
      </w:tblGrid>
      <w:tr>
        <w:trPr/>
        <w:tc>
          <w:tcPr>
            <w:tcW w:w="125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3"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(16,004)</w:t>
            </w:r>
          </w:p>
        </w:tc>
        <w:tc>
          <w:tcPr>
            <w:tcW w:w="11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(20,482)</w:t>
            </w:r>
          </w:p>
        </w:tc>
        <w:tc>
          <w:tcPr>
            <w:tcW w:w="15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61,758 </w:t>
            </w:r>
          </w:p>
        </w:tc>
        <w:tc>
          <w:tcPr>
            <w:tcW w:w="11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32,125 </w:t>
            </w:r>
          </w:p>
        </w:tc>
        <w:tc>
          <w:tcPr>
            <w:tcW w:w="15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56"/>
        <w:jc w:val="both"/>
        <w:rPr/>
      </w:pPr>
      <w:r>
        <w:rPr>
          <w:rFonts w:ascii="Times New Roman;serif" w:hAnsi="Times New Roman;serif"/>
          <w:b w:val="false"/>
          <w:color w:val="000000"/>
          <w:sz w:val="20"/>
        </w:rPr>
        <w:t>For the nine months ended September 30, 2025, our net cash used in operating activities decreased by $4.5 million from the nine months ended September 30, 2024</w:t>
      </w:r>
      <w:r>
        <w:rPr>
          <w:rFonts w:ascii="Times New Roman;serif" w:hAnsi="Times New Roman;serif"/>
          <w:b w:val="false"/>
          <w:color w:val="000000"/>
          <w:sz w:val="20"/>
          <w:shd w:fill="FFFFFF" w:val="clear"/>
        </w:rPr>
        <w:t>. The significant contributor to the change in cash used during the year was working capital changes.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56"/>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cash flows from investing activities for the nine months ended September 30,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56"/>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net cash provided by financing activities was driven by sales of our Class A common stock and proceeds from Pre-Funded and Common Warrants of $80.0 million from the Private Placement financing For the nine months ended September 30, 2024, net cash provided by financing activities was driven by sales of our Class A common stock and proceeds from pre-funded warrants of $51.0 million from the Private Placement financing.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Future Funding Requirements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plan to finance our operations through the use of our cash and cash equivalents, including cash received from future funding activities. We continue to evaluate financing strategies to fund future clinical trials of </w:t>
      </w:r>
      <w:r>
        <w:rPr>
          <w:rFonts w:ascii="Times New Roman;serif" w:hAnsi="Times New Roman;serif"/>
          <w:b w:val="false"/>
          <w:i/>
          <w:color w:val="000000"/>
          <w:sz w:val="20"/>
        </w:rPr>
        <w:t>cadisegliatin</w:t>
      </w:r>
      <w:r>
        <w:rPr>
          <w:rFonts w:ascii="Times New Roman;serif" w:hAnsi="Times New Roman;serif"/>
          <w:b w:val="false"/>
          <w:color w:val="000000"/>
          <w:sz w:val="20"/>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although we may sell shares of our Class A common stock pursuant to the TD Cowen ATM Offering, our ability to use this source of capital is dependent on a number of factors, including the prevailing market price of and the volume of trading in the Company’s Class A common stock</w:t>
      </w:r>
      <w:r>
        <w:rPr>
          <w:rFonts w:ascii="Times New Roman;serif" w:hAnsi="Times New Roman;serif"/>
          <w:b w:val="false"/>
          <w:color w:val="000000"/>
          <w:sz w:val="20"/>
          <w:shd w:fill="FFFFFF" w:val="clear"/>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the progress, costs, results and timing of our trials to evaluate </w:t>
      </w:r>
      <w:r>
        <w:rPr>
          <w:rFonts w:ascii="Times New Roman;serif" w:hAnsi="Times New Roman;serif"/>
          <w:b w:val="false"/>
          <w:i/>
          <w:color w:val="000000"/>
          <w:sz w:val="20"/>
        </w:rPr>
        <w:t xml:space="preserve">cadisegliatin </w:t>
      </w:r>
      <w:r>
        <w:rPr>
          <w:rFonts w:ascii="Times New Roman;serif" w:hAnsi="Times New Roman;serif"/>
          <w:b w:val="false"/>
          <w:color w:val="000000"/>
          <w:sz w:val="20"/>
        </w:rPr>
        <w:t>as a potential adjunctive therapy for the treatment of type 1 diabetes;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willingness of the FDA to rely upon our completed and planned clinical and preclinical studies and other work, as the basis for review and approval of our drug candidates;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ability to maintain control over our costs in line with our budget for our lead product candidate, </w:t>
      </w:r>
      <w:r>
        <w:rPr>
          <w:rFonts w:ascii="Times New Roman;serif" w:hAnsi="Times New Roman;serif"/>
          <w:b w:val="false"/>
          <w:i/>
          <w:color w:val="000000"/>
          <w:sz w:val="20"/>
        </w:rPr>
        <w:t>cadisegliatin</w:t>
      </w:r>
      <w:r>
        <w:rPr>
          <w:rFonts w:ascii="Times New Roman;serif" w:hAnsi="Times New Roman;serif"/>
          <w:b w:val="false"/>
          <w:color w:val="000000"/>
          <w:sz w:val="20"/>
        </w:rPr>
        <w: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outcome, costs and timing of seeking and obtaining FDA and any other regulatory approvals;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number and characteristics of drug candidates that we pursue, including our drug candidates in preclinical development;</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ability of our drug candidates to progress through clinical development successfully;</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need to expand our research and development activities;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costs associated with securing, establishing and maintaining commercialization capabilities;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costs of acquiring, licensing or investing in businesses, products, drug candidates and technologies;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need and ability to hire additional management, scientific, and medical personnel;</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effect of competing technological and market developments;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need to implement additional internal systems and infrastructure, including financial and reporting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economic and other terms, timing and success of our existing licensing arrangements and any collaboration, licensing or other arrangements into which we may enter in the future; and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amount of any payments we are required to make to M&amp;F TTP Holdings Two LLC in the future under the Tax Receivable Agreement.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w:t>
      </w:r>
      <w:r>
        <w:rPr>
          <w:rFonts w:ascii="Times New Roman;serif" w:hAnsi="Times New Roman;serif"/>
          <w:b w:val="false"/>
          <w:color w:val="000000"/>
          <w:sz w:val="20"/>
          <w:shd w:fill="FFFFFF" w:val="clear"/>
        </w:rPr>
        <w:t xml:space="preserv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did not have outstanding any off-balance sheet arrangements as defined under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Discussion of Critical Accounting Policies and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policies and estimates, please refer to Part II, Item 7. “Management’s Discussion and Analysis of Financial Condition and Results of Operations” in our Annual Report on Form 10-K for the year ended December 31, 2024. There have been no material changes to our critical accounting policies and estimates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“anticipates,” “believes,” “could,” “seeks,” “estimates,” “expects,” “intends,” “may,” “plans,” “potential,” “predicts,” “projects,” “should,” “will,” “would” or similar expressions and the negatives of those terms.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Effect of 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discussion of recent accounting pronouncements in Note 2, “Summary of Significant Accounting Policies”, to the Unaudited Condensed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currently have any material interest rate exposure.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cash and cash equivalents with multiple financial institutions that management believes to be of high credit quality.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have any material foreign currency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Chief Executive Officer (our Principal Executive Officer) and Chief Financial Officer (our Principal Financial Officer), management has evaluated the effectiveness of the design and operation of our disclosure controls and procedures (as defined in Rules 13a-15(e) or 15d-15(e) of the Securities Exchange Act of 1934) as of September 30, 2025. Based upon that evaluation, our Chief Executive Officer and Chief Financial Officer concluded that, as of September 30, 2025,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to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Website Availability of Reports and other Corporate Governance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risk factors are set forth under the heading “Risk Factors” under Item 1A of Part I in our Annual Report on Form 10-K for the year ended December 31, 2024. The Company disclosed material changes to our risk factors in our Quarterly Report on Form 10-Q for the quarter ended March 31, 2025, from those previously disclosed in our Annual Report on Form 10-K for the year ended December 31, 2024.</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In August 2025, the Company entered into </w:t>
      </w:r>
      <w:r>
        <w:rPr>
          <w:rFonts w:ascii="Times New Roman;serif" w:hAnsi="Times New Roman;serif"/>
          <w:b w:val="false"/>
          <w:color w:val="000000"/>
          <w:sz w:val="20"/>
        </w:rPr>
        <w:t xml:space="preserve">a securities purchase agreement with certain Private Placement Investors, pursuant to which we agreed to issue and sell 5,243,732 Units to the Private Placement Investors in a private placement. Each unit is comprised of one share of Class A common stock for an aggregate of 682,018 shares, at a purchase price of $15.265 per share and </w:t>
      </w:r>
      <w:r>
        <w:rPr>
          <w:rFonts w:ascii="Times New Roman;serif" w:hAnsi="Times New Roman;serif"/>
          <w:b w:val="false"/>
          <w:color w:val="000000"/>
          <w:sz w:val="20"/>
          <w:shd w:fill="FFFFFF" w:val="clear"/>
        </w:rPr>
        <w:t xml:space="preserve">Pre-Funded Warrants to purchase an aggregate of 4,561,714 shares of the Company’s Class A common stock at a price of </w:t>
      </w:r>
      <w:r>
        <w:rPr>
          <w:rFonts w:ascii="Times New Roman;serif" w:hAnsi="Times New Roman;serif"/>
          <w:b w:val="false"/>
          <w:color w:val="000000"/>
          <w:sz w:val="20"/>
        </w:rPr>
        <w:t>$15.255</w:t>
      </w:r>
      <w:r>
        <w:rPr>
          <w:color w:val="000000"/>
          <w:shd w:fill="FFFFFF" w:val="clear"/>
        </w:rPr>
        <w:t xml:space="preserve"> </w:t>
      </w:r>
      <w:r>
        <w:rPr>
          <w:rFonts w:ascii="Times New Roman;serif" w:hAnsi="Times New Roman;serif"/>
          <w:b w:val="false"/>
          <w:color w:val="000000"/>
          <w:sz w:val="20"/>
          <w:shd w:fill="FFFFFF" w:val="clear"/>
        </w:rPr>
        <w:t xml:space="preserve">per Pre-Funded Warrant. Additionally, each unit has an accompanying Common Warrant to purchase an aggregate of 5,243,732 shares of the Company’s Class A common stock. The Pre-Funded Warrants were immediately exercisable, have an exercise price of </w:t>
      </w:r>
      <w:r>
        <w:rPr>
          <w:rFonts w:ascii="Times New Roman;serif" w:hAnsi="Times New Roman;serif"/>
          <w:b w:val="false"/>
          <w:color w:val="000000"/>
          <w:sz w:val="20"/>
        </w:rPr>
        <w:t>$0.01</w:t>
      </w:r>
      <w:r>
        <w:rPr>
          <w:color w:val="000000"/>
          <w:shd w:fill="FFFFFF" w:val="clear"/>
        </w:rPr>
        <w:t xml:space="preserve"> </w:t>
      </w:r>
      <w:r>
        <w:rPr>
          <w:rFonts w:ascii="Times New Roman;serif" w:hAnsi="Times New Roman;serif"/>
          <w:b w:val="false"/>
          <w:color w:val="000000"/>
          <w:sz w:val="20"/>
          <w:shd w:fill="FFFFFF" w:val="clear"/>
        </w:rPr>
        <w:t>and may be exercised at any time after the date of issuance. The Common Warrants are exercisable for (x) $22.71, if exercised for a Share, or (y) $22.70 if exercised for a Pre-Funded Warrant, after the original issuance through the termination date.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Private Placement Shares and the Private Placement Pre-Funded and Common Warrants were issued pursuant to the exemption from registration contained in Section 4(a)(2) of the Securities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80" w:after="283"/>
        <w:ind w:left="0" w:right="0" w:firstLine="54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third fiscal quarter ended September 30, 2025, none of our directors or executive officers adopted or terminated any contract, instruction or written plan for the purchase or sale of our securities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653"/>
        <w:gridCol w:w="2653"/>
        <w:gridCol w:w="3791"/>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50930xexx311.htm">
              <w:r>
                <w:rPr>
                  <w:rStyle w:val="InternetLink"/>
                  <w:rFonts w:ascii="Times New Roman;serif" w:hAnsi="Times New Roman;serif"/>
                  <w:b w:val="false"/>
                  <w:color w:val="0000FF"/>
                  <w:sz w:val="20"/>
                  <w:u w:val="single"/>
                </w:rPr>
                <w:t>Certification of President and Chief Executive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50930xexx312.htm">
              <w:r>
                <w:rPr>
                  <w:rStyle w:val="InternetLink"/>
                  <w:rFonts w:ascii="Times New Roman;serif" w:hAnsi="Times New Roman;serif"/>
                  <w:b w:val="false"/>
                  <w:color w:val="0000FF"/>
                  <w:sz w:val="20"/>
                  <w:u w:val="single"/>
                </w:rPr>
                <w:t>Certification of Chief Financial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vt-20250930xexx321.htm">
              <w:r>
                <w:rPr>
                  <w:rStyle w:val="InternetLink"/>
                  <w:rFonts w:ascii="Times New Roman;serif" w:hAnsi="Times New Roman;serif"/>
                  <w:b w:val="false"/>
                  <w:color w:val="0000FF"/>
                  <w:sz w:val="20"/>
                  <w:u w:val="single"/>
                </w:rPr>
                <w:t>Certification of President and Chief Executive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50930xex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both"/>
        <w:rPr/>
      </w:pPr>
      <w:hyperlink w:anchor="ic60bf641e18d443d8fee2fea1792d052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bl>
      <w:tblPr>
        <w:tblW w:w="59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0"/>
        <w:gridCol w:w="1510"/>
        <w:gridCol w:w="21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VTV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Executive Chairperson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Paul J. Sekhri, certify that: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November 6, 2025</w:t>
      </w:r>
    </w:p>
    <w:tbl>
      <w:tblPr>
        <w:tblW w:w="59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1"/>
        <w:gridCol w:w="1511"/>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Executive Chairperson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SECTION 302 CERTIFICATION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Michael Tung, certify that: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bl>
      <w:tblPr>
        <w:tblW w:w="518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vTv Therapeutics Inc. (the “Company”) on Form 10-Q for the period ended September 30, 2025,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bl>
      <w:tblPr>
        <w:tblW w:w="590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11"/>
        <w:gridCol w:w="1511"/>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Executive Chairperson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vTv Therapeutics Inc. (the “Company”) on Form 10-Q for the period ended September 30, 2025, as filed with the Securities and Exchange Commission on the date hereof (the “Report”), I, Michael Tung,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bl>
      <w:tblPr>
        <w:tblW w:w="518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Tung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16580</Words>
  <Characters>92071</Characters>
  <CharactersWithSpaces>107736</CharactersWithSpaces>
  <Paragraphs>1874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