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4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41"/>
          <w:szCs w:val="41"/>
          <w:b w:val="1"/>
          <w:bCs w:val="1"/>
          <w:color w:val="auto"/>
        </w:rPr>
        <w:t>vTv Therapeutics Inc.</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40"/>
              <w:spacing w:after="0"/>
              <w:rPr>
                <w:sz w:val="20"/>
                <w:szCs w:val="20"/>
                <w:color w:val="auto"/>
              </w:rPr>
            </w:pPr>
            <w:r>
              <w:rPr>
                <w:rFonts w:ascii="Arial" w:cs="Arial" w:eastAsia="Arial" w:hAnsi="Arial"/>
                <w:sz w:val="18"/>
                <w:szCs w:val="18"/>
                <w:b w:val="1"/>
                <w:bCs w:val="1"/>
                <w:color w:val="auto"/>
              </w:rPr>
              <w:t>47-3916571</w:t>
            </w:r>
          </w:p>
        </w:tc>
      </w:tr>
      <w:tr>
        <w:trPr>
          <w:trHeight w:val="149"/>
        </w:trPr>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40" w:type="dxa"/>
            <w:vAlign w:val="bottom"/>
          </w:tcPr>
          <w:p>
            <w:pPr>
              <w:jc w:val="center"/>
              <w:ind w:left="3940"/>
              <w:spacing w:after="0"/>
              <w:rPr>
                <w:sz w:val="20"/>
                <w:szCs w:val="20"/>
                <w:color w:val="auto"/>
              </w:rPr>
            </w:pPr>
            <w:r>
              <w:rPr>
                <w:rFonts w:ascii="Arial" w:cs="Arial" w:eastAsia="Arial" w:hAnsi="Arial"/>
                <w:sz w:val="14"/>
                <w:szCs w:val="14"/>
                <w:b w:val="1"/>
                <w:bCs w:val="1"/>
                <w:color w:val="auto"/>
                <w:w w:val="94"/>
              </w:rPr>
              <w:t>Identification No.)</w:t>
            </w:r>
          </w:p>
        </w:tc>
      </w:tr>
      <w:tr>
        <w:trPr>
          <w:trHeight w:val="277"/>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4170 Mendenhall Oaks Pkwy</w:t>
            </w:r>
          </w:p>
        </w:tc>
        <w:tc>
          <w:tcPr>
            <w:tcW w:w="5140" w:type="dxa"/>
            <w:vAlign w:val="bottom"/>
          </w:tcPr>
          <w:p>
            <w:pPr>
              <w:spacing w:after="0"/>
              <w:rPr>
                <w:sz w:val="24"/>
                <w:szCs w:val="24"/>
                <w:color w:val="auto"/>
              </w:rPr>
            </w:pPr>
          </w:p>
        </w:tc>
      </w:tr>
      <w:tr>
        <w:trPr>
          <w:trHeight w:val="21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High Point, NC</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27265</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60"/>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2420" w:type="dxa"/>
            <w:vAlign w:val="bottom"/>
          </w:tcPr>
          <w:p>
            <w:pPr>
              <w:spacing w:after="0"/>
              <w:rPr>
                <w:sz w:val="22"/>
                <w:szCs w:val="22"/>
                <w:color w:val="auto"/>
              </w:rPr>
            </w:pPr>
          </w:p>
        </w:tc>
        <w:tc>
          <w:tcPr>
            <w:tcW w:w="5140" w:type="dxa"/>
            <w:vAlign w:val="bottom"/>
          </w:tcPr>
          <w:p>
            <w:pPr>
              <w:jc w:val="right"/>
              <w:ind w:right="2820"/>
              <w:spacing w:after="0"/>
              <w:rPr>
                <w:sz w:val="20"/>
                <w:szCs w:val="20"/>
                <w:color w:val="auto"/>
              </w:rPr>
            </w:pPr>
            <w:r>
              <w:rPr>
                <w:rFonts w:ascii="Arial" w:cs="Arial" w:eastAsia="Arial" w:hAnsi="Arial"/>
                <w:sz w:val="18"/>
                <w:szCs w:val="18"/>
                <w:b w:val="1"/>
                <w:bCs w:val="1"/>
                <w:color w:val="auto"/>
              </w:rPr>
              <w:t>(336) 841-0300</w:t>
            </w:r>
          </w:p>
        </w:tc>
      </w:tr>
      <w:tr>
        <w:trPr>
          <w:trHeight w:val="186"/>
        </w:trPr>
        <w:tc>
          <w:tcPr>
            <w:tcW w:w="2420" w:type="dxa"/>
            <w:vAlign w:val="bottom"/>
          </w:tcPr>
          <w:p>
            <w:pPr>
              <w:spacing w:after="0"/>
              <w:rPr>
                <w:sz w:val="16"/>
                <w:szCs w:val="16"/>
                <w:color w:val="auto"/>
              </w:rPr>
            </w:pPr>
          </w:p>
        </w:tc>
        <w:tc>
          <w:tcPr>
            <w:tcW w:w="514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ind w:right="2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2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4" w:lineRule="exact"/>
        <w:rPr>
          <w:sz w:val="24"/>
          <w:szCs w:val="24"/>
          <w:color w:val="auto"/>
        </w:rPr>
      </w:pPr>
    </w:p>
    <w:p>
      <w:pPr>
        <w:jc w:val="both"/>
        <w:ind w:right="100" w:firstLine="60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20"/>
        <w:spacing w:after="0" w:line="207" w:lineRule="exact"/>
        <w:tabs>
          <w:tab w:leader="none" w:pos="8940" w:val="left"/>
          <w:tab w:leader="none" w:pos="96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320" w:type="dxa"/>
            <w:vAlign w:val="bottom"/>
            <w:gridSpan w:val="3"/>
          </w:tcPr>
          <w:p>
            <w:pPr>
              <w:ind w:left="1700"/>
              <w:spacing w:after="0"/>
              <w:rPr>
                <w:sz w:val="20"/>
                <w:szCs w:val="20"/>
                <w:color w:val="auto"/>
              </w:rPr>
            </w:pPr>
            <w:r>
              <w:rPr>
                <w:rFonts w:ascii="Arial" w:cs="Arial" w:eastAsia="Arial" w:hAnsi="Arial"/>
                <w:sz w:val="14"/>
                <w:szCs w:val="14"/>
                <w:b w:val="1"/>
                <w:bCs w:val="1"/>
                <w:color w:val="auto"/>
              </w:rPr>
              <w:t>Class of Stock</w:t>
            </w:r>
          </w:p>
        </w:tc>
        <w:tc>
          <w:tcPr>
            <w:tcW w:w="3300" w:type="dxa"/>
            <w:vAlign w:val="bottom"/>
          </w:tcPr>
          <w:p>
            <w:pPr>
              <w:jc w:val="right"/>
              <w:ind w:right="376"/>
              <w:spacing w:after="0"/>
              <w:rPr>
                <w:sz w:val="20"/>
                <w:szCs w:val="20"/>
                <w:color w:val="auto"/>
              </w:rPr>
            </w:pPr>
            <w:r>
              <w:rPr>
                <w:rFonts w:ascii="Arial" w:cs="Arial" w:eastAsia="Arial" w:hAnsi="Arial"/>
                <w:sz w:val="14"/>
                <w:szCs w:val="14"/>
                <w:b w:val="1"/>
                <w:bCs w:val="1"/>
                <w:color w:val="auto"/>
              </w:rPr>
              <w:t>Shares Outstanding as of May 15, 2018</w:t>
            </w: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700" w:type="dxa"/>
            <w:vAlign w:val="bottom"/>
          </w:tcPr>
          <w:p>
            <w:pPr>
              <w:spacing w:after="0"/>
              <w:rPr>
                <w:sz w:val="18"/>
                <w:szCs w:val="18"/>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20" w:type="dxa"/>
            <w:vAlign w:val="bottom"/>
          </w:tcPr>
          <w:p>
            <w:pPr>
              <w:spacing w:after="0"/>
              <w:rPr>
                <w:sz w:val="18"/>
                <w:szCs w:val="18"/>
                <w:color w:val="auto"/>
              </w:rPr>
            </w:pPr>
          </w:p>
        </w:tc>
        <w:tc>
          <w:tcPr>
            <w:tcW w:w="3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9,729,946</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320" w:type="dxa"/>
            <w:vAlign w:val="bottom"/>
            <w:gridSpan w:val="3"/>
          </w:tcPr>
          <w:p>
            <w:pPr>
              <w:ind w:left="1700"/>
              <w:spacing w:after="0"/>
              <w:rPr>
                <w:sz w:val="20"/>
                <w:szCs w:val="20"/>
                <w:color w:val="auto"/>
              </w:rPr>
            </w:pPr>
            <w:r>
              <w:rPr>
                <w:rFonts w:ascii="Arial" w:cs="Arial" w:eastAsia="Arial" w:hAnsi="Arial"/>
                <w:sz w:val="18"/>
                <w:szCs w:val="18"/>
                <w:color w:val="auto"/>
              </w:rPr>
              <w:t>Class B common stock, par value $0.01 per share</w:t>
            </w:r>
          </w:p>
        </w:tc>
        <w:tc>
          <w:tcPr>
            <w:tcW w:w="3300" w:type="dxa"/>
            <w:vAlign w:val="bottom"/>
          </w:tcPr>
          <w:p>
            <w:pPr>
              <w:jc w:val="right"/>
              <w:spacing w:after="0"/>
              <w:rPr>
                <w:sz w:val="20"/>
                <w:szCs w:val="20"/>
                <w:color w:val="auto"/>
              </w:rPr>
            </w:pPr>
            <w:r>
              <w:rPr>
                <w:rFonts w:ascii="Arial" w:cs="Arial" w:eastAsia="Arial" w:hAnsi="Arial"/>
                <w:sz w:val="18"/>
                <w:szCs w:val="18"/>
                <w:color w:val="auto"/>
              </w:rPr>
              <w:t>23,094,221</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2"/>
        </w:trPr>
        <w:tc>
          <w:tcPr>
            <w:tcW w:w="170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7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03"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vTv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MARCH 31,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PAGE</w:t>
            </w:r>
          </w:p>
        </w:tc>
      </w:tr>
      <w:tr>
        <w:trPr>
          <w:trHeight w:val="167"/>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NUMBER</w:t>
            </w:r>
          </w:p>
        </w:tc>
      </w:tr>
      <w:tr>
        <w:trPr>
          <w:trHeight w:val="291"/>
        </w:trPr>
        <w:tc>
          <w:tcPr>
            <w:tcW w:w="298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580" w:type="dxa"/>
            <w:vAlign w:val="bottom"/>
            <w:gridSpan w:val="11"/>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2018 (Unaudited) and December 31, 2017</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Operations for the three months ended March 31, 2018 and 2017</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 of Changes in Redeemable Noncontrolling Interest and Stockholders’ Deficit for the</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three months ended March 31, 2018</w:t>
              </w:r>
            </w:hyperlink>
          </w:p>
        </w:tc>
        <w:tc>
          <w:tcPr>
            <w:tcW w:w="6640" w:type="dxa"/>
            <w:vAlign w:val="bottom"/>
            <w:tcBorders>
              <w:top w:val="single" w:sz="8" w:color="0000EE"/>
            </w:tcBorders>
            <w:gridSpan w:val="8"/>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318"/>
        </w:trPr>
        <w:tc>
          <w:tcPr>
            <w:tcW w:w="880" w:type="dxa"/>
            <w:vAlign w:val="bottom"/>
          </w:tcPr>
          <w:p>
            <w:pPr>
              <w:spacing w:after="0"/>
              <w:rPr>
                <w:sz w:val="24"/>
                <w:szCs w:val="24"/>
                <w:color w:val="auto"/>
              </w:rPr>
            </w:pPr>
          </w:p>
        </w:tc>
        <w:tc>
          <w:tcPr>
            <w:tcW w:w="83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Cash Flows for the three months ended March 31, 2018 and 2017</w:t>
              </w:r>
            </w:hyperlink>
          </w:p>
        </w:tc>
        <w:tc>
          <w:tcPr>
            <w:tcW w:w="1300" w:type="dxa"/>
            <w:vAlign w:val="bottom"/>
            <w:gridSpan w:val="2"/>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318"/>
        </w:trPr>
        <w:tc>
          <w:tcPr>
            <w:tcW w:w="880" w:type="dxa"/>
            <w:vAlign w:val="bottom"/>
          </w:tcPr>
          <w:p>
            <w:pPr>
              <w:spacing w:after="0"/>
              <w:rPr>
                <w:sz w:val="24"/>
                <w:szCs w:val="24"/>
                <w:color w:val="auto"/>
              </w:rPr>
            </w:pPr>
          </w:p>
        </w:tc>
        <w:tc>
          <w:tcPr>
            <w:tcW w:w="39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Consolidated Financial Statements</w:t>
              </w:r>
            </w:hyperlink>
          </w:p>
        </w:tc>
        <w:tc>
          <w:tcPr>
            <w:tcW w:w="5740" w:type="dxa"/>
            <w:vAlign w:val="bottom"/>
            <w:gridSpan w:val="8"/>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220" w:type="dxa"/>
            <w:vAlign w:val="bottom"/>
            <w:gridSpan w:val="5"/>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5320" w:type="dxa"/>
            <w:vAlign w:val="bottom"/>
            <w:gridSpan w:val="6"/>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Controls and Procedures</w:t>
              </w:r>
            </w:hyperlink>
          </w:p>
        </w:tc>
        <w:tc>
          <w:tcPr>
            <w:tcW w:w="7900" w:type="dxa"/>
            <w:vAlign w:val="bottom"/>
            <w:gridSpan w:val="13"/>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318"/>
        </w:trPr>
        <w:tc>
          <w:tcPr>
            <w:tcW w:w="268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PART II – OTHER INFORMATION</w:t>
              </w:r>
            </w:hyperlink>
          </w:p>
        </w:tc>
        <w:tc>
          <w:tcPr>
            <w:tcW w:w="788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360" w:type="dxa"/>
            <w:vAlign w:val="bottom"/>
            <w:gridSpan w:val="15"/>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5340" w:type="dxa"/>
            <w:vAlign w:val="bottom"/>
            <w:gridSpan w:val="7"/>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7920" w:type="dxa"/>
            <w:vAlign w:val="bottom"/>
            <w:gridSpan w:val="14"/>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380" w:type="dxa"/>
            <w:vAlign w:val="bottom"/>
            <w:gridSpan w:val="16"/>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318"/>
        </w:trPr>
        <w:tc>
          <w:tcPr>
            <w:tcW w:w="88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Signatures</w:t>
              </w:r>
            </w:hyperlink>
          </w:p>
        </w:tc>
        <w:tc>
          <w:tcPr>
            <w:tcW w:w="8920" w:type="dxa"/>
            <w:vAlign w:val="bottom"/>
            <w:gridSpan w:val="18"/>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858"/>
        </w:trPr>
        <w:tc>
          <w:tcPr>
            <w:tcW w:w="880" w:type="dxa"/>
            <w:vAlign w:val="bottom"/>
          </w:tcPr>
          <w:p>
            <w:pPr>
              <w:spacing w:after="0"/>
              <w:rPr>
                <w:sz w:val="24"/>
                <w:szCs w:val="24"/>
                <w:color w:val="auto"/>
              </w:rPr>
            </w:pPr>
          </w:p>
        </w:tc>
        <w:tc>
          <w:tcPr>
            <w:tcW w:w="6460" w:type="dxa"/>
            <w:vAlign w:val="bottom"/>
            <w:gridSpan w:val="16"/>
          </w:tcPr>
          <w:p>
            <w:pPr>
              <w:ind w:left="478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6,535</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Restricted cash and cash equivalents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deposits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Total current assets</w:t>
            </w:r>
          </w:p>
        </w:tc>
        <w:tc>
          <w:tcPr>
            <w:tcW w:w="8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and cash equivalents, long-term</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deposits</w:t>
            </w:r>
          </w:p>
        </w:tc>
        <w:tc>
          <w:tcPr>
            <w:tcW w:w="8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14,729</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11,296</w:t>
            </w:r>
          </w:p>
        </w:tc>
        <w:tc>
          <w:tcPr>
            <w:tcW w:w="18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revenue</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notes payable</w:t>
            </w:r>
          </w:p>
        </w:tc>
        <w:tc>
          <w:tcPr>
            <w:tcW w:w="8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Notes payable</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portion</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Warrant liability, related party</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8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Total liabilities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43,120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47,524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120,397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80" w:type="dxa"/>
            <w:vAlign w:val="bottom"/>
          </w:tcPr>
          <w:p>
            <w:pPr>
              <w:ind w:left="260"/>
              <w:spacing w:after="0"/>
              <w:rPr>
                <w:sz w:val="20"/>
                <w:szCs w:val="20"/>
                <w:color w:val="auto"/>
              </w:rPr>
            </w:pPr>
            <w:r>
              <w:rPr>
                <w:rFonts w:ascii="Arial" w:cs="Arial" w:eastAsia="Arial" w:hAnsi="Arial"/>
                <w:sz w:val="18"/>
                <w:szCs w:val="18"/>
                <w:color w:val="auto"/>
              </w:rPr>
              <w:t>Class A Common Stock, $0.01 par value; 100,000,000 shares authorized, 9,729,946</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380"/>
              <w:spacing w:after="0"/>
              <w:rPr>
                <w:sz w:val="20"/>
                <w:szCs w:val="20"/>
                <w:color w:val="auto"/>
              </w:rPr>
            </w:pPr>
            <w:r>
              <w:rPr>
                <w:rFonts w:ascii="Arial" w:cs="Arial" w:eastAsia="Arial" w:hAnsi="Arial"/>
                <w:sz w:val="18"/>
                <w:szCs w:val="18"/>
                <w:color w:val="auto"/>
              </w:rPr>
              <w:t>and 9,693,254 shares outstanding as of March 31, 2018 and December 31, 2017,</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B Common Stock, $0.01 par value; 100,000,000 shares authorized, 23,094,221</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23,119,246 shares outstanding as of March 31, 2018 and December 31, 2017,</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128,796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(277,913)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(279,058)</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8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(148,788)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14,729</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8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11,198</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(9,134)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Other expense – related party</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(855)</w:t>
            </w:r>
          </w:p>
        </w:tc>
        <w:tc>
          <w:tcPr>
            <w:tcW w:w="5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3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(9,960)</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Income tax provision</w:t>
            </w:r>
          </w:p>
        </w:tc>
        <w:tc>
          <w:tcPr>
            <w:tcW w:w="38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noncontrolling interest</w:t>
            </w:r>
          </w:p>
        </w:tc>
        <w:tc>
          <w:tcPr>
            <w:tcW w:w="3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(9,960)</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(7,008)</w:t>
            </w:r>
          </w:p>
        </w:tc>
        <w:tc>
          <w:tcPr>
            <w:tcW w:w="5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(10,066)</w:t>
            </w: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attributable to vTv Therapeutics Inc.</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ind w:left="260"/>
              <w:spacing w:after="0"/>
              <w:rPr>
                <w:sz w:val="20"/>
                <w:szCs w:val="20"/>
                <w:color w:val="auto"/>
              </w:rPr>
            </w:pPr>
            <w:r>
              <w:rPr>
                <w:rFonts w:ascii="Arial" w:cs="Arial" w:eastAsia="Arial" w:hAnsi="Arial"/>
                <w:sz w:val="18"/>
                <w:szCs w:val="18"/>
                <w:color w:val="auto"/>
              </w:rPr>
              <w:t>Net loss per share of vTv Therapeutics Inc. Class A Common</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820" w:type="dxa"/>
            <w:vAlign w:val="bottom"/>
          </w:tcPr>
          <w:p>
            <w:pPr>
              <w:ind w:left="380"/>
              <w:spacing w:after="0"/>
              <w:rPr>
                <w:sz w:val="20"/>
                <w:szCs w:val="20"/>
                <w:color w:val="auto"/>
              </w:rPr>
            </w:pPr>
            <w:r>
              <w:rPr>
                <w:rFonts w:ascii="Arial" w:cs="Arial" w:eastAsia="Arial" w:hAnsi="Arial"/>
                <w:sz w:val="18"/>
                <w:szCs w:val="18"/>
                <w:color w:val="auto"/>
              </w:rPr>
              <w:t>Stock, basic and diluted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196"/>
        </w:trPr>
        <w:tc>
          <w:tcPr>
            <w:tcW w:w="7820" w:type="dxa"/>
            <w:vAlign w:val="bottom"/>
            <w:tcBorders>
              <w:top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Weighted-average number of vTv Therapeutics Inc. Class A</w:t>
            </w:r>
          </w:p>
        </w:tc>
        <w:tc>
          <w:tcPr>
            <w:tcW w:w="3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9,699,721</w:t>
            </w:r>
          </w:p>
        </w:tc>
        <w:tc>
          <w:tcPr>
            <w:tcW w:w="2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9,693,254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9"/>
                <w:szCs w:val="19"/>
                <w:color w:val="auto"/>
              </w:rPr>
            </w:pPr>
          </w:p>
        </w:tc>
        <w:tc>
          <w:tcPr>
            <w:tcW w:w="2080" w:type="dxa"/>
            <w:vAlign w:val="bottom"/>
            <w:gridSpan w:val="5"/>
          </w:tcPr>
          <w:p>
            <w:pPr>
              <w:ind w:left="260"/>
              <w:spacing w:after="0"/>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5"/>
          </w:tcPr>
          <w:p>
            <w:pPr>
              <w:jc w:val="right"/>
              <w:ind w:right="217"/>
              <w:spacing w:after="0"/>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1"/>
                <w:szCs w:val="11"/>
                <w:color w:val="auto"/>
              </w:rPr>
            </w:pPr>
          </w:p>
        </w:tc>
        <w:tc>
          <w:tcPr>
            <w:tcW w:w="110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3"/>
                <w:szCs w:val="13"/>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December 31, 2017</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131,440</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9,693,254</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97</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23,119,246</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127,682</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(279,058)</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(151,047)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(7,008)</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(2,952)</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(2,952)</w:t>
            </w: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Cumulative effect of accounting change</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Exchange of Class B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for Class A Common Stock</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25,025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(25,025)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11,667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(3,884)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line="143" w:lineRule="exact"/>
              <w:rPr>
                <w:sz w:val="20"/>
                <w:szCs w:val="20"/>
                <w:color w:val="auto"/>
              </w:rPr>
            </w:pPr>
            <w:r>
              <w:rPr>
                <w:rFonts w:ascii="Arial" w:cs="Arial" w:eastAsia="Arial" w:hAnsi="Arial"/>
                <w:sz w:val="13"/>
                <w:szCs w:val="13"/>
                <w:b w:val="1"/>
                <w:bCs w:val="1"/>
                <w:color w:val="auto"/>
              </w:rPr>
              <w:t>Balances at March 31, 2018</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120,397</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9,729,946</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97</w:t>
            </w:r>
          </w:p>
        </w:tc>
        <w:tc>
          <w:tcPr>
            <w:tcW w:w="2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128,796</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(277,913)</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(148,788)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80" w:type="dxa"/>
            <w:vAlign w:val="bottom"/>
            <w:gridSpan w:val="5"/>
          </w:tcPr>
          <w:p>
            <w:pPr>
              <w:jc w:val="right"/>
              <w:ind w:right="10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3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26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spacing w:after="0"/>
              <w:rPr>
                <w:sz w:val="20"/>
                <w:szCs w:val="20"/>
                <w:color w:val="auto"/>
              </w:rPr>
            </w:pPr>
            <w:r>
              <w:rPr>
                <w:rFonts w:ascii="Arial" w:cs="Arial" w:eastAsia="Arial" w:hAnsi="Arial"/>
                <w:sz w:val="14"/>
                <w:szCs w:val="14"/>
                <w:color w:val="auto"/>
              </w:rPr>
              <w:t>Net loss before noncontrolling interest</w:t>
            </w:r>
          </w:p>
        </w:tc>
        <w:tc>
          <w:tcPr>
            <w:tcW w:w="2300" w:type="dxa"/>
            <w:vAlign w:val="bottom"/>
            <w:gridSpan w:val="2"/>
          </w:tcPr>
          <w:p>
            <w:pPr>
              <w:jc w:val="right"/>
              <w:ind w:right="88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(9,960)</w:t>
            </w:r>
          </w:p>
        </w:tc>
        <w:tc>
          <w:tcPr>
            <w:tcW w:w="11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(14,286)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12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activities:</w:t>
            </w:r>
          </w:p>
        </w:tc>
        <w:tc>
          <w:tcPr>
            <w:tcW w:w="1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(Gain) loss on disposal of property and equipment, net</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Depreciation expense</w:t>
            </w:r>
          </w:p>
        </w:tc>
        <w:tc>
          <w:tcPr>
            <w:tcW w:w="1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Share-based compensation expense</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963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Change in fair value of warrants, related party</w:t>
            </w:r>
          </w:p>
        </w:tc>
        <w:tc>
          <w:tcPr>
            <w:tcW w:w="1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Amortization of debt discount</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Changes in assets and liabilities:</w:t>
            </w:r>
          </w:p>
        </w:tc>
        <w:tc>
          <w:tcPr>
            <w:tcW w:w="1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Accounts receivable</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7,790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Prepaid expenses and other assets</w:t>
            </w:r>
          </w:p>
        </w:tc>
        <w:tc>
          <w:tcPr>
            <w:tcW w:w="1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(2,072)</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Long-term deposits</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2,256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Accounts payable and accrued expenses</w:t>
            </w:r>
          </w:p>
        </w:tc>
        <w:tc>
          <w:tcPr>
            <w:tcW w:w="1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(2,605)</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(2,064)</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Other liabilities</w:t>
            </w:r>
          </w:p>
        </w:tc>
        <w:tc>
          <w:tcPr>
            <w:tcW w:w="1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12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(5,397)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(13,816)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Proceeds from sale of assets</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Purchases of property and equipment</w:t>
            </w:r>
          </w:p>
        </w:tc>
        <w:tc>
          <w:tcPr>
            <w:tcW w:w="1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56"/>
        </w:trPr>
        <w:tc>
          <w:tcPr>
            <w:tcW w:w="660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2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ind w:left="240"/>
              <w:spacing w:after="0"/>
              <w:rPr>
                <w:sz w:val="20"/>
                <w:szCs w:val="20"/>
                <w:color w:val="auto"/>
              </w:rPr>
            </w:pPr>
            <w:r>
              <w:rPr>
                <w:rFonts w:ascii="Arial" w:cs="Arial" w:eastAsia="Arial" w:hAnsi="Arial"/>
                <w:sz w:val="14"/>
                <w:szCs w:val="14"/>
                <w:color w:val="auto"/>
              </w:rPr>
              <w:t>Proceeds from debt issuance</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26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7,500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tcPr>
          <w:p>
            <w:pPr>
              <w:spacing w:after="0"/>
              <w:rPr>
                <w:sz w:val="20"/>
                <w:szCs w:val="20"/>
                <w:color w:val="auto"/>
              </w:rPr>
            </w:pPr>
            <w:r>
              <w:rPr>
                <w:rFonts w:ascii="Arial" w:cs="Arial" w:eastAsia="Arial" w:hAnsi="Arial"/>
                <w:sz w:val="14"/>
                <w:szCs w:val="14"/>
                <w:color w:val="auto"/>
              </w:rPr>
              <w:t>Net decrease in cash and cash equivalents</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(5,385)</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(6,355)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Total cash, cash equivalents and restricted cash and cash equivalents, beginning of period</w:t>
            </w:r>
          </w:p>
        </w:tc>
        <w:tc>
          <w:tcPr>
            <w:tcW w:w="1260" w:type="dxa"/>
            <w:vAlign w:val="bottom"/>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14,420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51,505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0" w:type="dxa"/>
            <w:vAlign w:val="bottom"/>
            <w:gridSpan w:val="2"/>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end of period</w:t>
            </w:r>
          </w:p>
        </w:tc>
        <w:tc>
          <w:tcPr>
            <w:tcW w:w="1260" w:type="dxa"/>
            <w:vAlign w:val="bottom"/>
          </w:tcPr>
          <w:p>
            <w:pPr>
              <w:spacing w:after="0"/>
              <w:rPr>
                <w:sz w:val="17"/>
                <w:szCs w:val="17"/>
                <w:color w:val="auto"/>
              </w:rPr>
            </w:pPr>
          </w:p>
        </w:tc>
        <w:tc>
          <w:tcPr>
            <w:tcW w:w="1040" w:type="dxa"/>
            <w:vAlign w:val="bottom"/>
            <w:tcBorders>
              <w:bottom w:val="single" w:sz="8" w:color="auto"/>
            </w:tcBorders>
          </w:tcPr>
          <w:p>
            <w:pPr>
              <w:jc w:val="right"/>
              <w:ind w:right="88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45,150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58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80" w:type="dxa"/>
            <w:vAlign w:val="bottom"/>
          </w:tcPr>
          <w:p>
            <w:pPr>
              <w:spacing w:after="0"/>
              <w:rPr>
                <w:sz w:val="20"/>
                <w:szCs w:val="20"/>
                <w:color w:val="auto"/>
              </w:rPr>
            </w:pPr>
            <w:r>
              <w:rPr>
                <w:rFonts w:ascii="Arial" w:cs="Arial" w:eastAsia="Arial" w:hAnsi="Arial"/>
                <w:sz w:val="14"/>
                <w:szCs w:val="14"/>
                <w:color w:val="auto"/>
              </w:rPr>
              <w:t>Non-cash activities:</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Change in redemption value of noncontrolling interest</w:t>
            </w:r>
          </w:p>
        </w:tc>
        <w:tc>
          <w:tcPr>
            <w:tcW w:w="2300" w:type="dxa"/>
            <w:vAlign w:val="bottom"/>
            <w:gridSpan w:val="2"/>
            <w:shd w:val="clear" w:color="auto" w:fill="CFF0FC"/>
          </w:tcPr>
          <w:p>
            <w:pPr>
              <w:jc w:val="right"/>
              <w:ind w:right="88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(3,884)</w:t>
            </w:r>
          </w:p>
        </w:tc>
        <w:tc>
          <w:tcPr>
            <w:tcW w:w="114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580" w:type="dxa"/>
            <w:vAlign w:val="bottom"/>
          </w:tcPr>
          <w:p>
            <w:pPr>
              <w:ind w:left="240"/>
              <w:spacing w:after="0" w:line="143" w:lineRule="exact"/>
              <w:rPr>
                <w:sz w:val="20"/>
                <w:szCs w:val="20"/>
                <w:color w:val="auto"/>
              </w:rPr>
            </w:pPr>
            <w:r>
              <w:rPr>
                <w:rFonts w:ascii="Arial" w:cs="Arial" w:eastAsia="Arial" w:hAnsi="Arial"/>
                <w:sz w:val="14"/>
                <w:szCs w:val="14"/>
                <w:color w:val="auto"/>
              </w:rPr>
              <w:t>Exchange of vTv Therapeutics Inc. Class B Common Stock and vTv Therapeutics, LLC</w:t>
            </w:r>
          </w:p>
        </w:tc>
        <w:tc>
          <w:tcPr>
            <w:tcW w:w="1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80" w:type="dxa"/>
            <w:vAlign w:val="bottom"/>
          </w:tcPr>
          <w:p>
            <w:pPr>
              <w:ind w:left="340"/>
              <w:spacing w:after="0"/>
              <w:rPr>
                <w:sz w:val="20"/>
                <w:szCs w:val="20"/>
                <w:color w:val="auto"/>
              </w:rPr>
            </w:pPr>
            <w:r>
              <w:rPr>
                <w:rFonts w:ascii="Arial" w:cs="Arial" w:eastAsia="Arial" w:hAnsi="Arial"/>
                <w:sz w:val="14"/>
                <w:szCs w:val="14"/>
                <w:color w:val="auto"/>
              </w:rPr>
              <w:t>member units for vTv Therapeutics Inc. Class A Common Stock</w:t>
            </w:r>
          </w:p>
        </w:tc>
        <w:tc>
          <w:tcPr>
            <w:tcW w:w="2300" w:type="dxa"/>
            <w:vAlign w:val="bottom"/>
            <w:gridSpan w:val="2"/>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151</w:t>
            </w:r>
          </w:p>
        </w:tc>
        <w:tc>
          <w:tcPr>
            <w:tcW w:w="160" w:type="dxa"/>
            <w:vAlign w:val="bottom"/>
          </w:tcPr>
          <w:p>
            <w:pPr>
              <w:spacing w:after="0"/>
              <w:rPr>
                <w:sz w:val="15"/>
                <w:szCs w:val="15"/>
                <w:color w:val="auto"/>
              </w:rPr>
            </w:pPr>
          </w:p>
        </w:tc>
        <w:tc>
          <w:tcPr>
            <w:tcW w:w="11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vTv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Basis of Presentation and Going Concern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vTv Therapeutics Inc. (the “Company,” the “Registrant,” “we” or “us”) was incorporated in the state of Delaware in April 2015. The Company was formed to discover and develop orally administered small molecule drug candidates to fill significant unmet medical needs.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right="720" w:firstLine="518"/>
        <w:spacing w:after="0" w:line="264"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clinical-stage biopharmaceutical company engaged in the discovery and development of orally administered small molecule drug candidates to fill significant unmet medical needs.</w:t>
      </w:r>
    </w:p>
    <w:p>
      <w:pPr>
        <w:spacing w:after="0" w:line="73"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As of March 31, 2018, various holders own non-voting interests in vTv LLC, representing a 70.4% economic interest in vTv LLC, effectively restricting vTv Therapeutics Inc.’s interest to 29.6% of vTv LLC’s economic results, subject to increase in the future, should vTv Therapeutics Inc. purchase additional non-voting common units (“vTv Units”) of vTv LLC, or should the holders of vTv Units decide to exchange such units (together with shares of Class B Common Stock) for shares of Class A Common Stock (or cash) pursuant to the Exchange Agreement (as defined in Note 8). vTv Therapeutics Inc. has provided financial and other support to vTv LLC in the form of its purchase of vTv Units with the net proceeds of the Company’s initial public offering (“IPO”) in 2015 and its agreeing to be a co-borrower under the Venture Loan and Security Agreement (the “Loan Agreement”) with Horizon Technology Finance Corporation and Silicon Valley Bank (together, the “Lenders”) which was entered into in 2016 and its entrance into the letter agreement, dated as of December 5, 2017, with MacAndrews and Forbes Group LLC (the “Letter Agreement”). vTv Therapeutics Inc. will not be required to provide financial or other support for vTv LLC outside of its obligations pertaining to the Loan Agreement as a co-borrower. However, vTv Therapeutics Inc. will control its business and other activities through its managing member interest in vTv LLC, and its management is the management of vTv LLC. The creditors of vTv LLC do not have any recourse to the general credit of vTv Therapeutics Inc. except as allowed under the provisions of the Loan Agreement. Nevertheless, because vTv Therapeutics Inc. will have no material assets other than its interests in vTv LLC, any financial difficulties at vTv LLC could result in vTv Therapeutics Inc. recognizing a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225" w:lineRule="exact"/>
        <w:rPr>
          <w:sz w:val="20"/>
          <w:szCs w:val="20"/>
          <w:color w:val="auto"/>
        </w:rPr>
      </w:pPr>
    </w:p>
    <w:p>
      <w:pPr>
        <w:ind w:firstLine="851"/>
        <w:spacing w:after="0" w:line="272" w:lineRule="auto"/>
        <w:rPr>
          <w:sz w:val="20"/>
          <w:szCs w:val="20"/>
          <w:color w:val="auto"/>
        </w:rPr>
      </w:pPr>
      <w:r>
        <w:rPr>
          <w:rFonts w:ascii="Arial" w:cs="Arial" w:eastAsia="Arial" w:hAnsi="Arial"/>
          <w:sz w:val="17"/>
          <w:szCs w:val="17"/>
          <w:color w:val="auto"/>
        </w:rPr>
        <w:t>To date, the Company has not generated any product revenue and has not achieved profitable operations. The continuing development of our drug candidates will require additional financing. From its inception through March 31, 2018, the Company has funded its operations primarily through a combination of private placements of preferred equity, research collaboration agreements, upfront and milestone payments for license agreements, debt and equity financings and the completion of its IPO in August 2015. As of March 31, 2018, the Company had an accumulated deficit of $277.9 million and has generated net losses in each year of its existence. Management estimates that the cash and cash equivalents balance as of March 31, 2018 of $6.5 million and the $10.0 million of funds available under the Letter Agreement will allow the Company to continue its operations and activities for a period of less than twelve months from the issuance of these Condensed Consolidated Financial Statements.</w:t>
      </w:r>
    </w:p>
    <w:p>
      <w:pPr>
        <w:spacing w:after="0" w:line="70"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 xml:space="preserve">Based on the Company’s current operating plan, management believes that the current cash and cash equivalents will allow the Company to meet its liquidity requirements through June 2018. In April 2018, the Company announced that the results from Part A of the STEADFAST Study did not meet either co-primary efficacy endpoint. Based upon the Part A results, the Company announced that it is discontinuing current clinical studies involving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including the open-label extension study and Part B of the STEADFAST Study. On May 9, 2018, the Company announced that based on post hoc analyses of the data from Part A of the STEADFAST Study, a subpopulation was identified that showed statistically significant benefit (unadjusted for multiple post hoc comparisons) from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relative to placebo on ADAS-cog. The identified subpopulation consisted of participants with peak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blood plasma concentration of less than 7.5 ng/mL. Based on the subpopulation data analyses from the Part A study and the prior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trials, the Company will submit a revised Statistical Analysis Plan (SAP) for the Part B Study that pre-specifies 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target population for the primary study analysis and expects to report Part B topline efficacy results based on 12-month data in June 2018.</w:t>
      </w:r>
    </w:p>
    <w:p>
      <w:pPr>
        <w:spacing w:after="0" w:line="117" w:lineRule="exact"/>
        <w:rPr>
          <w:sz w:val="20"/>
          <w:szCs w:val="20"/>
          <w:color w:val="auto"/>
        </w:rPr>
      </w:pPr>
    </w:p>
    <w:p>
      <w:pPr>
        <w:ind w:right="220" w:firstLine="518"/>
        <w:spacing w:after="0" w:line="293" w:lineRule="auto"/>
        <w:rPr>
          <w:sz w:val="20"/>
          <w:szCs w:val="20"/>
          <w:color w:val="auto"/>
        </w:rPr>
      </w:pPr>
      <w:r>
        <w:rPr>
          <w:rFonts w:ascii="Arial" w:cs="Arial" w:eastAsia="Arial" w:hAnsi="Arial"/>
          <w:sz w:val="16"/>
          <w:szCs w:val="16"/>
          <w:color w:val="auto"/>
        </w:rPr>
        <w:t>Though the Company’s expected cash needs for the foreseeable future have been significantly reduced with the discontinuation of the STEADFAST and open label extension studies, the Company will require additional financing to continue its operations. The Company is seeking possible additional partnering opportunities for our GKA, GLP-1r and other drug candidates which it believes may provide additional cash for use in its operations and the continuation of clinical trials for its drug candidates. The Company may also pursue other sources of financing to provide flexibility to its operating plan. The timing and availability of such financing is not yet known. The failure of Part A of the STEADFAST Study may make it more difficult for the Company to obtain such financing. These conditions raise substantial doubt about the Company’s ability to continue as a going concern.</w:t>
      </w:r>
    </w:p>
    <w:p>
      <w:pPr>
        <w:spacing w:after="0" w:line="57" w:lineRule="exact"/>
        <w:rPr>
          <w:sz w:val="20"/>
          <w:szCs w:val="20"/>
          <w:color w:val="auto"/>
        </w:rPr>
      </w:pPr>
    </w:p>
    <w:p>
      <w:pPr>
        <w:ind w:right="40" w:firstLine="851"/>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(“GAAP”). The accompanying Condensed Consolidated Balance Sheet as of March 31, 2018, Condensed Consolidated Statements of Operations for the three months ended March 31, 2018 and 2017, Condensed Consolidated Statement of Changes in Redeemable Noncontrolling Interest and Stockholders’ Deficit for the three months ended March 31, 2018 and Condensed Consolidated Statements of Cash Flows for the three months ended March 31, 2018 and 2017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2017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March 31, 2018, the results of operations for the three months ended March 31, 2018 and 2017 and cash flows for the three months ended March 31, 2018 and 2017. The December 31, 2017 Condensed Consolidated Balance Sheet included herein was derived from the audited financial statements, but does not include all disclosures or notes required by GAAP for complete financial statements.</w:t>
      </w:r>
    </w:p>
    <w:p>
      <w:pPr>
        <w:spacing w:after="0" w:line="8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financial data and other information disclosed in these notes to the financial statements related to the three months ended March 31, 2018 and 2017 are unaudited. Interim results are not necessarily indicative of results for an entire year.</w:t>
      </w:r>
    </w:p>
    <w:p>
      <w:pPr>
        <w:spacing w:after="0" w:line="62"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On an ongoing basis, the Company evaluates its estimates, including those related to the grant date fair value of equity awards, the fair value of warrants to purchase shares of its Class A Common Stock, the fair value of the Class B Common Stock, the useful lives of property and equipment, the fair value of derivative liabilities,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ind w:right="40" w:firstLine="518"/>
        <w:spacing w:after="0" w:line="286" w:lineRule="auto"/>
        <w:rPr>
          <w:sz w:val="20"/>
          <w:szCs w:val="20"/>
          <w:color w:val="auto"/>
        </w:rPr>
      </w:pPr>
      <w:r>
        <w:rPr>
          <w:rFonts w:ascii="Arial" w:cs="Arial" w:eastAsia="Arial" w:hAnsi="Arial"/>
          <w:sz w:val="17"/>
          <w:szCs w:val="17"/>
          <w:color w:val="auto"/>
        </w:rPr>
        <w:t>The accounts receivable balances outstanding as of March 31, 2018 consisted of milestone payments receivable related to the Company’s agreement with JDRF International (“JDRF”). The accounts receivable balance at December 31, 2017 related to an upfront payment received in the first quarter of 2018 pursuant to the Company’s license agreement with Hangzhou Zhongmei Huadong Pharmaceutical Co., Ltd. (“Huadong”).</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Two and one customers represented 100% of the revenue earned during the three months ended March 31, 2018 and 2017,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any highly liquid investments with an original maturity of three months or less to be cash and cash equivalents.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Restricted cash and cash equivalents as of December 31, 2017 was $0.2 million. This amount has been received through a research, development and commercialization agreement with JDRF (the “JDRF Agreement”) but has not yet been utilized to fund the development activities required under the JDRF Agreement. There were no amounts held as restricted cash and cash equivalents as of March 31, 2018 related to this agreement. Restricted cash and cash equivalents, long-term as of March 31, 2018 and December 31, 2017 was $2.5 million at each date. These amounts relate to the minimum balance that the Company must maintain in a deposit account that is pledged to secure the Loan Agreement and is subject to an account control agreement pursuant to the Loan Agreement.</w:t>
      </w:r>
    </w:p>
    <w:p>
      <w:pPr>
        <w:spacing w:after="0" w:line="8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as of March 31, 2018 and December 31, 2017 that sum to the total of the same such amounts shown in the Condensed Consolidated Statements of Cash Flows (in thousands):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6,535</w:t>
            </w:r>
          </w:p>
        </w:tc>
        <w:tc>
          <w:tcPr>
            <w:tcW w:w="2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and cash equivalents, long-term</w:t>
            </w:r>
          </w:p>
        </w:tc>
        <w:tc>
          <w:tcPr>
            <w:tcW w:w="9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FF0FC"/>
          </w:tcPr>
          <w:p>
            <w:pPr>
              <w:spacing w:after="0"/>
              <w:rPr>
                <w:sz w:val="19"/>
                <w:szCs w:val="19"/>
                <w:color w:val="auto"/>
              </w:rPr>
            </w:pPr>
          </w:p>
        </w:tc>
      </w:tr>
      <w:tr>
        <w:trPr>
          <w:trHeight w:val="209"/>
        </w:trPr>
        <w:tc>
          <w:tcPr>
            <w:tcW w:w="5020" w:type="dxa"/>
            <w:vAlign w:val="bottom"/>
            <w:gridSpan w:val="2"/>
          </w:tcPr>
          <w:p>
            <w:pPr>
              <w:spacing w:after="0"/>
              <w:rPr>
                <w:sz w:val="20"/>
                <w:szCs w:val="20"/>
                <w:color w:val="auto"/>
              </w:rPr>
            </w:pPr>
            <w:r>
              <w:rPr>
                <w:rFonts w:ascii="Arial" w:cs="Arial" w:eastAsia="Arial" w:hAnsi="Arial"/>
                <w:sz w:val="18"/>
                <w:szCs w:val="18"/>
                <w:color w:val="auto"/>
              </w:rPr>
              <w:t>Total cash, cash equivalents and restricted cash and cash</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equivalents shown in the consolidated statement of</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cash flows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9,035</w:t>
            </w:r>
          </w:p>
        </w:tc>
        <w:tc>
          <w:tcPr>
            <w:tcW w:w="24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14,420</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In connection with the License Agreement with Reneo Pharmaceuticals, Inc. (“Reneo”) (the “Reneo License Agreement”), the Company received common stock and certain participation rights representing a minority equity interest in Reneo that is classified as a long-term investment in the Company’s Consolidated Balance Sheet as of March 31, 2018 and December 31, 2017. This investment is accounted for under the cost method because the Company owns less than 20% of the voting equity and does not have the ability to exercise significant influence over Reneo.</w:t>
      </w:r>
    </w:p>
    <w:p>
      <w:pPr>
        <w:spacing w:after="0" w:line="63"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On January 1, 2018, the Company adopted ASU No. 2016-01, “Recognition and Measurement of Financial Assets and Financial Liabilities”. This guidance requires equity investments to be measured at fair value with changes in fair value recognized in net income. Since it does not have a readily determinable market value, the Company has elected to measure its investment in Reneo at cost minus impairment, if any, plus or minus changes resulting from observable price changes in orderly transactions for the identical or similar investment.</w:t>
      </w:r>
    </w:p>
    <w:p>
      <w:pPr>
        <w:spacing w:after="0" w:line="63"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No adjustments have been made to the value of the Company’s investment in Reneo for the three months ended March 31, 2018 either due to impairment or based on observable price changes.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On January 1, 2018, the Company adopted ASC Topic 606, “Revenue From Contracts With Customers” (“ASC Topic 606”), using the modified retrospective method applied to those contracts which were not completed as of the adoption date. Results for reporting periods beginning after January 1, 2018 are presented under ASC Topic 606, while prior period amounts are not adjusted and continue to be reported in accordance with the Company’s historic accounting under ASC Topic 605.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 w:name="page11"/>
    <w:bookmarkEnd w:id="10"/>
    <w:p>
      <w:pPr>
        <w:ind w:right="540" w:firstLine="518"/>
        <w:spacing w:after="0" w:line="342" w:lineRule="auto"/>
        <w:rPr>
          <w:sz w:val="20"/>
          <w:szCs w:val="20"/>
          <w:color w:val="auto"/>
        </w:rPr>
      </w:pPr>
      <w:r>
        <w:rPr>
          <w:rFonts w:ascii="Arial" w:cs="Arial" w:eastAsia="Arial" w:hAnsi="Arial"/>
          <w:sz w:val="16"/>
          <w:szCs w:val="16"/>
          <w:color w:val="auto"/>
        </w:rPr>
        <w:t>The Company recorded a net reduction to its opening accumulated deficit of $0.2 million as of January 1, 2018 due to the cumulative impact of adopting ASC Topic 606, with the impact primarily related to the recognition of an asset for the incremental costs of obtaining contracts.</w:t>
      </w:r>
    </w:p>
    <w:p>
      <w:pPr>
        <w:spacing w:after="0" w:line="16"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50"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Major components of research and development costs include cash and share-based compensation, depreciation expense on research and development property and equipment, costs of preclinical studies, clinical trials and related clinical manufacturing, costs of drug development, costs of materials and supplies, facilities costs, overhead costs, regulatory and compliance costs, and fees paid to consultants and other entities that conduct certain research and development activities on the Company’s behalf. Research and development costs are expensed as incurred.</w:t>
      </w:r>
    </w:p>
    <w:p>
      <w:pPr>
        <w:spacing w:after="0" w:line="63"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70"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16"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that outlines a single comprehensive model for entities to use in accounting for revenue arising from contracts with customers and supersedes most current revenue recognition guidance, including industry-specific guidance. The Company adopted this guidance as of January 1, 2018 using the modified retrospective transition method. See Note 2 – “Revenue Recognition” for further details.</w:t>
      </w:r>
    </w:p>
    <w:p>
      <w:pPr>
        <w:spacing w:after="0" w:line="63"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January 2016, the FASB issued ASU No. 2016-01, “Recognition and Measurement of Financial Assets and Financial Liabilities”, which amends ASC 825-10, “Financial Instruments – Overall”. This ASU amends various aspects of the recognition, measurement, presentation and disclosure of financial instruments. This ASU is effective for fiscal years beginning after December 15, 2017, including interim periods within those fiscal years. The Company adopted this guidance in the first quarter of fiscal 2018. The Company has elected to use the measurement alternative, defined as cost, less impairments, adjusted by observable price changes. The adoption of this guidance did not have a material impact on the Company’s Condensed Consolidated Financial Statements. See Note 2 – “Investments” for further details.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 w:name="page12"/>
    <w:bookmarkEnd w:id="11"/>
    <w:p>
      <w:pPr>
        <w:ind w:right="40" w:firstLine="518"/>
        <w:spacing w:after="0" w:line="302" w:lineRule="auto"/>
        <w:rPr>
          <w:sz w:val="20"/>
          <w:szCs w:val="20"/>
          <w:color w:val="auto"/>
        </w:rPr>
      </w:pPr>
      <w:r>
        <w:rPr>
          <w:rFonts w:ascii="Arial" w:cs="Arial" w:eastAsia="Arial" w:hAnsi="Arial"/>
          <w:sz w:val="16"/>
          <w:szCs w:val="16"/>
          <w:color w:val="auto"/>
        </w:rPr>
        <w:t>In May 2017, the FASB issued ASU No. 2017-09, “Compensation-Stock Compensation (Topic 718): Scope of Modification Accounting” (“ASU 2017-09”), which clarifies the changes to terms or conditions of a share-based payment award that require an entity to apply modification accounting. ASU 2017-09 is effective for annual reporting periods, and interim periods therein, beginning after December 15, 2017. The Company adopted this guidance in the first quarter of fiscal 2018. The adoption of this guidance did not have a material impact on the Company's Condensed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February 2016, the FASB issued ASU No. 2016-02, “Lease (Topic 842)” (“ASU 2016-02”), which increases transparency and comparability among companies accounting for lease transactions. The most significant change of this update will require the recognition by a lessee of lease assets and liabilities on its balance sheet for operating lease arrangements with lease terms greater than 12 months. This update will require a modified retrospective application which includes a number of optional practical expedients related to the identification and classification of leases commenced before the effective date. This ASU is effective for fiscal years and interim periods within those fiscal years, beginning after December 15, 2018. The adoption of this guidance will result in the recognition of additional assets and liabilities related to the Company’s operating leases within its Condensed Consolidated Balance Sheets.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Reneo License Agreement</w:t>
      </w:r>
    </w:p>
    <w:p>
      <w:pPr>
        <w:spacing w:after="0" w:line="117" w:lineRule="exact"/>
        <w:rPr>
          <w:sz w:val="20"/>
          <w:szCs w:val="20"/>
          <w:color w:val="auto"/>
        </w:rPr>
      </w:pPr>
    </w:p>
    <w:p>
      <w:pPr>
        <w:ind w:right="40" w:firstLine="476"/>
        <w:spacing w:after="0" w:line="270" w:lineRule="auto"/>
        <w:rPr>
          <w:sz w:val="20"/>
          <w:szCs w:val="20"/>
          <w:color w:val="auto"/>
        </w:rPr>
      </w:pPr>
      <w:r>
        <w:rPr>
          <w:rFonts w:ascii="Arial" w:cs="Arial" w:eastAsia="Arial" w:hAnsi="Arial"/>
          <w:sz w:val="17"/>
          <w:szCs w:val="17"/>
          <w:color w:val="auto"/>
        </w:rPr>
        <w:t xml:space="preserve">On December 21, 2017, the Company entered into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7"/>
          <w:szCs w:val="17"/>
          <w:i w:val="1"/>
          <w:iCs w:val="1"/>
          <w:color w:val="auto"/>
        </w:rPr>
        <w:t>HPP593</w:t>
      </w:r>
      <w:r>
        <w:rPr>
          <w:rFonts w:ascii="Arial" w:cs="Arial" w:eastAsia="Arial" w:hAnsi="Arial"/>
          <w:sz w:val="17"/>
          <w:szCs w:val="17"/>
          <w:color w:val="auto"/>
        </w:rPr>
        <w:t>, for therapeutic, prophylactic or diagnostic application in humans. Under the terms of the Reneo License Agreement, Reneo paid the Company an</w:t>
      </w:r>
      <w:r>
        <w:rPr>
          <w:rFonts w:ascii="Arial" w:cs="Arial" w:eastAsia="Arial" w:hAnsi="Arial"/>
          <w:sz w:val="17"/>
          <w:szCs w:val="17"/>
          <w:i w:val="1"/>
          <w:iCs w:val="1"/>
          <w:color w:val="auto"/>
        </w:rPr>
        <w:t xml:space="preserve"> </w:t>
      </w:r>
      <w:r>
        <w:rPr>
          <w:rFonts w:ascii="Arial" w:cs="Arial" w:eastAsia="Arial" w:hAnsi="Arial"/>
          <w:sz w:val="17"/>
          <w:szCs w:val="17"/>
          <w:color w:val="auto"/>
        </w:rPr>
        <w:t>upfront cash payment of $3.0 million. The Company is eligible to receive additional potential development, regulatory and sales-based milestone payments totaling up to $94.5 million. In addition, Reneo is obligated to pay the Company royalty payments at mid-single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has also received common stock and certain participation rights representing a minority equity interest in Reneo.</w:t>
      </w:r>
    </w:p>
    <w:p>
      <w:pPr>
        <w:spacing w:after="0" w:line="74" w:lineRule="exact"/>
        <w:rPr>
          <w:sz w:val="20"/>
          <w:szCs w:val="20"/>
          <w:color w:val="auto"/>
        </w:rPr>
      </w:pPr>
    </w:p>
    <w:p>
      <w:pPr>
        <w:ind w:right="20" w:firstLine="476"/>
        <w:spacing w:after="0" w:line="272" w:lineRule="auto"/>
        <w:rPr>
          <w:sz w:val="20"/>
          <w:szCs w:val="20"/>
          <w:color w:val="auto"/>
        </w:rPr>
      </w:pPr>
      <w:r>
        <w:rPr>
          <w:rFonts w:ascii="Arial" w:cs="Arial" w:eastAsia="Arial" w:hAnsi="Arial"/>
          <w:sz w:val="17"/>
          <w:szCs w:val="17"/>
          <w:color w:val="auto"/>
        </w:rPr>
        <w:t>Pursuant to the terms of the Reneo License Agreement, the Company is required to provide technology transfer services for a defined period after the effective date. In accordance with ASC Topic 606, the Company identified all of the performance obligations at the inception of the Reneo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The remaining milestone payments that the Company is eligible to receive have not been included in the transaction price as of March 31, 2018, as it is not considered probable that such payments will be received. The unrecognized amount of the transaction price allocated to this performance obligation as of March 31, 2018 was $4.5 million.</w:t>
      </w:r>
    </w:p>
    <w:p>
      <w:pPr>
        <w:spacing w:after="0" w:line="70" w:lineRule="exact"/>
        <w:rPr>
          <w:sz w:val="20"/>
          <w:szCs w:val="20"/>
          <w:color w:val="auto"/>
        </w:rPr>
      </w:pPr>
    </w:p>
    <w:p>
      <w:pPr>
        <w:ind w:right="140" w:firstLine="476"/>
        <w:spacing w:after="0" w:line="259" w:lineRule="auto"/>
        <w:rPr>
          <w:sz w:val="20"/>
          <w:szCs w:val="20"/>
          <w:color w:val="auto"/>
        </w:rPr>
      </w:pPr>
      <w:r>
        <w:rPr>
          <w:rFonts w:ascii="Arial" w:cs="Arial" w:eastAsia="Arial" w:hAnsi="Arial"/>
          <w:sz w:val="18"/>
          <w:szCs w:val="18"/>
          <w:color w:val="auto"/>
        </w:rPr>
        <w:t>The Company determined that there was no discernable pattern in which the technology services would be provided during the transfer services period. As such, the Company determined that the straight-line method would be used to recognize revenue over the transfer service period. The remainder of this performance obligation will be recognized over approximately 14.5 months. For the three months ended March 31, 2018, $0.9 million of revenue has been recognized related to this combined performance obligation.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Huadong License Agreement</w:t>
      </w:r>
    </w:p>
    <w:p>
      <w:pPr>
        <w:spacing w:after="0" w:line="117" w:lineRule="exact"/>
        <w:rPr>
          <w:sz w:val="20"/>
          <w:szCs w:val="20"/>
          <w:color w:val="auto"/>
        </w:rPr>
      </w:pPr>
    </w:p>
    <w:p>
      <w:pPr>
        <w:ind w:right="80" w:firstLine="476"/>
        <w:spacing w:after="0" w:line="270" w:lineRule="auto"/>
        <w:rPr>
          <w:sz w:val="20"/>
          <w:szCs w:val="20"/>
          <w:color w:val="auto"/>
        </w:rPr>
      </w:pPr>
      <w:r>
        <w:rPr>
          <w:rFonts w:ascii="Arial" w:cs="Arial" w:eastAsia="Arial" w:hAnsi="Arial"/>
          <w:sz w:val="17"/>
          <w:szCs w:val="17"/>
          <w:color w:val="auto"/>
        </w:rPr>
        <w:t xml:space="preserve">On December 21, 2017, the Company entered into a License Agreement with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7"/>
          <w:szCs w:val="17"/>
          <w:i w:val="1"/>
          <w:iCs w:val="1"/>
          <w:color w:val="auto"/>
        </w:rPr>
        <w:t>TTP273</w:t>
      </w:r>
      <w:r>
        <w:rPr>
          <w:rFonts w:ascii="Arial" w:cs="Arial" w:eastAsia="Arial" w:hAnsi="Arial"/>
          <w:sz w:val="17"/>
          <w:szCs w:val="17"/>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 Under the terms of the Huadong License Agreement, Huadong paid the Company an initial license fee of $8.0 million and is obligated to pay potential development and regulatory milestone payments totaling up to $25.0 million, with an additional potential regulatory milestone of $20.0 million if Huadong receives regulatory approval for a central nervous system indication. In addition, the Company is eligible for an additional $50.0 million in potential sales-based milestones, as well as royalty payments ranging from low-single to low-double digit rates, based on tiered sales of licensed products.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 w:name="page13"/>
    <w:bookmarkEnd w:id="12"/>
    <w:p>
      <w:pPr>
        <w:ind w:right="60" w:firstLine="476"/>
        <w:spacing w:after="0" w:line="302" w:lineRule="auto"/>
        <w:rPr>
          <w:sz w:val="20"/>
          <w:szCs w:val="20"/>
          <w:color w:val="auto"/>
        </w:rPr>
      </w:pPr>
      <w:r>
        <w:rPr>
          <w:rFonts w:ascii="Arial" w:cs="Arial" w:eastAsia="Arial" w:hAnsi="Arial"/>
          <w:sz w:val="16"/>
          <w:szCs w:val="16"/>
          <w:color w:val="auto"/>
        </w:rPr>
        <w:t xml:space="preserve">Under the Huadong License Agreement, the Company is also responsible for conducting a Phase 2 multi-region clinical trial (the “Phase 2 MRCT”) including sites in both the United States and Huadong License Territory for the purpose of assessing the safety and efficacy of </w:t>
      </w:r>
      <w:r>
        <w:rPr>
          <w:rFonts w:ascii="Arial" w:cs="Arial" w:eastAsia="Arial" w:hAnsi="Arial"/>
          <w:sz w:val="16"/>
          <w:szCs w:val="16"/>
          <w:i w:val="1"/>
          <w:iCs w:val="1"/>
          <w:color w:val="auto"/>
        </w:rPr>
        <w:t>TTP273</w:t>
      </w:r>
      <w:r>
        <w:rPr>
          <w:rFonts w:ascii="Arial" w:cs="Arial" w:eastAsia="Arial" w:hAnsi="Arial"/>
          <w:sz w:val="16"/>
          <w:szCs w:val="16"/>
          <w:color w:val="auto"/>
        </w:rPr>
        <w:t xml:space="preserve"> in patients with type 2 diabetes. The Phase 2 MRCT will be designed to satisfy the requirements of the China Food and Drug Administration necessary in order for Huadong to begin a Phase 3 clinical trial in China. The Company will also be responsible for contributing up to $3.0 million in connection with the Phase 2 MRCT.</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accordance with ASC Topic 606, the Company identified all of the performance obligations at the inception of the Huadong License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Agreement. The significant performance obligations were determined to be (i) the exclusive license to develop and commercialize the Company’s GLP-1r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program, (ii) technology transfer services related to the chemistry and manufacturing know-how for a defined period after the effective date (iii)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obligation to sponsor and conduct the Phase 2 MRCT, (iv) the Company’s obligation to participate on a joint development committee, and (v)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obligations considered to be de minimis in nature.</w:t>
      </w:r>
    </w:p>
    <w:p>
      <w:pPr>
        <w:spacing w:after="0" w:line="103" w:lineRule="exact"/>
        <w:rPr>
          <w:sz w:val="20"/>
          <w:szCs w:val="20"/>
          <w:color w:val="auto"/>
        </w:rPr>
      </w:pPr>
    </w:p>
    <w:p>
      <w:pPr>
        <w:jc w:val="both"/>
        <w:ind w:right="80" w:firstLine="476"/>
        <w:spacing w:after="0" w:line="264" w:lineRule="auto"/>
        <w:rPr>
          <w:sz w:val="20"/>
          <w:szCs w:val="20"/>
          <w:color w:val="auto"/>
        </w:rPr>
      </w:pPr>
      <w:r>
        <w:rPr>
          <w:rFonts w:ascii="Arial" w:cs="Arial" w:eastAsia="Arial" w:hAnsi="Arial"/>
          <w:sz w:val="18"/>
          <w:szCs w:val="18"/>
          <w:color w:val="auto"/>
        </w:rPr>
        <w:t>The transaction price has been allocated to these performance obligations based on their relative standalone selling prices, which were estimated using an expected cost plus margin approach. The remaining milestone payments that the Company is eligible to receive have not been included in the transaction price as of March 31, 2018, as it is not considered probable that such payments will be received.</w:t>
      </w:r>
    </w:p>
    <w:p>
      <w:pPr>
        <w:spacing w:after="0" w:line="73" w:lineRule="exact"/>
        <w:rPr>
          <w:sz w:val="20"/>
          <w:szCs w:val="20"/>
          <w:color w:val="auto"/>
        </w:rPr>
      </w:pPr>
    </w:p>
    <w:p>
      <w:pPr>
        <w:ind w:right="100" w:firstLine="476"/>
        <w:spacing w:after="0" w:line="255" w:lineRule="auto"/>
        <w:rPr>
          <w:sz w:val="20"/>
          <w:szCs w:val="20"/>
          <w:color w:val="auto"/>
        </w:rPr>
      </w:pPr>
      <w:r>
        <w:rPr>
          <w:rFonts w:ascii="Arial" w:cs="Arial" w:eastAsia="Arial" w:hAnsi="Arial"/>
          <w:sz w:val="18"/>
          <w:szCs w:val="18"/>
          <w:color w:val="auto"/>
        </w:rPr>
        <w:t>The Company has determined that the license and technology transfer services related to the chemistry and manufacturing know-how represent a combined performance obligation because they were not capable of being distinct on their own. The unrecognized amount of the transaction price allocated to this performance obligation as of March 31, 2018 was $5.6 million. The Company also determined that there was no discernable pattern in which the technology transfer services would be provided during the transfer service period. As such, the Company determined that the straight-line method would be used to recognize revenue for this performance obligation over the transfer service period. The remainder of this performance obligation will be recognized over approximately 14.5 months. For the three months ended March 31, 2018, $1.1 million of revenue has been recognized related to this combined performance obligation.</w:t>
      </w:r>
    </w:p>
    <w:p>
      <w:pPr>
        <w:spacing w:after="0" w:line="81" w:lineRule="exact"/>
        <w:rPr>
          <w:sz w:val="20"/>
          <w:szCs w:val="20"/>
          <w:color w:val="auto"/>
        </w:rPr>
      </w:pPr>
    </w:p>
    <w:p>
      <w:pPr>
        <w:ind w:firstLine="476"/>
        <w:spacing w:after="0" w:line="257" w:lineRule="auto"/>
        <w:rPr>
          <w:sz w:val="20"/>
          <w:szCs w:val="20"/>
          <w:color w:val="auto"/>
        </w:rPr>
      </w:pPr>
      <w:r>
        <w:rPr>
          <w:rFonts w:ascii="Arial" w:cs="Arial" w:eastAsia="Arial" w:hAnsi="Arial"/>
          <w:sz w:val="18"/>
          <w:szCs w:val="18"/>
          <w:color w:val="auto"/>
        </w:rPr>
        <w:t>The Company also determined that the obligation to sponsor and conduct a portion of the Phase 2 MRCT should be treated as a separate performance obligation. A portion of the total consideration received under the Huadong License Agreement was allocated to this performance obligation based on its estimated standalone selling price. This amount was deferred as of March 31, 2018 and revenue will be recognized using the proportional performance model over the period during which the Company conducts the Phase 2 MRCT trial. No revenue for this performance obligation has been recognized during the three months ended March 31, 2018.</w:t>
      </w:r>
    </w:p>
    <w:p>
      <w:pPr>
        <w:spacing w:after="0" w:line="80" w:lineRule="exact"/>
        <w:rPr>
          <w:sz w:val="20"/>
          <w:szCs w:val="20"/>
          <w:color w:val="auto"/>
        </w:rPr>
      </w:pPr>
    </w:p>
    <w:p>
      <w:pPr>
        <w:ind w:right="440" w:firstLine="476"/>
        <w:spacing w:after="0" w:line="297" w:lineRule="auto"/>
        <w:rPr>
          <w:sz w:val="20"/>
          <w:szCs w:val="20"/>
          <w:color w:val="auto"/>
        </w:rPr>
      </w:pPr>
      <w:r>
        <w:rPr>
          <w:rFonts w:ascii="Arial" w:cs="Arial" w:eastAsia="Arial" w:hAnsi="Arial"/>
          <w:sz w:val="16"/>
          <w:szCs w:val="16"/>
          <w:color w:val="auto"/>
        </w:rPr>
        <w:t>The Company also determined that the obligation to participate in the joint development committee (the “JDC”) to oversee the development of products and the Phase 2 MRCT in accordance with the development plan should be treated as a separate performance obligation. A portion of the total consideration received under the Huadong License Agreement was allocated to this performance obligation based on its estimated standalone selling price. This amount was deferred as of March 31, 2018 and revenue will be recognized using the proportional performance model over the period of the Company’s participation on the JDC. No revenue for this performance obligation has been recognized during the three months ended March 31,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 Agreement</w:t>
      </w:r>
    </w:p>
    <w:p>
      <w:pPr>
        <w:spacing w:after="0" w:line="11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 xml:space="preserve">In August 2017, the Company entered into the JDRF Agreement to support the funding of the Simplici-T1 Study, an adaptive Phase 1b/2 study to explore the effects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type 1 diabetics. The Company initiated the Phase 1b portion of this study in the fourth quarter of 2017. According to the terms of the JDRF Agreement, JDRF will provide research funding of up to $3.0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 treatment for type 1 diabetes.</w:t>
      </w:r>
    </w:p>
    <w:p>
      <w:pPr>
        <w:spacing w:after="0" w:line="50"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Payments that the Company receives from JDRF under this agreement will be recorded as restricted cash and current liabilities, and recognized as an offset to research and development expense, based on the progress of the project, and only to the extent that the restricted cash is utilized to fund such development activities. As of March 31, 2018, the Company had received funding under this agreement of $0.3 million, with an additional $0.2 million receivable at March 31, 2018. Research and development costs were offset by a total of $0.3 million over the course of this agreement. As of March 31, 2018, the Company has recognized restricted cash of an immaterial amount related to this agreement.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54"/>
              <w:spacing w:after="0"/>
              <w:rPr>
                <w:sz w:val="20"/>
                <w:szCs w:val="20"/>
                <w:color w:val="auto"/>
              </w:rPr>
            </w:pPr>
            <w:r>
              <w:rPr>
                <w:rFonts w:ascii="Arial" w:cs="Arial" w:eastAsia="Arial" w:hAnsi="Arial"/>
                <w:sz w:val="14"/>
                <w:szCs w:val="14"/>
                <w:b w:val="1"/>
                <w:bCs w:val="1"/>
                <w:color w:val="auto"/>
                <w:w w:val="98"/>
              </w:rPr>
              <w:t>March 31, 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34"/>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8,757</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Deferred revenue - net of current portion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4,497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(2,061)</w:t>
            </w: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contract liabilities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change in our contract liabilities for the three months ended March 31, 2018 was due to the recognition of revenue based on the estimated performance of services under the related collaboration agreements. There were no changes in the estimated transaction prices for the related contracts during the three months ended March 31, 2018.</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4:Share-Based Compensation</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During the three months ended March 31, 2018, the Company issued non-qualified stock option awards to certain employees of the Company. These option awards vest ratably over a three-year period and the option awards expire after a term of ten years from the date of grant. As of March 31, 2018, the Company had total unrecognized stock-based compensation expense for its outstanding stock option awards of approximately $3.5 million, which is expected to be recognized over a weighted average period of 1.5 years. The weighted average grant date fair value of option grants during the three months ended March 31, 2018 and 2017 was $4.43 and $4.19 per option, respectively. The aggregate intrinsic value of the in-the-money awards outstanding at March 31, 2018 was $0.</w:t>
      </w:r>
    </w:p>
    <w:p>
      <w:pPr>
        <w:spacing w:after="0" w:line="85"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granted. The fair value of stock options granted was estimated using the following assumptions: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340" w:type="dxa"/>
            <w:vAlign w:val="bottom"/>
            <w:gridSpan w:val="5"/>
          </w:tcPr>
          <w:p>
            <w:pPr>
              <w:ind w:left="58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34"/>
        </w:trPr>
        <w:tc>
          <w:tcPr>
            <w:tcW w:w="20" w:type="dxa"/>
            <w:vAlign w:val="bottom"/>
          </w:tcPr>
          <w:p>
            <w:pPr>
              <w:spacing w:after="0"/>
              <w:rPr>
                <w:sz w:val="20"/>
                <w:szCs w:val="20"/>
                <w:color w:val="auto"/>
              </w:rPr>
            </w:pPr>
          </w:p>
        </w:tc>
        <w:tc>
          <w:tcPr>
            <w:tcW w:w="4780" w:type="dxa"/>
            <w:vAlign w:val="bottom"/>
            <w:tcBorders>
              <w:bottom w:val="single" w:sz="8" w:color="CFF0FC"/>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Borders>
              <w:bottom w:val="single" w:sz="8" w:color="CFF0FC"/>
            </w:tcBorders>
          </w:tcPr>
          <w:p>
            <w:pPr>
              <w:spacing w:after="0"/>
              <w:rPr>
                <w:sz w:val="20"/>
                <w:szCs w:val="20"/>
                <w:color w:val="auto"/>
              </w:rPr>
            </w:pPr>
          </w:p>
        </w:tc>
        <w:tc>
          <w:tcPr>
            <w:tcW w:w="202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71.15%</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84.22%</w:t>
            </w:r>
          </w:p>
        </w:tc>
        <w:tc>
          <w:tcPr>
            <w:tcW w:w="1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- 84.93%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2000" w:type="dxa"/>
            <w:vAlign w:val="bottom"/>
          </w:tcPr>
          <w:p>
            <w:pPr>
              <w:jc w:val="right"/>
              <w:ind w:right="77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jc w:val="right"/>
              <w:ind w:right="790"/>
              <w:spacing w:after="0"/>
              <w:rPr>
                <w:sz w:val="20"/>
                <w:szCs w:val="20"/>
                <w:color w:val="auto"/>
              </w:rPr>
            </w:pPr>
            <w:r>
              <w:rPr>
                <w:rFonts w:ascii="Arial" w:cs="Arial" w:eastAsia="Arial" w:hAnsi="Arial"/>
                <w:sz w:val="18"/>
                <w:szCs w:val="18"/>
                <w:color w:val="auto"/>
                <w:w w:val="79"/>
              </w:rPr>
              <w:t>6.0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2.69</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- 2.24%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40" w:type="dxa"/>
            <w:vAlign w:val="bottom"/>
          </w:tcPr>
          <w:p>
            <w:pPr>
              <w:spacing w:after="0"/>
              <w:rPr>
                <w:sz w:val="20"/>
                <w:szCs w:val="20"/>
                <w:color w:val="auto"/>
              </w:rPr>
            </w:pPr>
          </w:p>
        </w:tc>
        <w:tc>
          <w:tcPr>
            <w:tcW w:w="2020" w:type="dxa"/>
            <w:vAlign w:val="bottom"/>
            <w:gridSpan w:val="2"/>
          </w:tcPr>
          <w:p>
            <w:pPr>
              <w:jc w:val="right"/>
              <w:ind w:right="71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stock option awards for the three months ended March 31, 2018:</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 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2017</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1,960,732</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Granted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7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6.85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March 31, 2018</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1,990,732</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March 31, 2018</w:t>
            </w:r>
          </w:p>
        </w:tc>
        <w:tc>
          <w:tcPr>
            <w:tcW w:w="1840" w:type="dxa"/>
            <w:vAlign w:val="bottom"/>
            <w:tcBorders>
              <w:bottom w:val="single" w:sz="8" w:color="auto"/>
            </w:tcBorders>
          </w:tcPr>
          <w:p>
            <w:pPr>
              <w:spacing w:after="0" w:line="20" w:lineRule="exact"/>
              <w:rPr>
                <w:sz w:val="1"/>
                <w:szCs w:val="1"/>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1,006,917</w:t>
            </w:r>
          </w:p>
        </w:tc>
        <w:tc>
          <w:tcPr>
            <w:tcW w:w="400" w:type="dxa"/>
            <w:vAlign w:val="bottom"/>
            <w:gridSpan w:val="2"/>
            <w:vMerge w:val="continue"/>
          </w:tcPr>
          <w:p>
            <w:pPr>
              <w:spacing w:after="0"/>
              <w:rPr>
                <w:sz w:val="18"/>
                <w:szCs w:val="18"/>
                <w:color w:val="auto"/>
              </w:rPr>
            </w:pPr>
          </w:p>
        </w:tc>
        <w:tc>
          <w:tcPr>
            <w:tcW w:w="1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 Years</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Options vested and expected to vest at March 31, 2018</w:t>
            </w:r>
          </w:p>
        </w:tc>
        <w:tc>
          <w:tcPr>
            <w:tcW w:w="1840" w:type="dxa"/>
            <w:vAlign w:val="bottom"/>
          </w:tcPr>
          <w:p>
            <w:pPr>
              <w:jc w:val="right"/>
              <w:spacing w:after="0"/>
              <w:rPr>
                <w:sz w:val="20"/>
                <w:szCs w:val="20"/>
                <w:color w:val="auto"/>
              </w:rPr>
            </w:pPr>
            <w:r>
              <w:rPr>
                <w:rFonts w:ascii="Arial" w:cs="Arial" w:eastAsia="Arial" w:hAnsi="Arial"/>
                <w:sz w:val="18"/>
                <w:szCs w:val="18"/>
                <w:color w:val="auto"/>
              </w:rPr>
              <w:t>1,946,782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 Years</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RSU awards for the three months ended March 31, 2018:</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Average Grant Date 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2017</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Vested</w:t>
            </w: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(11,666)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March 31, 2018</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RSUs expected to vest at March 31, 2018</w:t>
            </w: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gridSpan w:val="2"/>
            <w:vMerge w:val="continue"/>
          </w:tcPr>
          <w:p>
            <w:pPr>
              <w:spacing w:after="0"/>
              <w:rPr>
                <w:sz w:val="18"/>
                <w:szCs w:val="18"/>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As of March 31, 2018, the Company had total unrecognized stock-based compensation expense for its outstanding RSU awards of approximately $0.1 million, which is expected to be recognized over a weighted-average period of 1.9 years. The aggregate intrinsic value of the RSUs outstanding at March 31, 2018 was $0.1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ind w:right="540" w:firstLine="577"/>
        <w:spacing w:after="0" w:line="277" w:lineRule="auto"/>
        <w:rPr>
          <w:sz w:val="20"/>
          <w:szCs w:val="20"/>
          <w:color w:val="auto"/>
        </w:rPr>
      </w:pPr>
      <w:r>
        <w:rPr>
          <w:rFonts w:ascii="Arial" w:cs="Arial" w:eastAsia="Arial" w:hAnsi="Arial"/>
          <w:sz w:val="18"/>
          <w:szCs w:val="18"/>
          <w:color w:val="auto"/>
        </w:rPr>
        <w:t>Compensation expense related to the grants of stock options and RSUs is included in research and development and general and administrative expense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40" w:type="dxa"/>
            <w:vAlign w:val="bottom"/>
            <w:gridSpan w:val="8"/>
          </w:tcPr>
          <w:p>
            <w:pPr>
              <w:jc w:val="right"/>
              <w:ind w:right="125"/>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1106"/>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6"/>
              </w:rPr>
              <w:t>399</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564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share-based compensation expense</w:t>
            </w:r>
          </w:p>
        </w:tc>
        <w:tc>
          <w:tcPr>
            <w:tcW w:w="6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106"/>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6"/>
              </w:rPr>
              <w:t>963</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Note 5:</w:t>
            </w:r>
          </w:p>
        </w:tc>
        <w:tc>
          <w:tcPr>
            <w:tcW w:w="500" w:type="dxa"/>
            <w:vAlign w:val="bottom"/>
          </w:tcPr>
          <w:p>
            <w:pPr>
              <w:spacing w:after="0" w:line="20" w:lineRule="exact"/>
              <w:rPr>
                <w:sz w:val="1"/>
                <w:szCs w:val="1"/>
                <w:color w:val="auto"/>
              </w:rPr>
            </w:pPr>
          </w:p>
        </w:tc>
        <w:tc>
          <w:tcPr>
            <w:tcW w:w="41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Notes Payable</w:t>
            </w: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4"/>
                <w:szCs w:val="24"/>
                <w:color w:val="auto"/>
              </w:rPr>
            </w:pPr>
          </w:p>
        </w:tc>
        <w:tc>
          <w:tcPr>
            <w:tcW w:w="4640" w:type="dxa"/>
            <w:vAlign w:val="bottom"/>
            <w:gridSpan w:val="2"/>
          </w:tcPr>
          <w:p>
            <w:pPr>
              <w:ind w:left="100"/>
              <w:spacing w:after="0"/>
              <w:rPr>
                <w:sz w:val="20"/>
                <w:szCs w:val="20"/>
                <w:color w:val="auto"/>
              </w:rPr>
            </w:pPr>
            <w:r>
              <w:rPr>
                <w:rFonts w:ascii="Arial" w:cs="Arial" w:eastAsia="Arial" w:hAnsi="Arial"/>
                <w:sz w:val="18"/>
                <w:szCs w:val="18"/>
                <w:color w:val="auto"/>
              </w:rPr>
              <w:t>Notes payable consist of the following (in thousands):</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4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2"/>
          </w:tcPr>
          <w:p>
            <w:pPr>
              <w:jc w:val="right"/>
              <w:ind w:right="326"/>
              <w:spacing w:after="0"/>
              <w:rPr>
                <w:sz w:val="20"/>
                <w:szCs w:val="20"/>
                <w:color w:val="auto"/>
              </w:rPr>
            </w:pPr>
            <w:r>
              <w:rPr>
                <w:rFonts w:ascii="Arial" w:cs="Arial" w:eastAsia="Arial" w:hAnsi="Arial"/>
                <w:sz w:val="18"/>
                <w:szCs w:val="18"/>
                <w:b w:val="1"/>
                <w:bCs w:val="1"/>
                <w:color w:val="auto"/>
              </w:rPr>
              <w:t>March 31, 2018</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3"/>
              </w:rPr>
              <w:t>December 31, 2017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Notes payable under the Loan Agreement</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Debt discount</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notes payable</w:t>
            </w:r>
          </w:p>
        </w:tc>
        <w:tc>
          <w:tcPr>
            <w:tcW w:w="6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19,862</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Current portion</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(6,771)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notes payable, net of current portion</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13,091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firstLine="761"/>
        <w:spacing w:after="0" w:line="277" w:lineRule="auto"/>
        <w:rPr>
          <w:sz w:val="20"/>
          <w:szCs w:val="20"/>
          <w:color w:val="auto"/>
        </w:rPr>
      </w:pPr>
      <w:r>
        <w:rPr>
          <w:rFonts w:ascii="Arial" w:cs="Arial" w:eastAsia="Arial" w:hAnsi="Arial"/>
          <w:sz w:val="18"/>
          <w:szCs w:val="18"/>
          <w:color w:val="auto"/>
        </w:rPr>
        <w:t>In October 2016, the Company entered into the Loan Agreement with Horizon Technology Finance Corporation and Silicon Valley Bank, under which the Company and vTv LLC borrowed $20.0 million.</w:t>
      </w:r>
    </w:p>
    <w:p>
      <w:pPr>
        <w:spacing w:after="0" w:line="62"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Each loan tranche bears interest at a floating rate equal to 10.5% plus the amount by which the one-month London Interbank Offer Rate (“LIBOR”) exceeds 0.5%.</w:t>
      </w:r>
    </w:p>
    <w:p>
      <w:pPr>
        <w:spacing w:after="0" w:line="62" w:lineRule="exact"/>
        <w:rPr>
          <w:sz w:val="20"/>
          <w:szCs w:val="20"/>
          <w:color w:val="auto"/>
        </w:rPr>
      </w:pPr>
    </w:p>
    <w:p>
      <w:pPr>
        <w:ind w:right="180" w:firstLine="761"/>
        <w:spacing w:after="0" w:line="272" w:lineRule="auto"/>
        <w:rPr>
          <w:sz w:val="20"/>
          <w:szCs w:val="20"/>
          <w:color w:val="auto"/>
        </w:rPr>
      </w:pPr>
      <w:r>
        <w:rPr>
          <w:rFonts w:ascii="Arial" w:cs="Arial" w:eastAsia="Arial" w:hAnsi="Arial"/>
          <w:sz w:val="17"/>
          <w:szCs w:val="17"/>
          <w:color w:val="auto"/>
        </w:rPr>
        <w:t>The Company borrowed the first tranche of $12.5 million upon close of the Loan Agreement in October 2016. The first tranche requires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The Company borrowed the second tranche of $7.5 million in March 2017. The second tranche requires only monthly interest payments until October 1, 2018 followed by equal monthly payments of principal plus accrued interest through the scheduled maturity date on October 1, 2020. In addition, a final payment for the second tranche loan equal to $0.5 million will be due on October 1, 2020, or such earlier date specified in the Loan Agreement. The availability of the third tranche of $5.0 million expired unused on June 30, 2017.</w:t>
      </w:r>
    </w:p>
    <w:p>
      <w:pPr>
        <w:spacing w:after="0" w:line="70" w:lineRule="exact"/>
        <w:rPr>
          <w:sz w:val="20"/>
          <w:szCs w:val="20"/>
          <w:color w:val="auto"/>
        </w:rPr>
      </w:pPr>
    </w:p>
    <w:p>
      <w:pPr>
        <w:jc w:val="both"/>
        <w:ind w:right="20" w:firstLine="761"/>
        <w:spacing w:after="0" w:line="342" w:lineRule="auto"/>
        <w:rPr>
          <w:sz w:val="20"/>
          <w:szCs w:val="20"/>
          <w:color w:val="auto"/>
        </w:rPr>
      </w:pPr>
      <w:r>
        <w:rPr>
          <w:rFonts w:ascii="Arial" w:cs="Arial" w:eastAsia="Arial" w:hAnsi="Arial"/>
          <w:sz w:val="16"/>
          <w:szCs w:val="16"/>
          <w:color w:val="auto"/>
        </w:rPr>
        <w:t>If the Company repays all or a portion of the loan prior to the applicable maturity date, it will pay the Lenders a prepayment penalty fee, based on a percentage of the then outstanding principal balance equal to 4.0% during the first 18 months following the funding of the second tranche and 2.0% thereafter.</w:t>
      </w:r>
    </w:p>
    <w:p>
      <w:pPr>
        <w:spacing w:after="0" w:line="16" w:lineRule="exact"/>
        <w:rPr>
          <w:sz w:val="20"/>
          <w:szCs w:val="20"/>
          <w:color w:val="auto"/>
        </w:rPr>
      </w:pPr>
    </w:p>
    <w:p>
      <w:pPr>
        <w:ind w:right="40" w:firstLine="761"/>
        <w:spacing w:after="0" w:line="259" w:lineRule="auto"/>
        <w:rPr>
          <w:sz w:val="20"/>
          <w:szCs w:val="20"/>
          <w:color w:val="auto"/>
        </w:rPr>
      </w:pPr>
      <w:r>
        <w:rPr>
          <w:rFonts w:ascii="Arial" w:cs="Arial" w:eastAsia="Arial" w:hAnsi="Arial"/>
          <w:sz w:val="18"/>
          <w:szCs w:val="18"/>
          <w:color w:val="auto"/>
        </w:rPr>
        <w:t>The Company’s obligations under the Loan Agreement are secured by a first priority security interest in substantially all of its assets. As a result of the termination of the STEADFAST Study, the Company granted the Lenders a first priority security interest in all of the Company’s intellectual property, subject to certain limited exceptions. The Company has agreed not to pledge or otherwise encumber its intellectual property assets, subject to certain exceptions.</w:t>
      </w:r>
    </w:p>
    <w:p>
      <w:pPr>
        <w:spacing w:after="0" w:line="79" w:lineRule="exact"/>
        <w:rPr>
          <w:sz w:val="20"/>
          <w:szCs w:val="20"/>
          <w:color w:val="auto"/>
        </w:rPr>
      </w:pPr>
    </w:p>
    <w:p>
      <w:pPr>
        <w:ind w:right="120" w:firstLine="761"/>
        <w:spacing w:after="0" w:line="290" w:lineRule="auto"/>
        <w:rPr>
          <w:sz w:val="20"/>
          <w:szCs w:val="20"/>
          <w:color w:val="auto"/>
        </w:rPr>
      </w:pPr>
      <w:r>
        <w:rPr>
          <w:rFonts w:ascii="Arial" w:cs="Arial" w:eastAsia="Arial" w:hAnsi="Arial"/>
          <w:sz w:val="16"/>
          <w:szCs w:val="16"/>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minimum cash balance covenant was included as part of an amendment to the Loan Agreement in connection with our entry into the Huadong License Agreement in December 2017. The Loan Agreement includes customary events of default, including payment defaults, covenant defaults, and material adverse change default. Upon the occurrence of an event of default and following any applicable cure periods, a default interest rate of an additional 5.0% will be applied to the outstanding loan balances, and the Lenders may declare all outstanding obligations immediately due and payable and take such other actions as set forth in the Loan Agreement.</w:t>
      </w:r>
    </w:p>
    <w:p>
      <w:pPr>
        <w:spacing w:after="0" w:line="58" w:lineRule="exact"/>
        <w:rPr>
          <w:sz w:val="20"/>
          <w:szCs w:val="20"/>
          <w:color w:val="auto"/>
        </w:rPr>
      </w:pPr>
    </w:p>
    <w:p>
      <w:pPr>
        <w:ind w:right="20" w:firstLine="761"/>
        <w:spacing w:after="0" w:line="255" w:lineRule="auto"/>
        <w:rPr>
          <w:sz w:val="20"/>
          <w:szCs w:val="20"/>
          <w:color w:val="auto"/>
        </w:rPr>
      </w:pPr>
      <w:r>
        <w:rPr>
          <w:rFonts w:ascii="Arial" w:cs="Arial" w:eastAsia="Arial" w:hAnsi="Arial"/>
          <w:sz w:val="18"/>
          <w:szCs w:val="18"/>
          <w:color w:val="auto"/>
        </w:rPr>
        <w:t>In connection with the Loan Agreement, the Company issued to the Lenders warrants to purchase shares of the Company’s Class A Common Stock (the “Warrants”). On October 28, 2016, the Company issued Warrants to purchase 152,580 shares of its Class A Common Stock at a per share exercise price of $6.39 per share, which aggregate exercise price represents 6.0% of the principal amount borrowed under the first tranche of the Loan Agreement and 3.0% of the amount available under the second tranche of the Loan Agreement. On March 24, 2017, in connection with the funding of the second tranche, the Company issued Warrants to purchase 38,006 shares of its Class A Common Stock at a per share exercise price of $5.92 per share, which aggregate exercise price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right="20"/>
        <w:spacing w:after="0" w:line="257" w:lineRule="auto"/>
        <w:rPr>
          <w:sz w:val="20"/>
          <w:szCs w:val="20"/>
          <w:color w:val="auto"/>
        </w:rPr>
      </w:pPr>
      <w:r>
        <w:rPr>
          <w:rFonts w:ascii="Arial" w:cs="Arial" w:eastAsia="Arial" w:hAnsi="Arial"/>
          <w:sz w:val="18"/>
          <w:szCs w:val="18"/>
          <w:color w:val="auto"/>
        </w:rPr>
        <w:t>represents 3.0% of the principal amount of the second tranche of the Loan Agreement. In each instance, the Warrants have an exercise price equal to the lower of (a) the volume weighted average price per share of the Company’s Class A Common Stock, as reported on the principal stock exchange on which the Company’s Class A Common Stock is listed, for 10 trading days prior to the issuance of the applicable Warrants or (b) the closing price of a share of the Company’s Class A Common Stock on the trading day prior to the issuance of the applicable Warrants. The Warrants will expire seven years from their date of issuance.</w:t>
      </w:r>
    </w:p>
    <w:p>
      <w:pPr>
        <w:spacing w:after="0" w:line="80" w:lineRule="exact"/>
        <w:rPr>
          <w:sz w:val="20"/>
          <w:szCs w:val="20"/>
          <w:color w:val="auto"/>
        </w:rPr>
      </w:pPr>
    </w:p>
    <w:p>
      <w:pPr>
        <w:ind w:right="180" w:firstLine="761"/>
        <w:spacing w:after="0" w:line="297" w:lineRule="auto"/>
        <w:rPr>
          <w:sz w:val="20"/>
          <w:szCs w:val="20"/>
          <w:color w:val="auto"/>
        </w:rPr>
      </w:pPr>
      <w:r>
        <w:rPr>
          <w:rFonts w:ascii="Arial" w:cs="Arial" w:eastAsia="Arial" w:hAnsi="Arial"/>
          <w:sz w:val="16"/>
          <w:szCs w:val="16"/>
          <w:color w:val="auto"/>
        </w:rPr>
        <w:t>The Company incurred $0.7 million of costs in connection with the Loan Agreement in the year ended December 31, 2016. These costs, along with the allocated fair value of the Warrants issued of $0.9 million were treated as a debt discount, and are offset against the carrying value of the notes payable in the Company’s Condensed Consolidated Balance Sheet as of March 31, 2018 and December 31, 2017. These costs will be recognized as interest expense over the term of the first tranche using the effective interest method. The final payments for the first and second loan tranches of $0.8 million and $0.5 million, respectively, will be accrued as additional interest expense, using the effective interest method, over the term of the relevant tranche.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Columbia University Agreement</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May 2015, the Company entered into a worldwide exclusive agreement with Columbia University (“Columbia”) to license certain intellectual property from Columbia. Under the agreement, the Company is obligated to pay to Columbia (1) an annual fee of $0.1 million from 2015 through 2021, (2) a potential regulatory milestone payment of $0.8 million and (3) potential royalty payments at a single digit royalty rate based on net sales of licensed products as defined in the agreement.</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 xml:space="preserve">In February 2007, the Company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8"/>
          <w:szCs w:val="18"/>
          <w:i w:val="1"/>
          <w:iCs w:val="1"/>
          <w:color w:val="auto"/>
        </w:rPr>
        <w:t>TTP399</w:t>
      </w:r>
      <w:r>
        <w:rPr>
          <w:rFonts w:ascii="Arial" w:cs="Arial" w:eastAsia="Arial" w:hAnsi="Arial"/>
          <w:sz w:val="18"/>
          <w:szCs w:val="18"/>
          <w:color w:val="auto"/>
        </w:rPr>
        <w:t>. Under the terms of the Novo License Agreement, the Company has additional potential developmental and regulatory milestone payments totaling up to $115.0 million for approval of a product. The Company may also be obligated to pay an additional $75.0 million in potential sales-based milestones, as well as royalty payments, at mid-single digit royalty rates, based on tiered sales of commercialized licensed products.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 xml:space="preserve">Under the terms of the Huadong License Agreement, vTv LLC is responsible for sponsoring the Phase 2 MRCT including sites in both the US and the Huadong License Territory for the purpose of assessing the safety and efficacy of </w:t>
      </w:r>
      <w:r>
        <w:rPr>
          <w:rFonts w:ascii="Arial" w:cs="Arial" w:eastAsia="Arial" w:hAnsi="Arial"/>
          <w:sz w:val="18"/>
          <w:szCs w:val="18"/>
          <w:i w:val="1"/>
          <w:iCs w:val="1"/>
          <w:color w:val="auto"/>
        </w:rPr>
        <w:t>TTP273</w:t>
      </w:r>
      <w:r>
        <w:rPr>
          <w:rFonts w:ascii="Arial" w:cs="Arial" w:eastAsia="Arial" w:hAnsi="Arial"/>
          <w:sz w:val="18"/>
          <w:szCs w:val="18"/>
          <w:color w:val="auto"/>
        </w:rPr>
        <w:t xml:space="preserve"> in patients with type 2 diabetes. The Phase 2 MRCT will be designed to satisfy the requirements of the China Food and Drug Administration necessary in order for Huadong to begin a Phase 3 clinical trial in China. vTv LLC will be responsible for contributing up to $3.0 million in connection with the Phase 2 MRCT.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7:Redeemable Noncontrolling Interest</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is subject to the Exchange Agreement with respect to the vTv Units representing the 70.4% noncontrolling interest in vTv LLC outstanding as of March 31, 2018 (see Note 8).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ind w:right="220" w:firstLine="518"/>
        <w:spacing w:after="0" w:line="286" w:lineRule="auto"/>
        <w:rPr>
          <w:sz w:val="20"/>
          <w:szCs w:val="20"/>
          <w:color w:val="auto"/>
        </w:rPr>
      </w:pPr>
      <w:r>
        <w:rPr>
          <w:rFonts w:ascii="Arial" w:cs="Arial" w:eastAsia="Arial" w:hAnsi="Arial"/>
          <w:sz w:val="17"/>
          <w:szCs w:val="17"/>
          <w:color w:val="auto"/>
        </w:rPr>
        <w:t>The redeemable noncontrolling interest is recognized at the higher of (1) its initial fair value plus accumulated earnings/losses associated with the noncontrolling interest or (2) the redemption value as of the balance sheet date. At March 31, 2018 and December 31, 2017, the redeemable noncontrolling interest was recorded based on the redemption value as of the balance sheet date of $120.4 million and $131.4 million, respectively.</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ind w:right="360" w:firstLine="518"/>
        <w:spacing w:after="0" w:line="286" w:lineRule="auto"/>
        <w:rPr>
          <w:sz w:val="20"/>
          <w:szCs w:val="20"/>
          <w:color w:val="auto"/>
        </w:rPr>
      </w:pPr>
      <w:r>
        <w:rPr>
          <w:rFonts w:ascii="Arial" w:cs="Arial" w:eastAsia="Arial" w:hAnsi="Arial"/>
          <w:sz w:val="17"/>
          <w:szCs w:val="17"/>
          <w:color w:val="auto"/>
        </w:rPr>
        <w:t>As of March 31, 2018, subsidiaries and affiliates of MacAndrews &amp; Forbes Incorporated (collectively “MacAndrews”) indirectly controlled 23,084,267 shares of the Company’s Class B Common Stock and 2,615,666 shares of the Company’s Class A Common Stock. As a result, MacAndrews’ holdings represent approximately 78.3% of the combined voting power of the Company’s outstanding common stock.</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117" w:lineRule="exact"/>
        <w:rPr>
          <w:sz w:val="20"/>
          <w:szCs w:val="20"/>
          <w:color w:val="auto"/>
        </w:rPr>
      </w:pPr>
    </w:p>
    <w:p>
      <w:pPr>
        <w:ind w:right="60" w:firstLine="476"/>
        <w:spacing w:after="0" w:line="273" w:lineRule="auto"/>
        <w:rPr>
          <w:sz w:val="20"/>
          <w:szCs w:val="20"/>
          <w:color w:val="auto"/>
        </w:rPr>
      </w:pPr>
      <w:r>
        <w:rPr>
          <w:rFonts w:ascii="Arial" w:cs="Arial" w:eastAsia="Arial" w:hAnsi="Arial"/>
          <w:sz w:val="17"/>
          <w:szCs w:val="17"/>
          <w:color w:val="auto"/>
        </w:rPr>
        <w:t>In December 2017, the Company entered into the Letter Agreement with MacAndrews. Under the Letter Agreement, until December 5, 2018, the Company has the right to sell to MacAndrews shares of its Class A Common Stock at a price equal to $4.38 per share, and MacAndrews has the right (exercisable up to three times) to require the Company to sell to it shares of Class A Common Stock at the same price. An aggregate of $10.0 million worth of Class A Common Stock may be sold under the Letter Agreement (whether at the Company’s or MacAndrews’ option). In addition, in connection with the Letter Agreement, the Company also issued MacAndrews warrants (the “Consideration Warrants”) to purchase 198,267 shares of the Company’s Class A Common Stock at a price of $5.04 per share, exercisable until December 5, 2024.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and MacAndrews are party to an exchange agreement (the “Exchange Agreement”) pursuant to which the vTv Units (along with a corresponding number of shares of the Class B Common Stock) are exchangeable for (i) shares of the Company’s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Any decision to require an exchange for cash rather than shares of Class A Common Stock will ultimately be determined by the entire board of directors of vTv Therapeutics Inc. (the “Board of Directors”). As of March 31, 2018, MacAndrews had not exchanged any shares under the provisions of this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w:t>
      </w:r>
    </w:p>
    <w:p>
      <w:pPr>
        <w:spacing w:after="0" w:line="8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As no shares have been exchanged by MacAndrews pursuant to the Exchange Agreement (discussed above), the Company has not recognized any liability nor has it made any payments pursuant to the Tax Receivable Agreement as of March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9:Income Taxes</w:t>
      </w:r>
    </w:p>
    <w:p>
      <w:pPr>
        <w:spacing w:after="0" w:line="12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The Company is subject to U.S. federal income taxes as well as state taxes. As a result of the Company’s operating losses, the Company did not record income tax expense for the three months ended March 31, 2018 and 2017. 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at March 31, 2018 is due to the valuation allowance against the Company’s expected net operating losses.</w:t>
      </w:r>
    </w:p>
    <w:p>
      <w:pPr>
        <w:spacing w:after="0" w:line="64"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As discussed in Note 8,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March 31, 2018.</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December 22, 2017, the U.S. federal government enacted comprehensive tax reform commonly referred to as the Tax Cuts and Jobs Act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(“TCJA”). Under ASC Topic 740, the effects of changes in tax rates and laws are recognized in the period which the new legislation is enacted. Among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things, the TCJA (1) reduces the U.S federal statutory corporate income tax rate from 35% to 21% effective January 1, 2018, (2) eliminates the corporate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alternative minimum tax, (3) eliminates the Section 199 deduction, and (4) changes rules related to uses and limitations of net operating loss carryforwards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beginning after December 31, 2017.</w:t>
      </w:r>
    </w:p>
    <w:p>
      <w:pPr>
        <w:spacing w:after="0" w:line="103"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The SEC staff issued Staff Accounting Bulletin No. 118 (“SAB 118”), which provides guidance on accounting for the tax effects of TCJA. SAB 118 provides a measurement period that should not extend beyond one year from the TCJA enactment date for companies to complete the accounting under ASC Topic 740. To the extent that a company’s accounting for certain income tax effects of the TCJA is incomplete but is able to determine a reasonable estimate, it must record a provisional estimate in the financial statements.</w:t>
      </w:r>
    </w:p>
    <w:p>
      <w:pPr>
        <w:spacing w:after="0" w:line="79"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The TCJA reduces the corporate tax rate to 21% effective January 1, 2018. While we are able to make a reasonable estimate of the impact of the reduction in the corporate rate, it may be affected by other analyses related to the TCJA. The Company will continue to assess and refine, as necessary, its accounting for the TCJA as additional guidance and interpretation is provided.</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10:Net Loss per Share</w:t>
      </w:r>
    </w:p>
    <w:p>
      <w:pPr>
        <w:spacing w:after="0" w:line="121"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5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7"/>
              </w:rPr>
              <w:t>For the Three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March 31,</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60" w:type="dxa"/>
            <w:vAlign w:val="bottom"/>
            <w:tcBorders>
              <w:bottom w:val="single" w:sz="8" w:color="CFF0FC"/>
            </w:tcBorders>
          </w:tcPr>
          <w:p>
            <w:pPr>
              <w:spacing w:after="0"/>
              <w:rPr>
                <w:sz w:val="20"/>
                <w:szCs w:val="20"/>
                <w:color w:val="auto"/>
              </w:rPr>
            </w:pPr>
          </w:p>
        </w:tc>
        <w:tc>
          <w:tcPr>
            <w:tcW w:w="26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2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(9,960)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(14,286)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Net loss attributable to noncontrolling interests</w:t>
            </w:r>
          </w:p>
        </w:tc>
        <w:tc>
          <w:tcPr>
            <w:tcW w:w="2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(7,008)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(10,066)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 basic</w:t>
            </w:r>
          </w:p>
        </w:tc>
        <w:tc>
          <w:tcPr>
            <w:tcW w:w="2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60" w:type="dxa"/>
            <w:vAlign w:val="bottom"/>
          </w:tcPr>
          <w:p>
            <w:pPr>
              <w:ind w:left="380"/>
              <w:spacing w:after="0"/>
              <w:rPr>
                <w:sz w:val="20"/>
                <w:szCs w:val="20"/>
                <w:color w:val="auto"/>
              </w:rPr>
            </w:pPr>
            <w:r>
              <w:rPr>
                <w:rFonts w:ascii="Arial" w:cs="Arial" w:eastAsia="Arial" w:hAnsi="Arial"/>
                <w:sz w:val="18"/>
                <w:szCs w:val="18"/>
                <w:color w:val="auto"/>
              </w:rPr>
              <w:t>and diluted</w:t>
            </w:r>
          </w:p>
        </w:tc>
        <w:tc>
          <w:tcPr>
            <w:tcW w:w="2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(2,952)</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(4,220)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2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Weighted-average vTv Therapeutics Inc. Class A</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Common Stock, basic and diluted</w:t>
            </w:r>
          </w:p>
        </w:tc>
        <w:tc>
          <w:tcPr>
            <w:tcW w:w="26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9,699,721</w:t>
            </w: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9,693,254</w:t>
            </w:r>
          </w:p>
        </w:tc>
        <w:tc>
          <w:tcPr>
            <w:tcW w:w="120" w:type="dxa"/>
            <w:vAlign w:val="bottom"/>
            <w:tcBorders>
              <w:bottom w:val="single" w:sz="8" w:color="CFF0FC"/>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per share of vTv Therapeutics Inc. Class A</w:t>
            </w:r>
          </w:p>
        </w:tc>
        <w:tc>
          <w:tcPr>
            <w:tcW w:w="2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2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(0.30)</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Borders>
              <w:top w:val="single" w:sz="8" w:color="CFF0FC"/>
            </w:tcBorders>
          </w:tcPr>
          <w:p>
            <w:pPr>
              <w:spacing w:after="0" w:line="20" w:lineRule="exact"/>
              <w:rPr>
                <w:sz w:val="1"/>
                <w:szCs w:val="1"/>
                <w:color w:val="auto"/>
              </w:rPr>
            </w:pPr>
          </w:p>
        </w:tc>
        <w:tc>
          <w:tcPr>
            <w:tcW w:w="2600" w:type="dxa"/>
            <w:vAlign w:val="bottom"/>
            <w:tcBorders>
              <w:top w:val="single" w:sz="8" w:color="CFF0FC"/>
              <w:bottom w:val="single" w:sz="8" w:color="CFF0FC"/>
            </w:tcBorders>
            <w:vMerge w:val="restart"/>
          </w:tcPr>
          <w:p>
            <w:pPr>
              <w:jc w:val="right"/>
              <w:ind w:right="1850"/>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Potentially dilutive securities not included in the calculation of diluted net loss per share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2018</w:t>
            </w: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2017</w:t>
            </w:r>
          </w:p>
        </w:tc>
      </w:tr>
      <w:tr>
        <w:trPr>
          <w:trHeight w:val="223"/>
        </w:trPr>
        <w:tc>
          <w:tcPr>
            <w:tcW w:w="1160" w:type="dxa"/>
            <w:vAlign w:val="bottom"/>
          </w:tcPr>
          <w:p>
            <w:pPr>
              <w:spacing w:after="0"/>
              <w:rPr>
                <w:sz w:val="19"/>
                <w:szCs w:val="19"/>
                <w:color w:val="auto"/>
              </w:rPr>
            </w:pPr>
          </w:p>
        </w:tc>
        <w:tc>
          <w:tcPr>
            <w:tcW w:w="5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2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23,119,246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1500" w:type="dxa"/>
            <w:vAlign w:val="bottom"/>
          </w:tcPr>
          <w:p>
            <w:pPr>
              <w:jc w:val="right"/>
              <w:spacing w:after="0"/>
              <w:rPr>
                <w:sz w:val="20"/>
                <w:szCs w:val="20"/>
                <w:color w:val="auto"/>
              </w:rPr>
            </w:pPr>
            <w:r>
              <w:rPr>
                <w:rFonts w:ascii="Arial" w:cs="Arial" w:eastAsia="Arial" w:hAnsi="Arial"/>
                <w:sz w:val="18"/>
                <w:szCs w:val="18"/>
                <w:color w:val="auto"/>
              </w:rPr>
              <w:t>1,990,732</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1,880,101</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23,334</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Common stock options granted under Letter Agreement</w:t>
            </w:r>
          </w:p>
        </w:tc>
        <w:tc>
          <w:tcPr>
            <w:tcW w:w="1500" w:type="dxa"/>
            <w:vAlign w:val="bottom"/>
          </w:tcPr>
          <w:p>
            <w:pPr>
              <w:jc w:val="right"/>
              <w:spacing w:after="0"/>
              <w:rPr>
                <w:sz w:val="20"/>
                <w:szCs w:val="20"/>
                <w:color w:val="auto"/>
              </w:rPr>
            </w:pPr>
            <w:r>
              <w:rPr>
                <w:rFonts w:ascii="Arial" w:cs="Arial" w:eastAsia="Arial" w:hAnsi="Arial"/>
                <w:sz w:val="18"/>
                <w:szCs w:val="18"/>
                <w:color w:val="auto"/>
              </w:rPr>
              <w:t>2,283,105</w:t>
            </w:r>
          </w:p>
        </w:tc>
        <w:tc>
          <w:tcPr>
            <w:tcW w:w="2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388,853</w:t>
            </w:r>
          </w:p>
        </w:tc>
        <w:tc>
          <w:tcPr>
            <w:tcW w:w="26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190,586</w:t>
            </w:r>
          </w:p>
        </w:tc>
        <w:tc>
          <w:tcPr>
            <w:tcW w:w="80" w:type="dxa"/>
            <w:vAlign w:val="bottom"/>
            <w:shd w:val="clear" w:color="auto" w:fill="CFF0FC"/>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7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27,780,245</w:t>
            </w:r>
          </w:p>
        </w:tc>
        <w:tc>
          <w:tcPr>
            <w:tcW w:w="2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25,224,933</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134" w:lineRule="exact"/>
        <w:rPr>
          <w:sz w:val="20"/>
          <w:szCs w:val="20"/>
          <w:color w:val="auto"/>
        </w:rPr>
      </w:pPr>
    </w:p>
    <w:p>
      <w:pPr>
        <w:ind w:left="900" w:right="40" w:hanging="379"/>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of Financial Instruments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fair value of the Company’s notes payable is considered to approximate its carrying value because it bears interest at a variable interest rate.</w:t>
      </w:r>
    </w:p>
    <w:p>
      <w:pPr>
        <w:spacing w:after="0" w:line="14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 measures the value of its investment in Reneo at cost minus impairment, if any, plus or minus changes resulting from observable price changes in orderly transactions for the identical or similar investment. During the three months ended March 31, 2018, there were no observable price changes in identical or similar investments, nor were there any indications of impairment. As such, the value of the Company’s investment in Reneo was not remeasured.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March 31, 2018 and December 31, 2017 (in thousands):</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w w:val="95"/>
              </w:rPr>
              <w:t>Quoted Prices in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March 31, 2018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50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19"/>
                <w:szCs w:val="19"/>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right="63"/>
              <w:spacing w:after="0"/>
              <w:rPr>
                <w:sz w:val="20"/>
                <w:szCs w:val="20"/>
                <w:color w:val="auto"/>
              </w:rPr>
            </w:pPr>
            <w:r>
              <w:rPr>
                <w:rFonts w:ascii="Arial" w:cs="Arial" w:eastAsia="Arial" w:hAnsi="Arial"/>
                <w:sz w:val="14"/>
                <w:szCs w:val="14"/>
                <w:b w:val="1"/>
                <w:bCs w:val="1"/>
                <w:color w:val="auto"/>
                <w:w w:val="94"/>
              </w:rPr>
              <w:t>Significant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500"/>
              <w:spacing w:after="0"/>
              <w:rPr>
                <w:sz w:val="20"/>
                <w:szCs w:val="20"/>
                <w:color w:val="auto"/>
              </w:rPr>
            </w:pPr>
            <w:r>
              <w:rPr>
                <w:rFonts w:ascii="Arial" w:cs="Arial" w:eastAsia="Arial" w:hAnsi="Arial"/>
                <w:sz w:val="18"/>
                <w:szCs w:val="18"/>
                <w:b w:val="1"/>
                <w:bCs w:val="1"/>
                <w:color w:val="auto"/>
              </w:rPr>
              <w:t>Total</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492</w:t>
            </w:r>
          </w:p>
        </w:tc>
        <w:tc>
          <w:tcPr>
            <w:tcW w:w="24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right="160" w:hanging="512"/>
        <w:spacing w:after="0" w:line="26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Fair value determined using an option pricing model based on the Company’s current capitalization. Expected volatility is based on a portfolio of selected stocks of companies believed to have market and economic characteristics similar to its own. The risk-free rate is based on the yield of U.S. government securities with the same term as the option as of the valuation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12090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9" w:name="page20"/>
    <w:bookmarkEnd w:id="19"/>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00" w:type="dxa"/>
            <w:vAlign w:val="bottom"/>
            <w:gridSpan w:val="15"/>
          </w:tcPr>
          <w:p>
            <w:pPr>
              <w:jc w:val="center"/>
              <w:ind w:right="240"/>
              <w:spacing w:after="0"/>
              <w:rPr>
                <w:sz w:val="20"/>
                <w:szCs w:val="20"/>
                <w:color w:val="auto"/>
              </w:rPr>
            </w:pPr>
            <w:r>
              <w:rPr>
                <w:rFonts w:ascii="Arial" w:cs="Arial" w:eastAsia="Arial" w:hAnsi="Arial"/>
                <w:sz w:val="14"/>
                <w:szCs w:val="14"/>
                <w:b w:val="1"/>
                <w:bCs w:val="1"/>
                <w:color w:val="auto"/>
                <w:w w:val="92"/>
              </w:rPr>
              <w:t>Changes in Level 3 instruments for the three months ended March 31, 2018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5"/>
              </w:rPr>
              <w:t>Net Change in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fair value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9"/>
              </w:rPr>
              <w:t>Purchases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Sales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included 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8"/>
              <w:spacing w:after="0"/>
              <w:rPr>
                <w:sz w:val="20"/>
                <w:szCs w:val="20"/>
                <w:color w:val="auto"/>
              </w:rPr>
            </w:pPr>
            <w:r>
              <w:rPr>
                <w:rFonts w:ascii="Arial" w:cs="Arial" w:eastAsia="Arial" w:hAnsi="Arial"/>
                <w:sz w:val="14"/>
                <w:szCs w:val="14"/>
                <w:b w:val="1"/>
                <w:bCs w:val="1"/>
                <w:color w:val="auto"/>
                <w:w w:val="97"/>
              </w:rPr>
              <w:t>January 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earnings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Issuance</w:t>
            </w:r>
          </w:p>
        </w:tc>
        <w:tc>
          <w:tcPr>
            <w:tcW w:w="220" w:type="dxa"/>
            <w:vAlign w:val="bottom"/>
          </w:tcPr>
          <w:p>
            <w:pPr>
              <w:spacing w:after="0"/>
              <w:rPr>
                <w:sz w:val="14"/>
                <w:szCs w:val="1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Repurchases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jc w:val="right"/>
              <w:ind w:right="3090"/>
              <w:spacing w:after="0"/>
              <w:rPr>
                <w:sz w:val="20"/>
                <w:szCs w:val="20"/>
                <w:color w:val="auto"/>
              </w:rPr>
            </w:pPr>
            <w:r>
              <w:rPr>
                <w:rFonts w:ascii="Arial" w:cs="Arial" w:eastAsia="Arial" w:hAnsi="Arial"/>
                <w:sz w:val="18"/>
                <w:szCs w:val="18"/>
                <w:b w:val="1"/>
                <w:bCs w:val="1"/>
                <w:color w:val="auto"/>
                <w:w w:val="79"/>
              </w:rPr>
              <w:t>2018</w:t>
            </w:r>
          </w:p>
        </w:tc>
        <w:tc>
          <w:tcPr>
            <w:tcW w:w="1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Arial" w:cs="Arial" w:eastAsia="Arial" w:hAnsi="Arial"/>
                <w:sz w:val="18"/>
                <w:szCs w:val="18"/>
                <w:color w:val="auto"/>
              </w:rPr>
              <w:t>Warrant liability, related party</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jc w:val="right"/>
              <w:ind w:right="257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FF0FC"/>
          </w:tcPr>
          <w:p>
            <w:pPr>
              <w:jc w:val="right"/>
              <w:ind w:right="3090"/>
              <w:spacing w:after="0"/>
              <w:rPr>
                <w:sz w:val="20"/>
                <w:szCs w:val="20"/>
                <w:color w:val="auto"/>
              </w:rPr>
            </w:pPr>
            <w:r>
              <w:rPr>
                <w:rFonts w:ascii="Arial" w:cs="Arial" w:eastAsia="Arial" w:hAnsi="Arial"/>
                <w:sz w:val="18"/>
                <w:szCs w:val="18"/>
                <w:b w:val="1"/>
                <w:bCs w:val="1"/>
                <w:color w:val="auto"/>
                <w:w w:val="79"/>
              </w:rPr>
              <w:t>2017</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Arial" w:cs="Arial" w:eastAsia="Arial" w:hAnsi="Arial"/>
                <w:sz w:val="18"/>
                <w:szCs w:val="18"/>
                <w:color w:val="auto"/>
              </w:rPr>
              <w:t>Warrant liability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jc w:val="right"/>
              <w:ind w:right="257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fair value of the Consideration Warrants was determined using the Black Scholes option pricing model. During the three months ended March 31, 2018, the Company recognized an expense of an insignificant amount related to the change in fair value of the Consideration Warrants. This expense was recognized as a component of other expense, related party in the Condensed Consolidated Statements of Operations. Expected volatility is based on a portfolio of selected stocks of companies believed to have market and economic characteristics similar to its own. The risk-free rate is based on the yield of U.S. government securities with the same term as the option as of the valuation date. Significant inputs utilized in the valuation of the Consideration Warrants as of March 31, 2018 were:</w:t>
      </w:r>
    </w:p>
    <w:p>
      <w:pPr>
        <w:spacing w:after="0" w:line="207" w:lineRule="exact"/>
        <w:rPr>
          <w:sz w:val="20"/>
          <w:szCs w:val="20"/>
          <w:color w:val="auto"/>
        </w:rPr>
      </w:pPr>
    </w:p>
    <w:tbl>
      <w:tblPr>
        <w:tblLayout w:type="fixed"/>
        <w:tblInd w:w="1820" w:type="dxa"/>
        <w:tblCellMar>
          <w:top w:w="0" w:type="dxa"/>
          <w:left w:w="0" w:type="dxa"/>
          <w:bottom w:w="0" w:type="dxa"/>
          <w:right w:w="0" w:type="dxa"/>
        </w:tblCellMar>
      </w:tblPr>
      <w:tr>
        <w:trPr>
          <w:trHeight w:val="24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Annual volatility</w:t>
            </w:r>
          </w:p>
        </w:tc>
        <w:tc>
          <w:tcPr>
            <w:tcW w:w="3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tcPr>
          <w:p>
            <w:pPr>
              <w:spacing w:after="0"/>
              <w:rPr>
                <w:sz w:val="20"/>
                <w:szCs w:val="20"/>
                <w:color w:val="auto"/>
              </w:rPr>
            </w:pPr>
            <w:r>
              <w:rPr>
                <w:rFonts w:ascii="Arial" w:cs="Arial" w:eastAsia="Arial" w:hAnsi="Arial"/>
                <w:sz w:val="18"/>
                <w:szCs w:val="18"/>
                <w:color w:val="auto"/>
              </w:rPr>
              <w:t>Annual risk-free rate</w:t>
            </w:r>
          </w:p>
        </w:tc>
        <w:tc>
          <w:tcPr>
            <w:tcW w:w="3260" w:type="dxa"/>
            <w:vAlign w:val="bottom"/>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Changes in the unobservable inputs noted above would impact the amount of the liability for the Consideration Warrants. Increases (decreases) in the estimates of the Company’s annual volatility would increase (decrease) the liability and an increase (decrease) in the annual risk-free rate would increase (decrease) the liability.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73" w:right="259" w:bottom="1440" w:gutter="0" w:footer="0" w:header="0"/>
        </w:sectPr>
      </w:pPr>
    </w:p>
    <w:bookmarkStart w:id="20" w:name="page21"/>
    <w:bookmarkEnd w:id="20"/>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 xml:space="preserve">We are a clinical-stage biopharmaceutical company engaged in the discovery and development of orally administered small molecule drug candidates to fill significant unmet medical needs. To date, we have primarily focused our efforts on advancing our programs for the treatment of mild Alzheimer’s disease (“AD”) and diabetes. In April 2018, we announced that results from Part A of our Phase 3 STEADFAST Study of the investigational medication </w:t>
      </w:r>
      <w:r>
        <w:rPr>
          <w:rFonts w:ascii="Arial" w:cs="Arial" w:eastAsia="Arial" w:hAnsi="Arial"/>
          <w:sz w:val="16"/>
          <w:szCs w:val="16"/>
          <w:i w:val="1"/>
          <w:iCs w:val="1"/>
          <w:color w:val="auto"/>
        </w:rPr>
        <w:t xml:space="preserve">azeliragon </w:t>
      </w:r>
      <w:r>
        <w:rPr>
          <w:rFonts w:ascii="Arial" w:cs="Arial" w:eastAsia="Arial" w:hAnsi="Arial"/>
          <w:sz w:val="16"/>
          <w:szCs w:val="16"/>
          <w:color w:val="auto"/>
        </w:rPr>
        <w:t>(TTP488) in people with mild Alzheimer’s disease (the “STEADFAST Study”) did not meet either co-primary efficacy endpoint. We announced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May 9, 2018, that based on post hoc analyses of the data from Part A of the STEADFAST Study, a subpopulation was identified that showed statistically significant benefit (unadjusted for multiple post hoc comparisons) from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relative to placebo on ADAS-cog. The identified subpopulation consisted of participants with peak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blood plasma concentration of less than 7.5 ng/mL. Based on the subpopulation data analyses from the Part A study and prior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trials, we will submit a revised Statistical Analysis Plan (SAP) for the Part B Study that pre-specifies a target population for the primary study analysis and expect to report Part B topline efficacy results based on 12-month data in June 2018.</w:t>
      </w:r>
    </w:p>
    <w:p>
      <w:pPr>
        <w:spacing w:after="0" w:line="5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 xml:space="preserve">Following the Part A announcement, we discontinued clinical studies involving </w:t>
      </w:r>
      <w:r>
        <w:rPr>
          <w:rFonts w:ascii="Arial" w:cs="Arial" w:eastAsia="Arial" w:hAnsi="Arial"/>
          <w:sz w:val="18"/>
          <w:szCs w:val="18"/>
          <w:i w:val="1"/>
          <w:iCs w:val="1"/>
          <w:color w:val="auto"/>
        </w:rPr>
        <w:t>azeliragon</w:t>
      </w:r>
      <w:r>
        <w:rPr>
          <w:rFonts w:ascii="Arial" w:cs="Arial" w:eastAsia="Arial" w:hAnsi="Arial"/>
          <w:sz w:val="18"/>
          <w:szCs w:val="18"/>
          <w:color w:val="auto"/>
        </w:rPr>
        <w:t>, including the open-label extension study and Part B of the STEADFAST Study. At the time of the closure of the Part B study, a substantial number of participants will have completed 12 months of treatment under the study protocol at the time of discontinuation.</w:t>
      </w:r>
    </w:p>
    <w:p>
      <w:pPr>
        <w:spacing w:after="0" w:line="7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 xml:space="preserve">We currently expect to continue to advance our diabetes drug candidates.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is an orally administered, liver-selective glucokinase activator (“GKA”), for which we have completed our Phase 2b clinical trial in type 2 diabetes (the “AGATA Study”) and are conducting an adaptive Phase 1/2 clinical trial in type 1 diabetes (the “SimpliciT-1 Study”). </w:t>
      </w:r>
      <w:r>
        <w:rPr>
          <w:rFonts w:ascii="Arial" w:cs="Arial" w:eastAsia="Arial" w:hAnsi="Arial"/>
          <w:sz w:val="18"/>
          <w:szCs w:val="18"/>
          <w:i w:val="1"/>
          <w:iCs w:val="1"/>
          <w:color w:val="auto"/>
        </w:rPr>
        <w:t>TTP273</w:t>
      </w:r>
      <w:r>
        <w:rPr>
          <w:rFonts w:ascii="Arial" w:cs="Arial" w:eastAsia="Arial" w:hAnsi="Arial"/>
          <w:sz w:val="18"/>
          <w:szCs w:val="18"/>
          <w:color w:val="auto"/>
        </w:rPr>
        <w:t xml:space="preserve"> is an orally administered, non-peptide agonist that targets the glucagon-like peptide-1 receptor (“GLP-1r”), for which we have completed a Phase 2 clinical trial in type 2 diabetes (the “LOGRA Study”) and are planning a Phase 2 multi-region clinical trial in type 2 diabetes.</w:t>
      </w:r>
    </w:p>
    <w:p>
      <w:pPr>
        <w:spacing w:after="0" w:line="8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In addition to our diabetes drug candidates, we also have two additional programs in various stages of preclinical and clinical development for the treatment of inflammatory disorders.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The following table summarizes our current drug candidates and their respective stages of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Alzheimer’s Program – </w:t>
      </w:r>
      <w:r>
        <w:rPr>
          <w:rFonts w:ascii="Arial" w:cs="Arial" w:eastAsia="Arial" w:hAnsi="Arial"/>
          <w:sz w:val="18"/>
          <w:szCs w:val="18"/>
          <w:b w:val="1"/>
          <w:bCs w:val="1"/>
          <w:i w:val="1"/>
          <w:iCs w:val="1"/>
          <w:color w:val="auto"/>
        </w:rPr>
        <w:t>Azeliragon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3 STEADFAST Study</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We initiated the STEADFAST Study in April 2015 pursuant to a Special Protocol Assessment (“SPA”) with the Food and Drug Administration (“FDA”). The study was conducted in the United States and certain English-speaking foreign countries under a single protocol and was designed to enroll 800 mild AD patients in total, divided equally across two independent 400-patient sub-studies, in which each subject received either a 5 mg/day dose of </w:t>
      </w:r>
      <w:r>
        <w:rPr>
          <w:rFonts w:ascii="Arial" w:cs="Arial" w:eastAsia="Arial" w:hAnsi="Arial"/>
          <w:sz w:val="18"/>
          <w:szCs w:val="18"/>
          <w:i w:val="1"/>
          <w:iCs w:val="1"/>
          <w:color w:val="auto"/>
        </w:rPr>
        <w:t xml:space="preserve">azeliragon </w:t>
      </w:r>
      <w:r>
        <w:rPr>
          <w:rFonts w:ascii="Arial" w:cs="Arial" w:eastAsia="Arial" w:hAnsi="Arial"/>
          <w:sz w:val="18"/>
          <w:szCs w:val="18"/>
          <w:color w:val="auto"/>
        </w:rPr>
        <w:t>or placebo, randomized on a one-to-one basis, added to the standard of care. In April 2018, the Company announced that the results from Part A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STEADFAST Study did not meet either co-primary efficacy endpoint. Patients taking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compared with placebo did not improve in cognitive or functional outcomes as measured by the Alzheimer’s Disease Assessment Scale-cognitive subscale (“ADAS-cog”) and the Clinical Dementia Rating Scale Sum of Boxes (“CDR-sb”).</w:t>
      </w:r>
    </w:p>
    <w:p>
      <w:pPr>
        <w:spacing w:after="0" w:line="8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 xml:space="preserve">The STEADFAST Study was comprised of two independent and identical randomized, double-blind, placebo-controlled Phase 3 trials (Part A and Part B). The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treated group in Part A had a 4.4 point decline from baseline in ADAS-Cog and a 1.6 point decline from baseline in CDR-sb compared to a placebo decline of 3.3 points and 1.6 points, respectively. These differences were not statistically significant.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was generally well-tolerated with a 25% withdrawal rate over 18 months that was similar in both the placebo and treatment arms.</w:t>
      </w:r>
    </w:p>
    <w:p>
      <w:pPr>
        <w:spacing w:after="0" w:line="63"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 xml:space="preserve">On May 9, 2018, we announced that based on post hoc analyses of the data from the Part A of the STEADFAST Study, a subpopulation was identified that showed statistically significant benefit (unadjusted for multiple post hoc comparisons) from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relative to placebo on ADAS-cog. The identified subpopulation consisted of participants with peak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blood plasma concentration of less than 7.5 ng/mL. The patients in the identified subgroup (n=~48) had a -1.9 point improvement in ADAS-cog relative to the placebo group (n=200) which was statistically significant (unadjusted for multiple post hoc comparisons) (p = 0.02), and a 0.5 point improvement on CDR-sb relative to placebo (p = .06) despite the smaller sample size. This benefit was observed at 12 months. These findings are consistent with results from an earlier Phase 2b study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 which there was a dose response with improved results in patients who had lower concentrations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 contrast, participants in the Phase 2b and Part A of the STEADFAST Study with high </w:t>
      </w:r>
      <w:r>
        <w:rPr>
          <w:rFonts w:ascii="Arial" w:cs="Arial" w:eastAsia="Arial" w:hAnsi="Arial"/>
          <w:sz w:val="17"/>
          <w:szCs w:val="17"/>
          <w:i w:val="1"/>
          <w:iCs w:val="1"/>
          <w:color w:val="auto"/>
        </w:rPr>
        <w:t xml:space="preserve">azeliragon </w:t>
      </w:r>
      <w:r>
        <w:rPr>
          <w:rFonts w:ascii="Arial" w:cs="Arial" w:eastAsia="Arial" w:hAnsi="Arial"/>
          <w:sz w:val="17"/>
          <w:szCs w:val="17"/>
          <w:color w:val="auto"/>
        </w:rPr>
        <w:t>concentrations performed worse on the ADAS-cog relative to placebo.</w:t>
      </w:r>
    </w:p>
    <w:p>
      <w:pPr>
        <w:spacing w:after="0" w:line="7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 xml:space="preserve">Following the April 2018 announcement, we discontinued clinical trials involving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including the Part B study and open label extension. At the time of the closure of the Part B study, a substantial number of participants will have completed 12 months of treatment under the study protocol. Based on the subpopulation data analyses from the Part A study and the prior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trials, we intend to prepare and file a revised Statistical Analysis Plan (SAP) to the Food and Drug Administration for the Part B Study that pre-specifies a target population for the primary study analysis. We expect to report Part B topline efficacy results based on 12-month data in June 2018.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Outlook</w:t>
      </w:r>
    </w:p>
    <w:p>
      <w:pPr>
        <w:spacing w:after="0" w:line="12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To date, we have devoted substantially all of our resources to our research and development efforts relating to our drug candidates, including conducting clinical trials with our drug candidates, providing general and administrative support for these operations and protecting our intellectual property. We do not have any products approved for sale and have not generated any revenue from drug sales. From our inception through March 31, 2018, we have funded our operations primarily through a combination of private placements of preferred equity, research collaboration agreements, upfront and milestone payments for license agreements, debt financing and the completion of our initial public offering (“IPO”) in August 2015.</w:t>
      </w:r>
    </w:p>
    <w:p>
      <w:pPr>
        <w:spacing w:after="0" w:line="64"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at least the next several years. We anticipate that our expenses will decrease as we:</w:t>
      </w:r>
    </w:p>
    <w:p>
      <w:pPr>
        <w:spacing w:after="0" w:line="62"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wind-down the STEADFAST Study and its open label extension;</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continue our research and development activities and advance our clinical programs, including our diabetes programs,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and </w:t>
      </w:r>
      <w:r>
        <w:rPr>
          <w:rFonts w:ascii="Arial" w:cs="Arial" w:eastAsia="Arial" w:hAnsi="Arial"/>
          <w:sz w:val="18"/>
          <w:szCs w:val="18"/>
          <w:i w:val="1"/>
          <w:iCs w:val="1"/>
          <w:color w:val="auto"/>
        </w:rPr>
        <w:t>TTP273</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do not expect to generate revenue from drug sales unless and until we successfully complete development and obtain marketing approval for one or more of our drug candidates, which we expect will take a number of years and will be subject to significant uncertainty. Accordingly, we will need to raise additional capital prior to the commercialization of any of our drug candidates. Until such time that we can generate substantial revenue from product sales, we expect to finance our operating activities through a combination of equity offerings, debt financings, marketing and distribution arrangements and other collaborations, strategic alliances and licensing arrangements. Nevertheless, we may be unable to raise additional funds or enter into such other arrangements when needed, on favorable terms or at all, which would have a negative impact on our liquidity and financial condition and could force us to delay, reduce the scope or eliminate one or more of our research and development programs or commercialization efforts. Failure to receive additional funding could cause us to cease operations, in part or in full.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and research fees under collaboration and license agreements.</w:t>
      </w:r>
    </w:p>
    <w:p>
      <w:pPr>
        <w:spacing w:after="0" w:line="6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salaries, benefits and related overhead expenses for personnel in research and development functions and depreciation of leasehold improvements, laboratory equipment and computers. Since we typically use our employee and infrastructure resources across multiple research and development programs such costs are not allocated to the individual projects.</w:t>
      </w:r>
    </w:p>
    <w:p>
      <w:pPr>
        <w:spacing w:after="0" w:line="59"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From our inception, including our predecessor companies, through March 31, 2018, we have incurred approximately $550.8 million in research and development expenses.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research and development expenses by project for the three months ended March 31, 2018 and 2017 were as follows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2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1100" w:type="dxa"/>
            <w:vAlign w:val="bottom"/>
            <w:vMerge w:val="restart"/>
          </w:tcPr>
          <w:p>
            <w:pPr>
              <w:jc w:val="right"/>
              <w:ind w:right="733"/>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56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14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252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6,558</w:t>
            </w:r>
          </w:p>
        </w:tc>
        <w:tc>
          <w:tcPr>
            <w:tcW w:w="118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1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8"/>
                <w:szCs w:val="18"/>
                <w:i w:val="1"/>
                <w:iCs w:val="1"/>
                <w:color w:val="auto"/>
              </w:rPr>
              <w:t>TTP273</w:t>
            </w: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projects</w:t>
            </w:r>
          </w:p>
        </w:tc>
        <w:tc>
          <w:tcPr>
            <w:tcW w:w="1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research and development expense</w:t>
            </w:r>
          </w:p>
        </w:tc>
        <w:tc>
          <w:tcPr>
            <w:tcW w:w="14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4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14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8,943</w:t>
            </w:r>
          </w:p>
        </w:tc>
        <w:tc>
          <w:tcPr>
            <w:tcW w:w="4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We expect to continue to incur research and development expenses as we wind down the STEADFAST Study and its open-label extension and as we further advance the development of our diabetes drug candidates, subject to the availability of additional funding. However, due to the termination of the STEADFAST Study and its open-label extension, we expect our overall research and development expense to decrease substantially.</w:t>
      </w:r>
    </w:p>
    <w:p>
      <w:pPr>
        <w:spacing w:after="0" w:line="3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9" w:lineRule="exact"/>
        <w:rPr>
          <w:sz w:val="20"/>
          <w:szCs w:val="20"/>
          <w:color w:val="auto"/>
        </w:rPr>
      </w:pPr>
    </w:p>
    <w:p>
      <w:pPr>
        <w:ind w:left="1040" w:right="58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receipt of regulatory approvals, if 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filing, prosecuting, defending and enforcing of patent claims and other intellectual property rights, and the expense of doing so.</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40" w:firstLine="518"/>
        <w:spacing w:after="0" w:line="312" w:lineRule="auto"/>
        <w:rPr>
          <w:sz w:val="20"/>
          <w:szCs w:val="20"/>
          <w:color w:val="auto"/>
        </w:rPr>
      </w:pPr>
      <w:r>
        <w:rPr>
          <w:rFonts w:ascii="Arial" w:cs="Arial" w:eastAsia="Arial" w:hAnsi="Arial"/>
          <w:sz w:val="16"/>
          <w:szCs w:val="16"/>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that our general and administrative expenses will decrease as a result of the discontinuation of the STEADFAST Study.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Interest expense primarily consists of cash and non-cash interest expense related to our Loan Agreement. Cash interest on the Loan Agreement is recognized at a floating interest rate equal to 10.5% plus the amount by which the one-month London Interbank Offer Rate (“LIBOR”) exceeds 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payments (which will be paid in cash upon loan maturity), all of which are recognized in our Condensed Consolidated Statement of Operations using the effective interest method.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8"/>
          </w:tcPr>
          <w:p>
            <w:pPr>
              <w:jc w:val="right"/>
              <w:ind w:right="30"/>
              <w:spacing w:after="0"/>
              <w:rPr>
                <w:sz w:val="20"/>
                <w:szCs w:val="20"/>
                <w:color w:val="auto"/>
              </w:rPr>
            </w:pPr>
            <w:r>
              <w:rPr>
                <w:rFonts w:ascii="Arial" w:cs="Arial" w:eastAsia="Arial" w:hAnsi="Arial"/>
                <w:sz w:val="14"/>
                <w:szCs w:val="14"/>
                <w:b w:val="1"/>
                <w:bCs w:val="1"/>
                <w:color w:val="auto"/>
              </w:rPr>
              <w:t>Three Months Ended March 31,</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(2,017)</w:t>
            </w:r>
          </w:p>
        </w:tc>
      </w:tr>
      <w:tr>
        <w:trPr>
          <w:trHeight w:val="230"/>
        </w:trPr>
        <w:tc>
          <w:tcPr>
            <w:tcW w:w="2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(569)</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(7,008)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(10,066)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Revenue was $2.1 million for the three months ended March 31, 2018 and was insignificant for the three months ended March 31, 2017. The revenue earned during the three months ended March 31, 2018 primarily relates to the Huadong and Reneo License Agreements, which were entered into in December 2017. We recognize the portion of the consideration received allocated to the license performance obligation for each of these agreements over the requisite knowledge transfer or research service periods in accordance with the applicable accounting guidance. The portion of revenue allocated to the other performance obligations under the license agreements will be recognized as performance occurs.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Research and development expenses were $8.9 million and $11.0 million for the three months ended March 31, 2018 and 2017, respectively. The decrease in research and development expenses during the period of $2.0 million, or 18.4%, was primarily due to:</w:t>
      </w:r>
    </w:p>
    <w:p>
      <w:pPr>
        <w:spacing w:after="0" w:line="62" w:lineRule="exact"/>
        <w:rPr>
          <w:sz w:val="20"/>
          <w:szCs w:val="20"/>
          <w:color w:val="auto"/>
        </w:rPr>
      </w:pPr>
    </w:p>
    <w:p>
      <w:pPr>
        <w:ind w:left="1040" w:right="6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decrease in clinical trial costs of $1.5 million for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which was mainly driven by a decrease of $1.9 million as we reached completion of Part A of our STEADFAST Study, offset by an increase of $0.7 million related to the costs for our open-label extension (“OLE”) trial as patients completing the STEADFAST Study elected to roll into the OLE trial.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ind w:left="1040" w:right="380"/>
        <w:spacing w:after="0" w:line="277" w:lineRule="auto"/>
        <w:rPr>
          <w:sz w:val="20"/>
          <w:szCs w:val="20"/>
          <w:color w:val="auto"/>
        </w:rPr>
      </w:pPr>
      <w:r>
        <w:rPr>
          <w:rFonts w:ascii="Arial" w:cs="Arial" w:eastAsia="Arial" w:hAnsi="Arial"/>
          <w:sz w:val="18"/>
          <w:szCs w:val="18"/>
          <w:color w:val="auto"/>
        </w:rPr>
        <w:t>Additionally, there were decreases in costs related to other adjunct studies being performed in 2017 which were completed prior to the first quarter of 2018;</w:t>
      </w:r>
    </w:p>
    <w:p>
      <w:pPr>
        <w:spacing w:after="0" w:line="62" w:lineRule="exact"/>
        <w:rPr>
          <w:sz w:val="20"/>
          <w:szCs w:val="20"/>
          <w:color w:val="auto"/>
        </w:rPr>
      </w:pPr>
    </w:p>
    <w:p>
      <w:pPr>
        <w:ind w:left="1040" w:right="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Costs related to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the first quarter of 2018 increased $0.1 million from the three months ended March 31, 2017, due to the initiation of the Simplici-T1 Study in the fourth quarter of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research and development expenses will decrease as we wind down the STEADFAST Study.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General and administrative expenses were $2.3 million and $2.8 million for the three months ended March 31, 2018 and 2017, respectively. The decrease in general and administrative expenses during the period of $0.6 million, or 20.1%, was primarily attributable to decreases in the amount of incentive compensation expected to be paid to our employees.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general and administrative expenses will decrease with the discontinuation of the STEADFAST Study.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Interest expense was $0.9 million and $0.6 million for the three months ended March 31, 2018 and 2017, respectively. Interest expense relates to the cash and non-cash interest for our Loan Agreement which was finalized in late October 2016 and which bears interest at 10.5% plus the amount by which the one-month LIBOR exceeds 0.5%.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Going Concern</w:t>
      </w:r>
    </w:p>
    <w:p>
      <w:pPr>
        <w:spacing w:after="0" w:line="117"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As of March 31, 2018, we have an accumulated deficit of $277.9 million as well as a history of negative cash flows from operating activities. We anticipate that we will continue to incur losses for the foreseeable future as we continue our clinical trials. Further, we expect that we will need additional capital to continue to fund our operations. Our currently available sources of liquidity include our cash and cash equivalents of $6.5 million at March 31, 2018 and the $10.0 million of funds available under the Letter Agreement. Based on our current operating plan, we believe that our current cash and cash equivalents will allow us to meet our liquidity requirements through June 2018. These factors raise substantial doubt regarding our ability to continue as a going concern. In addition to available cash and cash equivalents, we are seeking possible partnering opportunities for our GKA, GLP-1r and other drug candidates which we believe may provide additional cash for use in our operations and the continuation of the clinical trials for our drug candidates. We may also pursue other sources of additional financing to provide flexibility to our operating plan. The timing and availability of such additional financing is not yet known and the failure of Part A of our STEADFAST Study may make it more difficult for the Company to obtain such financing.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December 2017, we entered into the Letter Agreement with MacAndrews. Under the Letter Agreement, until December 5, 2018, we have the right to sell to MacAndrews shares of our Class A common stock at a price equal to $4.38 per share, and MacAndrews has the right (exercisable up to three times) to require us to sell to it shares of Class A common stock at the same price. An aggregate of $10.0 million worth of Class A common stock may be sold under the Letter Agreement (whether at our or MacAndrews’ option). In addition, in connection with the Letter Agreement, we also issued to MacAndrews warrants to purchase 198,267 shares of our Class A common stock at a price of $5.04 per share, exercisable until December 5, 2024.</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Transaction</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In October 2016, we and vTv LLC entered into the Loan Agreement, under which we have borrowed $20.0 million. Each loan tranche bears interest at a floating rate equal to 10.5% plus the amount by which the one-month LIBOR exceeds 0.5%.</w:t>
      </w:r>
    </w:p>
    <w:p>
      <w:pPr>
        <w:spacing w:after="0" w:line="62" w:lineRule="exact"/>
        <w:rPr>
          <w:sz w:val="20"/>
          <w:szCs w:val="20"/>
          <w:color w:val="auto"/>
        </w:rPr>
      </w:pPr>
    </w:p>
    <w:p>
      <w:pPr>
        <w:ind w:right="220" w:firstLine="518"/>
        <w:spacing w:after="0" w:line="272" w:lineRule="auto"/>
        <w:rPr>
          <w:sz w:val="20"/>
          <w:szCs w:val="20"/>
          <w:color w:val="auto"/>
        </w:rPr>
      </w:pPr>
      <w:r>
        <w:rPr>
          <w:rFonts w:ascii="Arial" w:cs="Arial" w:eastAsia="Arial" w:hAnsi="Arial"/>
          <w:sz w:val="17"/>
          <w:szCs w:val="17"/>
          <w:color w:val="auto"/>
        </w:rPr>
        <w:t>We borrowed the first tranche of $12.5 million upon the close of the Loan Agreement in October 2016. The first tranche requires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We borrowed the second tranche of $7.5 million in March 2017. The second tranche requires only monthly interest payments until October 1, 2018, followed by equal monthly payments of principal plus accrued interest through the scheduled maturity date on October 1, 2020. In addition, a final payment for the second tranche loan equal to $0.5 million will be due on October 1, 2020, or such earlier date specified in the Loan Agreement. The availability of the third tranche of $5.0 million expired unused on June 30,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ind w:right="100" w:firstLine="518"/>
        <w:spacing w:after="0" w:line="342" w:lineRule="auto"/>
        <w:rPr>
          <w:sz w:val="20"/>
          <w:szCs w:val="20"/>
          <w:color w:val="auto"/>
        </w:rPr>
      </w:pPr>
      <w:r>
        <w:rPr>
          <w:rFonts w:ascii="Arial" w:cs="Arial" w:eastAsia="Arial" w:hAnsi="Arial"/>
          <w:sz w:val="16"/>
          <w:szCs w:val="16"/>
          <w:color w:val="auto"/>
        </w:rPr>
        <w:t>If we repay all or a portion of the loan prior to the applicable maturity date, we will pay the Lenders a prepayment penalty fee, based on a percentage of the then outstanding principal balance equal to 4.0% during the first 18 months following the funding of the second tranche and 2.0% thereafter.</w:t>
      </w:r>
    </w:p>
    <w:p>
      <w:pPr>
        <w:spacing w:after="0" w:line="16" w:lineRule="exact"/>
        <w:rPr>
          <w:sz w:val="20"/>
          <w:szCs w:val="20"/>
          <w:color w:val="auto"/>
        </w:rPr>
      </w:pPr>
    </w:p>
    <w:p>
      <w:pPr>
        <w:ind w:right="140" w:firstLine="518"/>
        <w:spacing w:after="0" w:line="289" w:lineRule="auto"/>
        <w:rPr>
          <w:sz w:val="20"/>
          <w:szCs w:val="20"/>
          <w:color w:val="auto"/>
        </w:rPr>
      </w:pPr>
      <w:r>
        <w:rPr>
          <w:rFonts w:ascii="Arial" w:cs="Arial" w:eastAsia="Arial" w:hAnsi="Arial"/>
          <w:sz w:val="16"/>
          <w:szCs w:val="16"/>
          <w:color w:val="auto"/>
        </w:rPr>
        <w:t>In connection with the Loan Agreement, we have issued to the Lenders warrants to purchase shares of our Class A common stock (the “Warrants”). On October 28, 2016, we issued Warrants to purchase 152,580 shares of our Class A common stock at a per share exercise price of $6.39 per share, which aggregate exercise price represents 6.0% of the principal amount borrowed under the first tranche of the Loan Agreement and 3.0% of the amount available under the second tranche of the Loan Agreement. On March 24, 2017, in connection with the funding of the second tranche, we issued Warrants to purchase 38,006 shares of our Class A common stock at a per share exercise price of $5.92 per share, which aggregate exercise price represents 3.0% of the principal amount of the second tranche. In each instance, the Warrants have an exercise price equal to the lower of (a) the volume weighted average price per share of our Class A common stock, as reported on the principal stock exchange on which our Class A common stock is listed, for 10 trading days prior to the issuance of the applicable Warrants or (b) the closing price of a share of our Class A common stock on the trading day prior to the issuance of the applicable Warrants. The Warrants will expire seven years from their date of issuance.</w:t>
      </w:r>
    </w:p>
    <w:p>
      <w:pPr>
        <w:spacing w:after="0" w:line="59"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minimum cash balance covenant was included as part of an amendment to the Loan Agreement in connection with our entry into the Huadong License Agreement in December 2017. The Loan Agreement includes customary events of default, including payment defaults, covenant defaults, and material adverse change default. Upon the occurrence of an event of default and following any applicable cure periods, a default interest rate of an additional 5.0% will be applied to the outstanding loan balances, and the Lenders may declare all outstanding obligations immediately due and payable and take such other actions as set forth in the Loan Agreement. As a result of the termination of the STEADFAST Study, we granted the Lenders a first priority security interest in all of our intellectual property, subject to certain limited exceptions.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(5,397)</w:t>
            </w:r>
          </w:p>
        </w:tc>
        <w:tc>
          <w:tcPr>
            <w:tcW w:w="3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(13,816)</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38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For the three months ended March 31, 2018, our net cash used in operating activities decreased $8.4 million from the three months ended March 31, 2017. The decreased use of cash was driven by both lower expenses in the first quarter of fiscal 2018 as well as the receipt of the upfront amounts due to us under the Huadong agreement and other changes in working capital.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2018 and 2017, net cash used in investing activities was insignificant.</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For the three months ended March 31, 2018, net cash provided by financing activities was insignificant. For the three months ended March 31, 2017, net cash provided by financing activities was $7.5 million, as we borrowed the second tranche under our Loan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To date, we have not generated any revenue from drug product sales. We do not know when, or if, we will generate any revenue from drug product sales. We do not expect to generate revenue from drug sales unless and until we obtain regulatory approval of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commercialize any of our drug candidates. We anticipate that we will need substantial additional funding in connection with our continuing operations.</w:t>
      </w:r>
    </w:p>
    <w:p>
      <w:pPr>
        <w:spacing w:after="0" w:line="12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Based on our current operating plan, we believe that our current cash and cash equivalents and other committed sources of funds under the Letter Agreement will allow us to meet our liquidity requirements through June 2018. In addition to the available cash and cash equivalents and other sources of liquidity, we are seeking possible additional partnering opportunities for our GKA, GLP-1r and other drug candidates which we believe may provide additional cash for use in our operations and the continuation of the clinical trials for our drug candidates. We may also pursue other sources of financing to provide flexibility to our operating plan. The timing and availability of such financing is not yet known and the failure of Part A of our STEADFAST Study may make it more difficult for the Company to obtain such financing.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40" w:right="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of costs associated with the wind-down of the STEADFAST Study and the OLE, as well as work required to complete the analysis of Part B data;</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and ability to retain management and scientific and medical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amount of any payments we are required to make to M&amp;F TTP Holdings Two LLC in the future under the Tax Receivable Agreement.</w:t>
      </w:r>
    </w:p>
    <w:p>
      <w:pPr>
        <w:spacing w:after="0" w:line="129"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Letter Agreement.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which could adversely affect our business prospects.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Contractual Obligations and Commitments</w:t>
      </w:r>
    </w:p>
    <w:p>
      <w:pPr>
        <w:spacing w:after="0" w:line="121" w:lineRule="exact"/>
        <w:rPr>
          <w:sz w:val="20"/>
          <w:szCs w:val="20"/>
          <w:color w:val="auto"/>
        </w:rPr>
      </w:pPr>
    </w:p>
    <w:p>
      <w:pPr>
        <w:ind w:right="540" w:firstLine="521"/>
        <w:spacing w:after="0" w:line="264" w:lineRule="auto"/>
        <w:rPr>
          <w:sz w:val="20"/>
          <w:szCs w:val="20"/>
          <w:color w:val="auto"/>
        </w:rPr>
      </w:pPr>
      <w:r>
        <w:rPr>
          <w:rFonts w:ascii="Arial" w:cs="Arial" w:eastAsia="Arial" w:hAnsi="Arial"/>
          <w:sz w:val="18"/>
          <w:szCs w:val="18"/>
          <w:color w:val="auto"/>
        </w:rPr>
        <w:t>As of March 31, 2018, there were no material changes to our total contractual cash obligations, as set forth in the contractual obligations and commitments disclosure included in Part II, Item 7. “Management’s Discussion and Analysis of Financial Condition and Results of Operations” of our Annual Report on Form 10-K for the year ended December 31, 2017.</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8" w:name="page29"/>
    <w:bookmarkEnd w:id="28"/>
    <w:p>
      <w:pPr>
        <w:ind w:right="80" w:firstLine="521"/>
        <w:spacing w:after="0" w:line="264" w:lineRule="auto"/>
        <w:rPr>
          <w:sz w:val="20"/>
          <w:szCs w:val="20"/>
          <w:color w:val="auto"/>
        </w:rPr>
      </w:pPr>
      <w:r>
        <w:rPr>
          <w:rFonts w:ascii="Arial" w:cs="Arial" w:eastAsia="Arial" w:hAnsi="Arial"/>
          <w:sz w:val="18"/>
          <w:szCs w:val="18"/>
          <w:color w:val="auto"/>
        </w:rPr>
        <w:t>We enter into contracts in the normal course of business with CROs for clinical trials and clinical supply manufacturing and with vendors for preclinical research studies and other services and products for operating purposes, which generally provide for termination or cancellation within 30 days of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21"/>
        <w:spacing w:after="0" w:line="255" w:lineRule="auto"/>
        <w:rPr>
          <w:sz w:val="20"/>
          <w:szCs w:val="20"/>
          <w:color w:val="auto"/>
        </w:rPr>
      </w:pPr>
      <w:r>
        <w:rPr>
          <w:rFonts w:ascii="Arial" w:cs="Arial" w:eastAsia="Arial" w:hAnsi="Arial"/>
          <w:sz w:val="18"/>
          <w:szCs w:val="18"/>
          <w:color w:val="auto"/>
        </w:rPr>
        <w:t>In December 2017, we entered into the Letter Agreement with MacAndrews to provide additional funding for our operations. Under the Letter Agreement, until December 5, 2018, we have the right to sell to MacAndrews shares of our Class A common stock at a price equal to $4.38 per share, and MacAndrews has the right (exercisable up to three times) to require us to sell to it shares of Class A common stock at the same price. An aggregate of $10.0 million worth of Class A common stock may be sold under the Letter Agreement (whether at our or MacAndrews’ option). In addition, in connection with the Letter Agreement, we also issued MacAndrews warrants to purchase 198,267 shares of our Class A common stock at a price of $5.04 per share, exercisable until December 5, 2024.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For a discussion of our critical accounting policies and estimates, please refer to Part II, Item 7. “Management’s Discussion and Analysis of Financial Condition and Results of Operations” in our Annual Report on Form 10-K for the year ended December 31, 2017. Significant changes made to our critical accounting policies and estimates in 2018 with respect to our adoption of Accounting Standards Codification Topic 606 “Revenue From Contracts with Customers” are discussed within Note 2 of the Condensed Consolidated Financial Statements included in Item 1 of this Quarterly Report on Form 10-Q.</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spacing w:after="0" w:line="6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Condensed Consolidated Financial Statements in this Form 10-Q.</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9" w:name="page30"/>
    <w:bookmarkEnd w:id="29"/>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Loan Agreement bears interest at a floating rate equal to 10.5% plus the amount by which the one-month LIBOR exceeds 0.5%. A one percent increase in the variable rate of interest on the Loan Agreement would increase interest expense by approximately $0.2 million annually based on the amounts currently outstanding. We do not currently hedge our interest rate exposure.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The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material foreign currency exposure.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March 31, 2018. Based upon that evaluation, our Chief Executive Officer and Chief Financial Officer concluded that, as of March 31, 2018,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5"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ind w:right="80"/>
        <w:spacing w:after="0" w:line="312" w:lineRule="auto"/>
        <w:rPr>
          <w:sz w:val="20"/>
          <w:szCs w:val="20"/>
          <w:color w:val="auto"/>
        </w:rPr>
      </w:pPr>
      <w:r>
        <w:rPr>
          <w:rFonts w:ascii="Arial" w:cs="Arial" w:eastAsia="Arial" w:hAnsi="Arial"/>
          <w:sz w:val="16"/>
          <w:szCs w:val="16"/>
          <w:color w:val="auto"/>
        </w:rPr>
        <w:t>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 addition to the risk factors listed below and other information in this report, investors should carefully consider the risk factors set forth under the heading “Risk Factors” under Item 1A of Part I in our Annual Report on Form 10-K for the year ended December 31, 2017.</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continue the development of, obtain regulatory approval for, or successfully commercialize azeliragon.</w:t>
      </w:r>
    </w:p>
    <w:p>
      <w:pPr>
        <w:spacing w:after="0" w:line="117"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 xml:space="preserve">We have expended considerable resources and efforts on the development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In April 2018, we announced that results from Part A of our Phase 3 STEADFAST Study of the investigational medication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(TTP488) in people with mild Alzheimer’s disease (the “STEADFAST Study”) did not meet either co-primary efficacy endpoint as required by the Special Protocol Agreement (“SPA”) with the FDA.</w:t>
      </w:r>
    </w:p>
    <w:p>
      <w:pPr>
        <w:spacing w:after="0" w:line="73"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 xml:space="preserve">On May 9, 2018, we announced that based on post hoc analyses of the data from the Part A of the STEADFAST Study, a subpopulation was identified that showed statistically significant benefit (unadjusted for multiple post hoc comparisons) from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relative to placebo on ADAS-cog. The identified subpopulation consisted of participants with peak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blood plasma concentration of less than 7.5 ng/mL. The patients in the identified subgroup (n=~48) had a -1.9 point improvement in ADAS-cog relative to the placebo group (n=200) which was statistically significant (unadjusted for multiple post hoc comparisons) (p = 0.02), and a 0.5 point improvement on CDR-sb relative to placebo (p = .06) despite the smaller sample size. This benefit was observed at 12 months. These findings are consistent with results from an earlier Phase 2b study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 which there was a dose response with improved results in patients who had lower concentrations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 contrast, participants in the Phase 2b and Part A of the STEADFAST Study with high </w:t>
      </w:r>
      <w:r>
        <w:rPr>
          <w:rFonts w:ascii="Arial" w:cs="Arial" w:eastAsia="Arial" w:hAnsi="Arial"/>
          <w:sz w:val="17"/>
          <w:szCs w:val="17"/>
          <w:i w:val="1"/>
          <w:iCs w:val="1"/>
          <w:color w:val="auto"/>
        </w:rPr>
        <w:t xml:space="preserve">azeliragon </w:t>
      </w:r>
      <w:r>
        <w:rPr>
          <w:rFonts w:ascii="Arial" w:cs="Arial" w:eastAsia="Arial" w:hAnsi="Arial"/>
          <w:sz w:val="17"/>
          <w:szCs w:val="17"/>
          <w:color w:val="auto"/>
        </w:rPr>
        <w:t>concentrations performed worse on the ADAS-cog relative to placebo.</w:t>
      </w:r>
    </w:p>
    <w:p>
      <w:pPr>
        <w:spacing w:after="0" w:line="7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Following the April 2018 announcement, we discontinued clinical trials involving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including the Part B study and open label extension. At the time of the closure of the Part B study, a substantial number of participants will have completed 12 months of treatment under the study protocol. We intend to use the subpopulation data analyses from the Part A study and prior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trials to prepare and file a revised Statistical Analysis Plan (SAP) to the Food and Drug Administration for the Part B Study that pre-specifies a target population for the primary study analysis. We expect to report Part B topline efficacy results based on 12-month data in June 2018.</w:t>
      </w:r>
    </w:p>
    <w:p>
      <w:pPr>
        <w:spacing w:after="0" w:line="8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 xml:space="preserve">The failure of Part A of our STEADFAST clinical trial to meet its co-primary endpoints is expected to delay the potential commercialization of </w:t>
      </w:r>
      <w:r>
        <w:rPr>
          <w:rFonts w:ascii="Arial" w:cs="Arial" w:eastAsia="Arial" w:hAnsi="Arial"/>
          <w:sz w:val="17"/>
          <w:szCs w:val="17"/>
          <w:i w:val="1"/>
          <w:iCs w:val="1"/>
          <w:color w:val="auto"/>
        </w:rPr>
        <w:t xml:space="preserve">azeliragon </w:t>
      </w:r>
      <w:r>
        <w:rPr>
          <w:rFonts w:ascii="Arial" w:cs="Arial" w:eastAsia="Arial" w:hAnsi="Arial"/>
          <w:sz w:val="17"/>
          <w:szCs w:val="17"/>
          <w:color w:val="auto"/>
        </w:rPr>
        <w:t>and may make such commercialization more difficult, or impossible. Even if the subpopulation that showed benefit is confirmed as a prespecified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analysis for Part B, we will likely need to do additional clinical and non-clinical work to be able to continue to develop and commercialize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Specifically, we may need to commence and complete additional clinical trials that satisfy the specified primary endpoint criteria, manage clinical and manufacturing activities, obtain necessary regulatory approvals from the FDA and comparable regulatory authorities elsewhere, and, if approved, successfully market and commercialize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If we continue with the development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there is no guarantee that we will be able to successfully complete these steps, and if we do not continue with the development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then we may not be able to continue our business in its current form and will be required to pursue alternative business strategies. As an organization, we have never completed a successful Phase 3 clinical trial or submitted a New Drug Application before, and we may be unsuccessful in doing so for </w:t>
      </w:r>
      <w:r>
        <w:rPr>
          <w:rFonts w:ascii="Arial" w:cs="Arial" w:eastAsia="Arial" w:hAnsi="Arial"/>
          <w:sz w:val="17"/>
          <w:szCs w:val="17"/>
          <w:i w:val="1"/>
          <w:iCs w:val="1"/>
          <w:color w:val="auto"/>
        </w:rPr>
        <w:t>azeliragon</w:t>
      </w:r>
      <w:r>
        <w:rPr>
          <w:rFonts w:ascii="Arial" w:cs="Arial" w:eastAsia="Arial" w:hAnsi="Arial"/>
          <w:sz w:val="17"/>
          <w:szCs w:val="17"/>
          <w:color w:val="auto"/>
        </w:rPr>
        <w:t>.</w:t>
      </w:r>
    </w:p>
    <w:p>
      <w:pPr>
        <w:spacing w:after="0" w:line="2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there is a substantial doubt about our ability to continue as a going concern; if we fail to raise additional funding we will cease operations and/or seek protection under applicable bankruptcy laws.</w:t>
      </w:r>
    </w:p>
    <w:p>
      <w:pPr>
        <w:spacing w:after="0" w:line="62" w:lineRule="exact"/>
        <w:rPr>
          <w:sz w:val="20"/>
          <w:szCs w:val="20"/>
          <w:color w:val="auto"/>
        </w:rPr>
      </w:pPr>
    </w:p>
    <w:p>
      <w:pPr>
        <w:ind w:right="80" w:firstLine="761"/>
        <w:spacing w:after="0" w:line="259" w:lineRule="auto"/>
        <w:rPr>
          <w:sz w:val="20"/>
          <w:szCs w:val="20"/>
          <w:color w:val="auto"/>
        </w:rPr>
      </w:pPr>
      <w:r>
        <w:rPr>
          <w:rFonts w:ascii="Arial" w:cs="Arial" w:eastAsia="Arial" w:hAnsi="Arial"/>
          <w:sz w:val="18"/>
          <w:szCs w:val="18"/>
          <w:color w:val="auto"/>
        </w:rPr>
        <w:t>We require additional financing in order to continue to fund operations, and there is a substantial doubt about our ability to continue as a going concern. No assurance can be given that we will be successful in obtaining any such financing on acceptable terms, if at all, or if secured, that such financing will provide for funding or payments to us sufficient to continue to fund operations. After giving effect to the net proceeds from the Letter Agreement, we believe we have cash sufficient to fund operations only into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1" w:name="page32"/>
    <w:bookmarkEnd w:id="31"/>
    <w:p>
      <w:pPr>
        <w:ind w:right="520"/>
        <w:spacing w:after="0" w:line="277" w:lineRule="auto"/>
        <w:rPr>
          <w:sz w:val="20"/>
          <w:szCs w:val="20"/>
          <w:color w:val="auto"/>
        </w:rPr>
      </w:pPr>
      <w:r>
        <w:rPr>
          <w:rFonts w:ascii="Arial" w:cs="Arial" w:eastAsia="Arial" w:hAnsi="Arial"/>
          <w:sz w:val="18"/>
          <w:szCs w:val="18"/>
          <w:color w:val="auto"/>
        </w:rPr>
        <w:t>June 2018. In the absence of the receipt of additional financing prior to such time, we will be required to scale back or terminate operations and/or seek protection under applicable bankruptcy laws.</w:t>
      </w:r>
    </w:p>
    <w:p>
      <w:pPr>
        <w:spacing w:after="0" w:line="62" w:lineRule="exact"/>
        <w:rPr>
          <w:sz w:val="20"/>
          <w:szCs w:val="20"/>
          <w:color w:val="auto"/>
        </w:rPr>
      </w:pPr>
    </w:p>
    <w:p>
      <w:pPr>
        <w:ind w:right="20" w:firstLine="761"/>
        <w:spacing w:after="0" w:line="293" w:lineRule="auto"/>
        <w:rPr>
          <w:sz w:val="20"/>
          <w:szCs w:val="20"/>
          <w:color w:val="auto"/>
        </w:rPr>
      </w:pPr>
      <w:r>
        <w:rPr>
          <w:rFonts w:ascii="Arial" w:cs="Arial" w:eastAsia="Arial" w:hAnsi="Arial"/>
          <w:sz w:val="16"/>
          <w:szCs w:val="16"/>
          <w:color w:val="auto"/>
        </w:rPr>
        <w:t>Our recurring losses, accumulated deficit and our current levels of cash and cash equivalents raise substantial doubt about our ability to continue as a going concern as of the date of this report. If we are unable to continue as a going concern, we may have to liquidate our assets and it is likely that investors will lose all or a significant part of their investments.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 and such additional funding may cause substantial dilution to our existing investors. Further, if adequate funds are not available, we may be required to delay, reduce the scope of or eliminate one or more of our research or development programs.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decline and we may not be able to maintain compliance with NASDAQ listing requirements</w:t>
      </w:r>
    </w:p>
    <w:p>
      <w:pPr>
        <w:spacing w:after="0" w:line="117" w:lineRule="exact"/>
        <w:rPr>
          <w:sz w:val="20"/>
          <w:szCs w:val="20"/>
          <w:color w:val="auto"/>
        </w:rPr>
      </w:pPr>
    </w:p>
    <w:p>
      <w:pPr>
        <w:jc w:val="both"/>
        <w:ind w:firstLine="471"/>
        <w:spacing w:after="0" w:line="257" w:lineRule="auto"/>
        <w:rPr>
          <w:sz w:val="20"/>
          <w:szCs w:val="20"/>
          <w:color w:val="auto"/>
        </w:rPr>
      </w:pPr>
      <w:r>
        <w:rPr>
          <w:rFonts w:ascii="Arial" w:cs="Arial" w:eastAsia="Arial" w:hAnsi="Arial"/>
          <w:sz w:val="18"/>
          <w:szCs w:val="18"/>
          <w:color w:val="auto"/>
        </w:rPr>
        <w:t>Our common stock is listed on The NASDAQ Global Market, which imposes, among other requirements, a minimum market value and minimum bid requirement. If the market value of our listed securities (“MVLS”) remains below $50.0 million or if the closing bid price for our common stock remains below $1.00 per share for thirty consecutive business days, NASDAQ may send us a notice stating that we will be provided a period of 180 days to regain compliance with the minimum market value or minimum bid requirement. If such compliance is not regained, NASDAQ may make a determination to delist our common stock.</w:t>
      </w:r>
    </w:p>
    <w:p>
      <w:pPr>
        <w:spacing w:after="0" w:line="80" w:lineRule="exact"/>
        <w:rPr>
          <w:sz w:val="20"/>
          <w:szCs w:val="20"/>
          <w:color w:val="auto"/>
        </w:rPr>
      </w:pPr>
    </w:p>
    <w:p>
      <w:pPr>
        <w:jc w:val="both"/>
        <w:ind w:firstLine="471"/>
        <w:spacing w:after="0" w:line="279" w:lineRule="auto"/>
        <w:rPr>
          <w:sz w:val="20"/>
          <w:szCs w:val="20"/>
          <w:color w:val="auto"/>
        </w:rPr>
      </w:pPr>
      <w:r>
        <w:rPr>
          <w:rFonts w:ascii="Arial" w:cs="Arial" w:eastAsia="Arial" w:hAnsi="Arial"/>
          <w:sz w:val="17"/>
          <w:szCs w:val="17"/>
          <w:color w:val="auto"/>
        </w:rPr>
        <w:t>On May 2, 2018, we received notification from NASDAQ that we were not in compliance with the MVLS requirement. In accordance with the applicable NASDAQ Listing Rules, we have 180 calendar days, or until October 29, 2018, to regain compliance with the MVLS requirement. Compliance can be achieved automatically and without further action if the MVLS is at or above $50 million for a minimum of 10 consecutive business days at any time during the 180-day period. However, there is no assurance that we will be able to regain compliance with these NASDAQ rules.</w:t>
      </w:r>
    </w:p>
    <w:p>
      <w:pPr>
        <w:spacing w:after="0" w:line="63" w:lineRule="exact"/>
        <w:rPr>
          <w:sz w:val="20"/>
          <w:szCs w:val="20"/>
          <w:color w:val="auto"/>
        </w:rPr>
      </w:pPr>
    </w:p>
    <w:p>
      <w:pPr>
        <w:jc w:val="both"/>
        <w:ind w:firstLine="471"/>
        <w:spacing w:after="0" w:line="259" w:lineRule="auto"/>
        <w:rPr>
          <w:sz w:val="20"/>
          <w:szCs w:val="20"/>
          <w:color w:val="auto"/>
        </w:rPr>
      </w:pPr>
      <w:r>
        <w:rPr>
          <w:rFonts w:ascii="Arial" w:cs="Arial" w:eastAsia="Arial" w:hAnsi="Arial"/>
          <w:sz w:val="18"/>
          <w:szCs w:val="18"/>
          <w:color w:val="auto"/>
        </w:rPr>
        <w:t>The delisting of our common stock from NASDAQ may make it more difficult for us to raise capital on favorable terms or at all in the future. Such a delisting would likely have a negative effect on the price of our common stock and would impair your ability to sell or purchase our common stock when you wish to do so. Further, if we were to be delisted from The NASDAQ Global Market, our common stock would cease to be recognized as covered securities and we would be subject to regulation in each state in which the Company offers its securities.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retain key employees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may not be able to attract or retain qualified management, finance, scientific and clinical personnel in the future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 As an example, shortly after the announcement of the results from Part A of the STEADFAST Study, Larry Altstiel, Executive Vice President and Chief Medical Officer of vTv, announced his decision to leave the Company to pursue other opportunities. The Company may face the similar departure of other experienced personnel.</w:t>
      </w:r>
    </w:p>
    <w:p>
      <w:pPr>
        <w:spacing w:after="0" w:line="70" w:lineRule="exact"/>
        <w:rPr>
          <w:sz w:val="20"/>
          <w:szCs w:val="20"/>
          <w:color w:val="auto"/>
        </w:rPr>
      </w:pPr>
    </w:p>
    <w:p>
      <w:pPr>
        <w:ind w:right="300" w:firstLine="518"/>
        <w:spacing w:after="0" w:line="291" w:lineRule="auto"/>
        <w:rPr>
          <w:sz w:val="20"/>
          <w:szCs w:val="20"/>
          <w:color w:val="auto"/>
        </w:rPr>
      </w:pPr>
      <w:r>
        <w:rPr>
          <w:rFonts w:ascii="Arial" w:cs="Arial" w:eastAsia="Arial" w:hAnsi="Arial"/>
          <w:sz w:val="16"/>
          <w:szCs w:val="16"/>
          <w:color w:val="auto"/>
        </w:rPr>
        <w:t>Our industry has experienced a high rate of turnover of management personnel in recent years. We are highly dependent on the development, regulatory, commercialization and business development expertise of our executive officers and key employees. If we lose one or more of our executive officers or key personnel, our ability to implement our business strategy successfully could be seriously harmed. Any of our executive officers or key employees may terminate their employment at any time. Replacing executive officers and key employees may be difficult, will be costly and may take an extended period of time because of the limited number of individuals in our industry with the mix of skills and experience required to develop, gain regulatory approval of and commercialize products successfully. Competition to hire from this limited pool is intense, and we may be unable to hire, train, retain or motivate these additional key personnel. Our failure to attract and retain key personnel could materially harm our business.</w:t>
      </w:r>
    </w:p>
    <w:p>
      <w:pPr>
        <w:spacing w:after="0" w:line="3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On March 19, 2018, we issued an aggregate of 25,025 shares of our Class A Common Stock, pursuant to a notice of exchange received from a holder of our Class B Common Stock. The shares of Class A Common Stock were issued in exchange for an aggregate of 25,025 shares of Class B Common Stock and 25,025 non-voting common units (“vTv Units”) of vTv Therapeutics LLC (“vTv LLC”), pursuant to the terms of the exchange agreement among the Company, vTv LLC and the holders of vTv Units party thereto. We issued the shares of Class A Common Stock in reliance on the exemption from registration provided by Section 4(a)(2) of the Securities Act of 1933.</w:t>
      </w:r>
    </w:p>
    <w:p>
      <w:pPr>
        <w:spacing w:after="0" w:line="8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Our ability to pay dividends is restricted by our Loan Agreement. See “Management's Discussion and Analysis of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742"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9"/>
          </w:tcPr>
          <w:p>
            <w:pPr>
              <w:ind w:left="120"/>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5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c>
          <w:tcPr>
            <w:tcW w:w="5560" w:type="dxa"/>
            <w:vAlign w:val="bottom"/>
            <w:tcBorders>
              <w:bottom w:val="single" w:sz="8" w:color="auto"/>
            </w:tcBorders>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2"/>
                <w:szCs w:val="22"/>
                <w:color w:val="auto"/>
              </w:rPr>
            </w:pPr>
          </w:p>
        </w:tc>
        <w:tc>
          <w:tcPr>
            <w:tcW w:w="100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President and Chief Executive Officer required by Rule 13a-14(a)/15d-14(a) under the Securities Exchange Act of 1934, as</w:t>
              </w:r>
            </w:hyperlink>
          </w:p>
        </w:tc>
        <w:tc>
          <w:tcPr>
            <w:tcW w:w="46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amended, as adopted pursuant to Section 302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9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of Chief Financial Officer required by Rule 13a-14(a)/15d-14(a) under the Securities Exchange Act of 1934, as amended, as</w:t>
              </w:r>
            </w:hyperlink>
          </w:p>
        </w:tc>
        <w:tc>
          <w:tcPr>
            <w:tcW w:w="6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adopted pursuant to Section 302 of the Sarbanes-Oxley Act of 2002.</w:t>
              </w:r>
            </w:hyperlink>
          </w:p>
        </w:tc>
        <w:tc>
          <w:tcPr>
            <w:tcW w:w="55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Certification of President and Chief Executive Officer pursuant to 18 U.S.C. Section 1350, as adopted pursuant to Section 906 of the Sarbanes-</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Oxley Act of 2002.</w:t>
              </w:r>
            </w:hyperlink>
          </w:p>
        </w:tc>
        <w:tc>
          <w:tcPr>
            <w:tcW w:w="91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500" w:type="dxa"/>
            <w:vAlign w:val="bottom"/>
            <w:gridSpan w:val="9"/>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Certification of Chief Financial Officer pursuant to 18 U.S.C. Section 1350, as adopted pursuant to Section 906 of the Sarbanes-Oxley Act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2002.</w:t>
              </w:r>
            </w:hyperlink>
          </w:p>
        </w:tc>
        <w:tc>
          <w:tcPr>
            <w:tcW w:w="980" w:type="dxa"/>
            <w:vAlign w:val="bottom"/>
            <w:tcBorders>
              <w:top w:val="single" w:sz="8" w:color="0000EE"/>
            </w:tcBorders>
          </w:tcPr>
          <w:p>
            <w:pPr>
              <w:spacing w:after="0"/>
              <w:rPr>
                <w:sz w:val="17"/>
                <w:szCs w:val="17"/>
                <w:color w:val="auto"/>
              </w:rPr>
            </w:pPr>
          </w:p>
        </w:tc>
        <w:tc>
          <w:tcPr>
            <w:tcW w:w="35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40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50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50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5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500" w:type="dxa"/>
            <w:vAlign w:val="bottom"/>
            <w:gridSpan w:val="9"/>
          </w:tcPr>
          <w:p>
            <w:pPr>
              <w:spacing w:after="0"/>
              <w:rPr>
                <w:sz w:val="20"/>
                <w:szCs w:val="20"/>
                <w:color w:val="auto"/>
              </w:rPr>
            </w:pPr>
            <w:r>
              <w:rPr>
                <w:rFonts w:ascii="Arial" w:cs="Arial" w:eastAsia="Arial" w:hAnsi="Arial"/>
                <w:sz w:val="18"/>
                <w:szCs w:val="18"/>
                <w:color w:val="auto"/>
              </w:rPr>
              <w:t>XBRL Taxonomy Extension Definition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50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5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3"/>
          </w:tcPr>
          <w:p>
            <w:pPr>
              <w:ind w:left="4700"/>
              <w:spacing w:after="0"/>
              <w:rPr>
                <w:sz w:val="20"/>
                <w:szCs w:val="20"/>
                <w:color w:val="auto"/>
              </w:rPr>
            </w:pPr>
            <w:r>
              <w:rPr>
                <w:rFonts w:ascii="Arial" w:cs="Arial" w:eastAsia="Arial" w:hAnsi="Arial"/>
                <w:sz w:val="18"/>
                <w:szCs w:val="18"/>
                <w:color w:val="auto"/>
              </w:rPr>
              <w:t>34</w:t>
            </w:r>
          </w:p>
        </w:tc>
        <w:tc>
          <w:tcPr>
            <w:tcW w:w="9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60"/>
          </w:cols>
          <w:pgMar w:left="220" w:top="337" w:right="21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80" w:type="dxa"/>
            <w:vAlign w:val="bottom"/>
          </w:tcPr>
          <w:p>
            <w:pPr>
              <w:ind w:left="920"/>
              <w:spacing w:after="0"/>
              <w:rPr>
                <w:sz w:val="20"/>
                <w:szCs w:val="20"/>
                <w:color w:val="auto"/>
              </w:rPr>
            </w:pPr>
            <w:r>
              <w:rPr>
                <w:rFonts w:ascii="Arial" w:cs="Arial" w:eastAsia="Arial" w:hAnsi="Arial"/>
                <w:sz w:val="18"/>
                <w:szCs w:val="18"/>
                <w:color w:val="auto"/>
              </w:rPr>
              <w:t>VTV THERAPEUTICS INC.</w:t>
            </w:r>
          </w:p>
        </w:tc>
      </w:tr>
      <w:tr>
        <w:trPr>
          <w:trHeight w:val="230"/>
        </w:trPr>
        <w:tc>
          <w:tcPr>
            <w:tcW w:w="580" w:type="dxa"/>
            <w:vAlign w:val="bottom"/>
          </w:tcPr>
          <w:p>
            <w:pPr>
              <w:spacing w:after="0"/>
              <w:rPr>
                <w:sz w:val="20"/>
                <w:szCs w:val="20"/>
                <w:color w:val="auto"/>
              </w:rPr>
            </w:pPr>
          </w:p>
        </w:tc>
        <w:tc>
          <w:tcPr>
            <w:tcW w:w="3980" w:type="dxa"/>
            <w:vAlign w:val="bottom"/>
          </w:tcPr>
          <w:p>
            <w:pPr>
              <w:ind w:left="1560"/>
              <w:spacing w:after="0"/>
              <w:rPr>
                <w:sz w:val="20"/>
                <w:szCs w:val="20"/>
                <w:color w:val="auto"/>
              </w:rPr>
            </w:pPr>
            <w:r>
              <w:rPr>
                <w:rFonts w:ascii="Arial" w:cs="Arial" w:eastAsia="Arial" w:hAnsi="Arial"/>
                <w:sz w:val="18"/>
                <w:szCs w:val="18"/>
                <w:color w:val="auto"/>
              </w:rPr>
              <w:t>(Registrant)</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L. Holcombe, certify that:</w:t>
      </w:r>
    </w:p>
    <w:p>
      <w:pPr>
        <w:spacing w:after="0" w:line="117"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Stephen L. Holcombe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Rudy C. Howard, certify that:</w:t>
      </w:r>
    </w:p>
    <w:p>
      <w:pPr>
        <w:spacing w:after="0" w:line="117"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hanging="506"/>
        <w:spacing w:after="0" w:line="264"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Rudy C. Howard</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140" w:firstLine="518"/>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March 31, 2018 as filed with the Securities and Exchange Commission on the date hereof (the “Report”), I, Stephen L. Holcombe,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March 31, 2018 as filed with the Securities and Exchange Commission on the date hereof (the “Report”), I, Rudy C. Howard,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2019-12-28T21:56:15Z</dcterms:created>
  <dcterms:modified xsi:type="dcterms:W3CDTF">2019-12-28T21:56:15Z</dcterms:modified>
</cp:coreProperties>
</file>