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40" w:before="120"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40" w:before="8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40"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40" w:before="80" w:after="283"/>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40"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40" w:before="8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40" w:before="80" w:after="283"/>
        <w:jc w:val="center"/>
        <w:rPr/>
      </w:pPr>
      <w:r>
        <w:rPr>
          <w:rFonts w:ascii="Times New Roman;sans-serif" w:hAnsi="Times New Roman;sans-serif"/>
          <w:b/>
          <w:color w:val="000000"/>
          <w:sz w:val="20"/>
        </w:rPr>
        <w:t>For the quarterly period ended June 30, 2024</w:t>
      </w:r>
      <w:r>
        <w:rPr>
          <w:color w:val="000000"/>
        </w:rPr>
        <w:t xml:space="preserve"> </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001-37524</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40" w:after="283"/>
        <w:jc w:val="center"/>
        <w:rPr>
          <w:rFonts w:ascii="Times New Roman;sans-serif" w:hAnsi="Times New Roman;sans-serif"/>
          <w:b/>
          <w:color w:val="000000"/>
          <w:sz w:val="28"/>
        </w:rPr>
      </w:pPr>
      <w:r>
        <w:rPr>
          <w:rFonts w:ascii="Times New Roman;sans-serif" w:hAnsi="Times New Roman;sans-serif"/>
          <w:b/>
          <w:color w:val="000000"/>
          <w:sz w:val="28"/>
        </w:rPr>
        <w:t>vTv Therapeutics Inc.</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tbl>
      <w:tblPr>
        <w:tblW w:w="4409" w:type="dxa"/>
        <w:jc w:val="left"/>
        <w:tblInd w:w="0" w:type="dxa"/>
        <w:tblLayout w:type="fixed"/>
        <w:tblCellMar>
          <w:top w:w="28" w:type="dxa"/>
          <w:left w:w="28" w:type="dxa"/>
          <w:bottom w:w="28" w:type="dxa"/>
          <w:right w:w="28" w:type="dxa"/>
        </w:tblCellMar>
      </w:tblPr>
      <w:tblGrid>
        <w:gridCol w:w="1058"/>
        <w:gridCol w:w="927"/>
        <w:gridCol w:w="940"/>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47-3916571</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3980 Premier Dr,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High Point, NC</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27265</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(336) 841-0300</w:t>
      </w:r>
    </w:p>
    <w:p>
      <w:pPr>
        <w:pStyle w:val="TextBody"/>
        <w:bidi w:val="0"/>
        <w:spacing w:lineRule="auto" w:line="288" w:before="4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(Former name, former address and former fiscal year, if changed since last report)</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403" w:type="dxa"/>
        <w:jc w:val="left"/>
        <w:tblInd w:w="0" w:type="dxa"/>
        <w:tblLayout w:type="fixed"/>
        <w:tblCellMar>
          <w:top w:w="28" w:type="dxa"/>
          <w:left w:w="28" w:type="dxa"/>
          <w:bottom w:w="28" w:type="dxa"/>
          <w:right w:w="28" w:type="dxa"/>
        </w:tblCellMar>
      </w:tblPr>
      <w:tblGrid>
        <w:gridCol w:w="1477"/>
        <w:gridCol w:w="1293"/>
        <w:gridCol w:w="1309"/>
        <w:gridCol w:w="539"/>
        <w:gridCol w:w="539"/>
        <w:gridCol w:w="541"/>
        <w:gridCol w:w="1085"/>
        <w:gridCol w:w="1085"/>
        <w:gridCol w:w="1535"/>
      </w:tblGrid>
      <w:tr>
        <w:trPr/>
        <w:tc>
          <w:tcPr>
            <w:tcW w:w="1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VTVT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40" w:before="80" w:after="283"/>
        <w:ind w:left="0" w:right="0" w:firstLine="54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40" w:before="80" w:after="283"/>
        <w:ind w:left="0" w:right="0" w:firstLine="54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tbl>
      <w:tblPr>
        <w:tblW w:w="7511" w:type="dxa"/>
        <w:jc w:val="center"/>
        <w:tblInd w:w="0" w:type="dxa"/>
        <w:tblLayout w:type="fixed"/>
        <w:tblCellMar>
          <w:top w:w="28" w:type="dxa"/>
          <w:left w:w="28" w:type="dxa"/>
          <w:bottom w:w="28" w:type="dxa"/>
          <w:right w:w="28" w:type="dxa"/>
        </w:tblCellMar>
      </w:tblPr>
      <w:tblGrid>
        <w:gridCol w:w="1474"/>
        <w:gridCol w:w="1295"/>
        <w:gridCol w:w="1310"/>
        <w:gridCol w:w="109"/>
        <w:gridCol w:w="109"/>
        <w:gridCol w:w="109"/>
        <w:gridCol w:w="907"/>
        <w:gridCol w:w="907"/>
        <w:gridCol w:w="1291"/>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 Outstanding as of August 8, 2024</w:t>
            </w:r>
          </w:p>
        </w:tc>
      </w:tr>
      <w:tr>
        <w:trPr/>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2,432,857 </w:t>
            </w:r>
          </w:p>
        </w:tc>
        <w:tc>
          <w:tcPr>
            <w:tcW w:w="1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577,349 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 AND SUBSIDIARIES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INDEX TO FORM 10-Q</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 ENDED JUNE 30, 2024</w:t>
      </w:r>
    </w:p>
    <w:tbl>
      <w:tblPr>
        <w:tblW w:w="10205" w:type="dxa"/>
        <w:jc w:val="left"/>
        <w:tblInd w:w="0" w:type="dxa"/>
        <w:tblLayout w:type="fixed"/>
        <w:tblCellMar>
          <w:top w:w="28" w:type="dxa"/>
          <w:left w:w="28" w:type="dxa"/>
          <w:bottom w:w="28" w:type="dxa"/>
          <w:right w:w="28" w:type="dxa"/>
        </w:tblCellMar>
      </w:tblPr>
      <w:tblGrid>
        <w:gridCol w:w="433"/>
        <w:gridCol w:w="381"/>
        <w:gridCol w:w="381"/>
        <w:gridCol w:w="2871"/>
        <w:gridCol w:w="2630"/>
        <w:gridCol w:w="2651"/>
        <w:gridCol w:w="250"/>
        <w:gridCol w:w="250"/>
        <w:gridCol w:w="358"/>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PAGE</w:t>
              <w:br/>
              <w:t>NUMBER</w:t>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7"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6b0d3da5dc5647b9aa814a79c8d284de_10">
              <w:r>
                <w:rPr>
                  <w:rStyle w:val="InternetLink"/>
                  <w:rFonts w:ascii="Times New Roman;sans-serif" w:hAnsi="Times New Roman;sans-serif"/>
                  <w:b w:val="false"/>
                  <w:color w:val="0000FF"/>
                  <w:sz w:val="20"/>
                  <w:u w:val="single"/>
                </w:rPr>
                <w:t>PART I – FINANCIAL INFORMATION</w:t>
              </w:r>
            </w:hyperlink>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b0d3da5dc5647b9aa814a79c8d284de_13">
              <w:r>
                <w:rPr>
                  <w:rStyle w:val="InternetLink"/>
                  <w:rFonts w:ascii="Times New Roman;sans-serif" w:hAnsi="Times New Roman;sans-serif"/>
                  <w:b w:val="false"/>
                  <w:strike w:val="false"/>
                  <w:dstrike w:val="false"/>
                  <w:color w:val="000000"/>
                  <w:sz w:val="20"/>
                  <w:u w:val="none"/>
                  <w:effect w:val="none"/>
                </w:rPr>
                <w:t>Item 1.</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6b0d3da5dc5647b9aa814a79c8d284de_13">
              <w:r>
                <w:rPr>
                  <w:rStyle w:val="InternetLink"/>
                  <w:rFonts w:ascii="Times New Roman;sans-serif" w:hAnsi="Times New Roman;sans-serif"/>
                  <w:b w:val="false"/>
                  <w:color w:val="000080"/>
                  <w:sz w:val="20"/>
                  <w:u w:val="single"/>
                </w:rPr>
                <w:t>Condensed Consolidated Balance Sheets as of</w:t>
              </w:r>
            </w:hyperlink>
            <w:hyperlink w:anchor="i6b0d3da5dc5647b9aa814a79c8d284de_13">
              <w:r>
                <w:rPr>
                  <w:rStyle w:val="InternetLink"/>
                  <w:rFonts w:ascii="Times New Roman;sans-serif" w:hAnsi="Times New Roman;sans-serif"/>
                  <w:b w:val="false"/>
                  <w:color w:val="000080"/>
                  <w:sz w:val="20"/>
                  <w:u w:val="single"/>
                </w:rPr>
                <w:t xml:space="preserve"> </w:t>
              </w:r>
            </w:hyperlink>
            <w:hyperlink w:anchor="i6b0d3da5dc5647b9aa814a79c8d284de_13">
              <w:r>
                <w:rPr>
                  <w:rStyle w:val="InternetLink"/>
                  <w:rFonts w:ascii="Times New Roman;sans-serif" w:hAnsi="Times New Roman;sans-serif"/>
                  <w:b w:val="false"/>
                  <w:color w:val="000080"/>
                  <w:sz w:val="20"/>
                  <w:u w:val="single"/>
                </w:rPr>
                <w:t>June</w:t>
              </w:r>
            </w:hyperlink>
            <w:hyperlink w:anchor="i6b0d3da5dc5647b9aa814a79c8d284de_13">
              <w:r>
                <w:rPr>
                  <w:rStyle w:val="InternetLink"/>
                  <w:rFonts w:ascii="Times New Roman;sans-serif" w:hAnsi="Times New Roman;sans-serif"/>
                  <w:b w:val="false"/>
                  <w:color w:val="000080"/>
                  <w:sz w:val="20"/>
                  <w:u w:val="single"/>
                </w:rPr>
                <w:t xml:space="preserve"> 3</w:t>
              </w:r>
            </w:hyperlink>
            <w:hyperlink w:anchor="i6b0d3da5dc5647b9aa814a79c8d284de_13">
              <w:r>
                <w:rPr>
                  <w:rStyle w:val="InternetLink"/>
                  <w:rFonts w:ascii="Times New Roman;sans-serif" w:hAnsi="Times New Roman;sans-serif"/>
                  <w:b w:val="false"/>
                  <w:color w:val="000080"/>
                  <w:sz w:val="20"/>
                  <w:u w:val="single"/>
                </w:rPr>
                <w:t>0</w:t>
              </w:r>
            </w:hyperlink>
            <w:hyperlink w:anchor="i6b0d3da5dc5647b9aa814a79c8d284de_13">
              <w:r>
                <w:rPr>
                  <w:rStyle w:val="InternetLink"/>
                  <w:rFonts w:ascii="Times New Roman;sans-serif" w:hAnsi="Times New Roman;sans-serif"/>
                  <w:b w:val="false"/>
                  <w:color w:val="000080"/>
                  <w:sz w:val="20"/>
                  <w:u w:val="single"/>
                </w:rPr>
                <w:t>, 2024 (Unaudited) and December 31, 202</w:t>
              </w:r>
            </w:hyperlink>
            <w:r>
              <w:rPr>
                <w:rFonts w:ascii="Times New Roman;sans-serif" w:hAnsi="Times New Roman;sans-serif"/>
                <w:b w:val="false"/>
                <w:color w:val="000000"/>
                <w:sz w:val="20"/>
              </w:rPr>
              <w:t>3</w:t>
            </w:r>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13">
              <w:r>
                <w:rPr>
                  <w:rStyle w:val="InternetLink"/>
                  <w:rFonts w:ascii="Times New Roman;sans-serif" w:hAnsi="Times New Roman;sans-serif"/>
                  <w:b w:val="false"/>
                  <w:strike w:val="false"/>
                  <w:dstrike w:val="false"/>
                  <w:color w:val="000000"/>
                  <w:sz w:val="20"/>
                  <w:u w:val="none"/>
                  <w:effect w:val="none"/>
                </w:rPr>
                <w:t>4</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6b0d3da5dc5647b9aa814a79c8d284de_16">
              <w:r>
                <w:rPr>
                  <w:rStyle w:val="InternetLink"/>
                  <w:rFonts w:ascii="Times New Roman;sans-serif" w:hAnsi="Times New Roman;sans-serif"/>
                  <w:b w:val="false"/>
                  <w:color w:val="000080"/>
                  <w:sz w:val="20"/>
                  <w:u w:val="single"/>
                </w:rPr>
                <w:t xml:space="preserve">Unaudited Condensed Consolidated Statements of Operations for the three </w:t>
              </w:r>
            </w:hyperlink>
            <w:hyperlink w:anchor="i6b0d3da5dc5647b9aa814a79c8d284de_16">
              <w:r>
                <w:rPr>
                  <w:rStyle w:val="InternetLink"/>
                  <w:rFonts w:ascii="Times New Roman;sans-serif" w:hAnsi="Times New Roman;sans-serif"/>
                  <w:b w:val="false"/>
                  <w:color w:val="000080"/>
                  <w:sz w:val="20"/>
                  <w:u w:val="single"/>
                </w:rPr>
                <w:t xml:space="preserve">and six </w:t>
              </w:r>
            </w:hyperlink>
            <w:hyperlink w:anchor="i6b0d3da5dc5647b9aa814a79c8d284de_16">
              <w:r>
                <w:rPr>
                  <w:rStyle w:val="InternetLink"/>
                  <w:rFonts w:ascii="Times New Roman;sans-serif" w:hAnsi="Times New Roman;sans-serif"/>
                  <w:b w:val="false"/>
                  <w:color w:val="000080"/>
                  <w:sz w:val="20"/>
                  <w:u w:val="single"/>
                </w:rPr>
                <w:t xml:space="preserve">months ended </w:t>
              </w:r>
            </w:hyperlink>
            <w:hyperlink w:anchor="i6b0d3da5dc5647b9aa814a79c8d284de_16">
              <w:r>
                <w:rPr>
                  <w:rStyle w:val="InternetLink"/>
                  <w:rFonts w:ascii="Times New Roman;sans-serif" w:hAnsi="Times New Roman;sans-serif"/>
                  <w:b w:val="false"/>
                  <w:color w:val="000080"/>
                  <w:sz w:val="20"/>
                  <w:u w:val="single"/>
                </w:rPr>
                <w:t>June</w:t>
              </w:r>
            </w:hyperlink>
            <w:hyperlink w:anchor="i6b0d3da5dc5647b9aa814a79c8d284de_16">
              <w:r>
                <w:rPr>
                  <w:rStyle w:val="InternetLink"/>
                  <w:rFonts w:ascii="Times New Roman;sans-serif" w:hAnsi="Times New Roman;sans-serif"/>
                  <w:b w:val="false"/>
                  <w:color w:val="000080"/>
                  <w:sz w:val="20"/>
                  <w:u w:val="single"/>
                </w:rPr>
                <w:t xml:space="preserve"> 3</w:t>
              </w:r>
            </w:hyperlink>
            <w:hyperlink w:anchor="i6b0d3da5dc5647b9aa814a79c8d284de_16">
              <w:r>
                <w:rPr>
                  <w:rStyle w:val="InternetLink"/>
                  <w:rFonts w:ascii="Times New Roman;sans-serif" w:hAnsi="Times New Roman;sans-serif"/>
                  <w:b w:val="false"/>
                  <w:color w:val="000080"/>
                  <w:sz w:val="20"/>
                  <w:u w:val="single"/>
                </w:rPr>
                <w:t>0</w:t>
              </w:r>
            </w:hyperlink>
            <w:hyperlink w:anchor="i6b0d3da5dc5647b9aa814a79c8d284de_16">
              <w:r>
                <w:rPr>
                  <w:rStyle w:val="InternetLink"/>
                  <w:rFonts w:ascii="Times New Roman;sans-serif" w:hAnsi="Times New Roman;sans-serif"/>
                  <w:b w:val="false"/>
                  <w:color w:val="000080"/>
                  <w:sz w:val="20"/>
                  <w:u w:val="single"/>
                </w:rPr>
                <w:t>, 2024 and 202</w:t>
              </w:r>
            </w:hyperlink>
            <w:r>
              <w:rPr>
                <w:rFonts w:ascii="Times New Roman;sans-serif" w:hAnsi="Times New Roman;sans-serif"/>
                <w:b w:val="false"/>
                <w:color w:val="000000"/>
                <w:sz w:val="20"/>
              </w:rPr>
              <w:t>3</w:t>
            </w:r>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16">
              <w:r>
                <w:rPr>
                  <w:rStyle w:val="InternetLink"/>
                  <w:rFonts w:ascii="Times New Roman;sans-serif" w:hAnsi="Times New Roman;sans-serif"/>
                  <w:b w:val="false"/>
                  <w:strike w:val="false"/>
                  <w:dstrike w:val="false"/>
                  <w:color w:val="000000"/>
                  <w:sz w:val="20"/>
                  <w:u w:val="none"/>
                  <w:effect w:val="none"/>
                </w:rPr>
                <w:t>5</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6b0d3da5dc5647b9aa814a79c8d284de_22">
              <w:r>
                <w:rPr>
                  <w:rStyle w:val="InternetLink"/>
                  <w:rFonts w:ascii="Times New Roman;sans-serif" w:hAnsi="Times New Roman;sans-serif"/>
                  <w:b w:val="false"/>
                  <w:color w:val="000080"/>
                  <w:sz w:val="20"/>
                  <w:u w:val="single"/>
                </w:rPr>
                <w:t xml:space="preserve">Unaudited Condensed Consolidated Statement of Changes in Redeemable Noncontrolling Interest and Stockholders’ Equity (Deficit) for the three </w:t>
              </w:r>
            </w:hyperlink>
            <w:hyperlink w:anchor="i6b0d3da5dc5647b9aa814a79c8d284de_22">
              <w:r>
                <w:rPr>
                  <w:rStyle w:val="InternetLink"/>
                  <w:rFonts w:ascii="Times New Roman;sans-serif" w:hAnsi="Times New Roman;sans-serif"/>
                  <w:b w:val="false"/>
                  <w:color w:val="000080"/>
                  <w:sz w:val="20"/>
                  <w:u w:val="single"/>
                </w:rPr>
                <w:t xml:space="preserve">and six </w:t>
              </w:r>
            </w:hyperlink>
            <w:hyperlink w:anchor="i6b0d3da5dc5647b9aa814a79c8d284de_22">
              <w:r>
                <w:rPr>
                  <w:rStyle w:val="InternetLink"/>
                  <w:rFonts w:ascii="Times New Roman;sans-serif" w:hAnsi="Times New Roman;sans-serif"/>
                  <w:b w:val="false"/>
                  <w:color w:val="000080"/>
                  <w:sz w:val="20"/>
                  <w:u w:val="single"/>
                </w:rPr>
                <w:t xml:space="preserve">months ended </w:t>
              </w:r>
            </w:hyperlink>
            <w:hyperlink w:anchor="i6b0d3da5dc5647b9aa814a79c8d284de_22">
              <w:r>
                <w:rPr>
                  <w:rStyle w:val="InternetLink"/>
                  <w:rFonts w:ascii="Times New Roman;sans-serif" w:hAnsi="Times New Roman;sans-serif"/>
                  <w:b w:val="false"/>
                  <w:color w:val="000080"/>
                  <w:sz w:val="20"/>
                  <w:u w:val="single"/>
                </w:rPr>
                <w:t>June</w:t>
              </w:r>
            </w:hyperlink>
            <w:hyperlink w:anchor="i6b0d3da5dc5647b9aa814a79c8d284de_22">
              <w:r>
                <w:rPr>
                  <w:rStyle w:val="InternetLink"/>
                  <w:rFonts w:ascii="Times New Roman;sans-serif" w:hAnsi="Times New Roman;sans-serif"/>
                  <w:b w:val="false"/>
                  <w:color w:val="000080"/>
                  <w:sz w:val="20"/>
                  <w:u w:val="single"/>
                </w:rPr>
                <w:t xml:space="preserve"> 3</w:t>
              </w:r>
            </w:hyperlink>
            <w:hyperlink w:anchor="i6b0d3da5dc5647b9aa814a79c8d284de_22">
              <w:r>
                <w:rPr>
                  <w:rStyle w:val="InternetLink"/>
                  <w:rFonts w:ascii="Times New Roman;sans-serif" w:hAnsi="Times New Roman;sans-serif"/>
                  <w:b w:val="false"/>
                  <w:color w:val="000080"/>
                  <w:sz w:val="20"/>
                  <w:u w:val="single"/>
                </w:rPr>
                <w:t>0</w:t>
              </w:r>
            </w:hyperlink>
            <w:hyperlink w:anchor="i6b0d3da5dc5647b9aa814a79c8d284de_22">
              <w:r>
                <w:rPr>
                  <w:rStyle w:val="InternetLink"/>
                  <w:rFonts w:ascii="Times New Roman;sans-serif" w:hAnsi="Times New Roman;sans-serif"/>
                  <w:b w:val="false"/>
                  <w:color w:val="000080"/>
                  <w:sz w:val="20"/>
                  <w:u w:val="single"/>
                </w:rPr>
                <w:t>, 2024 and 202</w:t>
              </w:r>
            </w:hyperlink>
            <w:r>
              <w:rPr>
                <w:rFonts w:ascii="Times New Roman;sans-serif" w:hAnsi="Times New Roman;sans-serif"/>
                <w:b w:val="false"/>
                <w:color w:val="000000"/>
                <w:sz w:val="20"/>
              </w:rPr>
              <w:t>3</w:t>
            </w:r>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22">
              <w:r>
                <w:rPr>
                  <w:rStyle w:val="InternetLink"/>
                  <w:rFonts w:ascii="Times New Roman;sans-serif" w:hAnsi="Times New Roman;sans-serif"/>
                  <w:b w:val="false"/>
                  <w:strike w:val="false"/>
                  <w:dstrike w:val="false"/>
                  <w:color w:val="000000"/>
                  <w:sz w:val="20"/>
                  <w:u w:val="none"/>
                  <w:effect w:val="none"/>
                </w:rPr>
                <w:t>6</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6b0d3da5dc5647b9aa814a79c8d284de_31">
              <w:r>
                <w:rPr>
                  <w:rStyle w:val="InternetLink"/>
                  <w:rFonts w:ascii="Times New Roman;sans-serif" w:hAnsi="Times New Roman;sans-serif"/>
                  <w:b w:val="false"/>
                  <w:color w:val="000080"/>
                  <w:sz w:val="20"/>
                  <w:u w:val="single"/>
                </w:rPr>
                <w:t xml:space="preserve">Unaudited Condensed Consolidated Statements of Cash Flows for the </w:t>
              </w:r>
            </w:hyperlink>
            <w:hyperlink w:anchor="i6b0d3da5dc5647b9aa814a79c8d284de_31">
              <w:r>
                <w:rPr>
                  <w:rStyle w:val="InternetLink"/>
                  <w:rFonts w:ascii="Times New Roman;sans-serif" w:hAnsi="Times New Roman;sans-serif"/>
                  <w:b w:val="false"/>
                  <w:color w:val="000080"/>
                  <w:sz w:val="20"/>
                  <w:u w:val="single"/>
                </w:rPr>
                <w:t>six</w:t>
              </w:r>
            </w:hyperlink>
            <w:hyperlink w:anchor="i6b0d3da5dc5647b9aa814a79c8d284de_31">
              <w:r>
                <w:rPr>
                  <w:rStyle w:val="InternetLink"/>
                  <w:rFonts w:ascii="Times New Roman;sans-serif" w:hAnsi="Times New Roman;sans-serif"/>
                  <w:b w:val="false"/>
                  <w:color w:val="000080"/>
                  <w:sz w:val="20"/>
                  <w:u w:val="single"/>
                </w:rPr>
                <w:t xml:space="preserve"> months ended </w:t>
              </w:r>
            </w:hyperlink>
            <w:hyperlink w:anchor="i6b0d3da5dc5647b9aa814a79c8d284de_31">
              <w:r>
                <w:rPr>
                  <w:rStyle w:val="InternetLink"/>
                  <w:rFonts w:ascii="Times New Roman;sans-serif" w:hAnsi="Times New Roman;sans-serif"/>
                  <w:b w:val="false"/>
                  <w:color w:val="000080"/>
                  <w:sz w:val="20"/>
                  <w:u w:val="single"/>
                </w:rPr>
                <w:t>June</w:t>
              </w:r>
            </w:hyperlink>
            <w:hyperlink w:anchor="i6b0d3da5dc5647b9aa814a79c8d284de_31">
              <w:r>
                <w:rPr>
                  <w:rStyle w:val="InternetLink"/>
                  <w:rFonts w:ascii="Times New Roman;sans-serif" w:hAnsi="Times New Roman;sans-serif"/>
                  <w:b w:val="false"/>
                  <w:color w:val="000080"/>
                  <w:sz w:val="20"/>
                  <w:u w:val="single"/>
                </w:rPr>
                <w:t xml:space="preserve"> 3</w:t>
              </w:r>
            </w:hyperlink>
            <w:hyperlink w:anchor="i6b0d3da5dc5647b9aa814a79c8d284de_31">
              <w:r>
                <w:rPr>
                  <w:rStyle w:val="InternetLink"/>
                  <w:rFonts w:ascii="Times New Roman;sans-serif" w:hAnsi="Times New Roman;sans-serif"/>
                  <w:b w:val="false"/>
                  <w:color w:val="000080"/>
                  <w:sz w:val="20"/>
                  <w:u w:val="single"/>
                </w:rPr>
                <w:t>0</w:t>
              </w:r>
            </w:hyperlink>
            <w:hyperlink w:anchor="i6b0d3da5dc5647b9aa814a79c8d284de_31">
              <w:r>
                <w:rPr>
                  <w:rStyle w:val="InternetLink"/>
                  <w:rFonts w:ascii="Times New Roman;sans-serif" w:hAnsi="Times New Roman;sans-serif"/>
                  <w:b w:val="false"/>
                  <w:color w:val="000080"/>
                  <w:sz w:val="20"/>
                  <w:u w:val="single"/>
                </w:rPr>
                <w:t>, 2024 and 202</w:t>
              </w:r>
            </w:hyperlink>
            <w:r>
              <w:rPr>
                <w:rFonts w:ascii="Times New Roman;sans-serif" w:hAnsi="Times New Roman;sans-serif"/>
                <w:b w:val="false"/>
                <w:color w:val="000000"/>
                <w:sz w:val="20"/>
              </w:rPr>
              <w:t>3</w:t>
            </w:r>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31">
              <w:r>
                <w:rPr>
                  <w:rStyle w:val="InternetLink"/>
                  <w:rFonts w:ascii="Times New Roman;sans-serif" w:hAnsi="Times New Roman;sans-serif"/>
                  <w:b w:val="false"/>
                  <w:strike w:val="false"/>
                  <w:dstrike w:val="false"/>
                  <w:color w:val="000000"/>
                  <w:sz w:val="20"/>
                  <w:u w:val="none"/>
                  <w:effect w:val="none"/>
                </w:rPr>
                <w:t>8</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6b0d3da5dc5647b9aa814a79c8d284de_34">
              <w:r>
                <w:rPr>
                  <w:rStyle w:val="InternetLink"/>
                  <w:rFonts w:ascii="Times New Roman;sans-serif" w:hAnsi="Times New Roman;sans-serif"/>
                  <w:b w:val="false"/>
                  <w:color w:val="0000FF"/>
                  <w:sz w:val="20"/>
                  <w:u w:val="single"/>
                </w:rPr>
                <w:t>Notes to Unaudited Consolidated Financial Statements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34">
              <w:r>
                <w:rPr>
                  <w:rStyle w:val="InternetLink"/>
                  <w:rFonts w:ascii="Times New Roman;sans-serif" w:hAnsi="Times New Roman;sans-serif"/>
                  <w:b w:val="false"/>
                  <w:strike w:val="false"/>
                  <w:dstrike w:val="false"/>
                  <w:color w:val="000000"/>
                  <w:sz w:val="20"/>
                  <w:u w:val="none"/>
                  <w:effect w:val="none"/>
                </w:rPr>
                <w:t>9</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b0d3da5dc5647b9aa814a79c8d284de_85">
              <w:r>
                <w:rPr>
                  <w:rStyle w:val="InternetLink"/>
                  <w:rFonts w:ascii="Times New Roman;sans-serif" w:hAnsi="Times New Roman;sans-serif"/>
                  <w:b w:val="false"/>
                  <w:strike w:val="false"/>
                  <w:dstrike w:val="false"/>
                  <w:color w:val="000000"/>
                  <w:sz w:val="20"/>
                  <w:u w:val="none"/>
                  <w:effect w:val="none"/>
                </w:rPr>
                <w:t>Item 2.</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6b0d3da5dc5647b9aa814a79c8d284de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85">
              <w:r>
                <w:rPr>
                  <w:rStyle w:val="InternetLink"/>
                  <w:rFonts w:ascii="Times New Roman;sans-serif" w:hAnsi="Times New Roman;sans-serif"/>
                  <w:b w:val="false"/>
                  <w:strike w:val="false"/>
                  <w:dstrike w:val="false"/>
                  <w:color w:val="000000"/>
                  <w:sz w:val="20"/>
                  <w:u w:val="none"/>
                  <w:effect w:val="none"/>
                </w:rPr>
                <w:t>24</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b0d3da5dc5647b9aa814a79c8d284de_124">
              <w:r>
                <w:rPr>
                  <w:rStyle w:val="InternetLink"/>
                  <w:rFonts w:ascii="Times New Roman;sans-serif" w:hAnsi="Times New Roman;sans-serif"/>
                  <w:b w:val="false"/>
                  <w:strike w:val="false"/>
                  <w:dstrike w:val="false"/>
                  <w:color w:val="000000"/>
                  <w:sz w:val="20"/>
                  <w:u w:val="none"/>
                  <w:effect w:val="none"/>
                </w:rPr>
                <w:t>Item 3.</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6b0d3da5dc5647b9aa814a79c8d284de_124">
              <w:r>
                <w:rPr>
                  <w:rStyle w:val="InternetLink"/>
                  <w:rFonts w:ascii="Times New Roman;sans-serif" w:hAnsi="Times New Roman;sans-serif"/>
                  <w:b w:val="false"/>
                  <w:color w:val="0000FF"/>
                  <w:sz w:val="20"/>
                  <w:u w:val="single"/>
                </w:rPr>
                <w:t>Quantitative and Qualitative Disclosures About Market Risk</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124">
              <w:r>
                <w:rPr>
                  <w:rStyle w:val="InternetLink"/>
                  <w:rFonts w:ascii="Times New Roman;sans-serif" w:hAnsi="Times New Roman;sans-serif"/>
                  <w:b w:val="false"/>
                  <w:strike w:val="false"/>
                  <w:dstrike w:val="false"/>
                  <w:color w:val="000000"/>
                  <w:sz w:val="20"/>
                  <w:u w:val="none"/>
                  <w:effect w:val="none"/>
                </w:rPr>
                <w:t>32</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b0d3da5dc5647b9aa814a79c8d284de_127">
              <w:r>
                <w:rPr>
                  <w:rStyle w:val="InternetLink"/>
                  <w:rFonts w:ascii="Times New Roman;sans-serif" w:hAnsi="Times New Roman;sans-serif"/>
                  <w:b w:val="false"/>
                  <w:strike w:val="false"/>
                  <w:dstrike w:val="false"/>
                  <w:color w:val="000000"/>
                  <w:sz w:val="20"/>
                  <w:u w:val="none"/>
                  <w:effect w:val="none"/>
                </w:rPr>
                <w:t>Item 4.</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6b0d3da5dc5647b9aa814a79c8d284de_127">
              <w:r>
                <w:rPr>
                  <w:rStyle w:val="InternetLink"/>
                  <w:rFonts w:ascii="Times New Roman;sans-serif" w:hAnsi="Times New Roman;sans-serif"/>
                  <w:b w:val="false"/>
                  <w:color w:val="0000FF"/>
                  <w:sz w:val="20"/>
                  <w:u w:val="single"/>
                </w:rPr>
                <w:t>Controls and Procedures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127">
              <w:r>
                <w:rPr>
                  <w:rStyle w:val="InternetLink"/>
                  <w:rFonts w:ascii="Times New Roman;sans-serif" w:hAnsi="Times New Roman;sans-serif"/>
                  <w:b w:val="false"/>
                  <w:strike w:val="false"/>
                  <w:dstrike w:val="false"/>
                  <w:color w:val="000000"/>
                  <w:sz w:val="20"/>
                  <w:u w:val="none"/>
                  <w:effect w:val="none"/>
                </w:rPr>
                <w:t>33</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7"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6b0d3da5dc5647b9aa814a79c8d284de_130">
              <w:r>
                <w:rPr>
                  <w:rStyle w:val="InternetLink"/>
                  <w:rFonts w:ascii="Times New Roman;sans-serif" w:hAnsi="Times New Roman;sans-serif"/>
                  <w:b w:val="false"/>
                  <w:color w:val="0000FF"/>
                  <w:sz w:val="20"/>
                  <w:u w:val="single"/>
                </w:rPr>
                <w:t xml:space="preserve">PART II – OTHER INFORMATION </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b0d3da5dc5647b9aa814a79c8d284de_133">
              <w:r>
                <w:rPr>
                  <w:rStyle w:val="InternetLink"/>
                  <w:rFonts w:ascii="Times New Roman;sans-serif" w:hAnsi="Times New Roman;sans-serif"/>
                  <w:b w:val="false"/>
                  <w:strike w:val="false"/>
                  <w:dstrike w:val="false"/>
                  <w:color w:val="000000"/>
                  <w:sz w:val="20"/>
                  <w:u w:val="none"/>
                  <w:effect w:val="none"/>
                </w:rPr>
                <w:t>Item 1.</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6b0d3da5dc5647b9aa814a79c8d284de_133">
              <w:r>
                <w:rPr>
                  <w:rStyle w:val="InternetLink"/>
                  <w:rFonts w:ascii="Times New Roman;sans-serif" w:hAnsi="Times New Roman;sans-serif"/>
                  <w:b w:val="false"/>
                  <w:color w:val="0000FF"/>
                  <w:sz w:val="20"/>
                  <w:u w:val="single"/>
                </w:rPr>
                <w:t>Legal Proceedings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133">
              <w:r>
                <w:rPr>
                  <w:rStyle w:val="InternetLink"/>
                  <w:rFonts w:ascii="Times New Roman;sans-serif" w:hAnsi="Times New Roman;sans-serif"/>
                  <w:b w:val="false"/>
                  <w:strike w:val="false"/>
                  <w:dstrike w:val="false"/>
                  <w:color w:val="000000"/>
                  <w:sz w:val="20"/>
                  <w:u w:val="none"/>
                  <w:effect w:val="none"/>
                </w:rPr>
                <w:t>33</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b0d3da5dc5647b9aa814a79c8d284de_136">
              <w:r>
                <w:rPr>
                  <w:rStyle w:val="InternetLink"/>
                  <w:rFonts w:ascii="Times New Roman;sans-serif" w:hAnsi="Times New Roman;sans-serif"/>
                  <w:b w:val="false"/>
                  <w:strike w:val="false"/>
                  <w:dstrike w:val="false"/>
                  <w:color w:val="000000"/>
                  <w:sz w:val="20"/>
                  <w:u w:val="none"/>
                  <w:effect w:val="none"/>
                </w:rPr>
                <w:t>Item 1A.</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6b0d3da5dc5647b9aa814a79c8d284de_136">
              <w:r>
                <w:rPr>
                  <w:rStyle w:val="InternetLink"/>
                  <w:rFonts w:ascii="Times New Roman;sans-serif" w:hAnsi="Times New Roman;sans-serif"/>
                  <w:b w:val="false"/>
                  <w:color w:val="0000FF"/>
                  <w:sz w:val="20"/>
                  <w:u w:val="single"/>
                </w:rPr>
                <w:t>Risk Factors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136">
              <w:r>
                <w:rPr>
                  <w:rStyle w:val="InternetLink"/>
                  <w:rFonts w:ascii="Times New Roman;sans-serif" w:hAnsi="Times New Roman;sans-serif"/>
                  <w:b w:val="false"/>
                  <w:strike w:val="false"/>
                  <w:dstrike w:val="false"/>
                  <w:color w:val="000000"/>
                  <w:sz w:val="20"/>
                  <w:u w:val="none"/>
                  <w:effect w:val="none"/>
                </w:rPr>
                <w:t>34</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b0d3da5dc5647b9aa814a79c8d284de_139">
              <w:r>
                <w:rPr>
                  <w:rStyle w:val="InternetLink"/>
                  <w:rFonts w:ascii="Times New Roman;sans-serif" w:hAnsi="Times New Roman;sans-serif"/>
                  <w:b w:val="false"/>
                  <w:strike w:val="false"/>
                  <w:dstrike w:val="false"/>
                  <w:color w:val="000000"/>
                  <w:sz w:val="20"/>
                  <w:u w:val="none"/>
                  <w:effect w:val="none"/>
                </w:rPr>
                <w:t>Item 2.</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6b0d3da5dc5647b9aa814a79c8d284de_139">
              <w:r>
                <w:rPr>
                  <w:rStyle w:val="InternetLink"/>
                  <w:rFonts w:ascii="Times New Roman;sans-serif" w:hAnsi="Times New Roman;sans-serif"/>
                  <w:b w:val="false"/>
                  <w:color w:val="0000FF"/>
                  <w:sz w:val="20"/>
                  <w:u w:val="single"/>
                </w:rPr>
                <w:t>Unregistered Sales of Equity Securities and Use of Proceeds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139">
              <w:r>
                <w:rPr>
                  <w:rStyle w:val="InternetLink"/>
                  <w:rFonts w:ascii="Times New Roman;sans-serif" w:hAnsi="Times New Roman;sans-serif"/>
                  <w:b w:val="false"/>
                  <w:strike w:val="false"/>
                  <w:dstrike w:val="false"/>
                  <w:color w:val="000000"/>
                  <w:sz w:val="20"/>
                  <w:u w:val="none"/>
                  <w:effect w:val="none"/>
                </w:rPr>
                <w:t>34</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b0d3da5dc5647b9aa814a79c8d284de_142">
              <w:r>
                <w:rPr>
                  <w:rStyle w:val="InternetLink"/>
                  <w:rFonts w:ascii="Times New Roman;sans-serif" w:hAnsi="Times New Roman;sans-serif"/>
                  <w:b w:val="false"/>
                  <w:strike w:val="false"/>
                  <w:dstrike w:val="false"/>
                  <w:color w:val="000000"/>
                  <w:sz w:val="20"/>
                  <w:u w:val="none"/>
                  <w:effect w:val="none"/>
                </w:rPr>
                <w:t>Item 3.</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6b0d3da5dc5647b9aa814a79c8d284de_142">
              <w:r>
                <w:rPr>
                  <w:rStyle w:val="InternetLink"/>
                  <w:rFonts w:ascii="Times New Roman;sans-serif" w:hAnsi="Times New Roman;sans-serif"/>
                  <w:b w:val="false"/>
                  <w:color w:val="0000FF"/>
                  <w:sz w:val="20"/>
                  <w:u w:val="single"/>
                </w:rPr>
                <w:t>Defaults Upon Senior Securities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142">
              <w:r>
                <w:rPr>
                  <w:rStyle w:val="InternetLink"/>
                  <w:rFonts w:ascii="Times New Roman;sans-serif" w:hAnsi="Times New Roman;sans-serif"/>
                  <w:b w:val="false"/>
                  <w:strike w:val="false"/>
                  <w:dstrike w:val="false"/>
                  <w:color w:val="000000"/>
                  <w:sz w:val="20"/>
                  <w:u w:val="none"/>
                  <w:effect w:val="none"/>
                </w:rPr>
                <w:t>34</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b0d3da5dc5647b9aa814a79c8d284de_145">
              <w:r>
                <w:rPr>
                  <w:rStyle w:val="InternetLink"/>
                  <w:rFonts w:ascii="Times New Roman;sans-serif" w:hAnsi="Times New Roman;sans-serif"/>
                  <w:b w:val="false"/>
                  <w:strike w:val="false"/>
                  <w:dstrike w:val="false"/>
                  <w:color w:val="000000"/>
                  <w:sz w:val="20"/>
                  <w:u w:val="none"/>
                  <w:effect w:val="none"/>
                </w:rPr>
                <w:t>Item 4.</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6b0d3da5dc5647b9aa814a79c8d284de_145">
              <w:r>
                <w:rPr>
                  <w:rStyle w:val="InternetLink"/>
                  <w:rFonts w:ascii="Times New Roman;sans-serif" w:hAnsi="Times New Roman;sans-serif"/>
                  <w:b w:val="false"/>
                  <w:color w:val="0000FF"/>
                  <w:sz w:val="20"/>
                  <w:u w:val="single"/>
                </w:rPr>
                <w:t>Mine Safety Disclosures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145">
              <w:r>
                <w:rPr>
                  <w:rStyle w:val="InternetLink"/>
                  <w:rFonts w:ascii="Times New Roman;sans-serif" w:hAnsi="Times New Roman;sans-serif"/>
                  <w:b w:val="false"/>
                  <w:strike w:val="false"/>
                  <w:dstrike w:val="false"/>
                  <w:color w:val="000000"/>
                  <w:sz w:val="20"/>
                  <w:u w:val="none"/>
                  <w:effect w:val="none"/>
                </w:rPr>
                <w:t>34</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b0d3da5dc5647b9aa814a79c8d284de_148">
              <w:r>
                <w:rPr>
                  <w:rStyle w:val="InternetLink"/>
                  <w:rFonts w:ascii="Times New Roman;sans-serif" w:hAnsi="Times New Roman;sans-serif"/>
                  <w:b w:val="false"/>
                  <w:strike w:val="false"/>
                  <w:dstrike w:val="false"/>
                  <w:color w:val="000000"/>
                  <w:sz w:val="20"/>
                  <w:u w:val="none"/>
                  <w:effect w:val="none"/>
                </w:rPr>
                <w:t>Item 5.</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6b0d3da5dc5647b9aa814a79c8d284de_148">
              <w:r>
                <w:rPr>
                  <w:rStyle w:val="InternetLink"/>
                  <w:rFonts w:ascii="Times New Roman;sans-serif" w:hAnsi="Times New Roman;sans-serif"/>
                  <w:b w:val="false"/>
                  <w:color w:val="0000FF"/>
                  <w:sz w:val="20"/>
                  <w:u w:val="single"/>
                </w:rPr>
                <w:t>Other Information</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148">
              <w:r>
                <w:rPr>
                  <w:rStyle w:val="InternetLink"/>
                  <w:rFonts w:ascii="Times New Roman;sans-serif" w:hAnsi="Times New Roman;sans-serif"/>
                  <w:b w:val="false"/>
                  <w:strike w:val="false"/>
                  <w:dstrike w:val="false"/>
                  <w:color w:val="000000"/>
                  <w:sz w:val="20"/>
                  <w:u w:val="none"/>
                  <w:effect w:val="none"/>
                </w:rPr>
                <w:t>34</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b0d3da5dc5647b9aa814a79c8d284de_151">
              <w:r>
                <w:rPr>
                  <w:rStyle w:val="InternetLink"/>
                  <w:rFonts w:ascii="Times New Roman;sans-serif" w:hAnsi="Times New Roman;sans-serif"/>
                  <w:b w:val="false"/>
                  <w:strike w:val="false"/>
                  <w:dstrike w:val="false"/>
                  <w:color w:val="000000"/>
                  <w:sz w:val="20"/>
                  <w:u w:val="none"/>
                  <w:effect w:val="none"/>
                </w:rPr>
                <w:t>Item 6.</w:t>
              </w:r>
            </w:hyperlink>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6b0d3da5dc5647b9aa814a79c8d284de_151">
              <w:r>
                <w:rPr>
                  <w:rStyle w:val="InternetLink"/>
                  <w:rFonts w:ascii="Times New Roman;sans-serif" w:hAnsi="Times New Roman;sans-serif"/>
                  <w:b w:val="false"/>
                  <w:color w:val="0000FF"/>
                  <w:sz w:val="20"/>
                  <w:u w:val="single"/>
                </w:rPr>
                <w:t>Exhibits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151">
              <w:r>
                <w:rPr>
                  <w:rStyle w:val="InternetLink"/>
                  <w:rFonts w:ascii="Times New Roman;sans-serif" w:hAnsi="Times New Roman;sans-serif"/>
                  <w:b w:val="false"/>
                  <w:strike w:val="false"/>
                  <w:dstrike w:val="false"/>
                  <w:color w:val="000000"/>
                  <w:sz w:val="20"/>
                  <w:u w:val="none"/>
                  <w:effect w:val="none"/>
                </w:rPr>
                <w:t>34</w:t>
              </w:r>
            </w:hyperlink>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6b0d3da5dc5647b9aa814a79c8d284de_154">
              <w:r>
                <w:rPr>
                  <w:rStyle w:val="InternetLink"/>
                  <w:rFonts w:ascii="Times New Roman;sans-serif" w:hAnsi="Times New Roman;sans-serif"/>
                  <w:b w:val="false"/>
                  <w:color w:val="0000FF"/>
                  <w:sz w:val="20"/>
                  <w:u w:val="single"/>
                </w:rPr>
                <w:t>Signatures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b0d3da5dc5647b9aa814a79c8d284de_154">
              <w:r>
                <w:rPr>
                  <w:rStyle w:val="InternetLink"/>
                  <w:rFonts w:ascii="Times New Roman;sans-serif" w:hAnsi="Times New Roman;sans-serif"/>
                  <w:b w:val="false"/>
                  <w:strike w:val="false"/>
                  <w:dstrike w:val="false"/>
                  <w:color w:val="000000"/>
                  <w:sz w:val="20"/>
                  <w:u w:val="none"/>
                  <w:effect w:val="non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 and per share data)</w:t>
      </w:r>
    </w:p>
    <w:tbl>
      <w:tblPr>
        <w:tblW w:w="10205" w:type="dxa"/>
        <w:jc w:val="left"/>
        <w:tblInd w:w="0" w:type="dxa"/>
        <w:tblLayout w:type="fixed"/>
        <w:tblCellMar>
          <w:top w:w="28" w:type="dxa"/>
          <w:left w:w="28" w:type="dxa"/>
          <w:bottom w:w="28" w:type="dxa"/>
          <w:right w:w="28" w:type="dxa"/>
        </w:tblCellMar>
      </w:tblPr>
      <w:tblGrid>
        <w:gridCol w:w="2938"/>
        <w:gridCol w:w="2411"/>
        <w:gridCol w:w="2374"/>
        <w:gridCol w:w="211"/>
        <w:gridCol w:w="721"/>
        <w:gridCol w:w="109"/>
        <w:gridCol w:w="109"/>
        <w:gridCol w:w="109"/>
        <w:gridCol w:w="109"/>
        <w:gridCol w:w="215"/>
        <w:gridCol w:w="738"/>
        <w:gridCol w:w="161"/>
      </w:tblGrid>
      <w:tr>
        <w:trPr/>
        <w:tc>
          <w:tcPr>
            <w:tcW w:w="2938"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45,526 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3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46,200 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10,657 </w:t>
            </w:r>
          </w:p>
        </w:tc>
        <w:tc>
          <w:tcPr>
            <w:tcW w:w="16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Noncontrolling Interest and Stockholders’ Equity (Deficit)</w:t>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contract liabilities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notes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3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10,619 </w:t>
            </w:r>
          </w:p>
        </w:tc>
        <w:tc>
          <w:tcPr>
            <w:tcW w:w="16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related party</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29,567 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w:t>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$0.01 par value; 200,000,000 shares authorized, 2,432,857 and 2,084,973 shares outstanding as of June 30, 2024 and December 31, 2023, respectively</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$0.01 par value; 100,000,000 shares authorized, and 577,349 outstanding as of June 30, 2024 and December 31, 2023</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256,335 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(291,301)</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(281,042)</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 attributable to vTv Therapeutics Inc.</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(24,680)</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(deficit) </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(24,680)</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noncontrolling interest and stockholders’ equity (deficit)</w:t>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46,458 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11,018 </w:t>
            </w:r>
          </w:p>
        </w:tc>
        <w:tc>
          <w:tcPr>
            <w:tcW w:w="16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 and per share data)</w:t>
      </w:r>
    </w:p>
    <w:tbl>
      <w:tblPr>
        <w:tblW w:w="10205" w:type="dxa"/>
        <w:jc w:val="left"/>
        <w:tblInd w:w="0" w:type="dxa"/>
        <w:tblLayout w:type="fixed"/>
        <w:tblCellMar>
          <w:top w:w="28" w:type="dxa"/>
          <w:left w:w="28" w:type="dxa"/>
          <w:bottom w:w="28" w:type="dxa"/>
          <w:right w:w="28" w:type="dxa"/>
        </w:tblCellMar>
      </w:tblPr>
      <w:tblGrid>
        <w:gridCol w:w="1861"/>
        <w:gridCol w:w="1466"/>
        <w:gridCol w:w="1478"/>
        <w:gridCol w:w="244"/>
        <w:gridCol w:w="732"/>
        <w:gridCol w:w="109"/>
        <w:gridCol w:w="109"/>
        <w:gridCol w:w="109"/>
        <w:gridCol w:w="109"/>
        <w:gridCol w:w="244"/>
        <w:gridCol w:w="732"/>
        <w:gridCol w:w="109"/>
        <w:gridCol w:w="109"/>
        <w:gridCol w:w="109"/>
        <w:gridCol w:w="109"/>
        <w:gridCol w:w="211"/>
        <w:gridCol w:w="781"/>
        <w:gridCol w:w="109"/>
        <w:gridCol w:w="109"/>
        <w:gridCol w:w="109"/>
        <w:gridCol w:w="109"/>
        <w:gridCol w:w="211"/>
        <w:gridCol w:w="781"/>
        <w:gridCol w:w="156"/>
      </w:tblGrid>
      <w:tr>
        <w:trPr/>
        <w:tc>
          <w:tcPr>
            <w:tcW w:w="18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8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8,633 </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13,782 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15,427 </w:t>
            </w:r>
          </w:p>
        </w:tc>
        <w:tc>
          <w:tcPr>
            <w:tcW w:w="15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 related party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noncontrolling interest</w:t>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(12,328)</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w:t>
            </w:r>
          </w:p>
        </w:tc>
        <w:tc>
          <w:tcPr>
            <w:tcW w:w="15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noncontrolling interest</w:t>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(12,428)</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w:t>
            </w:r>
          </w:p>
        </w:tc>
        <w:tc>
          <w:tcPr>
            <w:tcW w:w="15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w:t>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w:t>
            </w:r>
          </w:p>
        </w:tc>
        <w:tc>
          <w:tcPr>
            <w:tcW w:w="15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 common shareholders</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EBF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Net loss per share of vTv Therapeutics Inc. Class A common stock, basic and diluted</w:t>
            </w:r>
            <w:r>
              <w:rPr>
                <w:color w:val="000000"/>
              </w:rPr>
              <w:t xml:space="preserve"> </w:t>
            </w:r>
            <w:r>
              <w:rPr>
                <w:rFonts w:ascii="Times New Roman;sans-serif" w:hAnsi="Times New Roman;sans-serif"/>
                <w:b w:val="false"/>
                <w:color w:val="000000"/>
                <w:sz w:val="13"/>
              </w:rPr>
              <w:t>(*)</w:t>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5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Weighted average number of vTv Therapeutics Inc. Class A common stock, basic and diluted</w:t>
            </w:r>
            <w:r>
              <w:rPr>
                <w:color w:val="000000"/>
              </w:rPr>
              <w:t xml:space="preserve"> </w:t>
            </w:r>
            <w:r>
              <w:rPr>
                <w:rFonts w:ascii="Times New Roman;sans-serif" w:hAnsi="Times New Roman;sans-serif"/>
                <w:b w:val="false"/>
                <w:color w:val="000000"/>
                <w:sz w:val="13"/>
              </w:rPr>
              <w:t>(*)</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6,403,444 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2,084,973 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5,098,877 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2,084,973 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Adjusted retroactively for reverse stock split</w:t>
            </w:r>
          </w:p>
        </w:tc>
        <w:tc>
          <w:tcPr>
            <w:tcW w:w="108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Changes in Redeemable Noncontrolling Interest and Stockholders’ Equity (Deficit) -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w:t>
      </w:r>
    </w:p>
    <w:p>
      <w:pPr>
        <w:pStyle w:val="TextBody"/>
        <w:bidi w:val="0"/>
        <w:spacing w:before="120" w:after="283"/>
        <w:jc w:val="center"/>
        <w:rPr/>
      </w:pPr>
      <w:r>
        <w:rPr/>
      </w:r>
    </w:p>
    <w:tbl>
      <w:tblPr>
        <w:tblW w:w="13045" w:type="dxa"/>
        <w:jc w:val="left"/>
        <w:tblInd w:w="0" w:type="dxa"/>
        <w:tblLayout w:type="fixed"/>
        <w:tblCellMar>
          <w:top w:w="28" w:type="dxa"/>
          <w:left w:w="28" w:type="dxa"/>
          <w:bottom w:w="28" w:type="dxa"/>
          <w:right w:w="28" w:type="dxa"/>
        </w:tblCellMar>
      </w:tblPr>
      <w:tblGrid>
        <w:gridCol w:w="677"/>
        <w:gridCol w:w="239"/>
        <w:gridCol w:w="240"/>
        <w:gridCol w:w="109"/>
        <w:gridCol w:w="109"/>
        <w:gridCol w:w="109"/>
        <w:gridCol w:w="443"/>
        <w:gridCol w:w="443"/>
        <w:gridCol w:w="196"/>
        <w:gridCol w:w="109"/>
        <w:gridCol w:w="109"/>
        <w:gridCol w:w="109"/>
        <w:gridCol w:w="236"/>
        <w:gridCol w:w="346"/>
        <w:gridCol w:w="109"/>
        <w:gridCol w:w="109"/>
        <w:gridCol w:w="109"/>
        <w:gridCol w:w="109"/>
        <w:gridCol w:w="375"/>
        <w:gridCol w:w="376"/>
        <w:gridCol w:w="196"/>
        <w:gridCol w:w="109"/>
        <w:gridCol w:w="109"/>
        <w:gridCol w:w="109"/>
        <w:gridCol w:w="288"/>
        <w:gridCol w:w="294"/>
        <w:gridCol w:w="109"/>
        <w:gridCol w:w="109"/>
        <w:gridCol w:w="109"/>
        <w:gridCol w:w="109"/>
        <w:gridCol w:w="196"/>
        <w:gridCol w:w="751"/>
        <w:gridCol w:w="109"/>
        <w:gridCol w:w="109"/>
        <w:gridCol w:w="109"/>
        <w:gridCol w:w="109"/>
        <w:gridCol w:w="196"/>
        <w:gridCol w:w="751"/>
        <w:gridCol w:w="109"/>
        <w:gridCol w:w="109"/>
        <w:gridCol w:w="109"/>
        <w:gridCol w:w="109"/>
        <w:gridCol w:w="222"/>
        <w:gridCol w:w="749"/>
        <w:gridCol w:w="125"/>
        <w:gridCol w:w="109"/>
        <w:gridCol w:w="109"/>
        <w:gridCol w:w="109"/>
        <w:gridCol w:w="268"/>
        <w:gridCol w:w="782"/>
        <w:gridCol w:w="151"/>
        <w:gridCol w:w="109"/>
        <w:gridCol w:w="109"/>
        <w:gridCol w:w="109"/>
        <w:gridCol w:w="218"/>
        <w:gridCol w:w="736"/>
        <w:gridCol w:w="172"/>
      </w:tblGrid>
      <w:tr>
        <w:trPr/>
        <w:tc>
          <w:tcPr>
            <w:tcW w:w="6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391"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 2024</w:t>
            </w:r>
          </w:p>
        </w:tc>
        <w:tc>
          <w:tcPr>
            <w:tcW w:w="2654" w:type="dxa"/>
            <w:gridSpan w:val="9"/>
            <w:tcBorders/>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vTv Therapeutics Inc Stockholders’ Equity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Stockholders' </w:t>
              <w:br/>
              <w:t>Equity (Deficit)</w:t>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2,432,857</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306,887</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(286,121)</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20,796</w:t>
            </w:r>
            <w:r>
              <w:rPr>
                <w:color w:val="000000"/>
              </w:rPr>
              <w:t> </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5,191</w:t>
            </w: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25,987</w:t>
            </w:r>
            <w:r>
              <w:rPr>
                <w:color w:val="000000"/>
              </w:rPr>
              <w:t> </w:t>
            </w:r>
          </w:p>
        </w:tc>
        <w:tc>
          <w:tcPr>
            <w:tcW w:w="17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vTv Therapeutics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859 </w:t>
            </w:r>
          </w:p>
        </w:tc>
        <w:tc>
          <w:tcPr>
            <w:tcW w:w="17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2,432,857</w:t>
            </w:r>
            <w:r>
              <w:rPr>
                <w:color w:val="000000"/>
              </w:rPr>
              <w:t> </w:t>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577,349</w:t>
            </w:r>
            <w:r>
              <w:rPr>
                <w:color w:val="000000"/>
              </w:rPr>
              <w:t> </w:t>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307,746</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(291,301)</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4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16,475</w:t>
            </w:r>
            <w:r>
              <w:rPr>
                <w:color w:val="000000"/>
              </w:rPr>
              <w:t> </w:t>
            </w:r>
          </w:p>
        </w:tc>
        <w:tc>
          <w:tcPr>
            <w:tcW w:w="12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3,962</w:t>
            </w:r>
            <w:r>
              <w:rPr>
                <w:color w:val="000000"/>
              </w:rPr>
              <w:t> </w:t>
            </w:r>
          </w:p>
        </w:tc>
        <w:tc>
          <w:tcPr>
            <w:tcW w:w="1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20,437</w:t>
            </w:r>
            <w:r>
              <w:rPr>
                <w:color w:val="000000"/>
              </w:rPr>
              <w:t> </w:t>
            </w:r>
          </w:p>
        </w:tc>
        <w:tc>
          <w:tcPr>
            <w:tcW w:w="1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11622" w:type="dxa"/>
        <w:jc w:val="left"/>
        <w:tblInd w:w="0" w:type="dxa"/>
        <w:tblLayout w:type="fixed"/>
        <w:tblCellMar>
          <w:top w:w="28" w:type="dxa"/>
          <w:left w:w="28" w:type="dxa"/>
          <w:bottom w:w="28" w:type="dxa"/>
          <w:right w:w="28" w:type="dxa"/>
        </w:tblCellMar>
      </w:tblPr>
      <w:tblGrid>
        <w:gridCol w:w="677"/>
        <w:gridCol w:w="239"/>
        <w:gridCol w:w="240"/>
        <w:gridCol w:w="243"/>
        <w:gridCol w:w="821"/>
        <w:gridCol w:w="137"/>
        <w:gridCol w:w="109"/>
        <w:gridCol w:w="109"/>
        <w:gridCol w:w="109"/>
        <w:gridCol w:w="109"/>
        <w:gridCol w:w="109"/>
        <w:gridCol w:w="109"/>
        <w:gridCol w:w="443"/>
        <w:gridCol w:w="443"/>
        <w:gridCol w:w="196"/>
        <w:gridCol w:w="109"/>
        <w:gridCol w:w="109"/>
        <w:gridCol w:w="109"/>
        <w:gridCol w:w="236"/>
        <w:gridCol w:w="346"/>
        <w:gridCol w:w="109"/>
        <w:gridCol w:w="109"/>
        <w:gridCol w:w="109"/>
        <w:gridCol w:w="109"/>
        <w:gridCol w:w="375"/>
        <w:gridCol w:w="376"/>
        <w:gridCol w:w="196"/>
        <w:gridCol w:w="109"/>
        <w:gridCol w:w="109"/>
        <w:gridCol w:w="109"/>
        <w:gridCol w:w="288"/>
        <w:gridCol w:w="294"/>
        <w:gridCol w:w="109"/>
        <w:gridCol w:w="109"/>
        <w:gridCol w:w="109"/>
        <w:gridCol w:w="109"/>
        <w:gridCol w:w="196"/>
        <w:gridCol w:w="751"/>
        <w:gridCol w:w="109"/>
        <w:gridCol w:w="109"/>
        <w:gridCol w:w="109"/>
        <w:gridCol w:w="109"/>
        <w:gridCol w:w="196"/>
        <w:gridCol w:w="751"/>
        <w:gridCol w:w="109"/>
        <w:gridCol w:w="109"/>
        <w:gridCol w:w="109"/>
        <w:gridCol w:w="109"/>
        <w:gridCol w:w="218"/>
        <w:gridCol w:w="736"/>
        <w:gridCol w:w="172"/>
      </w:tblGrid>
      <w:tr>
        <w:trPr/>
        <w:tc>
          <w:tcPr>
            <w:tcW w:w="6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62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 2023</w:t>
            </w:r>
          </w:p>
        </w:tc>
      </w:tr>
      <w:tr>
        <w:trP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Deficit</w:t>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at March 31, 2023</w:t>
            </w:r>
          </w:p>
        </w:tc>
        <w:tc>
          <w:tcPr>
            <w:tcW w:w="24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19,600</w:t>
            </w:r>
            <w:r>
              <w:rPr>
                <w:color w:val="000000"/>
              </w:rPr>
              <w:t> </w:t>
            </w:r>
          </w:p>
        </w:tc>
        <w:tc>
          <w:tcPr>
            <w:tcW w:w="13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2,084,973</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255,100</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(274,319)</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(19,192)</w:t>
            </w:r>
          </w:p>
        </w:tc>
        <w:tc>
          <w:tcPr>
            <w:tcW w:w="17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6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172" w:type="dxa"/>
            <w:tcBorders/>
            <w:shd w:fill="EBF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redemption value of noncontrolling interest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June 30, 2023</w:t>
            </w:r>
          </w:p>
        </w:tc>
        <w:tc>
          <w:tcPr>
            <w:tcW w:w="24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18,879</w:t>
            </w:r>
            <w:r>
              <w:rPr>
                <w:color w:val="000000"/>
              </w:rPr>
              <w:t> </w:t>
            </w:r>
          </w:p>
        </w:tc>
        <w:tc>
          <w:tcPr>
            <w:tcW w:w="13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2,084,973</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255,499</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(280,809)</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(25,283)</w:t>
            </w:r>
          </w:p>
        </w:tc>
        <w:tc>
          <w:tcPr>
            <w:tcW w:w="17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 Adjusted retroactively for reverse stock split</w:t>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Changes in Redeemable Noncontrolling Interest and Stockholders’ Deficit -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w:t>
      </w:r>
    </w:p>
    <w:tbl>
      <w:tblPr>
        <w:tblW w:w="13388" w:type="dxa"/>
        <w:jc w:val="left"/>
        <w:tblInd w:w="0" w:type="dxa"/>
        <w:tblLayout w:type="fixed"/>
        <w:tblCellMar>
          <w:top w:w="28" w:type="dxa"/>
          <w:left w:w="28" w:type="dxa"/>
          <w:bottom w:w="28" w:type="dxa"/>
          <w:right w:w="28" w:type="dxa"/>
        </w:tblCellMar>
      </w:tblPr>
      <w:tblGrid>
        <w:gridCol w:w="610"/>
        <w:gridCol w:w="220"/>
        <w:gridCol w:w="221"/>
        <w:gridCol w:w="235"/>
        <w:gridCol w:w="644"/>
        <w:gridCol w:w="142"/>
        <w:gridCol w:w="109"/>
        <w:gridCol w:w="109"/>
        <w:gridCol w:w="109"/>
        <w:gridCol w:w="109"/>
        <w:gridCol w:w="109"/>
        <w:gridCol w:w="109"/>
        <w:gridCol w:w="375"/>
        <w:gridCol w:w="376"/>
        <w:gridCol w:w="171"/>
        <w:gridCol w:w="109"/>
        <w:gridCol w:w="109"/>
        <w:gridCol w:w="109"/>
        <w:gridCol w:w="181"/>
        <w:gridCol w:w="316"/>
        <w:gridCol w:w="109"/>
        <w:gridCol w:w="109"/>
        <w:gridCol w:w="109"/>
        <w:gridCol w:w="109"/>
        <w:gridCol w:w="323"/>
        <w:gridCol w:w="323"/>
        <w:gridCol w:w="171"/>
        <w:gridCol w:w="109"/>
        <w:gridCol w:w="109"/>
        <w:gridCol w:w="109"/>
        <w:gridCol w:w="221"/>
        <w:gridCol w:w="241"/>
        <w:gridCol w:w="109"/>
        <w:gridCol w:w="109"/>
        <w:gridCol w:w="109"/>
        <w:gridCol w:w="109"/>
        <w:gridCol w:w="181"/>
        <w:gridCol w:w="646"/>
        <w:gridCol w:w="109"/>
        <w:gridCol w:w="109"/>
        <w:gridCol w:w="109"/>
        <w:gridCol w:w="109"/>
        <w:gridCol w:w="181"/>
        <w:gridCol w:w="631"/>
        <w:gridCol w:w="109"/>
        <w:gridCol w:w="109"/>
        <w:gridCol w:w="109"/>
        <w:gridCol w:w="109"/>
        <w:gridCol w:w="230"/>
        <w:gridCol w:w="726"/>
        <w:gridCol w:w="140"/>
        <w:gridCol w:w="109"/>
        <w:gridCol w:w="109"/>
        <w:gridCol w:w="109"/>
        <w:gridCol w:w="276"/>
        <w:gridCol w:w="757"/>
        <w:gridCol w:w="168"/>
        <w:gridCol w:w="109"/>
        <w:gridCol w:w="109"/>
        <w:gridCol w:w="109"/>
        <w:gridCol w:w="194"/>
        <w:gridCol w:w="615"/>
        <w:gridCol w:w="167"/>
      </w:tblGrid>
      <w:tr>
        <w:trPr/>
        <w:tc>
          <w:tcPr>
            <w:tcW w:w="6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388"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six months ended June 30, 2024</w:t>
            </w:r>
          </w:p>
        </w:tc>
      </w:tr>
      <w:tr>
        <w:trPr/>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vTv Therapeutics Inc Stockholders’ Equity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Stockholders' </w:t>
              <w:br/>
              <w:t>Equity (Deficit)</w:t>
            </w:r>
          </w:p>
        </w:tc>
      </w:tr>
      <w:tr>
        <w:trPr/>
        <w:tc>
          <w:tcPr>
            <w:tcW w:w="105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at December 31, 2023</w:t>
            </w:r>
          </w:p>
        </w:tc>
        <w:tc>
          <w:tcPr>
            <w:tcW w:w="23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6,131</w:t>
            </w:r>
            <w:r>
              <w:rPr>
                <w:color w:val="000000"/>
              </w:rPr>
              <w:t> </w:t>
            </w:r>
          </w:p>
        </w:tc>
        <w:tc>
          <w:tcPr>
            <w:tcW w:w="14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2,084,973</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1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21</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577,349</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256,335</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(281,042)</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2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(24,680)</w:t>
            </w:r>
          </w:p>
        </w:tc>
        <w:tc>
          <w:tcPr>
            <w:tcW w:w="14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(24,680)</w:t>
            </w:r>
          </w:p>
        </w:tc>
        <w:tc>
          <w:tcPr>
            <w:tcW w:w="16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attributable to vTv Therapeutics Inc.</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(10,045)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(10,045)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Net loss attributable to redeemable noncontrolling interest</w:t>
            </w:r>
            <w:r>
              <w:rPr>
                <w:rFonts w:ascii="Times New Roman;sans-serif" w:hAnsi="Times New Roman;sans-serif"/>
                <w:b w:val="false"/>
                <w:color w:val="000000"/>
                <w:sz w:val="9"/>
              </w:rPr>
              <w:t>(*)</w:t>
            </w:r>
          </w:p>
        </w:tc>
        <w:tc>
          <w:tcPr>
            <w:tcW w:w="87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(1,085)</w:t>
            </w:r>
          </w:p>
        </w:tc>
        <w:tc>
          <w:tcPr>
            <w:tcW w:w="14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EBF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redemption value of redeemable noncontrolling interest</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redeemable noncontrolling interest to permanent equity (See Note 7)</w:t>
            </w:r>
          </w:p>
        </w:tc>
        <w:tc>
          <w:tcPr>
            <w:tcW w:w="87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(5,260)</w:t>
            </w:r>
          </w:p>
        </w:tc>
        <w:tc>
          <w:tcPr>
            <w:tcW w:w="14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5,260 </w:t>
            </w:r>
          </w:p>
        </w:tc>
        <w:tc>
          <w:tcPr>
            <w:tcW w:w="16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5,260 </w:t>
            </w:r>
          </w:p>
        </w:tc>
        <w:tc>
          <w:tcPr>
            <w:tcW w:w="16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stock and pre-funded warrants, net offering costs</w:t>
            </w:r>
          </w:p>
        </w:tc>
        <w:tc>
          <w:tcPr>
            <w:tcW w:w="87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347,884 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50,332 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50,335 </w:t>
            </w:r>
          </w:p>
        </w:tc>
        <w:tc>
          <w:tcPr>
            <w:tcW w:w="14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50,335 </w:t>
            </w:r>
          </w:p>
        </w:tc>
        <w:tc>
          <w:tcPr>
            <w:tcW w:w="167" w:type="dxa"/>
            <w:tcBorders/>
            <w:shd w:fill="EBF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attributable to noncontrolling interest</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at June 30, 2024</w:t>
            </w:r>
          </w:p>
        </w:tc>
        <w:tc>
          <w:tcPr>
            <w:tcW w:w="23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2,432,857</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1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24</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577,349</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307,746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(291,301)</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2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16,475</w:t>
            </w:r>
            <w:r>
              <w:rPr>
                <w:color w:val="000000"/>
              </w:rPr>
              <w:t> </w:t>
            </w:r>
          </w:p>
        </w:tc>
        <w:tc>
          <w:tcPr>
            <w:tcW w:w="14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3,962</w:t>
            </w:r>
            <w:r>
              <w:rPr>
                <w:color w:val="000000"/>
              </w:rPr>
              <w:t> </w:t>
            </w:r>
          </w:p>
        </w:tc>
        <w:tc>
          <w:tcPr>
            <w:tcW w:w="16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20,437</w:t>
            </w:r>
            <w:r>
              <w:rPr>
                <w:color w:val="000000"/>
              </w:rPr>
              <w:t> </w:t>
            </w:r>
          </w:p>
        </w:tc>
        <w:tc>
          <w:tcPr>
            <w:tcW w:w="16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Allocation of NCI net loss was a result from the reclassification to permanent equity on February 27, 2024 (See Note 7)</w:t>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10392" w:type="dxa"/>
        <w:jc w:val="left"/>
        <w:tblInd w:w="0" w:type="dxa"/>
        <w:tblLayout w:type="fixed"/>
        <w:tblCellMar>
          <w:top w:w="28" w:type="dxa"/>
          <w:left w:w="28" w:type="dxa"/>
          <w:bottom w:w="28" w:type="dxa"/>
          <w:right w:w="28" w:type="dxa"/>
        </w:tblCellMar>
      </w:tblPr>
      <w:tblGrid>
        <w:gridCol w:w="565"/>
        <w:gridCol w:w="220"/>
        <w:gridCol w:w="221"/>
        <w:gridCol w:w="214"/>
        <w:gridCol w:w="677"/>
        <w:gridCol w:w="130"/>
        <w:gridCol w:w="109"/>
        <w:gridCol w:w="109"/>
        <w:gridCol w:w="109"/>
        <w:gridCol w:w="109"/>
        <w:gridCol w:w="109"/>
        <w:gridCol w:w="109"/>
        <w:gridCol w:w="375"/>
        <w:gridCol w:w="376"/>
        <w:gridCol w:w="171"/>
        <w:gridCol w:w="109"/>
        <w:gridCol w:w="109"/>
        <w:gridCol w:w="109"/>
        <w:gridCol w:w="181"/>
        <w:gridCol w:w="316"/>
        <w:gridCol w:w="109"/>
        <w:gridCol w:w="109"/>
        <w:gridCol w:w="109"/>
        <w:gridCol w:w="109"/>
        <w:gridCol w:w="323"/>
        <w:gridCol w:w="323"/>
        <w:gridCol w:w="171"/>
        <w:gridCol w:w="109"/>
        <w:gridCol w:w="109"/>
        <w:gridCol w:w="109"/>
        <w:gridCol w:w="221"/>
        <w:gridCol w:w="241"/>
        <w:gridCol w:w="109"/>
        <w:gridCol w:w="109"/>
        <w:gridCol w:w="109"/>
        <w:gridCol w:w="109"/>
        <w:gridCol w:w="181"/>
        <w:gridCol w:w="646"/>
        <w:gridCol w:w="109"/>
        <w:gridCol w:w="109"/>
        <w:gridCol w:w="109"/>
        <w:gridCol w:w="109"/>
        <w:gridCol w:w="181"/>
        <w:gridCol w:w="631"/>
        <w:gridCol w:w="109"/>
        <w:gridCol w:w="109"/>
        <w:gridCol w:w="109"/>
        <w:gridCol w:w="109"/>
        <w:gridCol w:w="198"/>
        <w:gridCol w:w="609"/>
        <w:gridCol w:w="169"/>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39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six months ended June 30, 2023</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Stockholders' Deficit </w:t>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Balances at December 31, 2022</w:t>
            </w:r>
          </w:p>
        </w:tc>
        <w:tc>
          <w:tcPr>
            <w:tcW w:w="21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16,579</w:t>
            </w:r>
            <w:r>
              <w:rPr>
                <w:color w:val="000000"/>
              </w:rPr>
              <w:t> </w:t>
            </w:r>
          </w:p>
        </w:tc>
        <w:tc>
          <w:tcPr>
            <w:tcW w:w="13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2,084,973</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1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21</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577,349</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254,757</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(265,524)</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0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(10,740)</w:t>
            </w:r>
          </w:p>
        </w:tc>
        <w:tc>
          <w:tcPr>
            <w:tcW w:w="16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(2,867)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(10,118)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89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742 </w:t>
            </w:r>
          </w:p>
        </w:tc>
        <w:tc>
          <w:tcPr>
            <w:tcW w:w="169" w:type="dxa"/>
            <w:tcBorders/>
            <w:shd w:fill="EBF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redemption value of noncontrolling interest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(5,167)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at June 30, 2023</w:t>
            </w:r>
          </w:p>
        </w:tc>
        <w:tc>
          <w:tcPr>
            <w:tcW w:w="21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18,879</w:t>
            </w:r>
            <w:r>
              <w:rPr>
                <w:color w:val="000000"/>
              </w:rPr>
              <w:t> </w:t>
            </w:r>
          </w:p>
        </w:tc>
        <w:tc>
          <w:tcPr>
            <w:tcW w:w="13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2,084,973</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1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21</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577,349</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255,499</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(280,809)</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0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(25,283)</w:t>
            </w:r>
          </w:p>
        </w:tc>
        <w:tc>
          <w:tcPr>
            <w:tcW w:w="16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 Adjusted retroactively for reverse stock split</w:t>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820"/>
        <w:gridCol w:w="2394"/>
        <w:gridCol w:w="2411"/>
        <w:gridCol w:w="211"/>
        <w:gridCol w:w="783"/>
        <w:gridCol w:w="109"/>
        <w:gridCol w:w="109"/>
        <w:gridCol w:w="109"/>
        <w:gridCol w:w="109"/>
        <w:gridCol w:w="211"/>
        <w:gridCol w:w="783"/>
        <w:gridCol w:w="156"/>
      </w:tblGrid>
      <w:tr>
        <w:trPr/>
        <w:tc>
          <w:tcPr>
            <w:tcW w:w="2820"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7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625"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03"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noncontrolling interest</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(12,428)</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w:t>
            </w:r>
          </w:p>
        </w:tc>
        <w:tc>
          <w:tcPr>
            <w:tcW w:w="156"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before noncontrolling interest to net cash used in operating activities: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promissory note early redemption</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interest income </w:t>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investments</w:t>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related party</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2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2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25"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03"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Class A common stock and pre-funded warrants, net of offering costs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promissory note early redemption related to sale of Class A common stock to collaboration partner</w:t>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12,030 </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payable</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94"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50,144 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11,806 </w:t>
            </w:r>
          </w:p>
        </w:tc>
        <w:tc>
          <w:tcPr>
            <w:tcW w:w="15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beginning of period</w:t>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12,126 </w:t>
            </w:r>
          </w:p>
        </w:tc>
        <w:tc>
          <w:tcPr>
            <w:tcW w:w="156"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end of period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activities:</w:t>
            </w:r>
          </w:p>
        </w:tc>
        <w:tc>
          <w:tcPr>
            <w:tcW w:w="1103"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redemption value of noncontrolling interest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noncontrolling interest to additional paid-in capital</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2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(dollar amounts are in thousands,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 xml:space="preserve">Note 1: Description of Business and Basis of Presentation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vTv Therapeutics Inc. (the “Company,” the “Registrant,” “we” or “us”) was incorporated in the state of Delaware in April 2015. The Company is a clinical stage pharmaceutical company focused on treating metabolic diseases to minimize their long-term complications through end-organ protection.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vTv Therapeutics Inc. is a holding company, and its principal asset is a controlling equity interest in vTv Therapeutics LLC (“vTv LLC”), the Company’s principal operating subsidiary, which is a clinical stage pharmaceutical company engaged in the discovery and development of orally administered small molecule drug candidates to fill significant unmet medical needs.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The assets and liabilities of vTv LLC represent substantially all of the Company's consolidated assets and liabilities with the exception of the Warrants and $26.1 million of cash and cash equivalents.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Various holders own non-voting interests in vTv LLC, representing a 19.2% economic interest in vTv LLC, effectively restricting vTv Therapeutics Inc.’s interest to 80.8% of vTv LLC’s economic results, subject to increase in the future, should vTv Therapeutics Inc. purchase additional non-voting common units (“vTv Units”) of vTv LLC, or should the holders of vTv Units decide to exchange such units (together with shares of the Company’s Class B common stock, par value $0.01 (“Class B common stock”)) for shares of Class A common stock (or cash) pursuant to the Exchange Agreement (as defined in Note 8). vTv Therapeutics Inc. has provided financial and other support to vTv LLC in the form of its purchase of vTv Units with the net proceeds of the Company’s initial public offering (“IPO”) in 2015, its registered direct offering in March 2019, and its agreeing to be a co-borrower under the Venture Loan and Security Agreement (the “Loan Agreement”) with Horizon Technology Finance Corporation and Silicon Valley Bank (together, the “Lenders”) which was entered into in 2016. vTv Therapeutics Inc. entered into the letter agreements with MacAndrews and Forbes Group LLC (“M&amp;F Group”), a related party and an affiliate of MacAndrews &amp; Forbes Incorporated (together with its affiliates “MacAndrews”) in December 2017, July 2018, December 2018, March 2019, September 2019, and December 2019 (each a “Letter Agreement” and collectively, the “Letter Agreements”). vTv Therapeutics Inc. entered into a common stock purchase agreement with G42 Investments AI Holding RSC Ltd (“G42 Investments”) (the “G42 Purchase </w:t>
      </w:r>
      <w:r>
        <w:rPr>
          <w:rFonts w:ascii="Times New Roman;sans-serif" w:hAnsi="Times New Roman;sans-serif"/>
          <w:b w:val="false"/>
          <w:color w:val="000000"/>
          <w:sz w:val="20"/>
          <w:shd w:fill="FFFFFF" w:val="clear"/>
        </w:rPr>
        <w:t>Agreement”),</w:t>
      </w:r>
      <w:r>
        <w:rPr>
          <w:color w:val="000000"/>
        </w:rPr>
        <w:t xml:space="preserve"> </w:t>
      </w:r>
      <w:r>
        <w:rPr>
          <w:rFonts w:ascii="Times New Roman;sans-serif" w:hAnsi="Times New Roman;sans-serif"/>
          <w:b w:val="false"/>
          <w:color w:val="000000"/>
          <w:sz w:val="20"/>
        </w:rPr>
        <w:t>the common stock and warrant purchase agreement with CinPax, LLC and CinRx, LLC, respectively (the “CinRx Purchase Agreement”). In addition vTv Therapeutics Inc. also entered into a Securities Purchase Agreement with Private Placement Investors and the sales agreement with Cowen and Company, LLC (“TD Cowen”) (“TD Cowen Sales Agreement”). v</w:t>
      </w:r>
      <w:r>
        <w:rPr>
          <w:rFonts w:ascii="Times New Roman;sans-serif" w:hAnsi="Times New Roman;sans-serif"/>
          <w:b w:val="false"/>
          <w:color w:val="000000"/>
          <w:sz w:val="20"/>
          <w:shd w:fill="FFFFFF" w:val="clear"/>
        </w:rPr>
        <w:t xml:space="preserve">Tv Therapeutics Inc. will not be required to provide financial or other support for vTv LLC. </w:t>
      </w:r>
      <w:r>
        <w:rPr>
          <w:rFonts w:ascii="Times New Roman;sans-serif" w:hAnsi="Times New Roman;sans-serif"/>
          <w:b w:val="false"/>
          <w:color w:val="000000"/>
          <w:sz w:val="20"/>
        </w:rPr>
        <w:t>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the Company has not generated any product revenue and has not achieved profitable operations. The continuing development of our drug candidates will require additional financing. From its inception through June 30, 2024,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June 30, 2024, the Company had an accumulated deficit of $291.3 million and has generated net losses in each year of its existence. As of June 30, 2024, the Company’s liquidity sources included cash and cash equivalents of $45.5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current operating plan, we believe that our current cash and cash equivalents will allow us to meet our liquidity requirements for at least the next twelve months.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2024, we entered into a securities purchase agreement (the “Securities Purchase Agreement”) with certain institutional accredited investors (the “Private Placement Investors”), pursuant to which we agreed to issue and sell to the Private Placement Investors in a private placement (the “Private Placement”) (i) an aggregate of 464,377 shares (the “Private Placement Shares”) of our Class A common stock, at a purchase price of $11.81 per share, and (ii) pre-funded warrants (the “Private Placement Pre-Funded Warrants”) to purchase up to an aggregate of 3,853,997 shares of our Class A common stock (the “Private Placement Warrant Shares”) at a purchase price of $11.80 per Private Placement Pre-Funded Warrant (representing the $11.81 per Private Placement Share purchase price less the exercise price of $0.01 per Private Placement Warrant Share). We received aggregate gross proceeds from the Private Placement of approximately $51.0 million, before deducting offering expenses payable by us. The Private Placement Pre-Funded Warrants are exercisable at any time after their original issuance and will not expire.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2024, we entered into the TD Cowen Sales Agreement,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Unaudited Interim Financial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in accordance with accounting principles generally accepted in the United States of America (“GAAP”). The accompanying Condensed Consolidated Balance Sheet as of June 30, 2024, Condensed Consolidated Statements of Operations for the three and six months ended June 30, 2024 and 2023, Condensed Consolidated Statement of Changes in Redeemable Noncontrolling Interest and Stockholders’ Equity (Deficit) for the three and six months ended June 30, 2024 and 2023 and Condensed Consolidated Statements of Cash Flows for the six months ended June 30, 2024 and 2023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2023,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June 30, 2024, the results of operations for the three and six months ended June 30, 2024 and 2023 and cash flows for the six months ended June 30, 2024 and 2023. The December 31, 2023 Condensed Consolidated Balance Sheet included herein was derived from the audited financial statements but does not include all disclosures or notes required by GAAP for complete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data and other information disclosed in these notes to the financial statements related to the three and six months ended June 30, 2024 and 2023 are unaudited. Interim results are not necessarily indicative of results for an entire year.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an ongoing basis, the Company evaluates its estimates, including those related to the grant date fair value of equity awards, the fair value of warrants to purchase shares of its Class A common stock, the fair value of its Class B common stock, the useful lives of property and equipment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expose the Company to concentrations of credit risk consist principally of cash on deposit with multiple financial institutions. The balance of the cash account frequently exceeds insured limits. The associated risk of concentration for cash and cash equivalents is mitigated by transferring a majority of our cash to a AAA rated money market account with a creditworthy institution.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One customer represented 100% of the revenue earned during the six months ended June 30, 2024. The Company did not have any revenue during the six months ended June 30, 2023 or during the three months ended June 30, 2024 and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any highly liquid investments with an original maturity of three months or less to be cash and cash equivalents.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income (expense), net on the Condensed Consolidated Statements of Operations.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r>
        <w:rPr>
          <w:rFonts w:ascii="Times New Roman;sans-serif" w:hAnsi="Times New Roman;sans-serif"/>
          <w:b w:val="false"/>
          <w:color w:val="000000"/>
          <w:sz w:val="20"/>
        </w:rPr>
        <w: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uses the revenue recognition guidance established by ASC 606, Revenue From Contracts With Customers (“ASC 606”). When an agreement falls under the scope of other standards, such as ASC 808, </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discernible pattern over which the services will be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Major components of research and development costs include cash compensation, depreciation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Research and development costs are expensed as incurred.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accruals based on estimates of the services received, efforts expended and amounts owed pursuant to contracts with numerous contract research and manufacturing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that are reimbursed under a cost-sharing arrangement are reflected as a reduction of research and development expense.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120" w:after="283"/>
        <w:ind w:left="0" w:right="0" w:firstLine="540"/>
        <w:jc w:val="both"/>
        <w:rPr/>
      </w:pPr>
      <w:r>
        <w:rPr>
          <w:rFonts w:ascii="Times New Roman;sans-serif" w:hAnsi="Times New Roman;sans-serif"/>
          <w:b/>
          <w:color w:val="000000"/>
          <w:sz w:val="20"/>
        </w:rPr>
        <w:t>Segment Reporting</w:t>
      </w:r>
      <w:r>
        <w:rPr>
          <w:rFonts w:ascii="Times New Roman;sans-serif" w:hAnsi="Times New Roman;sans-serif"/>
          <w:b w:val="false"/>
          <w:color w:val="000000"/>
          <w:sz w:val="20"/>
        </w:rPr>
        <w:t>: In November 2023, the FASB issued ASU 2023-07, Segment Reporting (Topic 280): “</w:t>
      </w:r>
      <w:r>
        <w:rPr>
          <w:rFonts w:ascii="Times New Roman;sans-serif" w:hAnsi="Times New Roman;sans-serif"/>
          <w:b w:val="false"/>
          <w:i/>
          <w:color w:val="000000"/>
          <w:sz w:val="20"/>
        </w:rPr>
        <w:t>Improvements to Reportable Segment Disclosures</w:t>
      </w:r>
      <w:r>
        <w:rPr>
          <w:color w:val="000000"/>
        </w:rPr>
        <w:t xml:space="preserve">” </w:t>
      </w:r>
      <w:r>
        <w:rPr>
          <w:rFonts w:ascii="Times New Roman;sans-serif" w:hAnsi="Times New Roman;sans-serif"/>
          <w:b w:val="false"/>
          <w:i/>
          <w:color w:val="000000"/>
          <w:sz w:val="20"/>
        </w:rPr>
        <w:t>(ASU 2023-07)</w:t>
      </w:r>
      <w:r>
        <w:rPr>
          <w:rFonts w:ascii="Times New Roman;sans-serif" w:hAnsi="Times New Roman;sans-serif"/>
          <w:b w:val="false"/>
          <w:color w:val="000000"/>
          <w:sz w:val="20"/>
        </w:rPr>
        <w:t xml:space="preserve">. The ASU expands public entities' segment disclosures by requiring disclosures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For public entities, the provisions within ASU 2023-07 are effective for fiscal years beginning after December 15, 2023, and for interim periods of fiscal years beginning after December 15, 2024. The Company is currently assessing the impact the adoption of ASU 2023-07 will have on its Consolidated Financial Statement and disclosures. </w:t>
      </w:r>
    </w:p>
    <w:p>
      <w:pPr>
        <w:pStyle w:val="TextBody"/>
        <w:bidi w:val="0"/>
        <w:spacing w:lineRule="auto" w:line="288" w:before="120" w:after="283"/>
        <w:ind w:left="0" w:right="0" w:firstLine="540"/>
        <w:jc w:val="both"/>
        <w:rPr/>
      </w:pPr>
      <w:r>
        <w:rPr>
          <w:rFonts w:ascii="Times New Roman;sans-serif" w:hAnsi="Times New Roman;sans-serif"/>
          <w:b/>
          <w:color w:val="000000"/>
          <w:sz w:val="20"/>
        </w:rPr>
        <w:t>Income Taxes</w:t>
      </w:r>
      <w:r>
        <w:rPr>
          <w:rFonts w:ascii="Times New Roman;sans-serif" w:hAnsi="Times New Roman;sans-serif"/>
          <w:b w:val="false"/>
          <w:color w:val="000000"/>
          <w:sz w:val="20"/>
        </w:rPr>
        <w:t>: In December 2023, the FASB issued ASU 2023-09: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(“ASU 2023-09”). The ASU is intended to enhance the transparency and decision usefulness of income tax disclosures. The amendments in the ASU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the Company's Consolidated Financial Statements and disclosures, and we expect considerable changes to our income tax disclosures.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3: Collaboration Agreements</w:t>
      </w:r>
    </w:p>
    <w:p>
      <w:pPr>
        <w:pStyle w:val="TextBody"/>
        <w:bidi w:val="0"/>
        <w:spacing w:lineRule="auto" w:line="288" w:before="120" w:after="283"/>
        <w:ind w:left="0" w:right="0" w:hanging="540"/>
        <w:jc w:val="both"/>
        <w:rPr>
          <w:rFonts w:ascii="Times New Roman;sans-serif" w:hAnsi="Times New Roman;sans-serif"/>
          <w:b/>
          <w:i/>
          <w:color w:val="000000"/>
          <w:sz w:val="20"/>
        </w:rPr>
      </w:pPr>
      <w:r>
        <w:rPr>
          <w:rFonts w:ascii="Times New Roman;sans-serif" w:hAnsi="Times New Roman;sans-serif"/>
          <w:b/>
          <w:i/>
          <w:color w:val="000000"/>
          <w:sz w:val="20"/>
        </w:rPr>
        <w:t>G42 Purchase Agreement and Cogna Collaborative and License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G42 Investments AI Holding RSC Ltd, a private limited company (“G42 Investments”), entered into a Common Stock Purchase Agreement (the “G42 Purchase Agreement”), pursuant to which the Company sold to G42 Investments 259,657 shares of the Company’s Class A common stock at a price per share of approximately $96.40, for an aggregate purchase price of $25.0 million, which was paid (i) $12.5 million in cash at the closing and (ii) $12.5 million in the form of a promissory note of G42 Investments to be paid at May 31, 2023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 net in the Company’s Condensed Consolidated Statements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G42 Investments has agreed to certain transfer restrictions (including restrictions on short sales or similar transactions) and restrictions on further acquisitions of shares, in each case subject to specified exceptions. Following the expiration of a lock up period, from the period May 31, 2022 until December 31, 2024 (or if earlier, the date of receipt of U.S. Food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 xml:space="preserve">Drug Administration (“FDA”) approval in the U.S. for </w:t>
      </w:r>
      <w:r>
        <w:rPr>
          <w:rFonts w:ascii="Times New Roman;sans-serif" w:hAnsi="Times New Roman;sans-serif"/>
          <w:b w:val="false"/>
          <w:i/>
          <w:color w:val="000000"/>
          <w:sz w:val="20"/>
        </w:rPr>
        <w:t>cadisegliatin</w:t>
      </w:r>
      <w:r>
        <w:rPr>
          <w:rFonts w:ascii="Times New Roman;sans-serif" w:hAnsi="Times New Roman;sans-serif"/>
          <w:b w:val="false"/>
          <w:color w:val="000000"/>
          <w:sz w:val="20"/>
        </w:rPr>
        <w:t>, the Company has granted to G42 Investments 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Contemporaneously with the G42 Purchase Agreement, effective on May 31, 2022, the Company entered into a collaboration and license agreement (the “Cogna Agreement”) with Cogna Technology Solutions LLC, an affiliate of G42 Investments (“Cogna”), which requires Cogna to work with the Company in performing clinical trials for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as well as jointly creating a global development plan to develop, market, and commercialize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in certain countries in the Middle East, Africa, and Central Asia (the “Partner Territory”). Under the terms of the Cogna Agreement, Cogna will obtain a license under certain intellectual property controlled by the Company to enable it to fulfill its obligations and exercise its rights under the Cogna agreement, including to develop and commercialize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in the Partner Territory, but will not have access to the various intellectual property (“IP”) related to the license and </w:t>
      </w:r>
      <w:r>
        <w:rPr>
          <w:rFonts w:ascii="Times New Roman;sans-serif" w:hAnsi="Times New Roman;sans-serif"/>
          <w:b w:val="false"/>
          <w:i/>
          <w:color w:val="000000"/>
          <w:sz w:val="20"/>
        </w:rPr>
        <w:t>cadisegliatin</w:t>
      </w:r>
      <w:r>
        <w:rPr>
          <w:rFonts w:ascii="Times New Roman;sans-serif" w:hAnsi="Times New Roman;sans-serif"/>
          <w:b w:val="false"/>
          <w:color w:val="000000"/>
          <w:sz w:val="20"/>
        </w:rPr>
        <w:t xml:space="preserve">. Specifically, the Company will share various protocols with Cogna related to conducting the clinical trials and will provide the patient dosages and placebo of </w:t>
      </w:r>
      <w:r>
        <w:rPr>
          <w:rFonts w:ascii="Times New Roman;sans-serif" w:hAnsi="Times New Roman;sans-serif"/>
          <w:b w:val="false"/>
          <w:i/>
          <w:color w:val="000000"/>
          <w:sz w:val="20"/>
        </w:rPr>
        <w:t xml:space="preserve">cadisegliatin </w:t>
      </w:r>
      <w:r>
        <w:rPr>
          <w:rFonts w:ascii="Times New Roman;sans-serif" w:hAnsi="Times New Roman;sans-serif"/>
          <w:b w:val="false"/>
          <w:color w:val="000000"/>
          <w:sz w:val="20"/>
        </w:rPr>
        <w:t xml:space="preserve">needed to conduct the trials.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Under the Cogna Agreement, Cogna has the right to develop and commercialize the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in the Partner Territory at its own cost once restrictions on the use of the IP have been lifted by the Company. The Cogna Agreement determined which specific countries in the Partner Territory that Cogna may pursue development and commercialization and provides the Company with the ability to determine when Cogna can benefit from this IP through the powers granted to the Company to approve the global development plan. Further, the Company may supply at cost, or Cogna may manufacture, </w:t>
      </w:r>
      <w:r>
        <w:rPr>
          <w:rFonts w:ascii="Times New Roman;sans-serif" w:hAnsi="Times New Roman;sans-serif"/>
          <w:b w:val="false"/>
          <w:i/>
          <w:color w:val="000000"/>
          <w:sz w:val="20"/>
        </w:rPr>
        <w:t>cadisegliatin</w:t>
      </w:r>
      <w:r>
        <w:rPr>
          <w:color w:val="000000"/>
          <w:shd w:fill="FFFFFF" w:val="clear"/>
        </w:rPr>
        <w:t xml:space="preserve"> </w:t>
      </w:r>
      <w:r>
        <w:rPr>
          <w:rFonts w:ascii="Times New Roman;sans-serif" w:hAnsi="Times New Roman;sans-serif"/>
          <w:b w:val="false"/>
          <w:color w:val="000000"/>
          <w:sz w:val="20"/>
          <w:shd w:fill="FFFFFF" w:val="clear"/>
        </w:rPr>
        <w:t>for commercial sale under terms to be agreed upon by the parties at a later date.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Separately, the Company will conduct its clinical trials for </w:t>
      </w:r>
      <w:r>
        <w:rPr>
          <w:rFonts w:ascii="Times New Roman;sans-serif" w:hAnsi="Times New Roman;sans-serif"/>
          <w:b w:val="false"/>
          <w:i/>
          <w:color w:val="000000"/>
          <w:sz w:val="20"/>
        </w:rPr>
        <w:t>cadisegliatin</w:t>
      </w:r>
      <w:r>
        <w:rPr>
          <w:color w:val="000000"/>
          <w:shd w:fill="FFFFFF" w:val="clear"/>
        </w:rPr>
        <w:t xml:space="preserve"> </w:t>
      </w:r>
      <w:r>
        <w:rPr>
          <w:rFonts w:ascii="Times New Roman;sans-serif" w:hAnsi="Times New Roman;sans-serif"/>
          <w:b w:val="false"/>
          <w:color w:val="000000"/>
          <w:sz w:val="20"/>
          <w:shd w:fill="FFFFFF" w:val="clear"/>
        </w:rPr>
        <w:t xml:space="preserve">outside of the Partner Territory at its own cost. The Company may combine the results of each party’s clinical trials to seek FDA approval in the United States for </w:t>
      </w:r>
      <w:r>
        <w:rPr>
          <w:rFonts w:ascii="Times New Roman;sans-serif" w:hAnsi="Times New Roman;sans-serif"/>
          <w:b w:val="false"/>
          <w:i/>
          <w:color w:val="000000"/>
          <w:sz w:val="20"/>
        </w:rPr>
        <w:t>cadisegliatin</w:t>
      </w:r>
      <w:r>
        <w:rPr>
          <w:rFonts w:ascii="Times New Roman;sans-serif" w:hAnsi="Times New Roman;sans-serif"/>
          <w:b w:val="false"/>
          <w:color w:val="000000"/>
          <w:sz w:val="20"/>
          <w:shd w:fill="FFFFFF" w:val="clear"/>
        </w:rPr>
        <w:t>. On December 21, 2022, G42 Healthcare Technology Solutions LLC (formerly known as Cogna Technology Solutions LLC) novated its rights and obligation under the Cogna agreement to G42 Healthcare Research Technology Projects LLC (“G42 Healthcare”), an affiliate of G42 Investments. As a result of the novation, all reference to Cogna herein shall be deemed to refer to G42 Healthcare.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G42 Purchase Agreement also provides for, following the receipt of the </w:t>
      </w:r>
      <w:r>
        <w:rPr>
          <w:rFonts w:ascii="Times New Roman;sans-serif" w:hAnsi="Times New Roman;sans-serif"/>
          <w:b w:val="false"/>
          <w:i/>
          <w:color w:val="000000"/>
          <w:sz w:val="20"/>
        </w:rPr>
        <w:t xml:space="preserve">cadisegliatin </w:t>
      </w:r>
      <w:r>
        <w:rPr>
          <w:rFonts w:ascii="Times New Roman;sans-serif" w:hAnsi="Times New Roman;sans-serif"/>
          <w:b w:val="false"/>
          <w:color w:val="000000"/>
          <w:sz w:val="20"/>
        </w:rPr>
        <w:t xml:space="preserve">FDA Approval,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is conditioned upon receipt of the </w:t>
      </w:r>
      <w:r>
        <w:rPr>
          <w:rFonts w:ascii="Times New Roman;sans-serif" w:hAnsi="Times New Roman;sans-serif"/>
          <w:b w:val="false"/>
          <w:i/>
          <w:color w:val="000000"/>
          <w:sz w:val="20"/>
        </w:rPr>
        <w:t xml:space="preserve">cadisegliatin </w:t>
      </w:r>
      <w:r>
        <w:rPr>
          <w:rFonts w:ascii="Times New Roman;sans-serif" w:hAnsi="Times New Roman;sans-serif"/>
          <w:b w:val="false"/>
          <w:color w:val="000000"/>
          <w:sz w:val="20"/>
        </w:rPr>
        <w:t xml:space="preserve">FDA Approval and subject to certain limitations and conditions set forth in the G42 Purchase Agreement. There can be no assurance that the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FDA Approval will be granted or as to the timing thereof.</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Once commercialization takes place in the Partner Territory, the Company will receive royalties in the single digits from Cogna on the net sales of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for a period of at least ten years after the first commercial sale of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in the Partner Territory.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premium was paid on the Class A common stock by G42 Investments of $18.7 million, net of a note receivable discount of $0.6 million. This premium is determined to be the transaction price for all remaining obligations under the agreements, which will be accounted for under ASC 808 or ASC 606 based on determination of the unit of account.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determined that certain commitments under the agreements are in the scope of ASC 808 as both the Company and Cogna are active participants in the clinical trials of </w:t>
      </w:r>
      <w:r>
        <w:rPr>
          <w:rFonts w:ascii="Times New Roman;sans-serif" w:hAnsi="Times New Roman;sans-serif"/>
          <w:b w:val="false"/>
          <w:i/>
          <w:color w:val="000000"/>
          <w:sz w:val="20"/>
        </w:rPr>
        <w:t>cadisegliatin</w:t>
      </w:r>
      <w:r>
        <w:rPr>
          <w:rFonts w:ascii="Times New Roman;sans-serif" w:hAnsi="Times New Roman;sans-serif"/>
          <w:b w:val="false"/>
          <w:color w:val="000000"/>
          <w:sz w:val="20"/>
        </w:rPr>
        <w:t>, and both are exposed to significant risks and rewards based on the success of the clinical trials and subsequent FDA approval. Cogna is determined to be a vendor of the Company during the clinical trial phase, working on the Company’s behalf to complete research and development activities, and not in a customer capacity. The Company accounted for the commitments related to the clinical trials, which includes transfer of trial protocols, supply of clinical trial dosages, and collaboration on the joint development committee (“JDC”) as an ASC 808 unit of account, applying the recognition and measurement principles of ASC 606 by analogy. The Company will recognize collaboration revenue for its development activities under ASC 808 over time based on the estimated period of performance.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applying the principals in ASC 606 by analogy, the Company identified the performance obligation and considered the timing of satisfaction of the obligation to account for the pattern of revenue recognition. In order to recognize collaboration revenue, generally, the Company would begin satisfying its performance obligation and Cogna would need to be able to use and benefit from delivery of the assets or services. The performance obligation under the agreements that fall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within the 808 unit of account are concentrated in the clinical trials. As of June 30, 2024, the clinical trials had not commenced. Accordingly, no collaboration revenue was recognized for the ASC 808 unit of account during the three and six months ended June 30, 2024.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identified certain commitments that are in the scope of ASC 606 as Cogna’s relationship is that of a customer for these commitments. The significant performance obligations that are in the scope of ASC 606 are (1) the development, commercialization and manufacturing license of the IP once restrictions on the use of the IP have been lifted by the Company and (2) a potential material right to a commercial supply agreement. The Company will recognize revenue from the development, commercial and manufacturing license at a point in time when the Company releases the restrictions on the use of the IP, which is expected to be after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is approved by the FDA. The Company will recognize revenue from the material right related to Cogna’s ability to purchase the commercial supply at cost as Cogna purchases the commercial supply from the Company, which will occur after the completion of the initial clinical trials (if Cogna decides to purchase the clinical supply from the Company). As a result, the Company has not recognized any revenue under the ASC 606 unit of account during the three and six months ended June 30, 2024.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On February 28, 2023, the Company and G42 Investments amended the G42 Purchase Agreement and modified the G42 Promissory Note to accelerate the payment due under the note. Pursuant to the amendment, on February 28, 2023, the Company receive</w:t>
      </w:r>
      <w:r>
        <w:rPr>
          <w:rFonts w:ascii="Times New Roman;sans-serif" w:hAnsi="Times New Roman;sans-serif"/>
          <w:b w:val="false"/>
          <w:color w:val="000000"/>
          <w:sz w:val="20"/>
          <w:shd w:fill="FFFFFF" w:val="clear"/>
        </w:rPr>
        <w:t xml:space="preserve">d $12.0 million, which reflected the original amount due under the G42 Promissory Note less a 3.75% discount, in full satisfaction of the note, </w:t>
      </w:r>
      <w:r>
        <w:rPr>
          <w:rFonts w:ascii="Times New Roman;sans-serif" w:hAnsi="Times New Roman;sans-serif"/>
          <w:b w:val="false"/>
          <w:color w:val="000000"/>
          <w:sz w:val="20"/>
        </w:rPr>
        <w:t xml:space="preserve">resulting in a loss of </w:t>
      </w:r>
      <w:r>
        <w:rPr>
          <w:rFonts w:ascii="Times New Roman;sans-serif" w:hAnsi="Times New Roman;sans-serif"/>
          <w:b w:val="false"/>
          <w:color w:val="000000"/>
          <w:sz w:val="20"/>
          <w:shd w:fill="FFFFFF" w:val="clear"/>
        </w:rPr>
        <w:t>$0.3 million</w:t>
      </w:r>
      <w:r>
        <w:rPr>
          <w:color w:val="000000"/>
        </w:rPr>
        <w:t xml:space="preserve"> </w:t>
      </w:r>
      <w:r>
        <w:rPr>
          <w:rFonts w:ascii="Times New Roman;sans-serif" w:hAnsi="Times New Roman;sans-serif"/>
          <w:b w:val="false"/>
          <w:color w:val="000000"/>
          <w:sz w:val="20"/>
        </w:rPr>
        <w:t>and was recognized as a component of other income, net in the Company’s Condensed Consolidated Statements of Operations.</w:t>
      </w:r>
      <w:r>
        <w:rPr>
          <w:color w:val="000000"/>
          <w:shd w:fill="FFFFFF" w:val="clear"/>
        </w:rPr>
        <w:t xml:space="preserve"> </w:t>
      </w:r>
      <w:r>
        <w:rPr>
          <w:rFonts w:ascii="Times New Roman;sans-serif" w:hAnsi="Times New Roman;sans-serif"/>
          <w:b w:val="false"/>
          <w:color w:val="000000"/>
          <w:sz w:val="20"/>
          <w:shd w:fill="FFFFFF" w:val="clear"/>
        </w:rPr>
        <w:t>The G42 Promissory Note receivable was classified and accounted for under ASC 310 “</w:t>
      </w:r>
      <w:r>
        <w:rPr>
          <w:rFonts w:ascii="Times New Roman;sans-serif" w:hAnsi="Times New Roman;sans-serif"/>
          <w:b w:val="false"/>
          <w:i/>
          <w:color w:val="000000"/>
          <w:sz w:val="20"/>
          <w:shd w:fill="FFFFFF" w:val="clear"/>
        </w:rPr>
        <w:t xml:space="preserve">Receivables“ </w:t>
      </w:r>
      <w:r>
        <w:rPr>
          <w:rFonts w:ascii="Times New Roman;sans-serif" w:hAnsi="Times New Roman;sans-serif"/>
          <w:b w:val="false"/>
          <w:color w:val="000000"/>
          <w:sz w:val="20"/>
          <w:shd w:fill="FFFFFF" w:val="clear"/>
        </w:rPr>
        <w:t xml:space="preserve">(“ASC 310”) and was initially measured at its fair value of $11.9 million. </w:t>
      </w:r>
      <w:r>
        <w:rPr>
          <w:rFonts w:ascii="Times New Roman;sans-serif" w:hAnsi="Times New Roman;sans-serif"/>
          <w:b w:val="false"/>
          <w:color w:val="000000"/>
          <w:sz w:val="20"/>
        </w:rPr>
        <w:t xml:space="preserve">The Company also recorded the $18.7 million as deferred revenue in the Condensed Consolidated Balance Sheets, as none of the underlying performance obligations had been satisfied as of and for the three and six months ended June 30, 2024.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Newsoara License Agreement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Times New Roman;sans-serif" w:hAnsi="Times New Roman;sans-serif"/>
          <w:b w:val="false"/>
          <w:i/>
          <w:color w:val="000000"/>
          <w:sz w:val="20"/>
        </w:rPr>
        <w:t>HPP737</w:t>
      </w:r>
      <w:r>
        <w:rPr>
          <w:rFonts w:ascii="Times New Roman;sans-serif" w:hAnsi="Times New Roman;sans-serif"/>
          <w:b w:val="false"/>
          <w:color w:val="000000"/>
          <w:sz w:val="20"/>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Newsoara License Agreement was amended in 2020 to change certain future milestone payments and patent rights (the “First Newsoara Amendment”). On June 26, 2024, the Company entered into the second amendment to the Newsoara License Agreement (the “Second Newsoara Amendment”) which expanded the global license contingent upon Newsoara paying an upfront global rights fee (the “Upfront Fees”) of $20.0 million. Newsoara has up to one year from the date of the Second Newsoara Amendment to pay the Upfront Fees; if it fails to do so, then the Second Newsoara Amendment will be null and void. As amended, the Company is eligible to receive additional potential development, regulatory and sales-based milestone payments totaling up to </w:t>
      </w:r>
      <w:r>
        <w:rPr>
          <w:rFonts w:ascii="Times New Roman;sans-serif" w:hAnsi="Times New Roman;sans-serif"/>
          <w:b w:val="false"/>
          <w:color w:val="000000"/>
          <w:sz w:val="20"/>
          <w:shd w:fill="FFFFFF" w:val="clear"/>
        </w:rPr>
        <w:t>$76.5 million</w:t>
      </w:r>
      <w:r>
        <w:rPr>
          <w:rFonts w:ascii="Times New Roman;sans-serif" w:hAnsi="Times New Roman;sans-serif"/>
          <w:b w:val="false"/>
          <w:color w:val="000000"/>
          <w:sz w:val="20"/>
        </w:rPr>
        <w:t xml:space="preserve">. In addition, Newsoara is obligated to pay the Company royalty payments at mid to upper single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There are no new performance obligations to be considered within the Second Newsoara Amendment. The Second Amendment has a potential impact to increase the transaction price by $20.0 million. If the Company receives the Upfront Fees, $20.0 million of revenue will be recognized at a point in time.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The revenue for this performance obligation has been fully recognized as of June 30, 2024. In the first quarter of 2024, the transaction price for this performance obligation was increased by $1.0 million due to the satisfaction of a development milestone under the Newsoara License Agreement. This amount was fully recognized as revenue during the six months ended June 30, 2024, as the related performance obligation was fully satisfied. No revenue related to this performance obligation was recognized and there were no changes to the transaction price during the three and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4: Share-Based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issued non-qualified stock option awards to management, other key employees, consultants, and non-employee directors. These option awards generally vest ratably over a three-year period and the option awards expire after a term of ten years from the date of grant. As of June 30, 2024, the Company had total unrecognized stock-based compensation expense for its outstanding stock option awards of approximately $4.7 million, which is expected to be recognized over a weighted average period of 2.5 years. The weighted average grant date fair value of options granted during the six months ended June 30, 2024 and 2023 was $14.88 and $30.59 per option, respectively. The aggregate intrinsic value of the in-the-money awards outstanding at June 30, 2024 was de minimis.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On February 23, 2024, in connection with the Private Placement, several directors resigned as members of the Company’s Board of Directors, effective on the closing of the Private Placement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As a result of their resignations, 14,340 stock options to purchase shares of common stock were modified to increase the time period to exercise the options and 7,590 stock options to purchase shares of common stock were modified to accelerate vesting at the termination date. All the unvested options were modified to be fully vested as of the posting of the Private Placement which resulted in a reduction in their fair value. The Company incurred $0.1 million reduction in stock compensation expense for the modifications for the six months ended June 30, 2024.</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stock option awards for the six months ended June 30, 2024:</w:t>
      </w:r>
    </w:p>
    <w:tbl>
      <w:tblPr>
        <w:tblW w:w="8034" w:type="dxa"/>
        <w:jc w:val="left"/>
        <w:tblInd w:w="0" w:type="dxa"/>
        <w:tblLayout w:type="fixed"/>
        <w:tblCellMar>
          <w:top w:w="28" w:type="dxa"/>
          <w:left w:w="28" w:type="dxa"/>
          <w:bottom w:w="28" w:type="dxa"/>
          <w:right w:w="28" w:type="dxa"/>
        </w:tblCellMar>
      </w:tblPr>
      <w:tblGrid>
        <w:gridCol w:w="1603"/>
        <w:gridCol w:w="1409"/>
        <w:gridCol w:w="1412"/>
        <w:gridCol w:w="484"/>
        <w:gridCol w:w="484"/>
        <w:gridCol w:w="486"/>
        <w:gridCol w:w="109"/>
        <w:gridCol w:w="109"/>
        <w:gridCol w:w="109"/>
        <w:gridCol w:w="393"/>
        <w:gridCol w:w="1149"/>
        <w:gridCol w:w="287"/>
      </w:tblGrid>
      <w:tr>
        <w:trPr/>
        <w:tc>
          <w:tcPr>
            <w:tcW w:w="160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Average Exercise Price</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December 31, 2023</w:t>
            </w:r>
          </w:p>
        </w:tc>
        <w:tc>
          <w:tcPr>
            <w:tcW w:w="968"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249,247 </w:t>
            </w:r>
          </w:p>
        </w:tc>
        <w:tc>
          <w:tcPr>
            <w:tcW w:w="48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28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406,799 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6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4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28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June 30, 2024</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654,171 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at June 30, 2024</w:t>
            </w:r>
          </w:p>
        </w:tc>
        <w:tc>
          <w:tcPr>
            <w:tcW w:w="968"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199,812 </w:t>
            </w:r>
          </w:p>
        </w:tc>
        <w:tc>
          <w:tcPr>
            <w:tcW w:w="486"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86.34 </w:t>
            </w:r>
          </w:p>
        </w:tc>
        <w:tc>
          <w:tcPr>
            <w:tcW w:w="287"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contractual term</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 at June 30, 2024</w:t>
            </w:r>
          </w:p>
        </w:tc>
        <w:tc>
          <w:tcPr>
            <w:tcW w:w="96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499,109 </w:t>
            </w:r>
          </w:p>
        </w:tc>
        <w:tc>
          <w:tcPr>
            <w:tcW w:w="4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28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contractual term</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related to the grants of stock options is included in research and development and general and administrative expense as follows (in thousands):</w:t>
      </w:r>
    </w:p>
    <w:tbl>
      <w:tblPr>
        <w:tblW w:w="8466" w:type="dxa"/>
        <w:jc w:val="left"/>
        <w:tblInd w:w="0" w:type="dxa"/>
        <w:tblLayout w:type="fixed"/>
        <w:tblCellMar>
          <w:top w:w="28" w:type="dxa"/>
          <w:left w:w="28" w:type="dxa"/>
          <w:bottom w:w="28" w:type="dxa"/>
          <w:right w:w="28" w:type="dxa"/>
        </w:tblCellMar>
      </w:tblPr>
      <w:tblGrid>
        <w:gridCol w:w="1245"/>
        <w:gridCol w:w="1092"/>
        <w:gridCol w:w="1098"/>
        <w:gridCol w:w="251"/>
        <w:gridCol w:w="556"/>
        <w:gridCol w:w="130"/>
        <w:gridCol w:w="130"/>
        <w:gridCol w:w="130"/>
        <w:gridCol w:w="130"/>
        <w:gridCol w:w="251"/>
        <w:gridCol w:w="556"/>
        <w:gridCol w:w="130"/>
        <w:gridCol w:w="109"/>
        <w:gridCol w:w="109"/>
        <w:gridCol w:w="109"/>
        <w:gridCol w:w="109"/>
        <w:gridCol w:w="109"/>
        <w:gridCol w:w="109"/>
        <w:gridCol w:w="213"/>
        <w:gridCol w:w="622"/>
        <w:gridCol w:w="110"/>
        <w:gridCol w:w="110"/>
        <w:gridCol w:w="110"/>
        <w:gridCol w:w="110"/>
        <w:gridCol w:w="213"/>
        <w:gridCol w:w="470"/>
        <w:gridCol w:w="155"/>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3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3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1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1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5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5: Commitments and Contingencies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Novo Nordisk</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In February 2007, the Company entered into an Agreement (the “Novo License Agreement”) Concerning Glucokinase Activator Project with Novo Nordisk A/S (the “Novo Nordisk”)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w:t>
      </w:r>
      <w:r>
        <w:rPr>
          <w:color w:val="000000"/>
        </w:rPr>
        <w:t xml:space="preserve"> </w:t>
      </w:r>
      <w:r>
        <w:rPr>
          <w:rFonts w:ascii="Times New Roman;sans-serif" w:hAnsi="Times New Roman;sans-serif"/>
          <w:b w:val="false"/>
          <w:i/>
          <w:color w:val="000000"/>
          <w:sz w:val="20"/>
        </w:rPr>
        <w:t>cadisegliatin</w:t>
      </w:r>
      <w:r>
        <w:rPr>
          <w:rFonts w:ascii="Times New Roman;sans-serif" w:hAnsi="Times New Roman;sans-serif"/>
          <w:b w:val="false"/>
          <w:color w:val="000000"/>
          <w:sz w:val="20"/>
        </w:rPr>
        <w:t xml:space="preserve">. This agreement was amended in May 2019 to create milestone payments applicable to certain specific and non-specific areas of therapeutic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amended Novo License Agreement, the Company has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6: Leases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In August 2019, the Company leased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is not considered reasonably certain. In November 2022, the Company entered into a second amendment to the lease, (i) to reduce the square footage and (ii) to extend the lease term, which constituted a modification event under ASC 842 and, the lease classification for the asset remains as an operating lease. As a result of the remeasurement of the associated lease liabilities, the Company recognized additional right of use assets and corresponding lease liabilities</w:t>
      </w:r>
      <w:r>
        <w:rPr>
          <w:color w:val="000000"/>
          <w:shd w:fill="FFFFFF" w:val="clear"/>
        </w:rPr>
        <w:t xml:space="preserv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Further, th</w:t>
      </w:r>
      <w:r>
        <w:rPr>
          <w:rFonts w:ascii="Times New Roman;sans-serif" w:hAnsi="Times New Roman;sans-serif"/>
          <w:b w:val="false"/>
          <w:color w:val="000000"/>
          <w:sz w:val="20"/>
        </w:rPr>
        <w:t xml:space="preserve">e second amendment to the lease does not include any material residual value guarantee or restrictive covenants.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each of June 30, 2024 and December 31, 2023, the weighted average incremental borrowing rate for the operating leases held by the Company was 9.5%. At June 30, 2024 and December 31, 2023, the weighted average remaining lease terms for the operating leases held by the Company were 1.4 years and 1.9 years,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for the Company’s operating leases as of June 30, 2024 were as follows (in thousands):</w:t>
      </w:r>
    </w:p>
    <w:tbl>
      <w:tblPr>
        <w:tblW w:w="3516" w:type="dxa"/>
        <w:jc w:val="left"/>
        <w:tblInd w:w="0" w:type="dxa"/>
        <w:tblLayout w:type="fixed"/>
        <w:tblCellMar>
          <w:top w:w="28" w:type="dxa"/>
          <w:left w:w="28" w:type="dxa"/>
          <w:bottom w:w="28" w:type="dxa"/>
          <w:right w:w="28" w:type="dxa"/>
        </w:tblCellMar>
      </w:tblPr>
      <w:tblGrid>
        <w:gridCol w:w="972"/>
        <w:gridCol w:w="854"/>
        <w:gridCol w:w="859"/>
        <w:gridCol w:w="211"/>
        <w:gridCol w:w="46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 six months)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7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67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677"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and the related operating cash flows for the six months ended June 30, 2024 was $0.1 million and was immaterial for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7: Noncontrolling Interest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the Exchange Agreement with respect to the vTv Units representing the 19.2% noncontrolling interest in vTv LLC outstanding as of June 30, 2024 (see Note 9).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2024, in connection with the Private Placement financing, the Investor Rights Agreement altered M&amp;F TTP Holdings Two LLC (“M&amp;F”) governance rights such that directors designated by M&amp;F no longer comprised a majority of the Company’s Board of Directors (see Note 9). The redeemable noncontrolling interest redemption feature to exchange vTv Units for cash rather than shares of Class A common stock is a contingent event that is now within control of the Company through the Company’s independent Board of Directors. As a result, $5.3 million representing the fair value of redeemable noncontrolling interest on February 27, 2024, was reclassified from temporary equity in the mezzanine section of the Condensed Consolidated Balance Sheets to noncontrolling interest as a component of permanent equity.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February 27, 2024, the Company recorded redeemable noncontrolling interest at the higher of (1) its initial fair value plus accumulated earnings/losses associated with the noncontrolling interest or (2) the redemption value as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balance sheet date. At December 31, 2023, the redeemable noncontrolling interest was recorded based on the redemption value as of the balance sheet date of $6.1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tbl>
      <w:tblPr>
        <w:tblW w:w="10205" w:type="dxa"/>
        <w:jc w:val="left"/>
        <w:tblInd w:w="0" w:type="dxa"/>
        <w:tblLayout w:type="fixed"/>
        <w:tblCellMar>
          <w:top w:w="28" w:type="dxa"/>
          <w:left w:w="28" w:type="dxa"/>
          <w:bottom w:w="28" w:type="dxa"/>
          <w:right w:w="28" w:type="dxa"/>
        </w:tblCellMar>
      </w:tblPr>
      <w:tblGrid>
        <w:gridCol w:w="1816"/>
        <w:gridCol w:w="1503"/>
        <w:gridCol w:w="1508"/>
        <w:gridCol w:w="229"/>
        <w:gridCol w:w="714"/>
        <w:gridCol w:w="118"/>
        <w:gridCol w:w="118"/>
        <w:gridCol w:w="118"/>
        <w:gridCol w:w="118"/>
        <w:gridCol w:w="229"/>
        <w:gridCol w:w="714"/>
        <w:gridCol w:w="118"/>
        <w:gridCol w:w="109"/>
        <w:gridCol w:w="109"/>
        <w:gridCol w:w="109"/>
        <w:gridCol w:w="213"/>
        <w:gridCol w:w="771"/>
        <w:gridCol w:w="110"/>
        <w:gridCol w:w="110"/>
        <w:gridCol w:w="110"/>
        <w:gridCol w:w="110"/>
        <w:gridCol w:w="213"/>
        <w:gridCol w:w="771"/>
        <w:gridCol w:w="167"/>
      </w:tblGrid>
      <w:tr>
        <w:trPr/>
        <w:tc>
          <w:tcPr>
            <w:tcW w:w="181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4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2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 common shareholders</w:t>
            </w:r>
          </w:p>
        </w:tc>
        <w:tc>
          <w:tcPr>
            <w:tcW w:w="22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w:t>
            </w:r>
          </w:p>
        </w:tc>
        <w:tc>
          <w:tcPr>
            <w:tcW w:w="11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w:t>
            </w:r>
          </w:p>
        </w:tc>
        <w:tc>
          <w:tcPr>
            <w:tcW w:w="11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w:t>
            </w:r>
          </w:p>
        </w:tc>
        <w:tc>
          <w:tcPr>
            <w:tcW w:w="11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w:t>
            </w:r>
          </w:p>
        </w:tc>
        <w:tc>
          <w:tcPr>
            <w:tcW w:w="16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vTv Therapeutics Inc. stockholders' equity (deficit) for sale of vTv Units as a result of common stock issuances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loss attributable to vTv Therapeutics Inc. common shareholders and transfers to noncontrolling interest</w:t>
            </w:r>
          </w:p>
        </w:tc>
        <w:tc>
          <w:tcPr>
            <w:tcW w:w="22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w:t>
            </w:r>
          </w:p>
        </w:tc>
        <w:tc>
          <w:tcPr>
            <w:tcW w:w="11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w:t>
            </w:r>
          </w:p>
        </w:tc>
        <w:tc>
          <w:tcPr>
            <w:tcW w:w="11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1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w:t>
            </w:r>
          </w:p>
        </w:tc>
        <w:tc>
          <w:tcPr>
            <w:tcW w:w="16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8: Stockholders’ Equity (Deficit)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Amendment to Certificate of Incorporation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4, 2021, the Company filed an amendment to its Amended and Restated Certificate of Incorporation (the “Charter Amendment”) to increase the number of shares of Class A common stock that the Company is authorized to issue from 100,000,000 shares of Class A common stock to 200,000,000 shares of Class A common stock, representing an increase of 100,000,000 shares of authorized Class A common stock, with a corresponding increase in the total authorized common stock, which includes Class A common stock and Class B common stock, from 200,000,000 to 300,000,000, and a corresponding increase in the total authorized capital stock, which includes common stock and preferred stock, from 250,000,000 shares to 350,000,000 shares.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20, 2023, the Company filed an amendment to its Amended and Restated Certificate of Incorporation as amended, to effect a reverse stock split at a ratio of 1-for-40 (the "Reverse Stock Split"). Pursuant to the Reverse Stock Split, every 40 shares of the Company’s Class A common stock was combined into one issued and outstanding share of Class A Common Stock and every 40 shares of the Company’s Class B common stock was combined into one issued and outstanding share of Class B Common Stock. The Reverse Stock Split did not reduce the number of authorized shares of Class A and Class B common stock, which remained at 200,000,000 and 100,000,000 respectively and did not change the par value of the common stock, which remained at $0.01 per share. The Reverse Stock Split did not have any effect on the number of authorized shares of the Company’s preferred stock, par value of $0.01 per share, which would remain at 50,000,000 shares. Currently no shares of preferred stock are outstanding.</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Common Stock and Pre-funded Warrants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 February 2024, the Company </w:t>
      </w:r>
      <w:r>
        <w:rPr>
          <w:rFonts w:ascii="Times New Roman;sans-serif" w:hAnsi="Times New Roman;sans-serif"/>
          <w:b w:val="false"/>
          <w:color w:val="000000"/>
          <w:sz w:val="20"/>
        </w:rPr>
        <w:t xml:space="preserve">entered into a Securities Purchase Agreement with certain Private Placement Investors, pursuant to which we agreed to issue and sell to the Private Placement Investors in a private placement (i) an aggregate of 464,377 shares of our Class A common stock, at a purchase price of $11.81 per share and (ii) </w:t>
      </w:r>
      <w:r>
        <w:rPr>
          <w:rFonts w:ascii="Times New Roman;sans-serif" w:hAnsi="Times New Roman;sans-serif"/>
          <w:b w:val="false"/>
          <w:color w:val="000000"/>
          <w:sz w:val="20"/>
          <w:shd w:fill="FFFFFF" w:val="clear"/>
        </w:rPr>
        <w:t xml:space="preserve">issued pre-funded warrants to purchase an aggregate of </w:t>
      </w:r>
      <w:r>
        <w:rPr>
          <w:rFonts w:ascii="Times New Roman;sans-serif" w:hAnsi="Times New Roman;sans-serif"/>
          <w:b w:val="false"/>
          <w:color w:val="000000"/>
          <w:sz w:val="20"/>
        </w:rPr>
        <w:t>3,853,997</w:t>
      </w:r>
      <w:r>
        <w:rPr>
          <w:color w:val="000000"/>
          <w:shd w:fill="FFFFFF" w:val="clear"/>
        </w:rPr>
        <w:t xml:space="preserve"> </w:t>
      </w:r>
      <w:r>
        <w:rPr>
          <w:rFonts w:ascii="Times New Roman;sans-serif" w:hAnsi="Times New Roman;sans-serif"/>
          <w:b w:val="false"/>
          <w:color w:val="000000"/>
          <w:sz w:val="20"/>
          <w:shd w:fill="FFFFFF" w:val="clear"/>
        </w:rPr>
        <w:t xml:space="preserve">shares of the Company’s Class A common stock at a price of </w:t>
      </w:r>
      <w:r>
        <w:rPr>
          <w:rFonts w:ascii="Times New Roman;sans-serif" w:hAnsi="Times New Roman;sans-serif"/>
          <w:b w:val="false"/>
          <w:color w:val="000000"/>
          <w:sz w:val="20"/>
        </w:rPr>
        <w:t>$11.80</w:t>
      </w:r>
      <w:r>
        <w:rPr>
          <w:color w:val="000000"/>
          <w:shd w:fill="FFFFFF" w:val="clear"/>
        </w:rPr>
        <w:t xml:space="preserve"> </w:t>
      </w:r>
      <w:r>
        <w:rPr>
          <w:rFonts w:ascii="Times New Roman;sans-serif" w:hAnsi="Times New Roman;sans-serif"/>
          <w:b w:val="false"/>
          <w:color w:val="000000"/>
          <w:sz w:val="20"/>
          <w:shd w:fill="FFFFFF" w:val="clear"/>
        </w:rPr>
        <w:t xml:space="preserve">per pre-funded warrant. The pre-funded warrants were immediately exercisable, have an exercise price of </w:t>
      </w:r>
      <w:r>
        <w:rPr>
          <w:rFonts w:ascii="Times New Roman;sans-serif" w:hAnsi="Times New Roman;sans-serif"/>
          <w:b w:val="false"/>
          <w:color w:val="000000"/>
          <w:sz w:val="20"/>
        </w:rPr>
        <w:t>$0.01</w:t>
      </w:r>
      <w:r>
        <w:rPr>
          <w:color w:val="000000"/>
          <w:shd w:fill="FFFFFF" w:val="clear"/>
        </w:rPr>
        <w:t xml:space="preserve"> </w:t>
      </w:r>
      <w:r>
        <w:rPr>
          <w:rFonts w:ascii="Times New Roman;sans-serif" w:hAnsi="Times New Roman;sans-serif"/>
          <w:b w:val="false"/>
          <w:color w:val="000000"/>
          <w:sz w:val="20"/>
          <w:shd w:fill="FFFFFF" w:val="clear"/>
        </w:rPr>
        <w:t xml:space="preserve">and may be exercised at any time after the date of issuance. A holder of pre-funded warrants may not exercise the warrant if the holder, together with its affiliates, would beneficially own more than </w:t>
      </w:r>
      <w:r>
        <w:rPr>
          <w:rFonts w:ascii="Times New Roman;sans-serif" w:hAnsi="Times New Roman;sans-serif"/>
          <w:b w:val="false"/>
          <w:color w:val="000000"/>
          <w:sz w:val="20"/>
        </w:rPr>
        <w:t>9.99%</w:t>
      </w:r>
      <w:r>
        <w:rPr>
          <w:color w:val="000000"/>
          <w:shd w:fill="FFFFFF" w:val="clear"/>
        </w:rPr>
        <w:t xml:space="preserve"> </w:t>
      </w:r>
      <w:r>
        <w:rPr>
          <w:rFonts w:ascii="Times New Roman;sans-serif" w:hAnsi="Times New Roman;sans-serif"/>
          <w:b w:val="false"/>
          <w:color w:val="000000"/>
          <w:sz w:val="20"/>
          <w:shd w:fill="FFFFFF" w:val="clear"/>
        </w:rPr>
        <w:t xml:space="preserve">of the number of shares of the Company’s common stock outstanding immediately after giving effect to such exercise. A holder of the pre-funded warrants may increase or decrease this percentage not in excess of </w:t>
      </w:r>
      <w:r>
        <w:rPr>
          <w:rFonts w:ascii="Times New Roman;sans-serif" w:hAnsi="Times New Roman;sans-serif"/>
          <w:b w:val="false"/>
          <w:color w:val="000000"/>
          <w:sz w:val="20"/>
        </w:rPr>
        <w:t>19.99%</w:t>
      </w:r>
      <w:r>
        <w:rPr>
          <w:color w:val="000000"/>
          <w:shd w:fill="FFFFFF" w:val="clear"/>
        </w:rPr>
        <w:t xml:space="preserve"> </w:t>
      </w:r>
      <w:r>
        <w:rPr>
          <w:rFonts w:ascii="Times New Roman;sans-serif" w:hAnsi="Times New Roman;sans-serif"/>
          <w:b w:val="false"/>
          <w:color w:val="000000"/>
          <w:sz w:val="20"/>
          <w:shd w:fill="FFFFFF" w:val="clear"/>
        </w:rPr>
        <w:t xml:space="preserve">by providing at least 61 days’ prior notice to the Company. 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there were pre-funded warrants to purchase an aggregate o</w:t>
      </w:r>
      <w:r>
        <w:rPr>
          <w:rFonts w:ascii="Times New Roman;sans-serif" w:hAnsi="Times New Roman;sans-serif"/>
          <w:b w:val="false"/>
          <w:color w:val="000000"/>
          <w:sz w:val="20"/>
        </w:rPr>
        <w:t xml:space="preserve">f 3,970,587 </w:t>
      </w:r>
      <w:r>
        <w:rPr>
          <w:rFonts w:ascii="Times New Roman;sans-serif" w:hAnsi="Times New Roman;sans-serif"/>
          <w:b w:val="false"/>
          <w:color w:val="000000"/>
          <w:sz w:val="20"/>
          <w:shd w:fill="FFFFFF" w:val="clear"/>
        </w:rPr>
        <w:t>shares of the Company’s common stock that remained available for exercise.</w:t>
      </w:r>
    </w:p>
    <w:p>
      <w:pPr>
        <w:pStyle w:val="TextBody"/>
        <w:bidi w:val="0"/>
        <w:spacing w:lineRule="auto" w:line="28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shares may be issued for little or no consideration, are fully vested and are exercisable after the original issuance date of the pre-funded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G42 Investments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2022, the Company and G42 Investments entered in to the G42 Purchase Agreement (see Note 3), pursuant to which the Company agreed to sell to G42 Investments 259,657 shares of the Company's Class A common stock at a price per share of approximately $96.40, for an aggregate purchase price of $25.0 million, consisting of (i) $12.5 million in cash at the closing of the transaction and (ii) $12.5 million in the form of a promissory note of G42 Investments to be paid at the one-year anniversary of the execution of the G42 Purchase Agreement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 net in the Company’s Condensed Consolidated Statements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CinPax and CinRx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2022 (the “Transaction Date”), the Company entered into the CinRx Purchase Agreement with CinPax, LLC (“CinPax”) and CinRx-Pharma, LLC (“CinRx”), pursuant to which the Company agreed to sell to CinPax 103,864 shares of the Company’s Class A common stock at a price per share of approximately $96.40, for an aggregate purchase price of $10.0 million, which was paid (i) $6.0 million in cash at the closing of the transaction and (ii) $4.0 million in the form of a non-interest-bearing promissory note with CinPax and was paid to the Company on November 22, 2022.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CinRx Purchase Agreement also provides CinRx warrants to purchase up to 30,000 shares of common stock at an initial exercise of price of approximately $28.80 per share (the “CinRx Warrants”). The CinRx Warrants were initially measured at fair value of $0.4 million using the Black-Scholes option model at the time of issuance and will be recorded in Warrant liability related party in the Condensed Consolidated Balance Sheets and will be subsequently remeasured at fair value through earnings on a recurring basis. (see Note 12)</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CinRx Warrants will become exercisable by CinRx only if (i) the Company receives approval from the U.S. Food and Drug Administration (“FDA Approval”) to market and distribute the pharmaceutical product containing the Company’s proprietary candidate,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(the “Product”), or (ii) the Company is acquired by a third party, sells all or substantially all of its assets related to the Product to a third party or grants a third party an exclusive license to develop, commercialize and manufacture the Product in the United States. If neither of these events happen within five years of the date of the issuance of the CinRx Warrants, the CinRx Warrants will expire and not be exercisable by CinRx. The exercise price of the CinRx Warrants and the number of shares issuable upon exercise of the CinRx Warrants are subject to adjustments in accordance with the terms of the CinRx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conjunction with the CinRx Purchase Agreement the Company and CinRx entered into a Master Service Agreement (“CinRx MSA”) whereby CinRx provides the Company with consulting, preclinical and clinical trial services, as enumerated in project proposals negotiated between the Company and CinRx from time to time. (see Note 9)</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identify any other promises in the CinRx Purchase Agreement (aside from the issuance of common shares and the CinRx Warrants) and determined since there is no value ascribed to the CinRx MSA, the right to appoint a member and observer to the board of directors, that the remaining unallocated amount meets the definition of contributed equity and represents the amount in excess of par. The Company, CinPax and CinRx subsequently amended the CinRx Purchase Agreement on February 27, 2024, in connection with the Private Placement. The CinRx Purchase Agreement provides CinPax the right for two years following the Closing to designate a board observer, which has been subsequently approved by the Company’s board.</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ATM Offering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 As of June 30, 2024 we have not sold any shares pursuant to the TD Cowen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9: Related-Party Transactions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MacAndrews &amp; Forbes Incorporated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MacAndrews directly or indirectly controls 577,108 shares of Class B common stock. Further, as of June 30, 2024, MacAndrews directly or indirectly holds 912,982 shares of the Company’s Class A common stock. As a result, MacAndrews’ holdings represent approximately 49.5% of the combined voting power of the Company’s outstanding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several agreements with MacAndrews or its affiliates as further detailed below:</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Letter Agreements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previously entered into the Letter Agreements with MacAndrews. Under the terms of the Letter Agreements, during the one year commitment period beginning on the date of each Letter Agreement, the Company had the right to sell to MacAndrews shares of its Class A common stock at a specified price per share, and MacAndrews had the right (exercisable up to three times) to require the Company to sell to it shares of Class A common stock at the same price. The commitment period of each of the Letter Agreements has now expired. In addition, in connection with and as a commitment fee for the entrance into certain of these Letter Agreements, the Company also issued MacAndrews warrants (the “Letter Agreement Warrants”) to purchase additional shares of the Company’s Class A common stock.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Exchange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Exchange Agreement, but subject to the Amended and Restated LLC Agreement of vTv Therapeutics LLC, the vTv Units (along with a corresponding number of shares of the Class B common stock) are exchangeable for (i) shares of the Company’s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As of June 30, 2024, MacAndrews had not exchanged any shares under the provisions of the Exchange Agreement.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Tax Receivable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As no shares have been exchanged by MacAndrews pursuant to the Exchange Agreement (discussed above), the Company has not recognized any liability, nor has it made any payments pursuant to the Tax Receivable Agreement as of June 30, 2024.</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Investor Rights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M&amp;F was initially entitled to nominate a majority of the members of the Board of Directors and designate the members of the committees of the Board of Directors. The Investor Rights Agreement was amended on February 27, 2024 to alter M&amp;F governance rights that now entitles M&amp;F the right to designate two members of our Board of Directors, and as part of the Private Placement, the Private Placement Investors have rights to designate three members of our Board of Directors, making it more difficult for a third party to acquire control of our Board. The agreement with the Private Placement Investors also provides that five of our directors must approve certain actions including any acquisition by a third party, which makes it more difficult for our Board of Directors to approve such a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10: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federal income taxes as well as state taxes. The Company’s income tax provision for the six months ended June 30, 2024 was $0.1 million representing foreign withholding taxes accrued in connection with revenue recorded under license agreements with foreign entities. The Company did not record an income tax provision for the three months ended June 30, 2024 and 2023. The Company did not record an income tax provision for the six months ended June 30,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on June 30, 2024, is due to the valuation allowance against the Company’s expected net operating losses.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9,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11: Net Loss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loss per share is computed by dividing net loss attributable to vTv Therapeutics Inc. by the weighted 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numerator and denominator used in the calculation of basic and diluted net loss per share of Class A common stock is as follows (amounts in thousands, except per share amounts):</w:t>
      </w:r>
    </w:p>
    <w:tbl>
      <w:tblPr>
        <w:tblW w:w="10205" w:type="dxa"/>
        <w:jc w:val="left"/>
        <w:tblInd w:w="0" w:type="dxa"/>
        <w:tblLayout w:type="fixed"/>
        <w:tblCellMar>
          <w:top w:w="28" w:type="dxa"/>
          <w:left w:w="28" w:type="dxa"/>
          <w:bottom w:w="28" w:type="dxa"/>
          <w:right w:w="28" w:type="dxa"/>
        </w:tblCellMar>
      </w:tblPr>
      <w:tblGrid>
        <w:gridCol w:w="1649"/>
        <w:gridCol w:w="1453"/>
        <w:gridCol w:w="1463"/>
        <w:gridCol w:w="256"/>
        <w:gridCol w:w="783"/>
        <w:gridCol w:w="121"/>
        <w:gridCol w:w="121"/>
        <w:gridCol w:w="121"/>
        <w:gridCol w:w="121"/>
        <w:gridCol w:w="256"/>
        <w:gridCol w:w="783"/>
        <w:gridCol w:w="121"/>
        <w:gridCol w:w="109"/>
        <w:gridCol w:w="109"/>
        <w:gridCol w:w="109"/>
        <w:gridCol w:w="218"/>
        <w:gridCol w:w="794"/>
        <w:gridCol w:w="111"/>
        <w:gridCol w:w="111"/>
        <w:gridCol w:w="111"/>
        <w:gridCol w:w="111"/>
        <w:gridCol w:w="218"/>
        <w:gridCol w:w="794"/>
        <w:gridCol w:w="162"/>
      </w:tblGrid>
      <w:tr>
        <w:trPr/>
        <w:tc>
          <w:tcPr>
            <w:tcW w:w="164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4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6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6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3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w:t>
            </w:r>
          </w:p>
        </w:tc>
        <w:tc>
          <w:tcPr>
            <w:tcW w:w="11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w:t>
            </w:r>
          </w:p>
        </w:tc>
        <w:tc>
          <w:tcPr>
            <w:tcW w:w="162"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shareholders of vTv Therapeutics Inc., basic and diluted</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6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Weighted average vTv Therapeutics Inc. Class A common stock, basic and diluted </w:t>
            </w:r>
            <w:r>
              <w:rPr>
                <w:rFonts w:ascii="Times New Roman;sans-serif" w:hAnsi="Times New Roman;sans-serif"/>
                <w:b w:val="false"/>
                <w:color w:val="000000"/>
                <w:sz w:val="13"/>
              </w:rPr>
              <w:t>(1)(*)</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6,403,444 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2,084,973 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5,098,877 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2,084,973 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EBF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Net loss per share of vTv Therapeutics Inc. Class A common stock, basic and diluted </w:t>
            </w:r>
            <w:r>
              <w:rPr>
                <w:rFonts w:ascii="Times New Roman;sans-serif" w:hAnsi="Times New Roman;sans-serif"/>
                <w:b w:val="false"/>
                <w:color w:val="000000"/>
                <w:sz w:val="13"/>
              </w:rPr>
              <w:t>(*)</w:t>
            </w:r>
          </w:p>
        </w:tc>
        <w:tc>
          <w:tcPr>
            <w:tcW w:w="25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1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6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Adjusted retroactively for reverse stock split</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underlying the pre-funded warrants to purchase shares of the Company’s common stock have been included in the calculation of the weighted-average number of shares outstanding, basic and diluted, for the three and six months ended June 30, 2024.</w:t>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dilutive securities not included in the calculation of dilutive net loss per share are as follows:</w:t>
      </w:r>
    </w:p>
    <w:tbl>
      <w:tblPr>
        <w:tblW w:w="7086" w:type="dxa"/>
        <w:jc w:val="left"/>
        <w:tblInd w:w="0" w:type="dxa"/>
        <w:tblLayout w:type="fixed"/>
        <w:tblCellMar>
          <w:top w:w="28" w:type="dxa"/>
          <w:left w:w="28" w:type="dxa"/>
          <w:bottom w:w="28" w:type="dxa"/>
          <w:right w:w="28" w:type="dxa"/>
        </w:tblCellMar>
      </w:tblPr>
      <w:tblGrid>
        <w:gridCol w:w="1482"/>
        <w:gridCol w:w="1304"/>
        <w:gridCol w:w="1309"/>
        <w:gridCol w:w="488"/>
        <w:gridCol w:w="488"/>
        <w:gridCol w:w="376"/>
        <w:gridCol w:w="109"/>
        <w:gridCol w:w="109"/>
        <w:gridCol w:w="109"/>
        <w:gridCol w:w="413"/>
        <w:gridCol w:w="413"/>
        <w:gridCol w:w="486"/>
      </w:tblGrid>
      <w:tr>
        <w:trPr/>
        <w:tc>
          <w:tcPr>
            <w:tcW w:w="148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095"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Class B common stock </w:t>
            </w:r>
            <w:r>
              <w:rPr>
                <w:rFonts w:ascii="Times New Roman;sans-serif" w:hAnsi="Times New Roman;sans-serif"/>
                <w:b w:val="false"/>
                <w:color w:val="000000"/>
                <w:sz w:val="13"/>
              </w:rPr>
              <w:t>(1)(*)</w:t>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577,349 </w:t>
            </w:r>
          </w:p>
        </w:tc>
        <w:tc>
          <w:tcPr>
            <w:tcW w:w="37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577,349 </w:t>
            </w:r>
          </w:p>
        </w:tc>
        <w:tc>
          <w:tcPr>
            <w:tcW w:w="48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Common stock options granted under the Plan </w:t>
            </w:r>
            <w:r>
              <w:rPr>
                <w:rFonts w:ascii="Times New Roman;sans-serif" w:hAnsi="Times New Roman;sans-serif"/>
                <w:b w:val="false"/>
                <w:color w:val="000000"/>
                <w:sz w:val="13"/>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654,171 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238,636 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Common stock warrants </w:t>
            </w:r>
            <w:r>
              <w:rPr>
                <w:rFonts w:ascii="Times New Roman;sans-serif" w:hAnsi="Times New Roman;sans-serif"/>
                <w:b w:val="false"/>
                <w:color w:val="000000"/>
                <w:sz w:val="13"/>
              </w:rPr>
              <w:t>(*)</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75,595 </w:t>
            </w:r>
          </w:p>
        </w:tc>
        <w:tc>
          <w:tcPr>
            <w:tcW w:w="37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80,359 </w:t>
            </w:r>
          </w:p>
        </w:tc>
        <w:tc>
          <w:tcPr>
            <w:tcW w:w="4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w:t>
            </w:r>
            <w:r>
              <w:rPr>
                <w:rFonts w:ascii="Times New Roman;sans-serif" w:hAnsi="Times New Roman;sans-serif"/>
                <w:b w:val="false"/>
                <w:color w:val="000000"/>
                <w:sz w:val="13"/>
              </w:rPr>
              <w:t>(*)</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1,307,115 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896,344 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Adjusted retroactively for reverse stock split</w:t>
            </w:r>
          </w:p>
        </w:tc>
        <w:tc>
          <w:tcPr>
            <w:tcW w:w="1352"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12: Fair Value of Financial Instruments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certain of the Company’s financial instruments, including cash and cash equivalents, net accounts receivable, note receivable, accounts payable and other accrued liabilities approximate fair value due to their short-term nature.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the value of its equity investments without readily determinable fair values at cost minus impairment, if any, plus or minus changes resulting from observable price changes in orderly transactions for the identical or similar investment.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June 30, 2024 and December 31, 2023 (in thousands):</w:t>
      </w:r>
    </w:p>
    <w:tbl>
      <w:tblPr>
        <w:tblW w:w="10205" w:type="dxa"/>
        <w:jc w:val="left"/>
        <w:tblInd w:w="0" w:type="dxa"/>
        <w:tblLayout w:type="fixed"/>
        <w:tblCellMar>
          <w:top w:w="28" w:type="dxa"/>
          <w:left w:w="28" w:type="dxa"/>
          <w:bottom w:w="28" w:type="dxa"/>
          <w:right w:w="28" w:type="dxa"/>
        </w:tblCellMar>
      </w:tblPr>
      <w:tblGrid>
        <w:gridCol w:w="818"/>
        <w:gridCol w:w="719"/>
        <w:gridCol w:w="723"/>
        <w:gridCol w:w="410"/>
        <w:gridCol w:w="906"/>
        <w:gridCol w:w="211"/>
        <w:gridCol w:w="109"/>
        <w:gridCol w:w="109"/>
        <w:gridCol w:w="109"/>
        <w:gridCol w:w="473"/>
        <w:gridCol w:w="914"/>
        <w:gridCol w:w="249"/>
        <w:gridCol w:w="109"/>
        <w:gridCol w:w="109"/>
        <w:gridCol w:w="109"/>
        <w:gridCol w:w="522"/>
        <w:gridCol w:w="1007"/>
        <w:gridCol w:w="272"/>
        <w:gridCol w:w="109"/>
        <w:gridCol w:w="109"/>
        <w:gridCol w:w="109"/>
        <w:gridCol w:w="505"/>
        <w:gridCol w:w="1116"/>
        <w:gridCol w:w="379"/>
      </w:tblGrid>
      <w:tr>
        <w:trPr/>
        <w:tc>
          <w:tcPr>
            <w:tcW w:w="8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w:t>
              <w:br/>
              <w:t>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Observable </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br/>
              <w:t>(Level 3)</w:t>
            </w:r>
          </w:p>
        </w:tc>
      </w:tr>
      <w:tr>
        <w:trPr/>
        <w:tc>
          <w:tcPr>
            <w:tcW w:w="2260"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r>
      <w:tr>
        <w:trPr/>
        <w:tc>
          <w:tcPr>
            <w:tcW w:w="2260"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r>
      <w:tr>
        <w:trPr/>
        <w:tc>
          <w:tcPr>
            <w:tcW w:w="2260"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r>
      <w:tr>
        <w:trPr/>
        <w:tc>
          <w:tcPr>
            <w:tcW w:w="2260"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r>
      <w:tr>
        <w:trPr/>
        <w:tc>
          <w:tcPr>
            <w:tcW w:w="22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5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Warrant liability, related party </w:t>
            </w:r>
            <w:r>
              <w:rPr>
                <w:rFonts w:ascii="Times New Roman;sans-serif" w:hAnsi="Times New Roman;sans-serif"/>
                <w:b w:val="false"/>
                <w:color w:val="000000"/>
                <w:sz w:val="13"/>
              </w:rPr>
              <w:t>(1)(2)</w:t>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41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1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7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1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37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6"/>
        <w:gridCol w:w="673"/>
        <w:gridCol w:w="677"/>
        <w:gridCol w:w="469"/>
        <w:gridCol w:w="1039"/>
        <w:gridCol w:w="246"/>
        <w:gridCol w:w="109"/>
        <w:gridCol w:w="109"/>
        <w:gridCol w:w="109"/>
        <w:gridCol w:w="465"/>
        <w:gridCol w:w="898"/>
        <w:gridCol w:w="244"/>
        <w:gridCol w:w="109"/>
        <w:gridCol w:w="109"/>
        <w:gridCol w:w="109"/>
        <w:gridCol w:w="514"/>
        <w:gridCol w:w="992"/>
        <w:gridCol w:w="268"/>
        <w:gridCol w:w="109"/>
        <w:gridCol w:w="109"/>
        <w:gridCol w:w="109"/>
        <w:gridCol w:w="498"/>
        <w:gridCol w:w="1101"/>
        <w:gridCol w:w="374"/>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w:t>
              <w:br/>
              <w:t>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Observable </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br/>
              <w:t>(Level 3)</w:t>
            </w:r>
          </w:p>
        </w:tc>
      </w:tr>
      <w:tr>
        <w:trPr/>
        <w:tc>
          <w:tcPr>
            <w:tcW w:w="2116"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2116"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2116"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2116"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211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75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Warrant liability, related party </w:t>
            </w:r>
            <w:r>
              <w:rPr>
                <w:rFonts w:ascii="Times New Roman;sans-serif" w:hAnsi="Times New Roman;sans-serif"/>
                <w:b w:val="false"/>
                <w:color w:val="000000"/>
                <w:sz w:val="13"/>
              </w:rPr>
              <w:t>(1)</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6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4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7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determined using the Black-Scholes option pricing model. Expected volatility is based on the historical volatility of the Company’s common stock over the most recent period. The risk-free rate is based on the U.S. Treasury yield curve in effect at the time of valuation.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CinRx is no longer deemed to be a related party. As a result the CinRx Warrants are no longer included.</w:t>
            </w:r>
          </w:p>
        </w:tc>
      </w:tr>
    </w:tbl>
    <w:tbl>
      <w:tblPr>
        <w:tblW w:w="10205" w:type="dxa"/>
        <w:jc w:val="left"/>
        <w:tblInd w:w="0" w:type="dxa"/>
        <w:tblLayout w:type="fixed"/>
        <w:tblCellMar>
          <w:top w:w="28" w:type="dxa"/>
          <w:left w:w="28" w:type="dxa"/>
          <w:bottom w:w="28" w:type="dxa"/>
          <w:right w:w="28" w:type="dxa"/>
        </w:tblCellMar>
      </w:tblPr>
      <w:tblGrid>
        <w:gridCol w:w="895"/>
        <w:gridCol w:w="784"/>
        <w:gridCol w:w="793"/>
        <w:gridCol w:w="409"/>
        <w:gridCol w:w="903"/>
        <w:gridCol w:w="211"/>
        <w:gridCol w:w="109"/>
        <w:gridCol w:w="109"/>
        <w:gridCol w:w="109"/>
        <w:gridCol w:w="412"/>
        <w:gridCol w:w="910"/>
        <w:gridCol w:w="213"/>
        <w:gridCol w:w="109"/>
        <w:gridCol w:w="109"/>
        <w:gridCol w:w="109"/>
        <w:gridCol w:w="261"/>
        <w:gridCol w:w="502"/>
        <w:gridCol w:w="135"/>
        <w:gridCol w:w="109"/>
        <w:gridCol w:w="109"/>
        <w:gridCol w:w="109"/>
        <w:gridCol w:w="292"/>
        <w:gridCol w:w="562"/>
        <w:gridCol w:w="152"/>
        <w:gridCol w:w="109"/>
        <w:gridCol w:w="109"/>
        <w:gridCol w:w="109"/>
        <w:gridCol w:w="369"/>
        <w:gridCol w:w="816"/>
        <w:gridCol w:w="278"/>
      </w:tblGrid>
      <w:tr>
        <w:trPr/>
        <w:tc>
          <w:tcPr>
            <w:tcW w:w="89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Changes in Level 3 instruments for the six months ended June 30,</w:t>
            </w:r>
          </w:p>
        </w:tc>
      </w:tr>
      <w:tr>
        <w:trPr/>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January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Change in</w:t>
              <w:br/>
              <w:t xml:space="preserve">fair value included in </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 /</w:t>
              <w:br/>
              <w:t>Issuance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Sales /</w:t>
              <w:br/>
              <w:t>Repurchases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June 30,</w:t>
            </w:r>
          </w:p>
        </w:tc>
      </w:tr>
      <w:tr>
        <w:trPr/>
        <w:tc>
          <w:tcPr>
            <w:tcW w:w="247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152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Warrant liability, related party </w:t>
            </w:r>
            <w:r>
              <w:rPr>
                <w:rFonts w:ascii="Times New Roman;sans-serif" w:hAnsi="Times New Roman;sans-serif"/>
                <w:b w:val="false"/>
                <w:color w:val="000000"/>
                <w:sz w:val="13"/>
              </w:rPr>
              <w:t>(1)</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Warrant liability </w:t>
            </w:r>
          </w:p>
        </w:tc>
        <w:tc>
          <w:tcPr>
            <w:tcW w:w="409"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1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7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52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related party</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1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27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62" w:type="dxa"/>
        <w:jc w:val="left"/>
        <w:tblInd w:w="0" w:type="dxa"/>
        <w:tblLayout w:type="fixed"/>
        <w:tblCellMar>
          <w:top w:w="28" w:type="dxa"/>
          <w:left w:w="28" w:type="dxa"/>
          <w:bottom w:w="28" w:type="dxa"/>
          <w:right w:w="28" w:type="dxa"/>
        </w:tblCellMar>
      </w:tblPr>
      <w:tblGrid>
        <w:gridCol w:w="124"/>
        <w:gridCol w:w="109"/>
        <w:gridCol w:w="109"/>
        <w:gridCol w:w="2493"/>
        <w:gridCol w:w="2493"/>
        <w:gridCol w:w="35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8520"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CinRx is no longer deemed to be a related party. As a result the CinRx Warrants are no longer included.</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into or out of level 3 instruments and/or between level 1 and level 2 instruments during the three and six months ended June 30, 2024. Gains and losses recognized due to the change in fair value of the warrant liability, related party are recognized as a component of other income (expense), related party in the Company’s Condensed Consolidated Statements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Letter Agreement Warrants was determined using the Black-Scholes option pricing model or option pricing models based on the Company’s current capitalization. Expected volatility is based on the historical volatility of the Company’s common stock over the most recent period. The risk-free rate is based on the U.S. Treasury yield curve in effect at the time of valuation. Significant inputs utilized in the valuation of the Letter Agreement Warrants as of June 30, 2024 and December 31, 2023, were:</w:t>
      </w:r>
    </w:p>
    <w:tbl>
      <w:tblPr>
        <w:tblW w:w="8259" w:type="dxa"/>
        <w:jc w:val="left"/>
        <w:tblInd w:w="0" w:type="dxa"/>
        <w:tblLayout w:type="fixed"/>
        <w:tblCellMar>
          <w:top w:w="28" w:type="dxa"/>
          <w:left w:w="28" w:type="dxa"/>
          <w:bottom w:w="28" w:type="dxa"/>
          <w:right w:w="28" w:type="dxa"/>
        </w:tblCellMar>
      </w:tblPr>
      <w:tblGrid>
        <w:gridCol w:w="669"/>
        <w:gridCol w:w="587"/>
        <w:gridCol w:w="589"/>
        <w:gridCol w:w="537"/>
        <w:gridCol w:w="537"/>
        <w:gridCol w:w="546"/>
        <w:gridCol w:w="484"/>
        <w:gridCol w:w="484"/>
        <w:gridCol w:w="486"/>
        <w:gridCol w:w="109"/>
        <w:gridCol w:w="109"/>
        <w:gridCol w:w="109"/>
        <w:gridCol w:w="583"/>
        <w:gridCol w:w="479"/>
        <w:gridCol w:w="452"/>
        <w:gridCol w:w="433"/>
        <w:gridCol w:w="433"/>
        <w:gridCol w:w="633"/>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r>
      <w:tr>
        <w:trPr/>
        <w:tc>
          <w:tcPr>
            <w:tcW w:w="184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620"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98.96% - 145.41%</w:t>
            </w:r>
          </w:p>
        </w:tc>
        <w:tc>
          <w:tcPr>
            <w:tcW w:w="1454"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106.42%</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79.96% - 89.61%</w:t>
            </w:r>
          </w:p>
        </w:tc>
        <w:tc>
          <w:tcPr>
            <w:tcW w:w="149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81.55%</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4.62% - 5.36%</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4.01% - 4.87%</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CinRx Warrants was determined using the Black-Scholes option pricing model. Expected volatility is based on the historical volatility of the Company’s common stock over the most recent period. The risk-free rate is based on the U.S. Treasury yield curve in effect at the time of valuation. Significant inputs utilized in the valuation of the CinRx Warrants as of June 30, 2024, were:</w:t>
      </w:r>
    </w:p>
    <w:tbl>
      <w:tblPr>
        <w:tblW w:w="3572" w:type="dxa"/>
        <w:jc w:val="left"/>
        <w:tblInd w:w="0" w:type="dxa"/>
        <w:tblLayout w:type="fixed"/>
        <w:tblCellMar>
          <w:top w:w="28" w:type="dxa"/>
          <w:left w:w="28" w:type="dxa"/>
          <w:bottom w:w="28" w:type="dxa"/>
          <w:right w:w="28" w:type="dxa"/>
        </w:tblCellMar>
      </w:tblPr>
      <w:tblGrid>
        <w:gridCol w:w="994"/>
        <w:gridCol w:w="874"/>
        <w:gridCol w:w="877"/>
        <w:gridCol w:w="255"/>
        <w:gridCol w:w="256"/>
        <w:gridCol w:w="316"/>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volatility </w:t>
            </w:r>
          </w:p>
        </w:tc>
        <w:tc>
          <w:tcPr>
            <w:tcW w:w="5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31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74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weighted average expected volatility and risk-free interest rate was based on the relative fair values of the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unobservable inputs noted above would impact the amount of the liability for the Letter Agreement Warrants and CinRx Warrants. Increases (decreases) in the estimates of the Company’s annual volatility would increase (decrease) the liability and an increase (decrease) in the annual risk-free rate would increase (decrease) the liability.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Note 13: Subsequent Events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July 26, 2024 the Company announced that the Food and Drug Administration (FDA) has placed a clinical hold on the cadisegliatin clinical program which includes the ongoing Cadisegliatin as Adjunctive Therapy in Type 1 Diabetes (“CATT1”) Phase 3 trial in type 1 diabetes.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are a clinical stage pharmaceutical company focused on treating metabolic and inflammatory diseases to minimize their long-term complications and improve the lives of patients. We have an innovative pipeline of first-in-class small molecule clinical and preclinical drug candidates. Our lead program is </w:t>
      </w:r>
      <w:r>
        <w:rPr>
          <w:rFonts w:ascii="Times New Roman;sans-serif" w:hAnsi="Times New Roman;sans-serif"/>
          <w:b w:val="false"/>
          <w:i/>
          <w:color w:val="000000"/>
          <w:sz w:val="20"/>
        </w:rPr>
        <w:t>cadisegliatin</w:t>
      </w:r>
      <w:r>
        <w:rPr>
          <w:rFonts w:ascii="Times New Roman;sans-serif" w:hAnsi="Times New Roman;sans-serif"/>
          <w:b w:val="false"/>
          <w:color w:val="000000"/>
          <w:sz w:val="20"/>
        </w:rPr>
        <w:t>, an orally administered, small molecule, liver-selective glucokinase activator (“GKA”) as an adjunctive therapy to insulin for the treatment of type 1 diabetes (“T1D”).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26, 2024 the Company announced that the Food and Drug Administration (FDA) has placed a clinical hold on the cadisegliatin clinical program which includes the ongoing Cadisegliatin as Adjunctive Therapy in Type 1 Diabetes (“CATT1”) Phase 3 trial in type 1 diabetes. </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both"/>
        <w:rPr/>
      </w:pPr>
      <w:r>
        <w:rPr>
          <w:rFonts w:ascii="Times New Roman;sans-serif" w:hAnsi="Times New Roman;sans-serif"/>
          <w:b w:val="false"/>
          <w:color w:val="000000"/>
          <w:sz w:val="20"/>
        </w:rPr>
        <w:t>The following table summarizes our drug candidates</w:t>
      </w:r>
      <w:r>
        <w:rPr>
          <w:rFonts w:ascii="Times New Roman;sans-serif" w:hAnsi="Times New Roman;sans-serif"/>
          <w:b w:val="false"/>
          <w:color w:val="000000"/>
          <w:sz w:val="13"/>
        </w:rPr>
        <w:t>*</w:t>
      </w:r>
      <w:r>
        <w:rPr>
          <w:rFonts w:ascii="Times New Roman;sans-serif" w:hAnsi="Times New Roman;sans-serif"/>
          <w:b w:val="false"/>
          <w:color w:val="000000"/>
          <w:sz w:val="20"/>
        </w:rPr>
        <w:t>, their partnership status and their respective stages of development:</w:t>
      </w:r>
    </w:p>
    <w:p>
      <w:pPr>
        <w:pStyle w:val="TextBody"/>
        <w:bidi w:val="0"/>
        <w:spacing w:before="0" w:after="0"/>
        <w:jc w:val="both"/>
        <w:rPr/>
      </w:pPr>
      <w:r>
        <w:rPr/>
        <w:drawing>
          <wp:inline distT="0" distB="0" distL="0" distR="0">
            <wp:extent cx="6400800" cy="3124200"/>
            <wp:effectExtent l="0" t="0" r="0" b="0"/>
            <wp:docPr id="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 descr=""/>
                    <pic:cNvPicPr>
                      <a:picLocks noChangeAspect="1" noChangeArrowheads="1"/>
                    </pic:cNvPicPr>
                  </pic:nvPicPr>
                  <pic:blipFill>
                    <a:blip r:embed="rId2"/>
                    <a:stretch>
                      <a:fillRect/>
                    </a:stretch>
                  </pic:blipFill>
                  <pic:spPr bwMode="auto">
                    <a:xfrm>
                      <a:off x="0" y="0"/>
                      <a:ext cx="6400800" cy="3124200"/>
                    </a:xfrm>
                    <a:prstGeom prst="rect">
                      <a:avLst/>
                    </a:prstGeom>
                  </pic:spPr>
                </pic:pic>
              </a:graphicData>
            </a:graphic>
          </wp:inline>
        </w:drawing>
      </w:r>
    </w:p>
    <w:p>
      <w:pPr>
        <w:pStyle w:val="TextBody"/>
        <w:bidi w:val="0"/>
        <w:spacing w:lineRule="auto" w:line="288" w:before="0" w:after="0"/>
        <w:jc w:val="both"/>
        <w:rPr/>
      </w:pPr>
      <w:r>
        <w:rPr>
          <w:rFonts w:ascii="Times New Roman;sans-serif" w:hAnsi="Times New Roman;sans-serif"/>
          <w:b w:val="false"/>
          <w:color w:val="000000"/>
          <w:sz w:val="13"/>
        </w:rPr>
        <w:t xml:space="preserve">* </w:t>
      </w:r>
      <w:r>
        <w:rPr>
          <w:rFonts w:ascii="Times New Roman;sans-serif" w:hAnsi="Times New Roman;sans-serif"/>
          <w:b w:val="false"/>
          <w:color w:val="000000"/>
          <w:sz w:val="16"/>
        </w:rPr>
        <w:t>These product candidates are under investigation and their safety and efficacy have not been established. There is no guarantee that these products will receive health authority approval or become commercially available for the uses being investigated.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shd w:fill="FFFFFF" w:val="clear"/>
        </w:rPr>
        <w:t xml:space="preserve">Our Type 1 Diabetes Program – </w:t>
      </w:r>
      <w:r>
        <w:rPr>
          <w:rFonts w:ascii="Times New Roman;sans-serif" w:hAnsi="Times New Roman;sans-serif"/>
          <w:b/>
          <w:i/>
          <w:color w:val="000000"/>
          <w:sz w:val="20"/>
          <w:shd w:fill="FFFFFF" w:val="clear"/>
        </w:rPr>
        <w:t>Cadisegliatin (TTP399)</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U.S. Food and Drug Administration (FDA) granted Breakthrough Therapy designation in 2021 for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as an adjunctive therapy to insulin for the treatment of type 1 diabetes. The Breakthrough Therapy designation provides a sponsor with added support and the potential to expedite development and review timelines for a promising new investigational medicine. The Breakthrough Therapy designation for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in T1D was supported by the positive results from the Phase 2 SimpliciT-1 Study, a multi-center, randomized, double-blind, adaptive study assessing the safety and efficacy of </w:t>
      </w:r>
      <w:r>
        <w:rPr>
          <w:rFonts w:ascii="Times New Roman;sans-serif" w:hAnsi="Times New Roman;sans-serif"/>
          <w:b w:val="false"/>
          <w:i/>
          <w:color w:val="000000"/>
          <w:sz w:val="20"/>
        </w:rPr>
        <w:t xml:space="preserve">cadisegliatin </w:t>
      </w:r>
      <w:r>
        <w:rPr>
          <w:rFonts w:ascii="Times New Roman;sans-serif" w:hAnsi="Times New Roman;sans-serif"/>
          <w:b w:val="false"/>
          <w:color w:val="000000"/>
          <w:sz w:val="20"/>
        </w:rPr>
        <w:t xml:space="preserve">as an adjunct to insulin therapy in adults with T1D. In this trial, treatment with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resulted in a statistically significant improvement in HbA1c relative to placebo and a clinically meaningful decrease (40%) in the frequency of severe and symptomatic hypoglycemia.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demonstrated a favorable safety profile, in which abnormal levels of serum or urine ketones were detected less frequently in patients taking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than those taking placebo.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May of 2023, the FDA issued new draft guidance on "Diabetes Mellitus: Efficacy Endpoints for Clinical Trials Investigating Antidiabetic Drugs and Biological Products" which, for the first time, permitted the use of hypoglycemia as an endpoint to support a label claim. Consistent with this guidance and with input from the FDA, we initiated our CATT1 trial to assess the effect of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on reducing the frequency of Level 2 hypoglycemia (blood glucose levels are less than 54 mg/dL or 3 mmol/L, regardless of symptoms) and Level 3 hypoglycemia ("severe" hypoglycemia e.g., requiring assistance of another person) in 150 patients with type 1 diabetes. On July 26, 2024, the FDA issued a clinical hold for the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program, including the CATT1 trial, based on the discovery of a chromatographic signal in a recent human absorption, distribution, metabolism, and excretion (ADME) study of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that could not be resolved by standard mass spectroscopy. The FDA will require a single in vitro study to characterize this signal before the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program, including the CATT1 trial, can resume. At the time of the clinical hold, no patient had been dosed in the CATT1 trial and past clinical studies did not reveal any clinically concerning safety issues. The Company has initiated activities to address the issue identified by FDA and restart clinical trial activities.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continues to work on the design for two international registrational studies for </w:t>
      </w:r>
      <w:r>
        <w:rPr>
          <w:rFonts w:ascii="Times New Roman;sans-serif" w:hAnsi="Times New Roman;sans-serif"/>
          <w:b w:val="false"/>
          <w:i/>
          <w:color w:val="000000"/>
          <w:sz w:val="20"/>
        </w:rPr>
        <w:t xml:space="preserve">cadisegliatin </w:t>
      </w:r>
      <w:r>
        <w:rPr>
          <w:rFonts w:ascii="Times New Roman;sans-serif" w:hAnsi="Times New Roman;sans-serif"/>
          <w:b w:val="false"/>
          <w:color w:val="000000"/>
          <w:sz w:val="20"/>
        </w:rPr>
        <w:t>in type 1 diabetes,</w:t>
      </w:r>
      <w:r>
        <w:rPr>
          <w:color w:val="000000"/>
        </w:rPr>
        <w:t xml:space="preserve"> </w:t>
      </w:r>
      <w:r>
        <w:rPr>
          <w:rFonts w:ascii="Times New Roman;sans-serif" w:hAnsi="Times New Roman;sans-serif"/>
          <w:b w:val="false"/>
          <w:color w:val="000000"/>
          <w:sz w:val="20"/>
        </w:rPr>
        <w:t xml:space="preserve">which we expect to start in 2026.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continue to work with our partner, G42 Investments AI Holding RSC Ltd. (“G42”), to initiate a double-blind, randomized, controlled Phase 2 trial in the Middle East region in 450 insulin-using patients with type 2 diabetes. We expect that trial to begin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Holding Company Structure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from drug sales. Our revenue has been primarily derived from milestone payments, up-front proceeds and research fees under collaboration and license agreements.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by project for the three and six months ended June 30, 2024 and 2023 were as follows (in thousands):</w:t>
      </w:r>
    </w:p>
    <w:tbl>
      <w:tblPr>
        <w:tblW w:w="8447" w:type="dxa"/>
        <w:jc w:val="left"/>
        <w:tblInd w:w="0" w:type="dxa"/>
        <w:tblLayout w:type="fixed"/>
        <w:tblCellMar>
          <w:top w:w="28" w:type="dxa"/>
          <w:left w:w="28" w:type="dxa"/>
          <w:bottom w:w="28" w:type="dxa"/>
          <w:right w:w="28" w:type="dxa"/>
        </w:tblCellMar>
      </w:tblPr>
      <w:tblGrid>
        <w:gridCol w:w="1310"/>
        <w:gridCol w:w="1149"/>
        <w:gridCol w:w="1155"/>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research and development expense:</w:t>
            </w:r>
          </w:p>
        </w:tc>
        <w:tc>
          <w:tcPr>
            <w:tcW w:w="9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Cadisegliatin</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projects*</w:t>
            </w:r>
          </w:p>
        </w:tc>
        <w:tc>
          <w:tcPr>
            <w:tcW w:w="8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research and development expense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w:t>
            </w:r>
          </w:p>
        </w:tc>
        <w:tc>
          <w:tcPr>
            <w:tcW w:w="21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1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4,691 </w:t>
            </w:r>
          </w:p>
        </w:tc>
        <w:tc>
          <w:tcPr>
            <w:tcW w:w="11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8,633 </w:t>
            </w:r>
          </w:p>
        </w:tc>
        <w:tc>
          <w:tcPr>
            <w:tcW w:w="1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6"/>
        </w:rPr>
        <w:t xml:space="preserve">*Includes </w:t>
      </w:r>
      <w:r>
        <w:rPr>
          <w:rFonts w:ascii="Times New Roman;sans-serif" w:hAnsi="Times New Roman;sans-serif"/>
          <w:b w:val="false"/>
          <w:i/>
          <w:color w:val="000000"/>
          <w:sz w:val="16"/>
        </w:rPr>
        <w:t>HPP737</w:t>
      </w:r>
      <w:r>
        <w:rPr>
          <w:color w:val="000000"/>
        </w:rPr>
        <w:t xml:space="preserve"> </w:t>
      </w:r>
      <w:r>
        <w:rPr>
          <w:rFonts w:ascii="Times New Roman;sans-serif" w:hAnsi="Times New Roman;sans-serif"/>
          <w:b w:val="false"/>
          <w:color w:val="000000"/>
          <w:sz w:val="16"/>
        </w:rPr>
        <w:t xml:space="preserve">and </w:t>
      </w:r>
      <w:r>
        <w:rPr>
          <w:rFonts w:ascii="Times New Roman;sans-serif" w:hAnsi="Times New Roman;sans-serif"/>
          <w:b w:val="false"/>
          <w:i/>
          <w:color w:val="000000"/>
          <w:sz w:val="16"/>
        </w:rPr>
        <w:t>Azeliragon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plan to continue to incur significant research and development expenses for the foreseeable future as we continue the development of </w:t>
      </w:r>
      <w:r>
        <w:rPr>
          <w:rFonts w:ascii="Times New Roman;sans-serif" w:hAnsi="Times New Roman;sans-serif"/>
          <w:b w:val="false"/>
          <w:i/>
          <w:color w:val="000000"/>
          <w:sz w:val="20"/>
        </w:rPr>
        <w:t xml:space="preserve">cadisegliatin </w:t>
      </w:r>
      <w:r>
        <w:rPr>
          <w:rFonts w:ascii="Times New Roman;sans-serif" w:hAnsi="Times New Roman;sans-serif"/>
          <w:b w:val="false"/>
          <w:color w:val="000000"/>
          <w:sz w:val="20"/>
        </w:rPr>
        <w:t>and further advance the development of our other drug candidates, subject to the availability of additional funding.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these drug candidates may commence. This is due to the numerous risks and uncertainties associated with the development of our drug candidates, including:</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uncertainty of the duration of the clinical hold placed on the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program and the scope, rate of progress and expense of our clinical trials once resumed as well as any additional, clinical trials and other research and development activities;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potential benefits of our candidates over other therapies;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market, commercialize and achieve market acceptance for any of our drug candidates that we are developing or may develop in the future;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future clinical trial results;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enroll patients in our clinical trials;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timing and receipt of any regulatory approvals;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secure sufficient capital and cash resources, including access to available debt and equity financing and revenues from operations, to satisfy all of our short-term and longer-term cash requirements and other cash needs, at the times and in the amounts needed;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legislation and regulatory actions and changes in laws or regulations; 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filing, prosecuting, defending and enforcing of patent claims and other intellectual property rights, and the expense of doing so.</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represents noncash interest income related to the imputed interest from the G42 Promissory Note receivable using the effective interest method, which ended in 2023, and cash interest income from dividends and interest from our money market account, all of which are recognized in our Condensed Consolidated Statement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primarily consists of unrealized gains or losses attributable to the changes in fair value of the equity investments in Reneo Pharmaceuticals, Inc. ("Reneo"), the recognition of changes in fair value of the warrants to purchase shares of our Class A common stock and the loss from the G42 promissory note early redemption on February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June 30, 2024 and 2023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concerning our results of operations for the periods shown:</w:t>
      </w:r>
    </w:p>
    <w:tbl>
      <w:tblPr>
        <w:tblW w:w="8118" w:type="dxa"/>
        <w:jc w:val="left"/>
        <w:tblInd w:w="0" w:type="dxa"/>
        <w:tblLayout w:type="fixed"/>
        <w:tblCellMar>
          <w:top w:w="28" w:type="dxa"/>
          <w:left w:w="28" w:type="dxa"/>
          <w:bottom w:w="28" w:type="dxa"/>
          <w:right w:w="28" w:type="dxa"/>
        </w:tblCellMar>
      </w:tblPr>
      <w:tblGrid>
        <w:gridCol w:w="1603"/>
        <w:gridCol w:w="1408"/>
        <w:gridCol w:w="1413"/>
        <w:gridCol w:w="309"/>
        <w:gridCol w:w="376"/>
        <w:gridCol w:w="314"/>
        <w:gridCol w:w="146"/>
        <w:gridCol w:w="146"/>
        <w:gridCol w:w="146"/>
        <w:gridCol w:w="309"/>
        <w:gridCol w:w="376"/>
        <w:gridCol w:w="314"/>
        <w:gridCol w:w="146"/>
        <w:gridCol w:w="146"/>
        <w:gridCol w:w="146"/>
        <w:gridCol w:w="354"/>
        <w:gridCol w:w="192"/>
        <w:gridCol w:w="274"/>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6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 data:</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30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99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noncontrolling interest</w:t>
            </w:r>
          </w:p>
        </w:tc>
        <w:tc>
          <w:tcPr>
            <w:tcW w:w="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noncontrolling interest</w:t>
            </w:r>
          </w:p>
        </w:tc>
        <w:tc>
          <w:tcPr>
            <w:tcW w:w="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revenue for the three months ended June 30, 2024 and 2023.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Research and development expenses were $3.4 million and $4.7 million for the three months ended June 30, 2024 and 2023, respectively. The decrease in research and development expenses during this period of $1.3 million or 26.7%, was primarily driven by i) lower spending on </w:t>
      </w:r>
      <w:r>
        <w:rPr>
          <w:rFonts w:ascii="Times New Roman;sans-serif" w:hAnsi="Times New Roman;sans-serif"/>
          <w:b w:val="false"/>
          <w:i/>
          <w:color w:val="000000"/>
          <w:sz w:val="20"/>
        </w:rPr>
        <w:t xml:space="preserve">cadisegliatin </w:t>
      </w:r>
      <w:r>
        <w:rPr>
          <w:rFonts w:ascii="Times New Roman;sans-serif" w:hAnsi="Times New Roman;sans-serif"/>
          <w:b w:val="false"/>
          <w:color w:val="000000"/>
          <w:sz w:val="20"/>
        </w:rPr>
        <w:t>of $2.0 million, due to decreases in toxicity study costs and drug manufacturing related costs partially offset by increases in clinical trial start-up costs, and ii) an increase in indirect costs and other projects of $0.7 million.</w:t>
      </w:r>
    </w:p>
    <w:p>
      <w:pPr>
        <w:pStyle w:val="TextBody"/>
        <w:bidi w:val="0"/>
        <w:spacing w:lineRule="auto" w:line="288" w:before="120" w:after="283"/>
        <w:jc w:val="both"/>
        <w:rPr/>
      </w:pPr>
      <w:r>
        <w:rPr>
          <w:rFonts w:ascii="Times New Roman;sans-serif" w:hAnsi="Times New Roman;sans-serif"/>
          <w:b/>
          <w:i/>
          <w:color w:val="000000"/>
          <w:sz w:val="20"/>
        </w:rPr>
        <w:t>General and Administrative Expense</w:t>
      </w:r>
      <w:r>
        <w:rPr>
          <w:rFonts w:ascii="Times New Roman;sans-serif" w:hAnsi="Times New Roman;sans-serif"/>
          <w:b w:val="false"/>
          <w:i/>
          <w:color w:val="000000"/>
          <w:sz w:val="20"/>
        </w:rPr>
        <w: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$3.7 million and $3.3 million for the three months ended June 30, 2024 and 2023, respectively. The increase in general and administrative expenses during this period of $0.4 million, or 12.3%, was primarily driven by i) increases of $0.3 million in share-based expense, ii) increases of $0.2 million in legal expenses, iii) increases of $0.1 million in payroll related costs, partially offset by iv) decreases of $0.2 million in other general and administrative costs.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Interest income for the three months ended June 30, 2024, of $0.6 million, </w:t>
      </w:r>
      <w:r>
        <w:rPr>
          <w:rFonts w:ascii="Times New Roman;sans-serif" w:hAnsi="Times New Roman;sans-serif"/>
          <w:b w:val="false"/>
          <w:color w:val="000000"/>
          <w:sz w:val="20"/>
        </w:rPr>
        <w:t>is related to dividend income from our money market accounts</w:t>
      </w:r>
      <w:r>
        <w:rPr>
          <w:rFonts w:ascii="Times New Roman;sans-serif" w:hAnsi="Times New Roman;sans-serif"/>
          <w:b w:val="false"/>
          <w:color w:val="000000"/>
          <w:sz w:val="20"/>
          <w:shd w:fill="FFFFFF" w:val="clear"/>
        </w:rPr>
        <w:t xml:space="preserve">. Interest income for the three months ended June 30, 2023, of </w:t>
      </w:r>
      <w:r>
        <w:rPr>
          <w:rFonts w:ascii="Times New Roman;sans-serif" w:hAnsi="Times New Roman;sans-serif"/>
          <w:b w:val="false"/>
          <w:color w:val="000000"/>
          <w:sz w:val="20"/>
        </w:rPr>
        <w:t>$0.2 million,</w:t>
      </w:r>
      <w:r>
        <w:rPr>
          <w:color w:val="000000"/>
          <w:shd w:fill="FFFFFF" w:val="clear"/>
        </w:rPr>
        <w:t xml:space="preserve"> </w:t>
      </w:r>
      <w:r>
        <w:rPr>
          <w:rFonts w:ascii="Times New Roman;sans-serif" w:hAnsi="Times New Roman;sans-serif"/>
          <w:b w:val="false"/>
          <w:color w:val="000000"/>
          <w:sz w:val="20"/>
          <w:shd w:fill="FFFFFF" w:val="clear"/>
        </w:rPr>
        <w:t>is related to imputed interest on the promissory notes.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Other income was $0.2 million for the three months ended June 30, 2024, and was driven by </w:t>
      </w:r>
      <w:r>
        <w:rPr>
          <w:rFonts w:ascii="Times New Roman;sans-serif" w:hAnsi="Times New Roman;sans-serif"/>
          <w:b w:val="false"/>
          <w:color w:val="000000"/>
          <w:sz w:val="20"/>
          <w:shd w:fill="FFFFFF" w:val="clear"/>
        </w:rPr>
        <w:t>gains rel</w:t>
      </w:r>
      <w:r>
        <w:rPr>
          <w:rFonts w:ascii="Times New Roman;sans-serif" w:hAnsi="Times New Roman;sans-serif"/>
          <w:b w:val="false"/>
          <w:color w:val="000000"/>
          <w:sz w:val="20"/>
        </w:rPr>
        <w:t>ated to the change in the fair value of the outstanding warrants to purchase shares of our own stock. Other income was $0.6 million for the three months ended June 30, 2023,</w:t>
      </w:r>
      <w:r>
        <w:rPr>
          <w:color w:val="000000"/>
          <w:shd w:fill="FFFFFF" w:val="clear"/>
        </w:rPr>
        <w:t xml:space="preserve"> </w:t>
      </w:r>
      <w:r>
        <w:rPr>
          <w:rFonts w:ascii="Times New Roman;sans-serif" w:hAnsi="Times New Roman;sans-serif"/>
          <w:b w:val="false"/>
          <w:color w:val="000000"/>
          <w:sz w:val="20"/>
        </w:rPr>
        <w:t>and was driven by an unrealized gain related to our investment in Reneo, as well as gains</w:t>
      </w:r>
      <w:r>
        <w:rPr>
          <w:color w:val="000000"/>
          <w:shd w:fill="FFFFFF" w:val="clear"/>
        </w:rPr>
        <w:t xml:space="preserve"> </w:t>
      </w:r>
      <w:r>
        <w:rPr>
          <w:rFonts w:ascii="Times New Roman;sans-serif" w:hAnsi="Times New Roman;sans-serif"/>
          <w:b w:val="false"/>
          <w:color w:val="000000"/>
          <w:sz w:val="20"/>
          <w:shd w:fill="FFFFFF" w:val="clear"/>
        </w:rPr>
        <w:t>rel</w:t>
      </w:r>
      <w:r>
        <w:rPr>
          <w:rFonts w:ascii="Times New Roman;sans-serif" w:hAnsi="Times New Roman;sans-serif"/>
          <w:b w:val="false"/>
          <w:color w:val="000000"/>
          <w:sz w:val="20"/>
        </w:rPr>
        <w:t>ated to the change in the fair value of the outstanding warrants to purchase shares of our own stock issued to related parties.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2024 and 2023</w:t>
      </w:r>
    </w:p>
    <w:p>
      <w:pPr>
        <w:pStyle w:val="TextBody"/>
        <w:bidi w:val="0"/>
        <w:spacing w:lineRule="auto" w:line="288" w:before="120" w:after="283"/>
        <w:ind w:left="0" w:right="0" w:firstLine="612"/>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concerning our results of operations for the periods shown:</w:t>
      </w:r>
    </w:p>
    <w:tbl>
      <w:tblPr>
        <w:tblW w:w="8378" w:type="dxa"/>
        <w:jc w:val="left"/>
        <w:tblInd w:w="0" w:type="dxa"/>
        <w:tblLayout w:type="fixed"/>
        <w:tblCellMar>
          <w:top w:w="28" w:type="dxa"/>
          <w:left w:w="28" w:type="dxa"/>
          <w:bottom w:w="28" w:type="dxa"/>
          <w:right w:w="28" w:type="dxa"/>
        </w:tblCellMar>
      </w:tblPr>
      <w:tblGrid>
        <w:gridCol w:w="1603"/>
        <w:gridCol w:w="1408"/>
        <w:gridCol w:w="1413"/>
        <w:gridCol w:w="258"/>
        <w:gridCol w:w="393"/>
        <w:gridCol w:w="402"/>
        <w:gridCol w:w="133"/>
        <w:gridCol w:w="133"/>
        <w:gridCol w:w="133"/>
        <w:gridCol w:w="338"/>
        <w:gridCol w:w="389"/>
        <w:gridCol w:w="406"/>
        <w:gridCol w:w="133"/>
        <w:gridCol w:w="133"/>
        <w:gridCol w:w="133"/>
        <w:gridCol w:w="354"/>
        <w:gridCol w:w="255"/>
        <w:gridCol w:w="361"/>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9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 data:</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25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5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053"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13,782</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5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5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noncontrolling interest</w:t>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(12,328)</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5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noncontrolling interest</w:t>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(12,428)</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105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for the six months ended June 30, 2024 includes a $1.0 million increase to the transaction price for the license performance obligation under the Newsoara License Agreement due to the satisfaction of a development milestone. There was no revenue for the three months ended June 30, 2023.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Research and development expenses were $6.1 million and $8.6 million for the six months ended June 30, 2024 and 2023, respectively. The decrease in research and development expenses during the period of $2.5 million, or 29.5%, was primarily driven by i) lower spending on </w:t>
      </w:r>
      <w:r>
        <w:rPr>
          <w:rFonts w:ascii="Times New Roman;sans-serif" w:hAnsi="Times New Roman;sans-serif"/>
          <w:b w:val="false"/>
          <w:i/>
          <w:color w:val="000000"/>
          <w:sz w:val="20"/>
        </w:rPr>
        <w:t xml:space="preserve">cadisegliatin </w:t>
      </w:r>
      <w:r>
        <w:rPr>
          <w:rFonts w:ascii="Times New Roman;sans-serif" w:hAnsi="Times New Roman;sans-serif"/>
          <w:b w:val="false"/>
          <w:color w:val="000000"/>
          <w:sz w:val="20"/>
        </w:rPr>
        <w:t>of $3.4 million due to decreases in toxicity study costs and drug manufacturing related costs, partially offset by increases in clinical trial start-up costs, and ii)</w:t>
      </w:r>
      <w:r>
        <w:rPr>
          <w:color w:val="000000"/>
        </w:rPr>
        <w:t xml:space="preserve"> </w:t>
      </w:r>
      <w:r>
        <w:rPr>
          <w:rFonts w:ascii="Times New Roman;sans-serif" w:hAnsi="Times New Roman;sans-serif"/>
          <w:b w:val="false"/>
          <w:color w:val="000000"/>
          <w:sz w:val="20"/>
        </w:rPr>
        <w:t>increases in indirect costs and other projects of $0.9 million.</w:t>
      </w:r>
    </w:p>
    <w:p>
      <w:pPr>
        <w:pStyle w:val="TextBody"/>
        <w:bidi w:val="0"/>
        <w:spacing w:lineRule="auto" w:line="288" w:before="120" w:after="283"/>
        <w:jc w:val="both"/>
        <w:rPr/>
      </w:pPr>
      <w:r>
        <w:rPr>
          <w:rFonts w:ascii="Times New Roman;sans-serif" w:hAnsi="Times New Roman;sans-serif"/>
          <w:b/>
          <w:i/>
          <w:color w:val="000000"/>
          <w:sz w:val="20"/>
        </w:rPr>
        <w:t>General and Administrative Expense</w:t>
      </w:r>
      <w:r>
        <w:rPr>
          <w:rFonts w:ascii="Times New Roman;sans-serif" w:hAnsi="Times New Roman;sans-serif"/>
          <w:b w:val="false"/>
          <w:i/>
          <w:color w:val="000000"/>
          <w:sz w:val="20"/>
        </w:rPr>
        <w: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were $7.7 million and $6.8 million for the six months ended June 30, 2024 and 2023, respectively. The increase of $0.9 million or 13.2%, was primarily driven by i) increases of $0.9 million in payroll costs, ii) increases of $0.5 million in legal expense, iii) increases of $0.2 million in share-based expense, partially offset by iv) decreases of $0.7 million in other general and administrative costs.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Interest income for the six months ended June 30, 2024, of $0.6 million, is related to </w:t>
      </w:r>
      <w:r>
        <w:rPr>
          <w:rFonts w:ascii="Times New Roman;sans-serif" w:hAnsi="Times New Roman;sans-serif"/>
          <w:b w:val="false"/>
          <w:color w:val="000000"/>
          <w:sz w:val="20"/>
        </w:rPr>
        <w:t>dividend income from our money market accounts</w:t>
      </w:r>
      <w:r>
        <w:rPr>
          <w:rFonts w:ascii="Times New Roman;sans-serif" w:hAnsi="Times New Roman;sans-serif"/>
          <w:b w:val="false"/>
          <w:color w:val="000000"/>
          <w:sz w:val="20"/>
          <w:shd w:fill="FFFFFF" w:val="clear"/>
        </w:rPr>
        <w:t xml:space="preserve">. Interest income for the six months ended June 30, 2023 of </w:t>
      </w:r>
      <w:r>
        <w:rPr>
          <w:rFonts w:ascii="Times New Roman;sans-serif" w:hAnsi="Times New Roman;sans-serif"/>
          <w:b w:val="false"/>
          <w:color w:val="000000"/>
          <w:sz w:val="20"/>
        </w:rPr>
        <w:t xml:space="preserve">0.3 million </w:t>
      </w:r>
      <w:r>
        <w:rPr>
          <w:rFonts w:ascii="Times New Roman;sans-serif" w:hAnsi="Times New Roman;sans-serif"/>
          <w:b w:val="false"/>
          <w:color w:val="000000"/>
          <w:sz w:val="20"/>
          <w:shd w:fill="FFFFFF" w:val="clear"/>
        </w:rPr>
        <w:t>is related to imputed interest on the G42 Promissory Note and dividend income from our money market account..</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(Expense) Income,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was $0.2 million for the six months ended June 30, 2024, driven by losses related to the change in the fair value of the outstanding warrants to purchase shares of our own stock. Other income was $2.2 million for the six months ended June 30, 2023, and was driven by an unrealized gain recognized related to the Company’s investment in Reneo as well as gains related to the change in the fair value of the outstanding warrants to purchase shares of our own stock issued to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had an accumulated deficit of $291.3 million. Since our inception, we have experienced a history of negative cash flows from operating activities. We anticipate that we will continue to incur losses and negative cash flow from operations for the foreseeable future as we continue our clinical trials. Further, we expect that we will need additional capital to continue to fund our operations. As of June 30, 2024, we had cash and cash equivalents of $45.5 million.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On February 27, 2024, the Company closed a private placement financing of up to $51.0 million and additionally granting investors the right to purchase up to an additional $30.0 million of common stock 18 months following the closing of the private placement financing. The financing raised will allow the Company to further advance its lead program for </w:t>
      </w:r>
      <w:r>
        <w:rPr>
          <w:rFonts w:ascii="Times New Roman;sans-serif" w:hAnsi="Times New Roman;sans-serif"/>
          <w:b w:val="false"/>
          <w:i/>
          <w:color w:val="000000"/>
          <w:sz w:val="20"/>
        </w:rPr>
        <w:t>cadisegliatin</w:t>
      </w:r>
      <w:r>
        <w:rPr>
          <w:rFonts w:ascii="Times New Roman;sans-serif" w:hAnsi="Times New Roman;sans-serif"/>
          <w:b w:val="false"/>
          <w:color w:val="000000"/>
          <w:sz w:val="2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 We are evaluating several financing strategies to fund our planned and ongoing clinical trials, including direct equity investments and future public offerings of our common stock. The timing and availability of such additional financing are not yet known.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ATM Offering</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TD Cowen Sales Agreement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although we may only offer and sell under the TD Cowen ATM Offering up to one-third of the aggregate market value of our Class A common stock held by non-affiliates during any 12 calendar month period pursuant to </w:t>
      </w:r>
      <w:r>
        <w:rPr>
          <w:rFonts w:ascii="Times New Roman;sans-serif" w:hAnsi="Times New Roman;sans-serif"/>
          <w:b w:val="false"/>
          <w:color w:val="000000"/>
          <w:sz w:val="20"/>
          <w:shd w:fill="FFFFFF" w:val="clear"/>
        </w:rPr>
        <w:t>General Instruction I.B.6 of Form S-3</w:t>
      </w:r>
      <w:r>
        <w:rPr>
          <w:rFonts w:ascii="Times New Roman;sans-serif" w:hAnsi="Times New Roman;sans-serif"/>
          <w:b w:val="false"/>
          <w:color w:val="000000"/>
          <w:sz w:val="20"/>
        </w:rPr>
        <w:t>. We are not obligated to sell any shares under the TD Cowen Sales Agreement. Under the terms of the TD Cowen Sales Agreement, we will pay TD Cowen a commission of 3% of the aggregate proceeds from the sale of shares and reimburse certain legal fees or other disbursements. As of June 30, 2024 we have not sold any shares pursuant to the TD Cowen Sales Agreement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6068" w:type="dxa"/>
        <w:jc w:val="left"/>
        <w:tblInd w:w="0" w:type="dxa"/>
        <w:tblLayout w:type="fixed"/>
        <w:tblCellMar>
          <w:top w:w="28" w:type="dxa"/>
          <w:left w:w="28" w:type="dxa"/>
          <w:bottom w:w="28" w:type="dxa"/>
          <w:right w:w="28" w:type="dxa"/>
        </w:tblCellMar>
      </w:tblPr>
      <w:tblGrid>
        <w:gridCol w:w="1252"/>
        <w:gridCol w:w="1104"/>
        <w:gridCol w:w="1108"/>
        <w:gridCol w:w="211"/>
        <w:gridCol w:w="796"/>
        <w:gridCol w:w="109"/>
        <w:gridCol w:w="109"/>
        <w:gridCol w:w="109"/>
        <w:gridCol w:w="109"/>
        <w:gridCol w:w="211"/>
        <w:gridCol w:w="796"/>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(14,064)</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(11,333)</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36,080 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556"/>
        <w:jc w:val="both"/>
        <w:rPr/>
      </w:pPr>
      <w:r>
        <w:rPr>
          <w:rFonts w:ascii="Times New Roman;sans-serif" w:hAnsi="Times New Roman;sans-serif"/>
          <w:b w:val="false"/>
          <w:color w:val="000000"/>
          <w:sz w:val="20"/>
        </w:rPr>
        <w:t>For the six months ended June 30, 2024, our net cash used in operating activities increased by $2.7 million from the six months ended June 30, 2023</w:t>
      </w:r>
      <w:r>
        <w:rPr>
          <w:rFonts w:ascii="Times New Roman;sans-serif" w:hAnsi="Times New Roman;sans-serif"/>
          <w:b w:val="false"/>
          <w:color w:val="000000"/>
          <w:sz w:val="20"/>
          <w:shd w:fill="FFFFFF" w:val="clear"/>
        </w:rPr>
        <w:t>. The significant contributor to the change in cash used during the year was working capital changes.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55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cash flows from investing activities for the six months ended June 30, 2024 and 2023.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556"/>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net cash provided by financing activities was driven by sales of our Class A common stock and proceeds from pre-funded warrants of $51.0 million from the Private Placement financing. For the six months ended June 30, 2023, net cash provided by financing activities was driven by the receipt of proceeds of $12.0 million from the G42 promissory note early redemption.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Future Funding Requirements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Based on our current operating plan, we believe that our current cash and cash equivalents will allow us to meet our liquidity requirements for at least the next twelve months. We plan to finance our operations through the use of our cash and cash equivalents, including funding activities needed to lift the clinical hold and resume the CATT1 trial. We continue to evaluate financing strategies to fund future clinical trials of </w:t>
      </w:r>
      <w:r>
        <w:rPr>
          <w:rFonts w:ascii="Times New Roman;sans-serif" w:hAnsi="Times New Roman;sans-serif"/>
          <w:b w:val="false"/>
          <w:i/>
          <w:color w:val="000000"/>
          <w:sz w:val="20"/>
        </w:rPr>
        <w:t>cadisegliatin</w:t>
      </w:r>
      <w:r>
        <w:rPr>
          <w:rFonts w:ascii="Times New Roman;sans-serif" w:hAnsi="Times New Roman;sans-serif"/>
          <w:b w:val="false"/>
          <w:color w:val="000000"/>
          <w:sz w:val="20"/>
        </w:rPr>
        <w:t>, including direct equity investments and the potential licensing and monetization of other Company programs. The timing of any such transactions is not certain, and we may not be able to complete such transactions on acceptable terms, or at all. Even if we are able to complete such transactions, they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w:t>
      </w:r>
      <w:r>
        <w:rPr>
          <w:color w:val="000000"/>
          <w:shd w:fill="FFFFFF" w:val="clear"/>
        </w:rPr>
        <w:t xml:space="preserve"> </w:t>
      </w:r>
      <w:r>
        <w:rPr>
          <w:rFonts w:ascii="Times New Roman;sans-serif" w:hAnsi="Times New Roman;sans-serif"/>
          <w:b w:val="false"/>
          <w:color w:val="000000"/>
          <w:sz w:val="20"/>
          <w:shd w:fill="FFFFFF" w:val="clear"/>
        </w:rPr>
        <w:t>estimate the amounts of increased capital outlays and operating expenditures necessary to complete the development of our drug candidates. Additionally, we may rely on our ability to sell shares of our Class A common stock pursuant to the ATM Offering. However, the ability to use this source of capital is dependent on a number of factors, including the prevailing market price of and the volume of trading in the Company’s Class A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costs, results and timing needed to lift the clinical hold on the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program;</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progress, costs, results and timing of restarting our trials to evaluate </w:t>
      </w:r>
      <w:r>
        <w:rPr>
          <w:rFonts w:ascii="Times New Roman;sans-serif" w:hAnsi="Times New Roman;sans-serif"/>
          <w:b w:val="false"/>
          <w:i/>
          <w:color w:val="000000"/>
          <w:sz w:val="20"/>
        </w:rPr>
        <w:t xml:space="preserve">cadisegliatin </w:t>
      </w:r>
      <w:r>
        <w:rPr>
          <w:rFonts w:ascii="Times New Roman;sans-serif" w:hAnsi="Times New Roman;sans-serif"/>
          <w:b w:val="false"/>
          <w:color w:val="000000"/>
          <w:sz w:val="20"/>
        </w:rPr>
        <w:t>as a potential adjunctive therapy for the treatment of type 1 diabetes;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willingness of the FDA to lift the clinical hold and to rely upon our completed and planned clinical and preclinical studies and other work, as the basis for review and approval of our drug candidates;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ability to maintain control over our costs in line with our budget for our lead product candidate, </w:t>
      </w:r>
      <w:r>
        <w:rPr>
          <w:rFonts w:ascii="Times New Roman;sans-serif" w:hAnsi="Times New Roman;sans-serif"/>
          <w:b w:val="false"/>
          <w:i/>
          <w:color w:val="000000"/>
          <w:sz w:val="20"/>
        </w:rPr>
        <w:t>cadisegliatin</w:t>
      </w:r>
      <w:r>
        <w:rPr>
          <w:rFonts w:ascii="Times New Roman;sans-serif" w:hAnsi="Times New Roman;sans-serif"/>
          <w:b w:val="false"/>
          <w:color w:val="000000"/>
          <w:sz w:val="20"/>
        </w:rPr>
        <w: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outcome, costs and timing of seeking and obtaining FDA and any other regulatory approvals;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number and characteristics of drug candidates that we pursue, including our drug candidates in preclinical development;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ability of our drug candidates to progress through clinical development successfully;</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need to expand our research and development activities;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costs associated with securing, establishing and maintaining commercialization capabilities;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costs of acquiring, licensing or investing in businesses, products, drug candidates and technologies;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need and ability to hire additional management, scientific, and medical personnel;</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need to implement additional internal systems and infrastructure, including financial and reporting systems;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economic and other terms, timing and success of our existing licensing arrangements and any collaboration, licensing or other arrangements into which we may enter in the future; 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amount of any payments we are required to make to M&amp;F TTP Holdings Two LLC in the future under the Tax Receivable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w:t>
      </w:r>
      <w:r>
        <w:rPr>
          <w:rFonts w:ascii="Times New Roman;sans-serif" w:hAnsi="Times New Roman;sans-serif"/>
          <w:b w:val="false"/>
          <w:color w:val="000000"/>
          <w:sz w:val="20"/>
          <w:shd w:fill="FFFFFF" w:val="clear"/>
        </w:rPr>
        <w:t xml:space="preserv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did not have outstanding any off-balance sheet arrangements as defined under SEC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Discussion of Critical Accounting Policies and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critical accounting policies and estimates, please refer to Part II, Item 7. “Management’s Discussion and Analysis of Financial Condition and Results of Operations” in our Annual Report on Form 10-K for the year ended December 31, 2023. There have been no material changes to our critical accounting policies and estimates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“anticipates,” “believes,” “could,” “seeks,” “estimates,” “expects,” “intends,” “may,” “plans,” “potential,” “predicts,” “projects,” “should,” “will,” “would” or similar expressions and the negatives of those terms.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Effect of 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discussion of recent accounting pronouncements in Note 2, “Summary of Significant Accounting Policies”, to the Condensed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any material interest rate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cash and cash equivalents with multiple financial institutions that management believes to be of high credit quality.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material foreign currency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Chief Executive Officer (our Principal Executive Officer) and Chief Financial Officer (our Principal Financial Officer), management has evaluated the effectiveness of the design and operation of our disclosure controls and procedures (as defined in Rules 13a-15(e) or 15d-15(e) of the Securities Exchange Act of 1934) as of June 30, 2024. Based upon that evaluation, our Chief Executive Officer and Chief Financial Officer concluded that, as of June 30, 2024,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to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Website Availability of Reports and other Corporate Governance Information</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risk factors are set forth under the heading “Risk Factors” under Item 1A of Part I in our Annual Report on Form 10-K for the year ended December 31, 2023. There have been no material changes to our risk factors from those previously disclosed in our Annual Report on Form 10-K for the year ended December 31, 2023.</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8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88" w:before="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fiscal quarter ended June 30, 2024, none of our directors or executive officers adopted or terminated any contract, instruction or written plan for the purchase or sale of our securities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653"/>
        <w:gridCol w:w="2653"/>
        <w:gridCol w:w="3791"/>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40630xexx311.htm">
              <w:r>
                <w:rPr>
                  <w:rStyle w:val="InternetLink"/>
                  <w:rFonts w:ascii="Times New Roman;sans-serif" w:hAnsi="Times New Roman;sans-serif"/>
                  <w:b w:val="false"/>
                  <w:color w:val="0000FF"/>
                  <w:sz w:val="20"/>
                  <w:u w:val="single"/>
                </w:rPr>
                <w:t>Certification of President and Chief Executive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40630xexx312.htm">
              <w:r>
                <w:rPr>
                  <w:rStyle w:val="InternetLink"/>
                  <w:rFonts w:ascii="Times New Roman;sans-serif" w:hAnsi="Times New Roman;sans-serif"/>
                  <w:b w:val="false"/>
                  <w:color w:val="0000FF"/>
                  <w:sz w:val="20"/>
                  <w:u w:val="single"/>
                </w:rPr>
                <w:t>Certification of Chief Financial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vt-20240630xexx321.htm">
              <w:r>
                <w:rPr>
                  <w:rStyle w:val="InternetLink"/>
                  <w:rFonts w:ascii="Times New Roman;sans-serif" w:hAnsi="Times New Roman;sans-serif"/>
                  <w:b w:val="false"/>
                  <w:color w:val="0000FF"/>
                  <w:sz w:val="20"/>
                  <w:u w:val="single"/>
                </w:rPr>
                <w:t>Certification of President and Chief Executive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40630xex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before="120" w:after="283"/>
        <w:ind w:left="0" w:right="0" w:hanging="540"/>
        <w:jc w:val="both"/>
        <w:rPr/>
      </w:pPr>
      <w:r>
        <w:rPr/>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both"/>
        <w:rPr/>
      </w:pPr>
      <w:hyperlink w:anchor="i6b0d3da5dc5647b9aa814a79c8d284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bl>
      <w:tblPr>
        <w:tblW w:w="590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0"/>
        <w:gridCol w:w="1510"/>
        <w:gridCol w:w="21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VTV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Executive Chairperson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Paul J. Sekhri, certify that: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bl>
      <w:tblPr>
        <w:tblW w:w="59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1"/>
        <w:gridCol w:w="1511"/>
        <w:gridCol w:w="2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Executive Chairperson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Steven Tuch, certify that: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bl>
      <w:tblPr>
        <w:tblW w:w="518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298"/>
        <w:gridCol w:w="1298"/>
        <w:gridCol w:w="1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vTv Therapeutics Inc. (the “Company”) on Form 10-Q for the period ended June 30, 2024,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bl>
      <w:tblPr>
        <w:tblW w:w="59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1"/>
        <w:gridCol w:w="1511"/>
        <w:gridCol w:w="2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Executive Chairperson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vTv Therapeutics Inc. (the “Company”) on Form 10-Q for the period ended June 30, 2024, as filed with the Securities and Exchange Commission on the date hereof (the “Report”), I, Steven Tuch,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bl>
      <w:tblPr>
        <w:tblW w:w="518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298"/>
        <w:gridCol w:w="1298"/>
        <w:gridCol w:w="1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19525</Words>
  <Characters>107033</Characters>
  <CharactersWithSpaces>125548</CharactersWithSpaces>
  <Paragraphs>1722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