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80645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80" w:right="1760" w:hanging="3972"/>
        <w:spacing w:after="0" w:line="345" w:lineRule="auto"/>
        <w:tabs>
          <w:tab w:leader="none" w:pos="52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25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1" w:lineRule="exact"/>
        <w:rPr>
          <w:sz w:val="24"/>
          <w:szCs w:val="24"/>
          <w:color w:val="auto"/>
        </w:rPr>
      </w:pPr>
    </w:p>
    <w:p>
      <w:pPr>
        <w:ind w:left="34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vTv Therapeutics Inc.</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9"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right"/>
              <w:ind w:right="40"/>
              <w:spacing w:after="0"/>
              <w:rPr>
                <w:sz w:val="20"/>
                <w:szCs w:val="20"/>
                <w:color w:val="auto"/>
              </w:rPr>
            </w:pPr>
            <w:r>
              <w:rPr>
                <w:rFonts w:ascii="Arial" w:cs="Arial" w:eastAsia="Arial" w:hAnsi="Arial"/>
                <w:sz w:val="18"/>
                <w:szCs w:val="18"/>
                <w:b w:val="1"/>
                <w:bCs w:val="1"/>
                <w:color w:val="auto"/>
              </w:rPr>
              <w:t>47-3916571</w:t>
            </w:r>
          </w:p>
        </w:tc>
      </w:tr>
      <w:tr>
        <w:trPr>
          <w:trHeight w:val="149"/>
        </w:trPr>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40" w:type="dxa"/>
            <w:vAlign w:val="bottom"/>
          </w:tcPr>
          <w:p>
            <w:pPr>
              <w:jc w:val="center"/>
              <w:ind w:left="3940"/>
              <w:spacing w:after="0"/>
              <w:rPr>
                <w:sz w:val="20"/>
                <w:szCs w:val="20"/>
                <w:color w:val="auto"/>
              </w:rPr>
            </w:pPr>
            <w:r>
              <w:rPr>
                <w:rFonts w:ascii="Arial" w:cs="Arial" w:eastAsia="Arial" w:hAnsi="Arial"/>
                <w:sz w:val="14"/>
                <w:szCs w:val="14"/>
                <w:b w:val="1"/>
                <w:bCs w:val="1"/>
                <w:color w:val="auto"/>
                <w:w w:val="94"/>
              </w:rPr>
              <w:t>Identification No.)</w:t>
            </w:r>
          </w:p>
        </w:tc>
      </w:tr>
      <w:tr>
        <w:trPr>
          <w:trHeight w:val="277"/>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2"/>
              </w:rPr>
              <w:t>4170 Mendenhall Oaks Pkwy</w:t>
            </w:r>
          </w:p>
        </w:tc>
        <w:tc>
          <w:tcPr>
            <w:tcW w:w="5140" w:type="dxa"/>
            <w:vAlign w:val="bottom"/>
          </w:tcPr>
          <w:p>
            <w:pPr>
              <w:spacing w:after="0"/>
              <w:rPr>
                <w:sz w:val="24"/>
                <w:szCs w:val="24"/>
                <w:color w:val="auto"/>
              </w:rPr>
            </w:pPr>
          </w:p>
        </w:tc>
      </w:tr>
      <w:tr>
        <w:trPr>
          <w:trHeight w:val="21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High Point, NC</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27265</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60"/>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2420" w:type="dxa"/>
            <w:vAlign w:val="bottom"/>
          </w:tcPr>
          <w:p>
            <w:pPr>
              <w:spacing w:after="0"/>
              <w:rPr>
                <w:sz w:val="22"/>
                <w:szCs w:val="22"/>
                <w:color w:val="auto"/>
              </w:rPr>
            </w:pPr>
          </w:p>
        </w:tc>
        <w:tc>
          <w:tcPr>
            <w:tcW w:w="5140" w:type="dxa"/>
            <w:vAlign w:val="bottom"/>
          </w:tcPr>
          <w:p>
            <w:pPr>
              <w:jc w:val="right"/>
              <w:ind w:right="2820"/>
              <w:spacing w:after="0"/>
              <w:rPr>
                <w:sz w:val="20"/>
                <w:szCs w:val="20"/>
                <w:color w:val="auto"/>
              </w:rPr>
            </w:pPr>
            <w:r>
              <w:rPr>
                <w:rFonts w:ascii="Arial" w:cs="Arial" w:eastAsia="Arial" w:hAnsi="Arial"/>
                <w:sz w:val="18"/>
                <w:szCs w:val="18"/>
                <w:b w:val="1"/>
                <w:bCs w:val="1"/>
                <w:color w:val="auto"/>
              </w:rPr>
              <w:t>(336) 841-0300</w:t>
            </w:r>
          </w:p>
        </w:tc>
      </w:tr>
      <w:tr>
        <w:trPr>
          <w:trHeight w:val="186"/>
        </w:trPr>
        <w:tc>
          <w:tcPr>
            <w:tcW w:w="2420" w:type="dxa"/>
            <w:vAlign w:val="bottom"/>
          </w:tcPr>
          <w:p>
            <w:pPr>
              <w:spacing w:after="0"/>
              <w:rPr>
                <w:sz w:val="16"/>
                <w:szCs w:val="16"/>
                <w:color w:val="auto"/>
              </w:rPr>
            </w:pPr>
          </w:p>
        </w:tc>
        <w:tc>
          <w:tcPr>
            <w:tcW w:w="5140" w:type="dxa"/>
            <w:vAlign w:val="bottom"/>
          </w:tcPr>
          <w:p>
            <w:pPr>
              <w:jc w:val="center"/>
              <w:ind w:right="1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410" w:type="dxa"/>
        <w:tblCellMar>
          <w:top w:w="0" w:type="dxa"/>
          <w:left w:w="0" w:type="dxa"/>
          <w:bottom w:w="0" w:type="dxa"/>
          <w:right w:w="0" w:type="dxa"/>
        </w:tblCellMar>
      </w:tblPr>
      <w:tr>
        <w:trPr>
          <w:trHeight w:val="210"/>
        </w:trPr>
        <w:tc>
          <w:tcPr>
            <w:tcW w:w="44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19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2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10"/>
        </w:trPr>
        <w:tc>
          <w:tcPr>
            <w:tcW w:w="4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Class A common stock, par value $0.01 per share</w:t>
            </w:r>
          </w:p>
        </w:tc>
        <w:tc>
          <w:tcPr>
            <w:tcW w:w="1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VTVT</w:t>
            </w: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NASDAQ Capital Market</w:t>
            </w:r>
          </w:p>
        </w:tc>
      </w:tr>
    </w:tbl>
    <w:p>
      <w:pPr>
        <w:spacing w:after="0" w:line="67" w:lineRule="exact"/>
        <w:rPr>
          <w:sz w:val="24"/>
          <w:szCs w:val="24"/>
          <w:color w:val="auto"/>
        </w:rPr>
      </w:pPr>
    </w:p>
    <w:p>
      <w:pPr>
        <w:ind w:right="2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67" w:lineRule="exact"/>
        <w:rPr>
          <w:sz w:val="24"/>
          <w:szCs w:val="24"/>
          <w:color w:val="auto"/>
        </w:rPr>
      </w:pPr>
    </w:p>
    <w:p>
      <w:pPr>
        <w:ind w:right="20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2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74" w:lineRule="exact"/>
        <w:rPr>
          <w:sz w:val="24"/>
          <w:szCs w:val="24"/>
          <w:color w:val="auto"/>
        </w:rPr>
      </w:pPr>
    </w:p>
    <w:p>
      <w:pPr>
        <w:jc w:val="both"/>
        <w:ind w:right="100" w:firstLine="60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20"/>
        <w:spacing w:after="0" w:line="207" w:lineRule="exact"/>
        <w:tabs>
          <w:tab w:leader="none" w:pos="8940" w:val="left"/>
          <w:tab w:leader="none" w:pos="96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320" w:type="dxa"/>
            <w:vAlign w:val="bottom"/>
            <w:gridSpan w:val="3"/>
          </w:tcPr>
          <w:p>
            <w:pPr>
              <w:ind w:left="1700"/>
              <w:spacing w:after="0"/>
              <w:rPr>
                <w:sz w:val="20"/>
                <w:szCs w:val="20"/>
                <w:color w:val="auto"/>
              </w:rPr>
            </w:pPr>
            <w:r>
              <w:rPr>
                <w:rFonts w:ascii="Arial" w:cs="Arial" w:eastAsia="Arial" w:hAnsi="Arial"/>
                <w:sz w:val="14"/>
                <w:szCs w:val="14"/>
                <w:b w:val="1"/>
                <w:bCs w:val="1"/>
                <w:color w:val="auto"/>
              </w:rPr>
              <w:t>Class of Stock</w:t>
            </w:r>
          </w:p>
        </w:tc>
        <w:tc>
          <w:tcPr>
            <w:tcW w:w="330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 Outstanding as of July 31, 2019</w:t>
            </w: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700" w:type="dxa"/>
            <w:vAlign w:val="bottom"/>
          </w:tcPr>
          <w:p>
            <w:pPr>
              <w:spacing w:after="0"/>
              <w:rPr>
                <w:sz w:val="18"/>
                <w:szCs w:val="18"/>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$0.01 per share</w:t>
            </w:r>
          </w:p>
        </w:tc>
        <w:tc>
          <w:tcPr>
            <w:tcW w:w="120" w:type="dxa"/>
            <w:vAlign w:val="bottom"/>
          </w:tcPr>
          <w:p>
            <w:pPr>
              <w:spacing w:after="0"/>
              <w:rPr>
                <w:sz w:val="18"/>
                <w:szCs w:val="18"/>
                <w:color w:val="auto"/>
              </w:rPr>
            </w:pPr>
          </w:p>
        </w:tc>
        <w:tc>
          <w:tcPr>
            <w:tcW w:w="3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31,038,903</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320" w:type="dxa"/>
            <w:vAlign w:val="bottom"/>
            <w:gridSpan w:val="3"/>
          </w:tcPr>
          <w:p>
            <w:pPr>
              <w:ind w:left="1700"/>
              <w:spacing w:after="0"/>
              <w:rPr>
                <w:sz w:val="20"/>
                <w:szCs w:val="20"/>
                <w:color w:val="auto"/>
              </w:rPr>
            </w:pPr>
            <w:r>
              <w:rPr>
                <w:rFonts w:ascii="Arial" w:cs="Arial" w:eastAsia="Arial" w:hAnsi="Arial"/>
                <w:sz w:val="18"/>
                <w:szCs w:val="18"/>
                <w:color w:val="auto"/>
              </w:rPr>
              <w:t>Class B common stock, par value $0.01 per share</w:t>
            </w:r>
          </w:p>
        </w:tc>
        <w:tc>
          <w:tcPr>
            <w:tcW w:w="3300" w:type="dxa"/>
            <w:vAlign w:val="bottom"/>
          </w:tcPr>
          <w:p>
            <w:pPr>
              <w:jc w:val="right"/>
              <w:spacing w:after="0"/>
              <w:rPr>
                <w:sz w:val="20"/>
                <w:szCs w:val="20"/>
                <w:color w:val="auto"/>
              </w:rPr>
            </w:pPr>
            <w:r>
              <w:rPr>
                <w:rFonts w:ascii="Arial" w:cs="Arial" w:eastAsia="Arial" w:hAnsi="Arial"/>
                <w:sz w:val="18"/>
                <w:szCs w:val="18"/>
                <w:color w:val="auto"/>
              </w:rPr>
              <w:t>23,094,221</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22"/>
        </w:trPr>
        <w:tc>
          <w:tcPr>
            <w:tcW w:w="170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7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9"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vTv THERAPEUTICS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JUNE 30,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PAGE</w:t>
            </w:r>
          </w:p>
        </w:tc>
      </w:tr>
      <w:tr>
        <w:trPr>
          <w:trHeight w:val="167"/>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NUMBER</w:t>
            </w:r>
          </w:p>
        </w:tc>
      </w:tr>
      <w:tr>
        <w:trPr>
          <w:trHeight w:val="291"/>
        </w:trPr>
        <w:tc>
          <w:tcPr>
            <w:tcW w:w="298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7580" w:type="dxa"/>
            <w:vAlign w:val="bottom"/>
            <w:gridSpan w:val="11"/>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2019 (Unaudited) and December 31, 2018</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Unaudited Condensed Consolidated Statements of Operations for the three and six months ended June 30, 2019 and 2018</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 of Changes in Redeemable Noncontrolling Interest and Stockholders’ Deficit for the</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7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three and six months ended June 30, 2019 and 2018</w:t>
              </w:r>
            </w:hyperlink>
          </w:p>
        </w:tc>
        <w:tc>
          <w:tcPr>
            <w:tcW w:w="5500" w:type="dxa"/>
            <w:vAlign w:val="bottom"/>
            <w:tcBorders>
              <w:top w:val="single" w:sz="8" w:color="0000EE"/>
            </w:tcBorders>
            <w:gridSpan w:val="7"/>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r>
      <w:tr>
        <w:trPr>
          <w:trHeight w:val="318"/>
        </w:trPr>
        <w:tc>
          <w:tcPr>
            <w:tcW w:w="88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Unaudited Condensed Consolidated Statements of Cash Flows for the six months ended June 30, 2019 and 2018</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318"/>
        </w:trPr>
        <w:tc>
          <w:tcPr>
            <w:tcW w:w="880" w:type="dxa"/>
            <w:vAlign w:val="bottom"/>
          </w:tcPr>
          <w:p>
            <w:pPr>
              <w:spacing w:after="0"/>
              <w:rPr>
                <w:sz w:val="24"/>
                <w:szCs w:val="24"/>
                <w:color w:val="auto"/>
              </w:rPr>
            </w:pPr>
          </w:p>
        </w:tc>
        <w:tc>
          <w:tcPr>
            <w:tcW w:w="39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Consolidated Financial Statements</w:t>
              </w:r>
            </w:hyperlink>
          </w:p>
        </w:tc>
        <w:tc>
          <w:tcPr>
            <w:tcW w:w="4140" w:type="dxa"/>
            <w:vAlign w:val="bottom"/>
            <w:tcBorders>
              <w:top w:val="single" w:sz="8" w:color="0000EE"/>
            </w:tcBorders>
            <w:gridSpan w:val="6"/>
          </w:tcPr>
          <w:p>
            <w:pPr>
              <w:spacing w:after="0"/>
              <w:rPr>
                <w:sz w:val="24"/>
                <w:szCs w:val="24"/>
                <w:color w:val="auto"/>
              </w:rPr>
            </w:pPr>
          </w:p>
        </w:tc>
        <w:tc>
          <w:tcPr>
            <w:tcW w:w="1600" w:type="dxa"/>
            <w:vAlign w:val="bottom"/>
            <w:gridSpan w:val="3"/>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220" w:type="dxa"/>
            <w:vAlign w:val="bottom"/>
            <w:gridSpan w:val="5"/>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5320" w:type="dxa"/>
            <w:vAlign w:val="bottom"/>
            <w:gridSpan w:val="6"/>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Controls and Procedures</w:t>
              </w:r>
            </w:hyperlink>
          </w:p>
        </w:tc>
        <w:tc>
          <w:tcPr>
            <w:tcW w:w="7900" w:type="dxa"/>
            <w:vAlign w:val="bottom"/>
            <w:gridSpan w:val="13"/>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318"/>
        </w:trPr>
        <w:tc>
          <w:tcPr>
            <w:tcW w:w="268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PART II – OTHER INFORMATION</w:t>
              </w:r>
            </w:hyperlink>
          </w:p>
        </w:tc>
        <w:tc>
          <w:tcPr>
            <w:tcW w:w="7880" w:type="dxa"/>
            <w:vAlign w:val="bottom"/>
            <w:gridSpan w:val="12"/>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360" w:type="dxa"/>
            <w:vAlign w:val="bottom"/>
            <w:gridSpan w:val="15"/>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5340" w:type="dxa"/>
            <w:vAlign w:val="bottom"/>
            <w:gridSpan w:val="7"/>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7920" w:type="dxa"/>
            <w:vAlign w:val="bottom"/>
            <w:gridSpan w:val="14"/>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4"/>
                <w:szCs w:val="24"/>
                <w:color w:val="auto"/>
              </w:rPr>
            </w:pPr>
          </w:p>
        </w:tc>
        <w:tc>
          <w:tcPr>
            <w:tcW w:w="8380" w:type="dxa"/>
            <w:vAlign w:val="bottom"/>
            <w:gridSpan w:val="16"/>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Signatures</w:t>
              </w:r>
            </w:hyperlink>
          </w:p>
        </w:tc>
        <w:tc>
          <w:tcPr>
            <w:tcW w:w="8920" w:type="dxa"/>
            <w:vAlign w:val="bottom"/>
            <w:gridSpan w:val="18"/>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858"/>
        </w:trPr>
        <w:tc>
          <w:tcPr>
            <w:tcW w:w="880" w:type="dxa"/>
            <w:vAlign w:val="bottom"/>
          </w:tcPr>
          <w:p>
            <w:pPr>
              <w:spacing w:after="0"/>
              <w:rPr>
                <w:sz w:val="24"/>
                <w:szCs w:val="24"/>
                <w:color w:val="auto"/>
              </w:rPr>
            </w:pPr>
          </w:p>
        </w:tc>
        <w:tc>
          <w:tcPr>
            <w:tcW w:w="6460" w:type="dxa"/>
            <w:vAlign w:val="bottom"/>
            <w:gridSpan w:val="16"/>
          </w:tcPr>
          <w:p>
            <w:pPr>
              <w:ind w:left="478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Current assets: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deposits</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Restricted cash and cash equivalents, long-term</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deposits</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9,072</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Deficit</w:t>
            </w: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8,326</w:t>
            </w:r>
          </w:p>
        </w:tc>
        <w:tc>
          <w:tcPr>
            <w:tcW w:w="280" w:type="dxa"/>
            <w:vAlign w:val="bottom"/>
          </w:tcPr>
          <w:p>
            <w:pPr>
              <w:spacing w:after="0"/>
              <w:rPr>
                <w:sz w:val="19"/>
                <w:szCs w:val="19"/>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Current portion of deferred revenue</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payable</w:t>
            </w:r>
          </w:p>
        </w:tc>
        <w:tc>
          <w:tcPr>
            <w:tcW w:w="6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Notes payable, net of current portion</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 related party</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Redeemable noncontrolling interest</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Stockholders’ deficit:</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$0.01 par value; 100,000,000 shares authorized, 29,826,782</w:t>
            </w: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20,347,065 shares outstanding as of June 30, 2019 and December 31, 2018,</w:t>
            </w: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260"/>
              <w:spacing w:after="0"/>
              <w:rPr>
                <w:sz w:val="20"/>
                <w:szCs w:val="20"/>
                <w:color w:val="auto"/>
              </w:rPr>
            </w:pPr>
            <w:r>
              <w:rPr>
                <w:rFonts w:ascii="Arial" w:cs="Arial" w:eastAsia="Arial" w:hAnsi="Arial"/>
                <w:sz w:val="18"/>
                <w:szCs w:val="18"/>
                <w:color w:val="auto"/>
                <w:w w:val="98"/>
              </w:rPr>
              <w:t>Class B Common Stock, $0.01 par value; 100,000,000 shares authorized, and 23,094,221</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340"/>
              <w:spacing w:after="0"/>
              <w:rPr>
                <w:sz w:val="20"/>
                <w:szCs w:val="20"/>
                <w:color w:val="auto"/>
              </w:rPr>
            </w:pPr>
            <w:r>
              <w:rPr>
                <w:rFonts w:ascii="Arial" w:cs="Arial" w:eastAsia="Arial" w:hAnsi="Arial"/>
                <w:sz w:val="18"/>
                <w:szCs w:val="18"/>
                <w:color w:val="auto"/>
              </w:rPr>
              <w:t>outstanding as of June 30, 2019 and December 31, 2018</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(217,557)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(233,883)</w:t>
            </w:r>
          </w:p>
        </w:tc>
        <w:tc>
          <w:tcPr>
            <w:tcW w:w="0" w:type="dxa"/>
            <w:vAlign w:val="bottom"/>
          </w:tcPr>
          <w:p>
            <w:pPr>
              <w:spacing w:after="0"/>
              <w:rPr>
                <w:sz w:val="1"/>
                <w:szCs w:val="1"/>
                <w:color w:val="auto"/>
              </w:rPr>
            </w:pPr>
          </w:p>
        </w:tc>
      </w:tr>
      <w:tr>
        <w:trPr>
          <w:trHeight w:val="223"/>
        </w:trPr>
        <w:tc>
          <w:tcPr>
            <w:tcW w:w="7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deficit attributable to vTv Therapeutics Inc.</w:t>
            </w:r>
          </w:p>
        </w:tc>
        <w:tc>
          <w:tcPr>
            <w:tcW w:w="6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(49,902)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(82,853)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Total liabilities, redeemable noncontrolling interest and stockholders’ deficit</w:t>
            </w:r>
          </w:p>
        </w:tc>
        <w:tc>
          <w:tcPr>
            <w:tcW w:w="6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5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40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Operating loss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(9,079)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Other income – related party</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(514)</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 and noncontrolling interest</w:t>
            </w:r>
          </w:p>
        </w:tc>
        <w:tc>
          <w:tcPr>
            <w:tcW w:w="4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(5,014)</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provision</w:t>
            </w:r>
          </w:p>
        </w:tc>
        <w:tc>
          <w:tcPr>
            <w:tcW w:w="4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noncontrolling interest</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(2,232)</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(4,059)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(13,532)</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w w:val="99"/>
              </w:rPr>
              <w:t>Net loss attributable to vTv Therapeutics Inc. common shareholders</w:t>
            </w:r>
          </w:p>
        </w:tc>
        <w:tc>
          <w:tcPr>
            <w:tcW w:w="7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FF0FC"/>
            </w:tcBorders>
            <w:vMerge w:val="continue"/>
          </w:tcPr>
          <w:p>
            <w:pPr>
              <w:spacing w:after="0"/>
              <w:rPr>
                <w:sz w:val="21"/>
                <w:szCs w:val="21"/>
                <w:color w:val="auto"/>
              </w:rPr>
            </w:pPr>
          </w:p>
        </w:tc>
        <w:tc>
          <w:tcPr>
            <w:tcW w:w="4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2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(8,765)</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Net loss per share of vTv Therapeutics Inc. Class A Common</w:t>
            </w: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basic and diluted</w:t>
            </w:r>
          </w:p>
        </w:tc>
        <w:tc>
          <w:tcPr>
            <w:tcW w:w="7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(0.10)</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(0.31)</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(0.34)</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Weighted-average number of vTv Therapeutics Inc. Class A</w:t>
            </w:r>
          </w:p>
        </w:tc>
        <w:tc>
          <w:tcPr>
            <w:tcW w:w="4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Common Stock, basic and diluted</w:t>
            </w: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28,037,628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10,049,831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25,464,562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9,875,743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For the three months ended June 30, 2019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right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ind w:left="260"/>
              <w:spacing w:after="0" w:line="143"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tcBorders>
              <w:top w:val="single" w:sz="8" w:color="auto"/>
            </w:tcBorders>
            <w:gridSpan w:val="4"/>
          </w:tcPr>
          <w:p>
            <w:pPr>
              <w:jc w:val="right"/>
              <w:ind w:right="217"/>
              <w:spacing w:after="0" w:line="143"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top w:val="single" w:sz="8" w:color="auto"/>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top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top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Paid-in</w:t>
            </w:r>
          </w:p>
        </w:tc>
        <w:tc>
          <w:tcPr>
            <w:tcW w:w="8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at March 31, 2019</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45,106</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27,255,963</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273</w:t>
            </w: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162,249</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(220,489)</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(57,735)</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(2,232)</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(2,882)</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(2,882)</w:t>
            </w: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340"/>
              <w:spacing w:after="0" w:line="135" w:lineRule="exact"/>
              <w:rPr>
                <w:sz w:val="20"/>
                <w:szCs w:val="20"/>
                <w:color w:val="auto"/>
              </w:rPr>
            </w:pPr>
            <w:r>
              <w:rPr>
                <w:rFonts w:ascii="Arial" w:cs="Arial" w:eastAsia="Arial" w:hAnsi="Arial"/>
                <w:sz w:val="13"/>
                <w:szCs w:val="13"/>
                <w:color w:val="auto"/>
              </w:rPr>
              <w:t>to a related party under the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340"/>
              <w:spacing w:after="0"/>
              <w:rPr>
                <w:sz w:val="20"/>
                <w:szCs w:val="20"/>
                <w:color w:val="auto"/>
              </w:rPr>
            </w:pPr>
            <w:r>
              <w:rPr>
                <w:rFonts w:ascii="Arial" w:cs="Arial" w:eastAsia="Arial" w:hAnsi="Arial"/>
                <w:sz w:val="13"/>
                <w:szCs w:val="13"/>
                <w:color w:val="auto"/>
              </w:rPr>
              <w:t>Letter Agreements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2,570,819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(5,814)</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5,814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line="143" w:lineRule="exact"/>
              <w:rPr>
                <w:sz w:val="20"/>
                <w:szCs w:val="20"/>
                <w:color w:val="auto"/>
              </w:rPr>
            </w:pPr>
            <w:r>
              <w:rPr>
                <w:rFonts w:ascii="Arial" w:cs="Arial" w:eastAsia="Arial" w:hAnsi="Arial"/>
                <w:sz w:val="13"/>
                <w:szCs w:val="13"/>
                <w:b w:val="1"/>
                <w:bCs w:val="1"/>
                <w:color w:val="auto"/>
              </w:rPr>
              <w:t>Balances at June 30, 2019</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37,060</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29,826,782</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298</w:t>
            </w:r>
          </w:p>
        </w:tc>
        <w:tc>
          <w:tcPr>
            <w:tcW w:w="2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167,125</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(217,557)</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(49,902)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For the three months ended June 30, 2018</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Pr>
          <w:p>
            <w:pPr>
              <w:spacing w:after="0"/>
              <w:rPr>
                <w:sz w:val="12"/>
                <w:szCs w:val="12"/>
                <w:color w:val="auto"/>
              </w:rPr>
            </w:pPr>
          </w:p>
        </w:tc>
        <w:tc>
          <w:tcPr>
            <w:tcW w:w="2080" w:type="dxa"/>
            <w:vAlign w:val="bottom"/>
            <w:gridSpan w:val="5"/>
          </w:tcPr>
          <w:p>
            <w:pPr>
              <w:ind w:left="260"/>
              <w:spacing w:after="0" w:line="143"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gridSpan w:val="4"/>
          </w:tcPr>
          <w:p>
            <w:pPr>
              <w:jc w:val="right"/>
              <w:ind w:right="217"/>
              <w:spacing w:after="0" w:line="143"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Paid-in</w:t>
            </w:r>
          </w:p>
        </w:tc>
        <w:tc>
          <w:tcPr>
            <w:tcW w:w="8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March 31, 2018</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120,397</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9,729,946</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97</w:t>
            </w: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128,796</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(277,913)</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(148,788)</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(6,524)</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(3,072)</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(3,072)</w:t>
            </w: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340"/>
              <w:spacing w:after="0" w:line="135" w:lineRule="exact"/>
              <w:rPr>
                <w:sz w:val="20"/>
                <w:szCs w:val="20"/>
                <w:color w:val="auto"/>
              </w:rPr>
            </w:pPr>
            <w:r>
              <w:rPr>
                <w:rFonts w:ascii="Arial" w:cs="Arial" w:eastAsia="Arial" w:hAnsi="Arial"/>
                <w:sz w:val="13"/>
                <w:szCs w:val="13"/>
                <w:color w:val="auto"/>
              </w:rPr>
              <w:t>to a related party under the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340"/>
              <w:spacing w:after="0"/>
              <w:rPr>
                <w:sz w:val="20"/>
                <w:szCs w:val="20"/>
                <w:color w:val="auto"/>
              </w:rPr>
            </w:pPr>
            <w:r>
              <w:rPr>
                <w:rFonts w:ascii="Arial" w:cs="Arial" w:eastAsia="Arial" w:hAnsi="Arial"/>
                <w:sz w:val="13"/>
                <w:szCs w:val="13"/>
                <w:color w:val="auto"/>
              </w:rPr>
              <w:t>Letter Agreements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1,141,552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(74,460)</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74,460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74,460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line="143" w:lineRule="exact"/>
              <w:rPr>
                <w:sz w:val="20"/>
                <w:szCs w:val="20"/>
                <w:color w:val="auto"/>
              </w:rPr>
            </w:pPr>
            <w:r>
              <w:rPr>
                <w:rFonts w:ascii="Arial" w:cs="Arial" w:eastAsia="Arial" w:hAnsi="Arial"/>
                <w:sz w:val="13"/>
                <w:szCs w:val="13"/>
                <w:b w:val="1"/>
                <w:bCs w:val="1"/>
                <w:color w:val="auto"/>
              </w:rPr>
              <w:t>Balances at June 30, 2018</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39,413</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10,871,498</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109</w:t>
            </w:r>
          </w:p>
        </w:tc>
        <w:tc>
          <w:tcPr>
            <w:tcW w:w="2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134,587</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(206,525)</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(71,597)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For the six months ended June 30, 2019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right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ind w:left="260"/>
              <w:spacing w:after="0" w:line="143"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tcBorders>
              <w:top w:val="single" w:sz="8" w:color="auto"/>
            </w:tcBorders>
            <w:gridSpan w:val="5"/>
          </w:tcPr>
          <w:p>
            <w:pPr>
              <w:jc w:val="right"/>
              <w:ind w:right="217"/>
              <w:spacing w:after="0" w:line="143"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top w:val="single" w:sz="8" w:color="auto"/>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top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top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Paid-in</w:t>
            </w:r>
          </w:p>
        </w:tc>
        <w:tc>
          <w:tcPr>
            <w:tcW w:w="8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December 31, 2018</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62,482</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20,347,065</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203</w:t>
            </w: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150,595</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(233,883)</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(82,853)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(4,059)</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(5,037)</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(5,037)</w:t>
            </w: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340"/>
              <w:spacing w:after="0"/>
              <w:rPr>
                <w:sz w:val="20"/>
                <w:szCs w:val="20"/>
                <w:color w:val="auto"/>
              </w:rPr>
            </w:pPr>
            <w:r>
              <w:rPr>
                <w:rFonts w:ascii="Arial" w:cs="Arial" w:eastAsia="Arial" w:hAnsi="Arial"/>
                <w:sz w:val="13"/>
                <w:szCs w:val="13"/>
                <w:color w:val="auto"/>
              </w:rPr>
              <w:t>under registered direct offering</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3,636,364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w:t>
            </w:r>
          </w:p>
        </w:tc>
        <w:tc>
          <w:tcPr>
            <w:tcW w:w="2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5,406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to a related party under the Letter</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Agreements</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5,831,687</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w:t>
            </w:r>
          </w:p>
        </w:tc>
        <w:tc>
          <w:tcPr>
            <w:tcW w:w="2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Vesting of restricted stock units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11,666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(21,363)</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21,363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21,363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line="143" w:lineRule="exact"/>
              <w:rPr>
                <w:sz w:val="20"/>
                <w:szCs w:val="20"/>
                <w:color w:val="auto"/>
              </w:rPr>
            </w:pPr>
            <w:r>
              <w:rPr>
                <w:rFonts w:ascii="Arial" w:cs="Arial" w:eastAsia="Arial" w:hAnsi="Arial"/>
                <w:sz w:val="13"/>
                <w:szCs w:val="13"/>
                <w:b w:val="1"/>
                <w:bCs w:val="1"/>
                <w:color w:val="auto"/>
              </w:rPr>
              <w:t>Balances at June 30, 2019</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37,060</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29,826,782</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298</w:t>
            </w:r>
          </w:p>
        </w:tc>
        <w:tc>
          <w:tcPr>
            <w:tcW w:w="2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167,125</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(217,557)</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(49,902)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ind w:left="660"/>
              <w:spacing w:after="0"/>
              <w:rPr>
                <w:sz w:val="20"/>
                <w:szCs w:val="20"/>
                <w:color w:val="auto"/>
              </w:rPr>
            </w:pPr>
            <w:r>
              <w:rPr>
                <w:rFonts w:ascii="Arial" w:cs="Arial" w:eastAsia="Arial" w:hAnsi="Arial"/>
                <w:sz w:val="13"/>
                <w:szCs w:val="13"/>
                <w:b w:val="1"/>
                <w:bCs w:val="1"/>
                <w:color w:val="auto"/>
                <w:w w:val="96"/>
              </w:rPr>
              <w:t>For the six months ended June 30, 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Pr>
          <w:p>
            <w:pPr>
              <w:spacing w:after="0"/>
              <w:rPr>
                <w:sz w:val="12"/>
                <w:szCs w:val="12"/>
                <w:color w:val="auto"/>
              </w:rPr>
            </w:pPr>
          </w:p>
        </w:tc>
        <w:tc>
          <w:tcPr>
            <w:tcW w:w="2080" w:type="dxa"/>
            <w:vAlign w:val="bottom"/>
            <w:gridSpan w:val="5"/>
          </w:tcPr>
          <w:p>
            <w:pPr>
              <w:ind w:left="260"/>
              <w:spacing w:after="0" w:line="143"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gridSpan w:val="5"/>
          </w:tcPr>
          <w:p>
            <w:pPr>
              <w:jc w:val="right"/>
              <w:ind w:right="217"/>
              <w:spacing w:after="0" w:line="143"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Paid-in</w:t>
            </w:r>
          </w:p>
        </w:tc>
        <w:tc>
          <w:tcPr>
            <w:tcW w:w="8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December 31, 2017</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131,440</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9,693,254</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97</w:t>
            </w: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23,119,246</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127,682</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(279,058)</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(151,047)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(13,532)</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(6,024)</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(6,024)</w:t>
            </w: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Cumulative effect of accounting</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change</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1,766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Exchange of Class B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for Class A Common Stock</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25,025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(25,025)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340"/>
              <w:spacing w:after="0" w:line="135" w:lineRule="exact"/>
              <w:rPr>
                <w:sz w:val="20"/>
                <w:szCs w:val="20"/>
                <w:color w:val="auto"/>
              </w:rPr>
            </w:pPr>
            <w:r>
              <w:rPr>
                <w:rFonts w:ascii="Arial" w:cs="Arial" w:eastAsia="Arial" w:hAnsi="Arial"/>
                <w:sz w:val="13"/>
                <w:szCs w:val="13"/>
                <w:color w:val="auto"/>
              </w:rPr>
              <w:t>to a related party under the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340"/>
              <w:spacing w:after="0"/>
              <w:rPr>
                <w:sz w:val="20"/>
                <w:szCs w:val="20"/>
                <w:color w:val="auto"/>
              </w:rPr>
            </w:pPr>
            <w:r>
              <w:rPr>
                <w:rFonts w:ascii="Arial" w:cs="Arial" w:eastAsia="Arial" w:hAnsi="Arial"/>
                <w:sz w:val="13"/>
                <w:szCs w:val="13"/>
                <w:color w:val="auto"/>
              </w:rPr>
              <w:t>Letter Agreements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1,141,552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w:t>
            </w:r>
          </w:p>
        </w:tc>
        <w:tc>
          <w:tcPr>
            <w:tcW w:w="2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Vesting of restricted stock units</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11,667</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66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(78,344)</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78,344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78,344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bottom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June 30, 2018</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39,413</w:t>
            </w:r>
          </w:p>
        </w:tc>
        <w:tc>
          <w:tcPr>
            <w:tcW w:w="14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10,871,498</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109</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134,587</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(206,525)</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(71,597)</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80" w:type="dxa"/>
            <w:vAlign w:val="bottom"/>
            <w:gridSpan w:val="5"/>
          </w:tcPr>
          <w:p>
            <w:pPr>
              <w:jc w:val="right"/>
              <w:ind w:right="248"/>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0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8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spacing w:after="0"/>
              <w:rPr>
                <w:sz w:val="20"/>
                <w:szCs w:val="20"/>
                <w:color w:val="auto"/>
              </w:rPr>
            </w:pPr>
            <w:r>
              <w:rPr>
                <w:rFonts w:ascii="Arial" w:cs="Arial" w:eastAsia="Arial" w:hAnsi="Arial"/>
                <w:sz w:val="14"/>
                <w:szCs w:val="14"/>
                <w:color w:val="auto"/>
              </w:rPr>
              <w:t>Net loss before noncontrolling interest</w:t>
            </w:r>
          </w:p>
        </w:tc>
        <w:tc>
          <w:tcPr>
            <w:tcW w:w="200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(9,096)</w:t>
            </w:r>
          </w:p>
        </w:tc>
        <w:tc>
          <w:tcPr>
            <w:tcW w:w="114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(19,556)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60" w:type="dxa"/>
            <w:vAlign w:val="bottom"/>
          </w:tcPr>
          <w:p>
            <w:pPr>
              <w:spacing w:after="0" w:line="143" w:lineRule="exact"/>
              <w:rPr>
                <w:sz w:val="20"/>
                <w:szCs w:val="20"/>
                <w:color w:val="auto"/>
              </w:rPr>
            </w:pPr>
            <w:r>
              <w:rPr>
                <w:rFonts w:ascii="Arial" w:cs="Arial" w:eastAsia="Arial" w:hAnsi="Arial"/>
                <w:sz w:val="14"/>
                <w:szCs w:val="14"/>
                <w:color w:val="auto"/>
              </w:rPr>
              <w:t>Adjustments to reconcile net loss before noncontrolling interest to net cash used in operating</w:t>
            </w: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60" w:type="dxa"/>
            <w:vAlign w:val="bottom"/>
          </w:tcPr>
          <w:p>
            <w:pPr>
              <w:ind w:left="100"/>
              <w:spacing w:after="0"/>
              <w:rPr>
                <w:sz w:val="20"/>
                <w:szCs w:val="20"/>
                <w:color w:val="auto"/>
              </w:rPr>
            </w:pPr>
            <w:r>
              <w:rPr>
                <w:rFonts w:ascii="Arial" w:cs="Arial" w:eastAsia="Arial" w:hAnsi="Arial"/>
                <w:sz w:val="14"/>
                <w:szCs w:val="14"/>
                <w:color w:val="auto"/>
              </w:rPr>
              <w:t>activities: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Loss (gain) on disposal of property and equipment, net</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auto"/>
              </w:rPr>
              <w:t>Depreciation expense</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Share-based compensation expense</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auto"/>
              </w:rPr>
              <w:t>Change in fair value of warrants, related party</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(1,196)</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Amortization of debt discount</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spacing w:after="0"/>
              <w:rPr>
                <w:sz w:val="20"/>
                <w:szCs w:val="20"/>
                <w:color w:val="auto"/>
              </w:rPr>
            </w:pPr>
            <w:r>
              <w:rPr>
                <w:rFonts w:ascii="Arial" w:cs="Arial" w:eastAsia="Arial" w:hAnsi="Arial"/>
                <w:sz w:val="14"/>
                <w:szCs w:val="14"/>
                <w:color w:val="auto"/>
              </w:rPr>
              <w:t>Changes in assets and liabilities: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Accounts receivable</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(1,822)</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auto"/>
              </w:rPr>
              <w:t>Prepaid expenses and other assets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1,278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(1,920)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Long-term deposits</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auto"/>
              </w:rPr>
              <w:t>Accounts payable and accrued expenses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Deferred revenue</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(1,740)</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(2,537)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auto"/>
              </w:rPr>
              <w:t>Other liabilities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98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(10,947)</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(14,727)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Proceeds from sale of assets</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8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investing activities</w:t>
            </w:r>
          </w:p>
        </w:tc>
        <w:tc>
          <w:tcPr>
            <w:tcW w:w="9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auto"/>
              </w:rPr>
              <w:t>Proceeds from issuance of Class A Common Stock to a related party under the Letter Agreements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10,500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Proceeds from issuance of Class A Common Stock, net of offering costs</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5,443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auto"/>
              </w:rPr>
              <w:t>Repayment of notes payable</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(5,217)</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98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10,726</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3,958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spacing w:after="0"/>
              <w:rPr>
                <w:sz w:val="20"/>
                <w:szCs w:val="20"/>
                <w:color w:val="auto"/>
              </w:rPr>
            </w:pPr>
            <w:r>
              <w:rPr>
                <w:rFonts w:ascii="Arial" w:cs="Arial" w:eastAsia="Arial" w:hAnsi="Arial"/>
                <w:sz w:val="14"/>
                <w:szCs w:val="14"/>
                <w:color w:val="auto"/>
              </w:rPr>
              <w:t>Net decrease in cash, cash equivalents and restricted cash and cash equivalents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(10,757)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spacing w:after="0"/>
              <w:rPr>
                <w:sz w:val="20"/>
                <w:szCs w:val="20"/>
                <w:color w:val="auto"/>
              </w:rPr>
            </w:pPr>
            <w:r>
              <w:rPr>
                <w:rFonts w:ascii="Arial" w:cs="Arial" w:eastAsia="Arial" w:hAnsi="Arial"/>
                <w:sz w:val="14"/>
                <w:szCs w:val="14"/>
                <w:color w:val="auto"/>
              </w:rPr>
              <w:t>Total cash, cash equivalents and restricted cash and cash equivalents, beginning of period</w:t>
            </w:r>
          </w:p>
        </w:tc>
        <w:tc>
          <w:tcPr>
            <w:tcW w:w="98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4,183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14,420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80" w:type="dxa"/>
            <w:vAlign w:val="bottom"/>
            <w:gridSpan w:val="2"/>
          </w:tcPr>
          <w:p>
            <w:pPr>
              <w:spacing w:after="0" w:line="155" w:lineRule="exact"/>
              <w:rPr>
                <w:sz w:val="20"/>
                <w:szCs w:val="20"/>
                <w:color w:val="auto"/>
              </w:rPr>
            </w:pPr>
            <w:r>
              <w:rPr>
                <w:rFonts w:ascii="Arial" w:cs="Arial" w:eastAsia="Arial" w:hAnsi="Arial"/>
                <w:sz w:val="14"/>
                <w:szCs w:val="14"/>
                <w:color w:val="auto"/>
              </w:rPr>
              <w:t>Total cash, cash equivalents and restricted cash and cash equivalents, end of period</w:t>
            </w:r>
          </w:p>
        </w:tc>
        <w:tc>
          <w:tcPr>
            <w:tcW w:w="980" w:type="dxa"/>
            <w:vAlign w:val="bottom"/>
          </w:tcPr>
          <w:p>
            <w:pPr>
              <w:spacing w:after="0"/>
              <w:rPr>
                <w:sz w:val="17"/>
                <w:szCs w:val="17"/>
                <w:color w:val="auto"/>
              </w:rPr>
            </w:pPr>
          </w:p>
        </w:tc>
        <w:tc>
          <w:tcPr>
            <w:tcW w:w="1020" w:type="dxa"/>
            <w:vAlign w:val="bottom"/>
            <w:tcBorders>
              <w:bottom w:val="single" w:sz="8" w:color="auto"/>
            </w:tcBorders>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86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860" w:type="dxa"/>
            <w:vAlign w:val="bottom"/>
          </w:tcPr>
          <w:p>
            <w:pPr>
              <w:spacing w:after="0"/>
              <w:rPr>
                <w:sz w:val="20"/>
                <w:szCs w:val="20"/>
                <w:color w:val="auto"/>
              </w:rPr>
            </w:pPr>
            <w:r>
              <w:rPr>
                <w:rFonts w:ascii="Arial" w:cs="Arial" w:eastAsia="Arial" w:hAnsi="Arial"/>
                <w:sz w:val="14"/>
                <w:szCs w:val="14"/>
                <w:color w:val="auto"/>
              </w:rPr>
              <w:t>Non-cash activities: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Change in redemption value of noncontrolling interest</w:t>
            </w:r>
          </w:p>
        </w:tc>
        <w:tc>
          <w:tcPr>
            <w:tcW w:w="200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(21,363)</w:t>
            </w:r>
          </w:p>
        </w:tc>
        <w:tc>
          <w:tcPr>
            <w:tcW w:w="114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(78,344)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60" w:type="dxa"/>
            <w:vAlign w:val="bottom"/>
          </w:tcPr>
          <w:p>
            <w:pPr>
              <w:ind w:left="240"/>
              <w:spacing w:after="0" w:line="143" w:lineRule="exact"/>
              <w:rPr>
                <w:sz w:val="20"/>
                <w:szCs w:val="20"/>
                <w:color w:val="auto"/>
              </w:rPr>
            </w:pPr>
            <w:r>
              <w:rPr>
                <w:rFonts w:ascii="Arial" w:cs="Arial" w:eastAsia="Arial" w:hAnsi="Arial"/>
                <w:sz w:val="14"/>
                <w:szCs w:val="14"/>
                <w:color w:val="auto"/>
              </w:rPr>
              <w:t>Exchange of vTv Therapeutics Inc. Class B Common Stock and vTv Therapeutics, LLC</w:t>
            </w: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60" w:type="dxa"/>
            <w:vAlign w:val="bottom"/>
          </w:tcPr>
          <w:p>
            <w:pPr>
              <w:ind w:left="340"/>
              <w:spacing w:after="0"/>
              <w:rPr>
                <w:sz w:val="20"/>
                <w:szCs w:val="20"/>
                <w:color w:val="auto"/>
              </w:rPr>
            </w:pPr>
            <w:r>
              <w:rPr>
                <w:rFonts w:ascii="Arial" w:cs="Arial" w:eastAsia="Arial" w:hAnsi="Arial"/>
                <w:sz w:val="14"/>
                <w:szCs w:val="14"/>
                <w:color w:val="auto"/>
              </w:rPr>
              <w:t>member units for vTv Therapeutics Inc. Class A Common Stock</w:t>
            </w:r>
          </w:p>
        </w:tc>
        <w:tc>
          <w:tcPr>
            <w:tcW w:w="200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vTv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are in thousands, unless otherwise noted)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Basis of Presentation and Going Concern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vTv Therapeutics Inc. (the “Company,” the “Registrant,” “we” or “us”) was incorporated in the state of Delaware in April 2015. The Company was formed to discover and develop orally administered small molecule drug candidates to fill significant unmet medical needs.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right="720" w:firstLine="518"/>
        <w:spacing w:after="0" w:line="264"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Company’s principal operating subsidiary, which is a clinical-stage biopharmaceutical company engaged in the discovery and development of orally administered small molecule drug candidates to fill significant unmet medical needs.</w:t>
      </w:r>
    </w:p>
    <w:p>
      <w:pPr>
        <w:spacing w:after="0" w:line="73"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As of June 30, 2019, various holders own non-voting interests in vTv LLC, representing a 43.6% economic interest in vTv LLC, effectively restricting vTv Therapeutics Inc.’s interest to 56.4% of vTv LLC’s economic results, subject to increase in the future, should vTv Therapeutics Inc. purchase additional non-voting common units (“vTv Units”) of vTv LLC, or should the holders of vTv Units decide to exchange such units (together with shares of Class B Common Stock) for shares of Class A Common Stock (or cash) pursuant to the Exchange Agreement (as defined in Note 9). vTv Therapeutics Inc. has provided financial and other support to vTv LLC in the form of its purchase of vTv Units with the net proceeds of the Company’s initial public offering (“IPO”) in 2015 and its registered direct offering in March 2019, its agreeing to be a co-borrower under the Venture Loan and Security Agreement (the “Loan Agreement”) with Horizon Technology Finance Corporation and Silicon Valley Bank (together, the “Lenders”) which was entered into in 2016, and its entrance into the letter agreements, dated as of December 5, 2017, July 30, 2018, December 11, 2018 and March 18, 2019 with MacAndrews and Forbes Group LLC (the “Letter Agreements”). vTv Therapeutics Inc. will not be required to provide financial or other support for vTv LLC outside of its obligations pertaining to the Loan Agreement as a co-borrower. However, vTv Therapeutics Inc. will control its business and other activities through its managing member interest in vTv LLC, and its management is the management of vTv LLC. The creditors of vTv LLC do not have any recourse to the general credit of vTv Therapeutics Inc. except as allowed under the provisions of the Loan Agreement. Nevertheless, because vTv Therapeutics Inc. will have no material assets other than its interests in vTv LLC, any financial difficulties at vTv LLC could result in vTv Therapeutics Inc. recognizing a loss.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225" w:lineRule="exact"/>
        <w:rPr>
          <w:sz w:val="20"/>
          <w:szCs w:val="20"/>
          <w:color w:val="auto"/>
        </w:rPr>
      </w:pPr>
    </w:p>
    <w:p>
      <w:pPr>
        <w:ind w:right="340" w:firstLine="518"/>
        <w:spacing w:after="0" w:line="257" w:lineRule="auto"/>
        <w:rPr>
          <w:sz w:val="20"/>
          <w:szCs w:val="20"/>
          <w:color w:val="auto"/>
        </w:rPr>
      </w:pPr>
      <w:r>
        <w:rPr>
          <w:rFonts w:ascii="Arial" w:cs="Arial" w:eastAsia="Arial" w:hAnsi="Arial"/>
          <w:sz w:val="18"/>
          <w:szCs w:val="18"/>
          <w:color w:val="auto"/>
        </w:rPr>
        <w:t>To date, the Company has not generated any product revenue and has not achieved profitable operations. The continuing development of our drug candidates will require additional financing. From its inception through June 30, 2019,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June 30, 2019, the Company had an accumulated deficit of $217.6 million and has generated net losses in each year of its existence.</w:t>
      </w:r>
    </w:p>
    <w:p>
      <w:pPr>
        <w:spacing w:after="0" w:line="18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March 2019, the Company completed a registered direct offering through which it sold 3,636,364 shares of its Class A Common Stock and raised net proceeds of approximately $5.4 million, net of related transaction costs. Further, the Company entered into an additional Letter Agreement with MacAndrews and Forbes Group LLC (the “March 2019 Letter Agreement”) under which it may sell, at the Company’s option, up to 5,454,546 shares of its Class A Common Stock at a fixed price of $1.65 per share for aggregate proceeds of up to $9.0 million during a one-year period after the date of the March 2019 Letter Agreement (the “Investment Period”). The March 2019 Letter Agreement also permits MacAndrews and Forbes Group LLC to exercise an option to purchase Class A Common Stock at the same price up to three times during the Investment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right="80" w:firstLine="518"/>
        <w:spacing w:after="0" w:line="273" w:lineRule="auto"/>
        <w:rPr>
          <w:sz w:val="20"/>
          <w:szCs w:val="20"/>
          <w:color w:val="auto"/>
        </w:rPr>
      </w:pPr>
      <w:r>
        <w:rPr>
          <w:rFonts w:ascii="Arial" w:cs="Arial" w:eastAsia="Arial" w:hAnsi="Arial"/>
          <w:sz w:val="17"/>
          <w:szCs w:val="17"/>
          <w:color w:val="auto"/>
        </w:rPr>
        <w:t>As of June 30, 2019, the Company’s liquidity sources included cash and cash equivalents of $1.5 million, $7.0 million of remaining funds available under the Letter Agreements and amounts due under our license agreements with Newsoara Biopharma Co., Ltd. (“Newsoara”) (the “Newsoara License Agreement”) and JDRF International, net of applicable taxes. Based on the Company’s current operating plan, management believes that its current cash and cash equivalents and the remaining funds available under the Letter Agreements will allow the Company to meet its liquidity requirements into the third quarter of 2019, which is less than twelve months from the issuance of these Condensed Consolidated Financial Statements. These conditions raise substantial doubt about the Company’s ability to continue as a going concern.</w:t>
      </w:r>
    </w:p>
    <w:p>
      <w:pPr>
        <w:spacing w:after="0" w:line="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 xml:space="preserve">In June 2019, the Company began screening for a Phase 2 trial to evaluate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as a potential treatment of mild-AD in patients with type 2 diabetes. Further, the Company continues to conduct the Phase 2 clinical trial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patients with type 1 diabetes. In order to complete these trials and continue its operations, the Company will require additional financing. The Company is evaluating several financing strategies to provide continued funding which may include additional direct equity investments or future public offerings of our common stock. The timing and availability of such financing is not yet known.</w:t>
      </w:r>
    </w:p>
    <w:p>
      <w:pPr>
        <w:spacing w:after="0" w:line="188"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of America (“GAAP”). The accompanying Condensed Consolidated Balance Sheet as of June 30, 2019, Condensed Consolidated Statements of Operations for the three and six months ended June 30, 2019 and 2018, Condensed Consolidated Statement of Changes in Redeemable Noncontrolling Interest and Stockholders’ Deficit for the three and six months ended June 30, 2019 and 2018 and Condensed Consolidated Statements of Cash Flows for the six months ended June 30, 2019 and 2018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2018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June 30, 2019, the results of operations for the three and six months ended June 30, 2019 and 2018 and cash flows for the six months ended June 30, 2019 and 2018. The December 31, 2018 Condensed Consolidated Balance Sheet included herein was derived from the audited financial statements but does not include all disclosures or notes required by GAAP for complete financial statements.</w:t>
      </w:r>
    </w:p>
    <w:p>
      <w:pPr>
        <w:spacing w:after="0" w:line="8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financial data and other information disclosed in these notes to the financial statements related to the three and six months ended June 30, 2019 and 2018 are unaudited. Interim results are not necessarily indicative of results for an entire year.</w:t>
      </w:r>
    </w:p>
    <w:p>
      <w:pPr>
        <w:spacing w:after="0" w:line="62"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On an ongoing basis, the Company evaluates its estimates, including those related to the grant date fair value of equity awards, the fair value of warrants to purchase shares of its Class A Common Stock, the fair value of the Class B Common Stock, the useful lives of property and equipment, the fair value of derivative liabilities,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multiple financial institutions. The balances of these cash accounts frequently exceed insured limits.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Three customers represented 100% of the revenue earned during each of the three and six months ended June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any highly liquid investments with an original maturity of three months or less to be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Restricted cash and cash equivalents, long-term as of June 30, 2019 and December 31, 2018 was $2.5 million at each date. These amounts relate to the minimum balance that the Company must maintain in a deposit account that is pledged to secure the Loan Agreement and is subject to an account control agreement pursuant to the Loan Agreement.</w:t>
      </w:r>
    </w:p>
    <w:p>
      <w:pPr>
        <w:spacing w:after="0" w:line="73"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as of June 30, 2019 and December 31, 2018 that sum to the total of the same such amounts shown in the Condensed Consolidated Statements of Cash Flows (in thousands):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June 30, 2019</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r>
      <w:tr>
        <w:trPr>
          <w:trHeight w:val="223"/>
        </w:trPr>
        <w:tc>
          <w:tcPr>
            <w:tcW w:w="20" w:type="dxa"/>
            <w:vAlign w:val="bottom"/>
          </w:tcPr>
          <w:p>
            <w:pPr>
              <w:spacing w:after="0"/>
              <w:rPr>
                <w:sz w:val="19"/>
                <w:szCs w:val="19"/>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ind w:right="133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1,462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and cash equivalents, long-term</w:t>
            </w:r>
          </w:p>
        </w:tc>
        <w:tc>
          <w:tcPr>
            <w:tcW w:w="44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2,500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Borders>
              <w:bottom w:val="single" w:sz="8" w:color="CFF0FC"/>
            </w:tcBorders>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w w:val="96"/>
              </w:rPr>
              <w:t>Total cash, cash equivalents and restricted cash and cash</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equivalents shown in the consolidated statement of</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flows</w:t>
            </w:r>
          </w:p>
        </w:tc>
        <w:tc>
          <w:tcPr>
            <w:tcW w:w="1940" w:type="dxa"/>
            <w:vAlign w:val="bottom"/>
            <w:gridSpan w:val="2"/>
            <w:shd w:val="clear" w:color="auto" w:fill="CFF0FC"/>
          </w:tcPr>
          <w:p>
            <w:pPr>
              <w:jc w:val="right"/>
              <w:ind w:right="1337"/>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3,962</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4,183</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connection with the license agreement with Reneo Pharmaceuticals, Inc. (“Reneo”) (the “Reneo License Agreement”), the Company received common stock representing a minority equity interest in Reneo that is classified as a long-term investment in the Company’s Condensed Consolidated Balance Sheets as of June 30, 2019 and December 31, 2018. The Company owns less than 20% of the voting equity of Reneo and does not have the ability to exercise significant influence over Reneo. Since it does not have a readily determinable market value, the Company has elected to measure its investment in Reneo at cost minus impairment, if any, plus or minus changes resulting from observable price changes in orderly transactions for the identical or similar investment.</w:t>
      </w:r>
    </w:p>
    <w:p>
      <w:pPr>
        <w:spacing w:after="0" w:line="8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No adjustments were made to the value of the Company’s investment in Reneo for the three and six months ended June 30, 2019 and 2018 either due to impairment or based on observable price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Company determines if an arrangement is a lease at inception. Operating leases are included in operating lease right-of-use assets and operating lease liabilities in the Condensed Consolidated Balance Sheets. Operating lease right-of-use assets and operating lease liabilities are recognized based on the present value of the future minimum lease payments over the lease term at commencement date. As most of the Company’s leases do not provide an implicit rate, the Company uses its incremental borrowing rate based on the information available at the commencement date in determining the present value of future payments. The operating lease right-of-use asset also includes any lease payments made and excludes lease incentives and initial direct costs incurred. Lease expense for minimum lease payments is recognized on a straight-line basis over the lease term.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uses the revenue recognition guidance established by ASC Topic 606, “Revenue From Contracts With Customers” (“ASC Topic 606”).</w:t>
      </w:r>
    </w:p>
    <w:p>
      <w:pPr>
        <w:spacing w:after="0" w:line="140"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right="80" w:firstLine="518"/>
        <w:spacing w:after="0" w:line="254"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discernable pattern over which the services will be provided.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Major components of research and development costs include cash and share-based compensation, costs of preclinical studies, clinical trials and related clinical manufacturing, costs of drug development, costs of materials and supplies, facilities costs, overhead costs, regulatory and compliance costs, and fees paid to consultants and other entities that conduct certain research and development activities on the Company’s behalf. Research and development costs are expensed as incurred.</w:t>
      </w:r>
    </w:p>
    <w:p>
      <w:pPr>
        <w:spacing w:after="0" w:line="79"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records accruals based on estimates of the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70"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spacing w:after="0" w:line="16"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Research and development costs that are reimbursed under a cost-sharing arrangement are reflected as a reduction of research and development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60" w:firstLine="471"/>
        <w:spacing w:after="0" w:line="302" w:lineRule="auto"/>
        <w:rPr>
          <w:sz w:val="20"/>
          <w:szCs w:val="20"/>
          <w:color w:val="auto"/>
        </w:rPr>
      </w:pPr>
      <w:r>
        <w:rPr>
          <w:rFonts w:ascii="Arial" w:cs="Arial" w:eastAsia="Arial" w:hAnsi="Arial"/>
          <w:sz w:val="16"/>
          <w:szCs w:val="16"/>
          <w:color w:val="auto"/>
        </w:rPr>
        <w:t>In February 2016, the FASB issued ASU No. 2016-02, “Lease (Topic 842)” (“ASU 2016-02”), which increases transparency and comparability among companies accounting for lease transactions. The Company adopted this guidance effective January 1, 2019 using a modified retrospective application and recorded a cumulative-effect adjustment at the beginning of the period of adoption. The adoption resulted in the recognition of $0.3 million of additional assets and liabilities related to the Company’s operating leases within its Condensed Consolidated Balance Sheets. See Note 7 for further details.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Reneo License Agreement</w:t>
      </w:r>
    </w:p>
    <w:p>
      <w:pPr>
        <w:spacing w:after="0" w:line="117" w:lineRule="exact"/>
        <w:rPr>
          <w:sz w:val="20"/>
          <w:szCs w:val="20"/>
          <w:color w:val="auto"/>
        </w:rPr>
      </w:pPr>
    </w:p>
    <w:p>
      <w:pPr>
        <w:ind w:firstLine="476"/>
        <w:spacing w:after="0" w:line="264" w:lineRule="auto"/>
        <w:rPr>
          <w:sz w:val="20"/>
          <w:szCs w:val="20"/>
          <w:color w:val="auto"/>
        </w:rPr>
      </w:pPr>
      <w:r>
        <w:rPr>
          <w:rFonts w:ascii="Arial" w:cs="Arial" w:eastAsia="Arial" w:hAnsi="Arial"/>
          <w:sz w:val="18"/>
          <w:szCs w:val="18"/>
          <w:color w:val="auto"/>
        </w:rPr>
        <w:t xml:space="preserve">The Company is party to the Reneo License Agreement, under which Reneo obtained an exclusive, worldwide, sublicensable license to develop and commercialize the Company’s peroxisome proliferation activated receptor delta (PPAR-δ) agonist program, including the compound </w:t>
      </w:r>
      <w:r>
        <w:rPr>
          <w:rFonts w:ascii="Arial" w:cs="Arial" w:eastAsia="Arial" w:hAnsi="Arial"/>
          <w:sz w:val="18"/>
          <w:szCs w:val="18"/>
          <w:i w:val="1"/>
          <w:iCs w:val="1"/>
          <w:color w:val="auto"/>
        </w:rPr>
        <w:t>HPP593</w:t>
      </w:r>
      <w:r>
        <w:rPr>
          <w:rFonts w:ascii="Arial" w:cs="Arial" w:eastAsia="Arial" w:hAnsi="Arial"/>
          <w:sz w:val="18"/>
          <w:szCs w:val="18"/>
          <w:color w:val="auto"/>
        </w:rPr>
        <w:t>, for therapeutic, prophylactic or diagnostic application in humans.</w:t>
      </w:r>
    </w:p>
    <w:p>
      <w:pPr>
        <w:spacing w:after="0" w:line="73" w:lineRule="exact"/>
        <w:rPr>
          <w:sz w:val="20"/>
          <w:szCs w:val="20"/>
          <w:color w:val="auto"/>
        </w:rPr>
      </w:pPr>
    </w:p>
    <w:p>
      <w:pPr>
        <w:ind w:right="20" w:firstLine="476"/>
        <w:spacing w:after="0" w:line="264" w:lineRule="auto"/>
        <w:rPr>
          <w:sz w:val="20"/>
          <w:szCs w:val="20"/>
          <w:color w:val="auto"/>
        </w:rPr>
      </w:pPr>
      <w:r>
        <w:rPr>
          <w:rFonts w:ascii="Arial" w:cs="Arial" w:eastAsia="Arial" w:hAnsi="Arial"/>
          <w:sz w:val="18"/>
          <w:szCs w:val="18"/>
          <w:color w:val="auto"/>
        </w:rPr>
        <w:t>The Company has fully allocated the transaction price to the license and the technology transfer services, which represents a single combined performance obligation because they were not capable of being distinct on their own. The revenue related to this performance obligation was recognized on a straight-line basis over the technology transfer service period.</w:t>
      </w:r>
    </w:p>
    <w:p>
      <w:pPr>
        <w:spacing w:after="0" w:line="73" w:lineRule="exact"/>
        <w:rPr>
          <w:sz w:val="20"/>
          <w:szCs w:val="20"/>
          <w:color w:val="auto"/>
        </w:rPr>
      </w:pPr>
    </w:p>
    <w:p>
      <w:pPr>
        <w:ind w:right="40" w:firstLine="476"/>
        <w:spacing w:after="0" w:line="302" w:lineRule="auto"/>
        <w:rPr>
          <w:sz w:val="20"/>
          <w:szCs w:val="20"/>
          <w:color w:val="auto"/>
        </w:rPr>
      </w:pPr>
      <w:r>
        <w:rPr>
          <w:rFonts w:ascii="Arial" w:cs="Arial" w:eastAsia="Arial" w:hAnsi="Arial"/>
          <w:sz w:val="16"/>
          <w:szCs w:val="16"/>
          <w:color w:val="auto"/>
        </w:rPr>
        <w:t>The revenue related to this performance obligation has been fully recognized as of June 30, 2019. For the three months ended June 30, 2019 and 2018, the Company has recognized revenue related to this performance obligation of $0.8 million and $0.9 million, respectively. For the six months ended June 30, 2019 and 2018 the Company has recognized revenue of $1.7 million and $1.8 million, respectively related to this performance obligation. There have been no adjustments to the transaction price for this performance obligation during the three and six months ended June 30, 2019 and 2018.</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100" w:firstLine="476"/>
        <w:spacing w:after="0" w:line="273" w:lineRule="auto"/>
        <w:rPr>
          <w:sz w:val="20"/>
          <w:szCs w:val="20"/>
          <w:color w:val="auto"/>
        </w:rPr>
      </w:pPr>
      <w:r>
        <w:rPr>
          <w:rFonts w:ascii="Arial" w:cs="Arial" w:eastAsia="Arial" w:hAnsi="Arial"/>
          <w:sz w:val="17"/>
          <w:szCs w:val="17"/>
          <w:color w:val="auto"/>
        </w:rPr>
        <w:t xml:space="preserve">The Company is party to a License Agreement with Hangzhou Zhongmei Huadong Pharmaceutical Co., Ltd. (“Huadong”) (the “Huadong License Agreement”), under which Huadong obtained an exclusive and sublicensable license to develop and commercialize the Company’s glucagon-like peptide-1 receptor agonist (“GLP-1r”) program, including the compound </w:t>
      </w:r>
      <w:r>
        <w:rPr>
          <w:rFonts w:ascii="Arial" w:cs="Arial" w:eastAsia="Arial" w:hAnsi="Arial"/>
          <w:sz w:val="17"/>
          <w:szCs w:val="17"/>
          <w:i w:val="1"/>
          <w:iCs w:val="1"/>
          <w:color w:val="auto"/>
        </w:rPr>
        <w:t>TTP273</w:t>
      </w:r>
      <w:r>
        <w:rPr>
          <w:rFonts w:ascii="Arial" w:cs="Arial" w:eastAsia="Arial" w:hAnsi="Arial"/>
          <w:sz w:val="17"/>
          <w:szCs w:val="17"/>
          <w:color w:val="auto"/>
        </w:rPr>
        <w:t>,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w:t>
      </w:r>
    </w:p>
    <w:p>
      <w:pPr>
        <w:spacing w:after="0" w:line="70" w:lineRule="exact"/>
        <w:rPr>
          <w:sz w:val="20"/>
          <w:szCs w:val="20"/>
          <w:color w:val="auto"/>
        </w:rPr>
      </w:pPr>
    </w:p>
    <w:p>
      <w:pPr>
        <w:ind w:right="80" w:firstLine="476"/>
        <w:spacing w:after="0" w:line="302" w:lineRule="auto"/>
        <w:rPr>
          <w:sz w:val="20"/>
          <w:szCs w:val="20"/>
          <w:color w:val="auto"/>
        </w:rPr>
      </w:pPr>
      <w:r>
        <w:rPr>
          <w:rFonts w:ascii="Arial" w:cs="Arial" w:eastAsia="Arial" w:hAnsi="Arial"/>
          <w:sz w:val="16"/>
          <w:szCs w:val="16"/>
          <w:color w:val="auto"/>
        </w:rPr>
        <w:t xml:space="preserve">Under the Huadong License Agreement, the Company is also responsible for conducting a Phase 2 multi-region clinical trial (the “Phase 2 MRCT”) including sites in both the United States and Huadong License Territory for the purpose of assessing the safety and efficacy of </w:t>
      </w:r>
      <w:r>
        <w:rPr>
          <w:rFonts w:ascii="Arial" w:cs="Arial" w:eastAsia="Arial" w:hAnsi="Arial"/>
          <w:sz w:val="16"/>
          <w:szCs w:val="16"/>
          <w:i w:val="1"/>
          <w:iCs w:val="1"/>
          <w:color w:val="auto"/>
        </w:rPr>
        <w:t>TTP273</w:t>
      </w:r>
      <w:r>
        <w:rPr>
          <w:rFonts w:ascii="Arial" w:cs="Arial" w:eastAsia="Arial" w:hAnsi="Arial"/>
          <w:sz w:val="16"/>
          <w:szCs w:val="16"/>
          <w:color w:val="auto"/>
        </w:rPr>
        <w:t xml:space="preserve"> in patients with type 2 diabetes. The Phase 2 MRCT will be designed to satisfy the requirements of the China Food and Drug Administration necessary in order for Huadong to begin a Phase 3 clinical trial in China. The Company will also be responsible for contributing up to $3.0 million in connection with the Phase 2 MRCT.</w:t>
      </w:r>
    </w:p>
    <w:p>
      <w:pPr>
        <w:spacing w:after="0" w:line="46" w:lineRule="exact"/>
        <w:rPr>
          <w:sz w:val="20"/>
          <w:szCs w:val="20"/>
          <w:color w:val="auto"/>
        </w:rPr>
      </w:pPr>
    </w:p>
    <w:p>
      <w:pPr>
        <w:ind w:right="80" w:firstLine="476"/>
        <w:spacing w:after="0" w:line="259" w:lineRule="auto"/>
        <w:rPr>
          <w:sz w:val="20"/>
          <w:szCs w:val="20"/>
          <w:color w:val="auto"/>
        </w:rPr>
      </w:pPr>
      <w:r>
        <w:rPr>
          <w:rFonts w:ascii="Arial" w:cs="Arial" w:eastAsia="Arial" w:hAnsi="Arial"/>
          <w:sz w:val="18"/>
          <w:szCs w:val="18"/>
          <w:color w:val="auto"/>
        </w:rPr>
        <w:t>The significant performance obligations under this license agreement were determined to be (i) the exclusive license to develop and commercialize the Company’s GLP-1r program, (ii) technology transfer services related to the chemistry and manufacturing know-how for a defined period after the effective date (iii) the obligation to sponsor and conduct the Phase 2 MRCT, (iv) the Company’s obligation to participate on a joint development committee (the “JDC”), and (v) other obligations considered to be de minimis in nature.</w:t>
      </w:r>
    </w:p>
    <w:p>
      <w:pPr>
        <w:spacing w:after="0" w:line="79" w:lineRule="exact"/>
        <w:rPr>
          <w:sz w:val="20"/>
          <w:szCs w:val="20"/>
          <w:color w:val="auto"/>
        </w:rPr>
      </w:pPr>
    </w:p>
    <w:p>
      <w:pPr>
        <w:ind w:right="40" w:firstLine="476"/>
        <w:spacing w:after="0" w:line="255" w:lineRule="auto"/>
        <w:rPr>
          <w:sz w:val="20"/>
          <w:szCs w:val="20"/>
          <w:color w:val="auto"/>
        </w:rPr>
      </w:pPr>
      <w:r>
        <w:rPr>
          <w:rFonts w:ascii="Arial" w:cs="Arial" w:eastAsia="Arial" w:hAnsi="Arial"/>
          <w:sz w:val="18"/>
          <w:szCs w:val="18"/>
          <w:color w:val="auto"/>
        </w:rPr>
        <w:t>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discernable pattern in which the technology transfer services would be provided during the transfer service period. As such, the Company recognized the revenue related to this combined performance obligation using the straight-line method over the transfer service period. The revenue related to this combined performance obligation has been fully recognized as of June 30, 2019. No revenue related to this combined performance obligation was recognized during the three and six months ended June 30, 2019. For the three and six months ended June 30, 2018, $1.1 million and $2.3 million of revenue was recognized related to this combined performance obligation, respectively.</w:t>
      </w:r>
    </w:p>
    <w:p>
      <w:pPr>
        <w:spacing w:after="0" w:line="81" w:lineRule="exact"/>
        <w:rPr>
          <w:sz w:val="20"/>
          <w:szCs w:val="20"/>
          <w:color w:val="auto"/>
        </w:rPr>
      </w:pPr>
    </w:p>
    <w:p>
      <w:pPr>
        <w:jc w:val="both"/>
        <w:ind w:right="180" w:firstLine="476"/>
        <w:spacing w:after="0" w:line="286" w:lineRule="auto"/>
        <w:rPr>
          <w:sz w:val="20"/>
          <w:szCs w:val="20"/>
          <w:color w:val="auto"/>
        </w:rPr>
      </w:pPr>
      <w:r>
        <w:rPr>
          <w:rFonts w:ascii="Arial" w:cs="Arial" w:eastAsia="Arial" w:hAnsi="Arial"/>
          <w:sz w:val="17"/>
          <w:szCs w:val="17"/>
          <w:color w:val="auto"/>
        </w:rPr>
        <w:t>The portion of the transaction price allocated to the obligation to sponsor and conduct a portion of the Phase 2 MRCT was $1.0 million and remained deferred as of June 30, 2019. Revenue for this performance obligation will be recognized using the proportional performance model over the period during which the Company conducts the Phase 2 MRCT trial. No revenue for this performance obligation has yet been recognized.</w:t>
      </w:r>
    </w:p>
    <w:p>
      <w:pPr>
        <w:spacing w:after="0" w:line="57" w:lineRule="exact"/>
        <w:rPr>
          <w:sz w:val="20"/>
          <w:szCs w:val="20"/>
          <w:color w:val="auto"/>
        </w:rPr>
      </w:pPr>
    </w:p>
    <w:p>
      <w:pPr>
        <w:ind w:firstLine="476"/>
        <w:spacing w:after="0" w:line="257" w:lineRule="auto"/>
        <w:rPr>
          <w:sz w:val="20"/>
          <w:szCs w:val="20"/>
          <w:color w:val="auto"/>
        </w:rPr>
      </w:pPr>
      <w:r>
        <w:rPr>
          <w:rFonts w:ascii="Arial" w:cs="Arial" w:eastAsia="Arial" w:hAnsi="Arial"/>
          <w:sz w:val="18"/>
          <w:szCs w:val="18"/>
          <w:color w:val="auto"/>
        </w:rPr>
        <w:t>The portion of the transaction price allocated to the obligation to participate in the joint development committee (the “JDC”) to oversee the development of products and the Phase 2 MRCT in accordance with the development plan remained deferred as of June 30, 2019 and revenue will be recognized using the proportional performance model over the period of the Company’s participation on the JDC. The unrecognized amount of the transaction price allocated to this performance obligation as of June 30, 2019 was $0.1 million. An immaterial amount of revenue for this performance obligation has been recognized during the three and six months ended June 30, 2019.</w:t>
      </w:r>
    </w:p>
    <w:p>
      <w:pPr>
        <w:spacing w:after="0" w:line="80" w:lineRule="exact"/>
        <w:rPr>
          <w:sz w:val="20"/>
          <w:szCs w:val="20"/>
          <w:color w:val="auto"/>
        </w:rPr>
      </w:pPr>
    </w:p>
    <w:p>
      <w:pPr>
        <w:ind w:right="540" w:firstLine="476"/>
        <w:spacing w:after="0" w:line="277" w:lineRule="auto"/>
        <w:rPr>
          <w:sz w:val="20"/>
          <w:szCs w:val="20"/>
          <w:color w:val="auto"/>
        </w:rPr>
      </w:pPr>
      <w:r>
        <w:rPr>
          <w:rFonts w:ascii="Arial" w:cs="Arial" w:eastAsia="Arial" w:hAnsi="Arial"/>
          <w:sz w:val="18"/>
          <w:szCs w:val="18"/>
          <w:color w:val="auto"/>
        </w:rPr>
        <w:t>There have been no adjustments to the transaction price for the performance obligations under the Huadong License Agreement during the three months ended June 30,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Newsoara License Agreement</w:t>
      </w:r>
    </w:p>
    <w:p>
      <w:pPr>
        <w:spacing w:after="0" w:line="117" w:lineRule="exact"/>
        <w:rPr>
          <w:sz w:val="20"/>
          <w:szCs w:val="20"/>
          <w:color w:val="auto"/>
        </w:rPr>
      </w:pPr>
    </w:p>
    <w:p>
      <w:pPr>
        <w:ind w:right="60" w:firstLine="476"/>
        <w:spacing w:after="0" w:line="276" w:lineRule="auto"/>
        <w:rPr>
          <w:sz w:val="20"/>
          <w:szCs w:val="20"/>
          <w:color w:val="auto"/>
        </w:rPr>
      </w:pPr>
      <w:r>
        <w:rPr>
          <w:rFonts w:ascii="Arial" w:cs="Arial" w:eastAsia="Arial" w:hAnsi="Arial"/>
          <w:sz w:val="17"/>
          <w:szCs w:val="17"/>
          <w:color w:val="auto"/>
        </w:rPr>
        <w:t xml:space="preserve">The Company is party to a license agreement with Newsoara under which Newsoara obtained an exclusive and sublicensable license to develop and commercialize the Company’s phosphodiesterase type 4 inhibitors (“PDE4”) program, including the compound </w:t>
      </w:r>
      <w:r>
        <w:rPr>
          <w:rFonts w:ascii="Arial" w:cs="Arial" w:eastAsia="Arial" w:hAnsi="Arial"/>
          <w:sz w:val="17"/>
          <w:szCs w:val="17"/>
          <w:i w:val="1"/>
          <w:iCs w:val="1"/>
          <w:color w:val="auto"/>
        </w:rPr>
        <w:t>HPP737</w:t>
      </w:r>
      <w:r>
        <w:rPr>
          <w:rFonts w:ascii="Arial" w:cs="Arial" w:eastAsia="Arial" w:hAnsi="Arial"/>
          <w:sz w:val="17"/>
          <w:szCs w:val="17"/>
          <w:color w:val="auto"/>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spacing w:after="0" w:line="64" w:lineRule="exact"/>
        <w:rPr>
          <w:sz w:val="20"/>
          <w:szCs w:val="20"/>
          <w:color w:val="auto"/>
        </w:rPr>
      </w:pPr>
    </w:p>
    <w:p>
      <w:pPr>
        <w:ind w:right="40" w:firstLine="563"/>
        <w:spacing w:after="0" w:line="293" w:lineRule="auto"/>
        <w:rPr>
          <w:sz w:val="20"/>
          <w:szCs w:val="20"/>
          <w:color w:val="auto"/>
        </w:rPr>
      </w:pPr>
      <w:r>
        <w:rPr>
          <w:rFonts w:ascii="Arial" w:cs="Arial" w:eastAsia="Arial" w:hAnsi="Arial"/>
          <w:sz w:val="16"/>
          <w:szCs w:val="16"/>
          <w:color w:val="auto"/>
        </w:rPr>
        <w:t>The Company has fully allocated the transaction price to the license and the technology transfer services which represents a single performance obligation because they were not capable of being distinct on their own. The Company recognized revenue for this performance obligation using the straight-line method over the transfer service period. The revenue for this performance obligation has been fully recognized as of June 30, 2019. The Company recognized revenue related to this performance obligation of $1.0 million for each of the three and six months ended June 30, 2019 and recognized revenue of $0.4 million for each of the three and six months ended June 30, 2018. During the three and six months ended June 30, 2019, the transaction price for this performance obligation was increased by $1.0 million due to the satisfaction of a development milestone under the license agreement. This amount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was fully recognized as revenue during the three and six months ended June 30, 2019, as the related performance obligation has been fully satisfied.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JDRF Agreement</w:t>
      </w:r>
    </w:p>
    <w:p>
      <w:pPr>
        <w:spacing w:after="0" w:line="117"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 xml:space="preserve">In August 2017, the Company entered into a research and collaboration agreement with JDRF International (the “JDRF Agreement”) to support the funding of the Simplici-T1 Study, a Phase 2 study to explore the effects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type 1 diabetics. The Company has completed the Sentinel and Part 1 portions of this study and has begun enrolling patients in the Part 2 portion of the study. According to the terms of the JDRF Agreement, JDRF will provide research funding of up to $3.0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treatment for type 1 diabetes.</w:t>
      </w:r>
    </w:p>
    <w:p>
      <w:pPr>
        <w:spacing w:after="0" w:line="70"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Payments that the Company receives from JDRF under this agreement will be recorded as restricted cash and current liabilities and recognized as an offset to research and development expense, based on the progress of the project, and only to the extent that the restricted cash is utilized to fund such development activities. As of June 30, 2019, the Company had received funding under this agreement of $1.6 million. Research and development costs have been offset by a total of $1.6 million over the course of this agreement. As of June 30, 2019, the Company has also recognized a receivable of $0.8 million related to additional milestones achieved under this agreement. No such amounts were outstanding as of June 30,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liabilities related to the Company’s collaboration agreements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June 30, 2019</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20" w:type="dxa"/>
            <w:vAlign w:val="bottom"/>
          </w:tcPr>
          <w:p>
            <w:pPr>
              <w:spacing w:after="0"/>
              <w:rPr>
                <w:sz w:val="19"/>
                <w:szCs w:val="19"/>
                <w:color w:val="auto"/>
              </w:rPr>
            </w:pPr>
          </w:p>
        </w:tc>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deferred revenue</w:t>
            </w:r>
          </w:p>
        </w:tc>
        <w:tc>
          <w:tcPr>
            <w:tcW w:w="1240" w:type="dxa"/>
            <w:vAlign w:val="bottom"/>
            <w:tcBorders>
              <w:top w:val="single" w:sz="8" w:color="auto"/>
            </w:tcBorders>
            <w:shd w:val="clear" w:color="auto" w:fill="CFF0FC"/>
          </w:tcPr>
          <w:p>
            <w:pPr>
              <w:jc w:val="right"/>
              <w:ind w:right="108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revenue, net of current portion</w:t>
            </w: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1,052</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contract liabilities</w:t>
            </w:r>
          </w:p>
        </w:tc>
        <w:tc>
          <w:tcPr>
            <w:tcW w:w="1240" w:type="dxa"/>
            <w:vAlign w:val="bottom"/>
            <w:tcBorders>
              <w:bottom w:val="single" w:sz="8" w:color="auto"/>
            </w:tcBorders>
            <w:shd w:val="clear" w:color="auto" w:fill="CFF0FC"/>
          </w:tcPr>
          <w:p>
            <w:pPr>
              <w:jc w:val="right"/>
              <w:ind w:right="108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1,079</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change in the Company’s contract liabilities for the six months ended June 30, 2019 of $1.7 million was due to the recognition of amounts included in the contract liability at the beginning of the period. The Company also recognized an additional $1.0 million of revenue related to changes in the estimated transaction prices for one of its customer contracts during the three and six months ended June 30, 2019 for which the related performance obligation had already been satisfied.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4:Share-Based Compensation</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During the three and six months ended June 30, 2019, the Company issued non-qualified stock option awards to certain employees of the Company. These option awards vest ratably over a three-year period and the option awards expire after a term of ten years from the date of grant. As of June 30, 2019, the Company had total unrecognized stock-based compensation expense for its outstanding stock option awards of approximately $2.3 million, which is expected to be recognized over a weighted average period of 2.1 years. The weighted average grant date fair value of option grants during the six months ended June 30, 2019 and 2018 was $1.94 and $2.30 per option, respectively. The aggregate intrinsic value of the in-the-money awards outstanding at June 30, 2019 was $0.</w:t>
      </w:r>
    </w:p>
    <w:p>
      <w:pPr>
        <w:spacing w:after="0" w:line="8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granted. The fair value of stock options granted was estimated using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340" w:type="dxa"/>
            <w:vAlign w:val="bottom"/>
            <w:gridSpan w:val="6"/>
          </w:tcPr>
          <w:p>
            <w:pPr>
              <w:ind w:left="760"/>
              <w:spacing w:after="0"/>
              <w:rPr>
                <w:sz w:val="20"/>
                <w:szCs w:val="20"/>
                <w:color w:val="auto"/>
              </w:rPr>
            </w:pPr>
            <w:r>
              <w:rPr>
                <w:rFonts w:ascii="Arial" w:cs="Arial" w:eastAsia="Arial" w:hAnsi="Arial"/>
                <w:sz w:val="18"/>
                <w:szCs w:val="18"/>
                <w:b w:val="1"/>
                <w:bCs w:val="1"/>
                <w:color w:val="auto"/>
              </w:rPr>
              <w:t>For the Six Months Ended June 30,</w:t>
            </w:r>
          </w:p>
        </w:tc>
        <w:tc>
          <w:tcPr>
            <w:tcW w:w="1160" w:type="dxa"/>
            <w:vAlign w:val="bottom"/>
          </w:tcPr>
          <w:p>
            <w:pPr>
              <w:spacing w:after="0"/>
              <w:rPr>
                <w:sz w:val="19"/>
                <w:szCs w:val="19"/>
                <w:color w:val="auto"/>
              </w:rPr>
            </w:pPr>
          </w:p>
        </w:tc>
      </w:tr>
      <w:tr>
        <w:trPr>
          <w:trHeight w:val="234"/>
        </w:trPr>
        <w:tc>
          <w:tcPr>
            <w:tcW w:w="11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0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115.29%</w:t>
            </w:r>
          </w:p>
        </w:tc>
        <w:tc>
          <w:tcPr>
            <w:tcW w:w="10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- 117.94%</w:t>
            </w: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71.15%</w:t>
            </w:r>
          </w:p>
        </w:tc>
        <w:tc>
          <w:tcPr>
            <w:tcW w:w="1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- 99.23%</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060" w:type="dxa"/>
            <w:vAlign w:val="bottom"/>
          </w:tcPr>
          <w:p>
            <w:pPr>
              <w:ind w:left="20"/>
              <w:spacing w:after="0"/>
              <w:rPr>
                <w:sz w:val="20"/>
                <w:szCs w:val="20"/>
                <w:color w:val="auto"/>
              </w:rPr>
            </w:pPr>
            <w:r>
              <w:rPr>
                <w:rFonts w:ascii="Arial" w:cs="Arial" w:eastAsia="Arial" w:hAnsi="Arial"/>
                <w:sz w:val="18"/>
                <w:szCs w:val="18"/>
                <w:color w:val="auto"/>
              </w:rPr>
              <w:t>- 6.0</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1080" w:type="dxa"/>
            <w:vAlign w:val="bottom"/>
          </w:tcPr>
          <w:p>
            <w:pPr>
              <w:ind w:left="20"/>
              <w:spacing w:after="0"/>
              <w:rPr>
                <w:sz w:val="20"/>
                <w:szCs w:val="20"/>
                <w:color w:val="auto"/>
              </w:rPr>
            </w:pPr>
            <w:r>
              <w:rPr>
                <w:rFonts w:ascii="Arial" w:cs="Arial" w:eastAsia="Arial" w:hAnsi="Arial"/>
                <w:sz w:val="18"/>
                <w:szCs w:val="18"/>
                <w:color w:val="auto"/>
              </w:rPr>
              <w:t>- 6.0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- 2.64%</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- 2.81%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00" w:type="dxa"/>
            <w:vAlign w:val="bottom"/>
            <w:gridSpan w:val="3"/>
          </w:tcPr>
          <w:p>
            <w:pPr>
              <w:jc w:val="right"/>
              <w:ind w:right="69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20"/>
                <w:szCs w:val="20"/>
                <w:color w:val="auto"/>
              </w:rPr>
            </w:pPr>
          </w:p>
        </w:tc>
        <w:tc>
          <w:tcPr>
            <w:tcW w:w="2020" w:type="dxa"/>
            <w:vAlign w:val="bottom"/>
            <w:gridSpan w:val="2"/>
          </w:tcPr>
          <w:p>
            <w:pPr>
              <w:jc w:val="right"/>
              <w:ind w:right="71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1"/>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following table summarizes the activity related to the stock option awards for the six months ended June 30, 2019:</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 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2018</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1,767,503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spacing w:after="0"/>
              <w:rPr>
                <w:sz w:val="20"/>
                <w:szCs w:val="20"/>
                <w:color w:val="auto"/>
              </w:rPr>
            </w:pPr>
            <w:r>
              <w:rPr>
                <w:rFonts w:ascii="Arial" w:cs="Arial" w:eastAsia="Arial" w:hAnsi="Arial"/>
                <w:sz w:val="18"/>
                <w:szCs w:val="18"/>
                <w:color w:val="auto"/>
              </w:rPr>
              <w:t>995,500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2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(186,292)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00" w:type="dxa"/>
            <w:vAlign w:val="bottom"/>
            <w:gridSpan w:val="2"/>
          </w:tcPr>
          <w:p>
            <w:pPr>
              <w:spacing w:after="0"/>
              <w:rPr>
                <w:sz w:val="20"/>
                <w:szCs w:val="20"/>
                <w:color w:val="auto"/>
              </w:rPr>
            </w:pPr>
            <w:r>
              <w:rPr>
                <w:rFonts w:ascii="Arial" w:cs="Arial" w:eastAsia="Arial" w:hAnsi="Arial"/>
                <w:sz w:val="18"/>
                <w:szCs w:val="18"/>
                <w:color w:val="auto"/>
              </w:rPr>
              <w:t>Awards outstanding at June 30, 2019</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2,576,711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June 30, 2019</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1,338,567</w:t>
            </w: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6.8 Years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Options vested and expected to vest at June 30, 2019</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2,524,818</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8.0 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RSU awards for the six months ended June 30, 2019:</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Average Grant Date 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2018</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Vested</w:t>
            </w: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(11,666)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June 30, 2019</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RSUs expected to vest at June 30, 2019</w:t>
            </w: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gridSpan w:val="2"/>
            <w:vMerge w:val="continue"/>
          </w:tcPr>
          <w:p>
            <w:pPr>
              <w:spacing w:after="0"/>
              <w:rPr>
                <w:sz w:val="18"/>
                <w:szCs w:val="18"/>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571"/>
        <w:spacing w:after="0" w:line="277" w:lineRule="auto"/>
        <w:rPr>
          <w:sz w:val="20"/>
          <w:szCs w:val="20"/>
          <w:color w:val="auto"/>
        </w:rPr>
      </w:pPr>
      <w:r>
        <w:rPr>
          <w:rFonts w:ascii="Arial" w:cs="Arial" w:eastAsia="Arial" w:hAnsi="Arial"/>
          <w:sz w:val="18"/>
          <w:szCs w:val="18"/>
          <w:color w:val="auto"/>
        </w:rPr>
        <w:t>As of June 30, 2019, the total unrecognized stock-based compensation expense and the aggregate intrinsic value related to the Company’s outstanding RSU awards were both de minimis.</w:t>
      </w:r>
    </w:p>
    <w:p>
      <w:pPr>
        <w:spacing w:after="0" w:line="62" w:lineRule="exact"/>
        <w:rPr>
          <w:sz w:val="20"/>
          <w:szCs w:val="20"/>
          <w:color w:val="auto"/>
        </w:rPr>
      </w:pPr>
    </w:p>
    <w:p>
      <w:pPr>
        <w:ind w:right="520" w:firstLine="577"/>
        <w:spacing w:after="0" w:line="277" w:lineRule="auto"/>
        <w:rPr>
          <w:sz w:val="20"/>
          <w:szCs w:val="20"/>
          <w:color w:val="auto"/>
        </w:rPr>
      </w:pPr>
      <w:r>
        <w:rPr>
          <w:rFonts w:ascii="Arial" w:cs="Arial" w:eastAsia="Arial" w:hAnsi="Arial"/>
          <w:sz w:val="18"/>
          <w:szCs w:val="18"/>
          <w:color w:val="auto"/>
        </w:rPr>
        <w:t>Compensation expense related to the grants of stock options and RSUs is included in research and development and general and administrative expense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80" w:type="dxa"/>
            <w:vAlign w:val="bottom"/>
            <w:gridSpan w:val="2"/>
          </w:tcPr>
          <w:p>
            <w:pPr>
              <w:jc w:val="right"/>
              <w:ind w:right="6"/>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0"/>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225</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578</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share-based compensation expense</w:t>
            </w:r>
          </w:p>
        </w:tc>
        <w:tc>
          <w:tcPr>
            <w:tcW w:w="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803</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w:t>
            </w: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5:Notes Payable</w:t>
            </w: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20" w:type="dxa"/>
            <w:vAlign w:val="bottom"/>
            <w:gridSpan w:val="2"/>
          </w:tcPr>
          <w:p>
            <w:pPr>
              <w:ind w:left="520"/>
              <w:spacing w:after="0"/>
              <w:rPr>
                <w:sz w:val="20"/>
                <w:szCs w:val="20"/>
                <w:color w:val="auto"/>
              </w:rPr>
            </w:pPr>
            <w:r>
              <w:rPr>
                <w:rFonts w:ascii="Arial" w:cs="Arial" w:eastAsia="Arial" w:hAnsi="Arial"/>
                <w:sz w:val="18"/>
                <w:szCs w:val="18"/>
                <w:color w:val="auto"/>
                <w:w w:val="98"/>
              </w:rPr>
              <w:t>Notes payable consist of the following (in thousands):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6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rPr>
              <w:t>June 30, 2019</w:t>
            </w: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4"/>
          </w:tcPr>
          <w:p>
            <w:pPr>
              <w:jc w:val="right"/>
              <w:ind w:right="132"/>
              <w:spacing w:after="0"/>
              <w:rPr>
                <w:sz w:val="20"/>
                <w:szCs w:val="20"/>
                <w:color w:val="auto"/>
              </w:rPr>
            </w:pPr>
            <w:r>
              <w:rPr>
                <w:rFonts w:ascii="Arial" w:cs="Arial" w:eastAsia="Arial" w:hAnsi="Arial"/>
                <w:sz w:val="18"/>
                <w:szCs w:val="18"/>
                <w:b w:val="1"/>
                <w:bCs w:val="1"/>
                <w:color w:val="auto"/>
                <w:w w:val="91"/>
              </w:rPr>
              <w:t>December 31, 2018</w:t>
            </w:r>
          </w:p>
        </w:tc>
        <w:tc>
          <w:tcPr>
            <w:tcW w:w="80" w:type="dxa"/>
            <w:vAlign w:val="bottom"/>
            <w:tcBorders>
              <w:bottom w:val="single" w:sz="8" w:color="CFF0F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Notes payable under the Loan Agreement</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9,897</w:t>
            </w:r>
          </w:p>
        </w:tc>
        <w:tc>
          <w:tcPr>
            <w:tcW w:w="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14,897</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Short-term financing</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Accreted final payment</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Total notes payable</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10,831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(8,646)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(9,383)</w:t>
            </w:r>
          </w:p>
        </w:tc>
        <w:tc>
          <w:tcPr>
            <w:tcW w:w="0" w:type="dxa"/>
            <w:vAlign w:val="bottom"/>
          </w:tcPr>
          <w:p>
            <w:pPr>
              <w:spacing w:after="0"/>
              <w:rPr>
                <w:sz w:val="1"/>
                <w:szCs w:val="1"/>
                <w:color w:val="auto"/>
              </w:rPr>
            </w:pPr>
          </w:p>
        </w:tc>
      </w:tr>
      <w:tr>
        <w:trPr>
          <w:trHeight w:val="223"/>
        </w:trPr>
        <w:tc>
          <w:tcPr>
            <w:tcW w:w="4720" w:type="dxa"/>
            <w:vAlign w:val="bottom"/>
            <w:gridSpan w:val="2"/>
          </w:tcPr>
          <w:p>
            <w:pPr>
              <w:ind w:left="1140"/>
              <w:spacing w:after="0"/>
              <w:rPr>
                <w:sz w:val="20"/>
                <w:szCs w:val="20"/>
                <w:color w:val="auto"/>
              </w:rPr>
            </w:pPr>
            <w:r>
              <w:rPr>
                <w:rFonts w:ascii="Arial" w:cs="Arial" w:eastAsia="Arial" w:hAnsi="Arial"/>
                <w:sz w:val="18"/>
                <w:szCs w:val="18"/>
                <w:color w:val="auto"/>
              </w:rPr>
              <w:t>Total notes payable, net of current portion</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2,185</w:t>
            </w:r>
          </w:p>
        </w:tc>
        <w:tc>
          <w:tcPr>
            <w:tcW w:w="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In October 2016, the Company entered into the Loan Agreement with Horizon Technology Finance Corporation and Silicon Valley Bank, under which the Company and vTv LLC borrowed $20.0 million.</w:t>
      </w:r>
    </w:p>
    <w:p>
      <w:pPr>
        <w:spacing w:after="0" w:line="6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Each loan tranche bears interest at a floating rate equal to 10.5% plus the amount by which the one-month London Interbank Offer Rate (“LIBOR”) exceeds 0.5%.</w:t>
      </w:r>
    </w:p>
    <w:p>
      <w:pPr>
        <w:spacing w:after="0" w:line="6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borrowed the first tranche of $12.5 million upon close of the Loan Agreement in October 2016. The first tranche requires only monthly interest payments until May 1, 2018 followed by equal monthly payments of principal plus accrued interest through the scheduled maturity date on May 1, 2020. In addition, a final payment for the first tranche loan equal to $0.8 million will be due on May 1, 2020, or such earlier date specified in the Loan Agreement. The Company borrowed the second tranche of $7.5 million in March 2017. The second tranche requires only monthly interest payments until October 1, 2018 followed by equal monthly payments of principal plus accrued interest through the scheduled maturity date on October 1, 2020. In addition, a final payment for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 w:name="page16"/>
    <w:bookmarkEnd w:id="15"/>
    <w:p>
      <w:pPr>
        <w:ind w:right="280"/>
        <w:spacing w:after="0" w:line="277" w:lineRule="auto"/>
        <w:rPr>
          <w:sz w:val="20"/>
          <w:szCs w:val="20"/>
          <w:color w:val="auto"/>
        </w:rPr>
      </w:pPr>
      <w:r>
        <w:rPr>
          <w:rFonts w:ascii="Arial" w:cs="Arial" w:eastAsia="Arial" w:hAnsi="Arial"/>
          <w:sz w:val="18"/>
          <w:szCs w:val="18"/>
          <w:color w:val="auto"/>
        </w:rPr>
        <w:t>the second tranche loan equal to $0.5 million will be due on October 1, 2020, or such earlier date specified in the Loan Agreement. The availability of the third tranche of $5.0 million expired unused on June 30, 2017.</w:t>
      </w:r>
    </w:p>
    <w:p>
      <w:pPr>
        <w:spacing w:after="0" w:line="62"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If the Company repays all or a portion of the loan prior to the applicable maturity date, it will pay the Lenders a prepayment penalty fee, based on a percentage of the then outstanding principal balance equal to 4.0% during the first 18 months following the funding of the second tranche and 2.0% thereafter.</w:t>
      </w:r>
    </w:p>
    <w:p>
      <w:pPr>
        <w:spacing w:after="0" w:line="16"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Company’s obligations under the Loan Agreement are secured by a first priority security interest in substantially all of its assets. The Company has granted the Lenders a first priority security interest in all of the Company’s intellectual property, subject to certain limited exceptions. The Company has agreed not to pledge or otherwise encumber its intellectual property assets, subject to certain exceptions.</w:t>
      </w:r>
    </w:p>
    <w:p>
      <w:pPr>
        <w:spacing w:after="0" w:line="73"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of not less than $2.5 million in a deposit account pledged to secure the Loan Agreement and subject to an account control agreement. The Loan Agreement includes customary events of default, including payment defaults, covenant defaults, and material adverse change default. Upon the occurrence of an event of default and following any applicable cure periods, a default interest rate of an additional 5.0% will be applied to the outstanding loan balances, and the Lenders may declare all outstanding obligations immediately due and payable and take such other actions as set forth in the Loan Agreement.</w:t>
      </w:r>
    </w:p>
    <w:p>
      <w:pPr>
        <w:spacing w:after="0" w:line="7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connection with the Loan Agreement, the Company issued to the Lenders warrants to purchase shares of the Company’s Class A Common Stock (the “Warrants”). On October 28, 2016, the Company issued Warrants to purchase 152,580 shares of its Class A Common Stock at a per share exercise price of $6.39 per share, which aggregate exercise price represents 6.0% of the principal amount borrowed under the first tranche of the Loan Agreement and 3.0% of the amount available under the second tranche of the Loan Agreement. On March 24, 2017, in connection with the funding of the second tranche, the Company issued Warrants to purchase 38,006 shares of its Class A Common Stock at a per share exercise price of $5.92 per share, which aggregate exercise price represents 3.0% of the principal amount of the second tranche of the Loan Agreement. In each instance, the Warrants have an exercise price equal to the lower of (a) the volume weighted average price per share of the Company’s Class A Common Stock, as reported on the principal stock exchange on which the Company’s Class A Common Stock is listed, for 10 trading days prior to the issuance of the applicable Warrants or (b) the closing price of a share of the Company’s Class A Common Stock on the trading day prior to the issuance of the applicable Warrants. The Warrants will expire seven years from their date of issuance.</w:t>
      </w:r>
    </w:p>
    <w:p>
      <w:pPr>
        <w:spacing w:after="0" w:line="7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costs incurred in connection with the Loan Agreement, along with the allocated fair value of the Warrants issued of $0.9 million were treated as a debt discount and are offset against the carrying value of the notes payable in the Company’s Condensed Consolidated Balance Sheet as of June 30, 2019 and December 31, 2018. These costs will be recognized as interest expense over the term of the first tranche using the effective interest method. The final payments for the first and second loan tranches of $0.8 million and $0.5 million, respectively, will be accrued as additional interest expense, using the effective interest method, over the term of the relevant tranche.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Novo Nordisk</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 xml:space="preserve">In February 2007, the Company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Arial" w:cs="Arial" w:eastAsia="Arial" w:hAnsi="Arial"/>
          <w:sz w:val="16"/>
          <w:szCs w:val="16"/>
          <w:i w:val="1"/>
          <w:iCs w:val="1"/>
          <w:color w:val="auto"/>
        </w:rPr>
        <w:t>TTP399</w:t>
      </w:r>
      <w:r>
        <w:rPr>
          <w:rFonts w:ascii="Arial" w:cs="Arial" w:eastAsia="Arial" w:hAnsi="Arial"/>
          <w:sz w:val="16"/>
          <w:szCs w:val="16"/>
          <w:color w:val="auto"/>
        </w:rPr>
        <w:t>.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$115.0 million for approval of a product. The Company may also be obligated to pay an additional $75.0 million in potential sales-based milestones, as well as royalty payments, at mid-single digit royalty rates, based on tiered sales of commercialized licensed products.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 xml:space="preserve">Under the terms of the Huadong License Agreement, vTv LLC is responsible for sponsoring the Phase 2 MRCT including sites in both the US and the Huadong License Territory for the purpose of assessing the safety and efficacy of </w:t>
      </w:r>
      <w:r>
        <w:rPr>
          <w:rFonts w:ascii="Arial" w:cs="Arial" w:eastAsia="Arial" w:hAnsi="Arial"/>
          <w:sz w:val="18"/>
          <w:szCs w:val="18"/>
          <w:i w:val="1"/>
          <w:iCs w:val="1"/>
          <w:color w:val="auto"/>
        </w:rPr>
        <w:t>TTP273</w:t>
      </w:r>
      <w:r>
        <w:rPr>
          <w:rFonts w:ascii="Arial" w:cs="Arial" w:eastAsia="Arial" w:hAnsi="Arial"/>
          <w:sz w:val="18"/>
          <w:szCs w:val="18"/>
          <w:color w:val="auto"/>
        </w:rPr>
        <w:t xml:space="preserve"> in patients with type 2 diabetes. vTv LLC will be responsible for contributing up to $3.0 million in connection with the Phase 2 MRCT.</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7:Leases</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Company leases its headquarters location under an operating lease expiring in December 2019. In connection with its adoption of ASC Topic 842, the Company recognized a right of use asset and corresponding operating lease liability of $0.3 million related to this lease as of January 1, 2019. The Company elected to use the package of practical expedients in implementing ASC Topic 842 under which the Company did not reassess the operating or finance lease classification of its previously existing leases. Further, the Company did not reassess whether expired or existing contracts include leases. The discount rate used in determining the operating lease liability was 15.2%.</w:t>
      </w:r>
    </w:p>
    <w:p>
      <w:pPr>
        <w:spacing w:after="0" w:line="8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Operating lease cost recognized for the three and six months ended June 30, 2019 and 2018 was $0.1 million for each of the three-month periods and $0.2 million for each of the six-month periods.</w:t>
      </w:r>
    </w:p>
    <w:p>
      <w:pPr>
        <w:spacing w:after="0" w:line="6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Future minimum lease payments under non-cancelable operating leases to be paid in 2019 as of June 30, 2019 and December 31, 2018 were $0.2 million and $0.4 million, respectively. There are no material future minimum lease payments under non-cancellable operating leases to be made in the year 2020 or thereafter.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8:Redeemable Noncontrolling Interest</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is subject to the Exchange Agreement with respect to the vTv Units representing the 43.6% noncontrolling interest in vTv LLC outstanding as of June 30, 2019 (see Note 9).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spacing w:after="0" w:line="81" w:lineRule="exact"/>
        <w:rPr>
          <w:sz w:val="20"/>
          <w:szCs w:val="20"/>
          <w:color w:val="auto"/>
        </w:rPr>
      </w:pPr>
    </w:p>
    <w:p>
      <w:pPr>
        <w:jc w:val="both"/>
        <w:ind w:right="320" w:firstLine="518"/>
        <w:spacing w:after="0" w:line="312" w:lineRule="auto"/>
        <w:rPr>
          <w:sz w:val="20"/>
          <w:szCs w:val="20"/>
          <w:color w:val="auto"/>
        </w:rPr>
      </w:pPr>
      <w:r>
        <w:rPr>
          <w:rFonts w:ascii="Arial" w:cs="Arial" w:eastAsia="Arial" w:hAnsi="Arial"/>
          <w:sz w:val="16"/>
          <w:szCs w:val="16"/>
          <w:color w:val="auto"/>
        </w:rPr>
        <w:t>The redeemable noncontrolling interest is recognized at the higher of (1) its initial fair value plus accumulated earnings/losses associated with the noncontrolling interest or (2) the redemption value as of the balance sheet date. At June 30, 2019 and December 31, 2018, the redeemable noncontrolling interest was recorded based on the redemption value as of the balance sheet date of $37.1 million and $62.5 million, respectively.</w:t>
      </w:r>
    </w:p>
    <w:p>
      <w:pPr>
        <w:spacing w:after="0" w:line="39"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4"/>
              </w:rPr>
              <w:t>For the Three Months Ended</w:t>
            </w:r>
          </w:p>
        </w:tc>
        <w:tc>
          <w:tcPr>
            <w:tcW w:w="100" w:type="dxa"/>
            <w:vAlign w:val="bottom"/>
          </w:tcPr>
          <w:p>
            <w:pPr>
              <w:spacing w:after="0"/>
              <w:rPr>
                <w:sz w:val="18"/>
                <w:szCs w:val="18"/>
                <w:color w:val="auto"/>
              </w:rPr>
            </w:pPr>
          </w:p>
        </w:tc>
        <w:tc>
          <w:tcPr>
            <w:tcW w:w="2880" w:type="dxa"/>
            <w:vAlign w:val="bottom"/>
            <w:gridSpan w:val="7"/>
            <w:vMerge w:val="restart"/>
          </w:tcPr>
          <w:p>
            <w:pPr>
              <w:spacing w:after="0"/>
              <w:rPr>
                <w:sz w:val="20"/>
                <w:szCs w:val="20"/>
                <w:color w:val="auto"/>
              </w:rPr>
            </w:pPr>
            <w:r>
              <w:rPr>
                <w:rFonts w:ascii="Arial" w:cs="Arial" w:eastAsia="Arial" w:hAnsi="Arial"/>
                <w:sz w:val="18"/>
                <w:szCs w:val="18"/>
                <w:b w:val="1"/>
                <w:bCs w:val="1"/>
                <w:color w:val="auto"/>
                <w:w w:val="95"/>
              </w:rPr>
              <w:t>For the Six Months Ended June 30,</w:t>
            </w:r>
          </w:p>
        </w:tc>
        <w:tc>
          <w:tcPr>
            <w:tcW w:w="0" w:type="dxa"/>
            <w:vAlign w:val="bottom"/>
          </w:tcPr>
          <w:p>
            <w:pPr>
              <w:spacing w:after="0"/>
              <w:rPr>
                <w:sz w:val="1"/>
                <w:szCs w:val="1"/>
                <w:color w:val="auto"/>
              </w:rPr>
            </w:pPr>
          </w:p>
        </w:tc>
      </w:tr>
      <w:tr>
        <w:trPr>
          <w:trHeight w:val="126"/>
        </w:trPr>
        <w:tc>
          <w:tcPr>
            <w:tcW w:w="4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gridSpan w:val="4"/>
            <w:vMerge w:val="restart"/>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gridSpan w:val="4"/>
            <w:vMerge w:val="continue"/>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4000" w:type="dxa"/>
            <w:vAlign w:val="bottom"/>
            <w:tcBorders>
              <w:bottom w:val="single" w:sz="8" w:color="CFF0FC"/>
            </w:tcBorders>
          </w:tcPr>
          <w:p>
            <w:pPr>
              <w:spacing w:after="0"/>
              <w:rPr>
                <w:sz w:val="20"/>
                <w:szCs w:val="20"/>
                <w:color w:val="auto"/>
              </w:rPr>
            </w:pPr>
          </w:p>
        </w:tc>
        <w:tc>
          <w:tcPr>
            <w:tcW w:w="4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(2,882)</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(3,072)</w:t>
            </w:r>
          </w:p>
        </w:tc>
        <w:tc>
          <w:tcPr>
            <w:tcW w:w="3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(8,765)</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(6,024)</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Increase in vTv Therapeutics Inc. accumulated</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
              <w:spacing w:after="0"/>
              <w:rPr>
                <w:sz w:val="20"/>
                <w:szCs w:val="20"/>
                <w:color w:val="auto"/>
              </w:rPr>
            </w:pPr>
            <w:r>
              <w:rPr>
                <w:rFonts w:ascii="Arial" w:cs="Arial" w:eastAsia="Arial" w:hAnsi="Arial"/>
                <w:sz w:val="18"/>
                <w:szCs w:val="18"/>
                <w:color w:val="auto"/>
              </w:rPr>
              <w:t>deficit for purchase of LLC Units as a result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of common stock issuances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(9,893)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09"/>
        </w:trPr>
        <w:tc>
          <w:tcPr>
            <w:tcW w:w="40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Change from net loss attributable to</w:t>
            </w:r>
          </w:p>
        </w:tc>
        <w:tc>
          <w:tcPr>
            <w:tcW w:w="4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vTv Therapeutics Inc. common shareholders</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transfers to noncontrolling interest</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(5,346)</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(7,368)</w:t>
            </w:r>
          </w:p>
        </w:tc>
        <w:tc>
          <w:tcPr>
            <w:tcW w:w="3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(18,658)</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(10,341)</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MacAndrews &amp; Forbes Incorporated</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As of June 30, 2019, subsidiaries and affiliates of MacAndrews &amp; Forbes Incorporated (collectively “MacAndrews”) indirectly controlled 23,084,267 shares of the Company’s Class B Common Stock and 19,064,472 shares of the Company’s Class A Common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79" w:right="29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Stock. As a result, MacAndrews’ holdings represent approximately 79.6% of the combined voting power of the Company’s outstanding common stock.</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several agreements with MacAndrews or its affiliates as further detailed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80" w:firstLine="476"/>
        <w:spacing w:after="0" w:line="257" w:lineRule="auto"/>
        <w:rPr>
          <w:sz w:val="20"/>
          <w:szCs w:val="20"/>
          <w:color w:val="auto"/>
        </w:rPr>
      </w:pPr>
      <w:r>
        <w:rPr>
          <w:rFonts w:ascii="Arial" w:cs="Arial" w:eastAsia="Arial" w:hAnsi="Arial"/>
          <w:sz w:val="18"/>
          <w:szCs w:val="18"/>
          <w:color w:val="auto"/>
        </w:rPr>
        <w:t>The Company has entered into the Letter Agreements with MacAndrews. Under the terms of the Letter Agreements, the Company has the right to sell to MacAndrews shares of its Class A Common Stock at a specified price per share, and MacAndrews has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terms of these Letter Agreements are set forth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right"/>
              <w:ind w:right="14"/>
              <w:spacing w:after="0"/>
              <w:rPr>
                <w:sz w:val="20"/>
                <w:szCs w:val="20"/>
                <w:color w:val="auto"/>
              </w:rPr>
            </w:pPr>
            <w:r>
              <w:rPr>
                <w:rFonts w:ascii="Arial" w:cs="Arial" w:eastAsia="Arial" w:hAnsi="Arial"/>
                <w:sz w:val="14"/>
                <w:szCs w:val="14"/>
                <w:b w:val="1"/>
                <w:bCs w:val="1"/>
                <w:color w:val="auto"/>
                <w:w w:val="91"/>
              </w:rPr>
              <w:t>December 5, 2017 Letter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July 30, 2018 Letter</w:t>
            </w:r>
          </w:p>
        </w:tc>
        <w:tc>
          <w:tcPr>
            <w:tcW w:w="1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December 11, 2018 Letter</w:t>
            </w:r>
          </w:p>
        </w:tc>
        <w:tc>
          <w:tcPr>
            <w:tcW w:w="12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18, 2019 Letter</w:t>
            </w:r>
          </w:p>
        </w:tc>
      </w:tr>
      <w:tr>
        <w:trPr>
          <w:trHeight w:val="171"/>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right"/>
              <w:ind w:right="434"/>
              <w:spacing w:after="0"/>
              <w:rPr>
                <w:sz w:val="20"/>
                <w:szCs w:val="20"/>
                <w:color w:val="auto"/>
              </w:rPr>
            </w:pPr>
            <w:r>
              <w:rPr>
                <w:rFonts w:ascii="Arial" w:cs="Arial" w:eastAsia="Arial" w:hAnsi="Arial"/>
                <w:sz w:val="14"/>
                <w:szCs w:val="14"/>
                <w:b w:val="1"/>
                <w:bCs w:val="1"/>
                <w:color w:val="auto"/>
              </w:rPr>
              <w:t>Agreement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Agreement</w:t>
            </w:r>
          </w:p>
        </w:tc>
        <w:tc>
          <w:tcPr>
            <w:tcW w:w="180" w:type="dxa"/>
            <w:vAlign w:val="bottom"/>
          </w:tcPr>
          <w:p>
            <w:pPr>
              <w:spacing w:after="0"/>
              <w:rPr>
                <w:sz w:val="14"/>
                <w:szCs w:val="14"/>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Agreement</w:t>
            </w:r>
          </w:p>
        </w:tc>
        <w:tc>
          <w:tcPr>
            <w:tcW w:w="12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Agreement</w:t>
            </w:r>
          </w:p>
        </w:tc>
      </w:tr>
      <w:tr>
        <w:trPr>
          <w:trHeight w:val="209"/>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dollar value to be sold under</w:t>
            </w:r>
          </w:p>
        </w:tc>
        <w:tc>
          <w:tcPr>
            <w:tcW w:w="4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3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agreement</w:t>
            </w: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million</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$10.0 million</w:t>
            </w:r>
          </w:p>
        </w:tc>
        <w:tc>
          <w:tcPr>
            <w:tcW w:w="18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 million</w:t>
            </w:r>
          </w:p>
        </w:tc>
        <w:tc>
          <w:tcPr>
            <w:tcW w:w="1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 million</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Specified purchase price per share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4.38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 agreement</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December 5, 2018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July 30, 2019</w:t>
            </w:r>
          </w:p>
        </w:tc>
        <w:tc>
          <w:tcPr>
            <w:tcW w:w="1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3"/>
              </w:rPr>
              <w:t>December 11, 2019</w:t>
            </w:r>
          </w:p>
        </w:tc>
        <w:tc>
          <w:tcPr>
            <w:tcW w:w="1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March 18, 2020</w:t>
            </w: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Shares available to be issued under related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warrants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198,267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518,654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340,534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 warrants</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Expiration date of related warrants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December 5, 2024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560"/>
              <w:spacing w:after="0"/>
              <w:rPr>
                <w:sz w:val="20"/>
                <w:szCs w:val="20"/>
                <w:color w:val="auto"/>
              </w:rPr>
            </w:pPr>
            <w:r>
              <w:rPr>
                <w:rFonts w:ascii="Arial" w:cs="Arial" w:eastAsia="Arial" w:hAnsi="Arial"/>
                <w:sz w:val="18"/>
                <w:szCs w:val="18"/>
                <w:color w:val="auto"/>
              </w:rPr>
              <w:t>July 30, 2025</w:t>
            </w:r>
          </w:p>
        </w:tc>
        <w:tc>
          <w:tcPr>
            <w:tcW w:w="18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December 11, 2025</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 June 30, 2019</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2,283,105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7,518,797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5,434,783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1,212,121</w:t>
            </w:r>
          </w:p>
        </w:tc>
        <w:tc>
          <w:tcPr>
            <w:tcW w:w="100" w:type="dxa"/>
            <w:vAlign w:val="bottom"/>
            <w:shd w:val="clear" w:color="auto" w:fill="CFF0FC"/>
          </w:tcPr>
          <w:p>
            <w:pPr>
              <w:spacing w:after="0"/>
              <w:rPr>
                <w:sz w:val="19"/>
                <w:szCs w:val="19"/>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Remaining shares to be issued as of</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June 30, 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4,242,425</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The March 18, 2019 Letter Agreement resulted in a deemed distribution of $3.7 million to MacAndrews as the fair value of the financial instruments issued to MacAndrews exceeded the fair value of the financial instrument received by the Company. This deemed distribution has been reflected as an increase to the net loss attributable to common shareholders of vTv Therapeutics Inc. for computing net loss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Company and MacAndrews are party to an exchange agreement (the “Exchange Agreement”) pursuant to which the vTv Units (along with a corresponding number of shares of the Class B Common Stock) are exchangeable for (i) shares of the Company’s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Any decision to require an exchange for cash rather than shares of Class A Common Stock will ultimately be determined by the entire board of directors of vTv Therapeutics Inc. (the “Board of Directors”). As of June 30, 2019, MacAndrews had not exchanged any shares under the provisions of this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w:t>
      </w:r>
    </w:p>
    <w:p>
      <w:pPr>
        <w:spacing w:after="0" w:line="8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As no shares have been exchanged by MacAndrews pursuant to the Exchange Agreement (discussed above), the Company has not recognized any liability nor has it made any payments pursuant to the Tax Receivable Agreement as of June 30,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12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Company is subject to U.S. federal income taxes as well as state taxes. The Company recorded an income tax provision of $0.1 million for the three and six months ended June 30, 2019 and $0.2 million for the three and six months ended June 30, 2018. These amounts relate to the foreign withholding taxes paid in connection with payments recognized under the Newsoara License Agreement.</w:t>
      </w:r>
    </w:p>
    <w:p>
      <w:pPr>
        <w:spacing w:after="0" w:line="73"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at June 30, 2019 is due to the valuation allowance against the Company’s expected net operating losses.</w:t>
      </w:r>
    </w:p>
    <w:p>
      <w:pPr>
        <w:spacing w:after="0" w:line="79"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As discussed in Note 9,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June 30, 2019.</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11:Net Loss per Share</w:t>
      </w:r>
    </w:p>
    <w:p>
      <w:pPr>
        <w:spacing w:after="0" w:line="121"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Basic loss per share is computed by dividing net loss attributable to vTv Therapeutics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5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Class A Common Stock is as follows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3"/>
              </w:rPr>
              <w:t>For the Three Months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4"/>
              </w:rPr>
              <w:t>For the Six Months Ended</w:t>
            </w: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4340" w:type="dxa"/>
            <w:vAlign w:val="bottom"/>
            <w:tcBorders>
              <w:bottom w:val="single" w:sz="8" w:color="CFF0FC"/>
            </w:tcBorders>
          </w:tcPr>
          <w:p>
            <w:pPr>
              <w:spacing w:after="0"/>
              <w:rPr>
                <w:sz w:val="20"/>
                <w:szCs w:val="20"/>
                <w:color w:val="auto"/>
              </w:rPr>
            </w:pPr>
          </w:p>
        </w:tc>
        <w:tc>
          <w:tcPr>
            <w:tcW w:w="4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(5,114)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(9,596)</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(9,096)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(19,556)</w:t>
            </w: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Less: Net loss attributable to noncontrolling</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interests</w:t>
            </w:r>
          </w:p>
        </w:tc>
        <w:tc>
          <w:tcPr>
            <w:tcW w:w="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(2,232)</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(6,524)</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(4,059)</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(13,532)</w:t>
            </w: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4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(6,024)</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4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Less: Deemed distribution to related</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party (Note 9)</w:t>
            </w:r>
          </w:p>
        </w:tc>
        <w:tc>
          <w:tcPr>
            <w:tcW w:w="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(3,728)</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Net loss attributable to common shareholders of</w:t>
            </w: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340" w:type="dxa"/>
            <w:vAlign w:val="bottom"/>
          </w:tcPr>
          <w:p>
            <w:pPr>
              <w:ind w:left="380"/>
              <w:spacing w:after="0"/>
              <w:rPr>
                <w:sz w:val="20"/>
                <w:szCs w:val="20"/>
                <w:color w:val="auto"/>
              </w:rPr>
            </w:pPr>
            <w:r>
              <w:rPr>
                <w:rFonts w:ascii="Arial" w:cs="Arial" w:eastAsia="Arial" w:hAnsi="Arial"/>
                <w:sz w:val="18"/>
                <w:szCs w:val="18"/>
                <w:color w:val="auto"/>
              </w:rPr>
              <w:t>vTv Therapeutics Inc., basic and diluted</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(2,882)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(3,072)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(8,765)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(6,024)</w:t>
            </w: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4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Weighted-average vTv Therapeutics Inc. Class A</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3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Common Stock, basic and diluted</w:t>
            </w:r>
          </w:p>
        </w:tc>
        <w:tc>
          <w:tcPr>
            <w:tcW w:w="4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28,037,628</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10,049,831</w:t>
            </w:r>
          </w:p>
        </w:tc>
        <w:tc>
          <w:tcPr>
            <w:tcW w:w="1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25,464,562</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9,875,743</w:t>
            </w:r>
          </w:p>
        </w:tc>
        <w:tc>
          <w:tcPr>
            <w:tcW w:w="100" w:type="dxa"/>
            <w:vAlign w:val="bottom"/>
            <w:tcBorders>
              <w:bottom w:val="single" w:sz="8" w:color="CFF0FC"/>
            </w:tcBorders>
          </w:tcPr>
          <w:p>
            <w:pPr>
              <w:spacing w:after="0"/>
              <w:rPr>
                <w:sz w:val="20"/>
                <w:szCs w:val="20"/>
                <w:color w:val="auto"/>
              </w:rPr>
            </w:pPr>
          </w:p>
        </w:tc>
        <w:tc>
          <w:tcPr>
            <w:tcW w:w="58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Net loss per share of vTv Therapeutics Inc. Class A</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(0.10)</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(0.31)</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(0.34)</w:t>
            </w: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(0.61)</w:t>
            </w:r>
          </w:p>
        </w:tc>
        <w:tc>
          <w:tcPr>
            <w:tcW w:w="58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Potentially dilutive securities not included in the calculation of diluted net loss per share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76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2019</w:t>
            </w: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2018</w:t>
            </w:r>
          </w:p>
        </w:tc>
      </w:tr>
      <w:tr>
        <w:trPr>
          <w:trHeight w:val="223"/>
        </w:trPr>
        <w:tc>
          <w:tcPr>
            <w:tcW w:w="1160" w:type="dxa"/>
            <w:vAlign w:val="bottom"/>
          </w:tcPr>
          <w:p>
            <w:pPr>
              <w:spacing w:after="0"/>
              <w:rPr>
                <w:sz w:val="19"/>
                <w:szCs w:val="19"/>
                <w:color w:val="auto"/>
              </w:rPr>
            </w:pPr>
          </w:p>
        </w:tc>
        <w:tc>
          <w:tcPr>
            <w:tcW w:w="5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Class B Common Stock </w:t>
            </w:r>
            <w:r>
              <w:rPr>
                <w:rFonts w:ascii="Arial" w:cs="Arial" w:eastAsia="Arial" w:hAnsi="Arial"/>
                <w:sz w:val="15"/>
                <w:szCs w:val="15"/>
                <w:color w:val="auto"/>
              </w:rPr>
              <w:t>(1)</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23,094,221</w:t>
            </w:r>
          </w:p>
        </w:tc>
        <w:tc>
          <w:tcPr>
            <w:tcW w:w="2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23,094,221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Plan</w:t>
            </w:r>
          </w:p>
        </w:tc>
        <w:tc>
          <w:tcPr>
            <w:tcW w:w="1500" w:type="dxa"/>
            <w:vAlign w:val="bottom"/>
          </w:tcPr>
          <w:p>
            <w:pPr>
              <w:jc w:val="right"/>
              <w:spacing w:after="0"/>
              <w:rPr>
                <w:sz w:val="20"/>
                <w:szCs w:val="20"/>
                <w:color w:val="auto"/>
              </w:rPr>
            </w:pPr>
            <w:r>
              <w:rPr>
                <w:rFonts w:ascii="Arial" w:cs="Arial" w:eastAsia="Arial" w:hAnsi="Arial"/>
                <w:sz w:val="18"/>
                <w:szCs w:val="18"/>
                <w:color w:val="auto"/>
              </w:rPr>
              <w:t>2,576,711</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1,926,925</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23,334</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Common stock options granted under Letter Agreements</w:t>
            </w:r>
          </w:p>
        </w:tc>
        <w:tc>
          <w:tcPr>
            <w:tcW w:w="1500" w:type="dxa"/>
            <w:vAlign w:val="bottom"/>
          </w:tcPr>
          <w:p>
            <w:pPr>
              <w:jc w:val="right"/>
              <w:spacing w:after="0"/>
              <w:rPr>
                <w:sz w:val="20"/>
                <w:szCs w:val="20"/>
                <w:color w:val="auto"/>
              </w:rPr>
            </w:pPr>
            <w:r>
              <w:rPr>
                <w:rFonts w:ascii="Arial" w:cs="Arial" w:eastAsia="Arial" w:hAnsi="Arial"/>
                <w:sz w:val="18"/>
                <w:szCs w:val="18"/>
                <w:color w:val="auto"/>
              </w:rPr>
              <w:t>4,242,425</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1,141,553</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1,248,041</w:t>
            </w:r>
          </w:p>
        </w:tc>
        <w:tc>
          <w:tcPr>
            <w:tcW w:w="26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388,853</w:t>
            </w:r>
          </w:p>
        </w:tc>
        <w:tc>
          <w:tcPr>
            <w:tcW w:w="80" w:type="dxa"/>
            <w:vAlign w:val="bottom"/>
            <w:shd w:val="clear" w:color="auto" w:fill="CFF0FC"/>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57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31,173,065</w:t>
            </w:r>
          </w:p>
        </w:tc>
        <w:tc>
          <w:tcPr>
            <w:tcW w:w="2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26,574,886</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134" w:lineRule="exact"/>
        <w:rPr>
          <w:sz w:val="20"/>
          <w:szCs w:val="20"/>
          <w:color w:val="auto"/>
        </w:rPr>
      </w:pPr>
    </w:p>
    <w:p>
      <w:pPr>
        <w:ind w:left="900" w:right="60" w:hanging="379"/>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12:Restructuring</w:t>
      </w:r>
    </w:p>
    <w:p>
      <w:pPr>
        <w:spacing w:after="0" w:line="121"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In December 2018, the Company initiated a corporate restructuring to align with a strategic decision to continue the development of its drug candidates using external resources rather than internal resources. The restructuring will allow the Company to reduce costs while continuing to conduct clinical trials, to support existing partnerships that are advancing development of additional assets, and to pursue new licensing and partnership opportunities. This restructuring included a significant reduction in its workforce. The Company completed these restructuring activities in the second quarter of 2019.</w:t>
      </w:r>
    </w:p>
    <w:p>
      <w:pPr>
        <w:spacing w:after="0" w:line="46" w:lineRule="exact"/>
        <w:rPr>
          <w:sz w:val="20"/>
          <w:szCs w:val="20"/>
          <w:color w:val="auto"/>
        </w:rPr>
      </w:pPr>
    </w:p>
    <w:p>
      <w:pPr>
        <w:ind w:right="220" w:firstLine="518"/>
        <w:spacing w:after="0" w:line="308" w:lineRule="auto"/>
        <w:rPr>
          <w:sz w:val="20"/>
          <w:szCs w:val="20"/>
          <w:color w:val="auto"/>
        </w:rPr>
      </w:pPr>
      <w:r>
        <w:rPr>
          <w:rFonts w:ascii="Arial" w:cs="Arial" w:eastAsia="Arial" w:hAnsi="Arial"/>
          <w:sz w:val="17"/>
          <w:szCs w:val="17"/>
          <w:color w:val="auto"/>
        </w:rPr>
        <w:t>During the six months ended June 30, 2019, the Company made cash payments of $0.3 million related to these severance benefits and recognized an immaterial amount of expense related to this plan. As of June 30, 2019, the remaining severance accrual was a de minimis amount.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13:Fair Value of Financial Instruments</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carrying amount of certain of the Company’s financial instruments, including cash and cash equivalents, net accounts receivable, accounts payable and other accrued liabilities approximate fair value due to their short-term nature.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fair value of the Company’s Loan Agreement is considered to approximate its carrying value because it bears interest at a variable interest rate.</w:t>
      </w:r>
    </w:p>
    <w:p>
      <w:pPr>
        <w:spacing w:after="0" w:line="140" w:lineRule="exact"/>
        <w:rPr>
          <w:sz w:val="20"/>
          <w:szCs w:val="20"/>
          <w:color w:val="auto"/>
        </w:rPr>
      </w:pPr>
    </w:p>
    <w:p>
      <w:pPr>
        <w:jc w:val="both"/>
        <w:ind w:right="120" w:firstLine="518"/>
        <w:spacing w:after="0" w:line="259" w:lineRule="auto"/>
        <w:rPr>
          <w:sz w:val="20"/>
          <w:szCs w:val="20"/>
          <w:color w:val="auto"/>
        </w:rPr>
      </w:pPr>
      <w:r>
        <w:rPr>
          <w:rFonts w:ascii="Arial" w:cs="Arial" w:eastAsia="Arial" w:hAnsi="Arial"/>
          <w:sz w:val="18"/>
          <w:szCs w:val="18"/>
          <w:color w:val="auto"/>
        </w:rPr>
        <w:t>The Company measures the value of its investment in Reneo at cost minus impairment, if any, plus or minus changes resulting from observable price changes in orderly transactions for the identical or similar investment. During the three and six months ended June 30, 2019, there were no observable price changes in identical or similar investments, nor were there any indications of impairment. As such, the value of the Company’s investment in Reneo was not remeasured.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June 30, 2019 and December 31, 2018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9"/>
              <w:spacing w:after="0"/>
              <w:rPr>
                <w:sz w:val="20"/>
                <w:szCs w:val="20"/>
                <w:color w:val="auto"/>
              </w:rPr>
            </w:pPr>
            <w:r>
              <w:rPr>
                <w:rFonts w:ascii="Arial" w:cs="Arial" w:eastAsia="Arial" w:hAnsi="Arial"/>
                <w:sz w:val="14"/>
                <w:szCs w:val="14"/>
                <w:b w:val="1"/>
                <w:bCs w:val="1"/>
                <w:color w:val="auto"/>
                <w:w w:val="90"/>
              </w:rPr>
              <w:t>June 30, 2019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4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Pr>
          <w:p>
            <w:pPr>
              <w:ind w:left="500"/>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0" w:name="page21"/>
    <w:bookmarkEnd w:id="20"/>
    <w:tbl>
      <w:tblPr>
        <w:tblLayout w:type="fixed"/>
        <w:tblInd w:w="5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50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right="200" w:hanging="512"/>
        <w:spacing w:after="0" w:line="26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Fair value determined using the Black-Scholes option pricing model. Expected volatility is based on a portfolio of selected stocks of companies believed to have market and economic characteristics similar to its own. The risk-free rate is based on the U.S. Treasury yield curve in effect at the time of the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12090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500" w:type="dxa"/>
            <w:vAlign w:val="bottom"/>
            <w:gridSpan w:val="15"/>
          </w:tcPr>
          <w:p>
            <w:pPr>
              <w:jc w:val="center"/>
              <w:ind w:right="260"/>
              <w:spacing w:after="0"/>
              <w:rPr>
                <w:sz w:val="20"/>
                <w:szCs w:val="20"/>
                <w:color w:val="auto"/>
              </w:rPr>
            </w:pPr>
            <w:r>
              <w:rPr>
                <w:rFonts w:ascii="Arial" w:cs="Arial" w:eastAsia="Arial" w:hAnsi="Arial"/>
                <w:sz w:val="14"/>
                <w:szCs w:val="14"/>
                <w:b w:val="1"/>
                <w:bCs w:val="1"/>
                <w:color w:val="auto"/>
                <w:w w:val="91"/>
              </w:rPr>
              <w:t>Changes in Level 3 instruments for the six months ended June 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Net Change 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fair value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89"/>
              </w:rPr>
              <w:t>Purchases /</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Sales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8"/>
              <w:spacing w:after="0"/>
              <w:rPr>
                <w:sz w:val="20"/>
                <w:szCs w:val="20"/>
                <w:color w:val="auto"/>
              </w:rPr>
            </w:pPr>
            <w:r>
              <w:rPr>
                <w:rFonts w:ascii="Arial" w:cs="Arial" w:eastAsia="Arial" w:hAnsi="Arial"/>
                <w:sz w:val="14"/>
                <w:szCs w:val="14"/>
                <w:b w:val="1"/>
                <w:bCs w:val="1"/>
                <w:color w:val="auto"/>
                <w:w w:val="97"/>
              </w:rPr>
              <w:t>January 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Issuance</w:t>
            </w:r>
          </w:p>
        </w:tc>
        <w:tc>
          <w:tcPr>
            <w:tcW w:w="2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w w:val="97"/>
              </w:rPr>
              <w:t>Repurchases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tcBorders>
            <w:shd w:val="clear" w:color="auto" w:fill="CFF0FC"/>
          </w:tcPr>
          <w:p>
            <w:pPr>
              <w:jc w:val="right"/>
              <w:ind w:right="3090"/>
              <w:spacing w:after="0"/>
              <w:rPr>
                <w:sz w:val="20"/>
                <w:szCs w:val="20"/>
                <w:color w:val="auto"/>
              </w:rPr>
            </w:pPr>
            <w:r>
              <w:rPr>
                <w:rFonts w:ascii="Arial" w:cs="Arial" w:eastAsia="Arial" w:hAnsi="Arial"/>
                <w:sz w:val="18"/>
                <w:szCs w:val="18"/>
                <w:b w:val="1"/>
                <w:bCs w:val="1"/>
                <w:color w:val="auto"/>
                <w:w w:val="79"/>
              </w:rPr>
              <w:t>2019</w:t>
            </w:r>
          </w:p>
        </w:tc>
        <w:tc>
          <w:tcPr>
            <w:tcW w:w="1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jc w:val="right"/>
              <w:ind w:right="1030"/>
              <w:spacing w:after="0"/>
              <w:rPr>
                <w:sz w:val="20"/>
                <w:szCs w:val="20"/>
                <w:color w:val="auto"/>
              </w:rPr>
            </w:pPr>
            <w:r>
              <w:rPr>
                <w:rFonts w:ascii="Arial" w:cs="Arial" w:eastAsia="Arial" w:hAnsi="Arial"/>
                <w:sz w:val="18"/>
                <w:szCs w:val="18"/>
                <w:color w:val="auto"/>
              </w:rPr>
              <w:t>Warrant liability, related party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2,436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(1,196)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jc w:val="right"/>
              <w:ind w:right="257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shd w:val="clear" w:color="auto" w:fill="CFF0FC"/>
          </w:tcPr>
          <w:p>
            <w:pPr>
              <w:jc w:val="right"/>
              <w:ind w:right="3090"/>
              <w:spacing w:after="0"/>
              <w:rPr>
                <w:sz w:val="20"/>
                <w:szCs w:val="20"/>
                <w:color w:val="auto"/>
              </w:rPr>
            </w:pPr>
            <w:r>
              <w:rPr>
                <w:rFonts w:ascii="Arial" w:cs="Arial" w:eastAsia="Arial" w:hAnsi="Arial"/>
                <w:sz w:val="18"/>
                <w:szCs w:val="18"/>
                <w:b w:val="1"/>
                <w:bCs w:val="1"/>
                <w:color w:val="auto"/>
                <w:w w:val="79"/>
              </w:rPr>
              <w:t>2018</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jc w:val="right"/>
              <w:ind w:right="1030"/>
              <w:spacing w:after="0"/>
              <w:rPr>
                <w:sz w:val="20"/>
                <w:szCs w:val="20"/>
                <w:color w:val="auto"/>
              </w:rPr>
            </w:pPr>
            <w:r>
              <w:rPr>
                <w:rFonts w:ascii="Arial" w:cs="Arial" w:eastAsia="Arial" w:hAnsi="Arial"/>
                <w:sz w:val="18"/>
                <w:szCs w:val="18"/>
                <w:color w:val="auto"/>
              </w:rPr>
              <w:t>Warrant liability, related party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jc w:val="right"/>
              <w:ind w:right="257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three and six months ended June 30, 2019 and 2018, the Company recognized gains related to the change in fair value of the Letter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Agreement Warrants of $0.3 million for each of the three-month periods and gains of $1.2 million and $0.3 million, respectively, for the six-month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periods. These gains were recognized as a component of other income – related party in the Condensed Consolidated Statements of Operations.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inputs utilized in the valuation of the Letter Agreement Warrants as of June 30, 2019 were:</w:t>
      </w:r>
    </w:p>
    <w:p>
      <w:pPr>
        <w:spacing w:after="0" w:line="29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June 30, 2019</w:t>
            </w:r>
          </w:p>
        </w:tc>
        <w:tc>
          <w:tcPr>
            <w:tcW w:w="2020" w:type="dxa"/>
            <w:vAlign w:val="bottom"/>
            <w:gridSpan w:val="2"/>
          </w:tcPr>
          <w:p>
            <w:pPr>
              <w:ind w:left="42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113.41%</w:t>
            </w:r>
          </w:p>
        </w:tc>
        <w:tc>
          <w:tcPr>
            <w:tcW w:w="10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- 118.49%</w:t>
            </w:r>
          </w:p>
        </w:tc>
        <w:tc>
          <w:tcPr>
            <w:tcW w:w="1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108.53%</w:t>
            </w:r>
          </w:p>
        </w:tc>
        <w:tc>
          <w:tcPr>
            <w:tcW w:w="1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- 115.04%</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c>
          <w:tcPr>
            <w:tcW w:w="1000" w:type="dxa"/>
            <w:vAlign w:val="bottom"/>
          </w:tcPr>
          <w:p>
            <w:pPr>
              <w:ind w:left="20"/>
              <w:spacing w:after="0"/>
              <w:rPr>
                <w:sz w:val="20"/>
                <w:szCs w:val="20"/>
                <w:color w:val="auto"/>
              </w:rPr>
            </w:pPr>
            <w:r>
              <w:rPr>
                <w:rFonts w:ascii="Arial" w:cs="Arial" w:eastAsia="Arial" w:hAnsi="Arial"/>
                <w:sz w:val="18"/>
                <w:szCs w:val="18"/>
                <w:color w:val="auto"/>
              </w:rPr>
              <w:t>- 1.84%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w:t>
            </w:r>
          </w:p>
        </w:tc>
        <w:tc>
          <w:tcPr>
            <w:tcW w:w="1080" w:type="dxa"/>
            <w:vAlign w:val="bottom"/>
          </w:tcPr>
          <w:p>
            <w:pPr>
              <w:ind w:left="20"/>
              <w:spacing w:after="0"/>
              <w:rPr>
                <w:sz w:val="20"/>
                <w:szCs w:val="20"/>
                <w:color w:val="auto"/>
              </w:rPr>
            </w:pPr>
            <w:r>
              <w:rPr>
                <w:rFonts w:ascii="Arial" w:cs="Arial" w:eastAsia="Arial" w:hAnsi="Arial"/>
                <w:sz w:val="18"/>
                <w:szCs w:val="18"/>
                <w:color w:val="auto"/>
              </w:rPr>
              <w:t>- 2.69%</w:t>
            </w:r>
          </w:p>
        </w:tc>
      </w:tr>
    </w:tbl>
    <w:p>
      <w:pPr>
        <w:spacing w:after="0" w:line="20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Changes in the unobservable inputs noted above would impact the amount of the liability for the Letter Agreement Warrants. Increases (decreases) in the estimates of the Company’s annual volatility would increase (decrease) the liability and an increase (decrease) in the annual risk-free rate would increase (decrease) the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14:Subsequent Events</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On July 9, 2019, the Company caused MacAndrews to purchase an additional 1,212,121 shares of its Class A Common Stock under the terms of the March 2019 Letter Agreement for $2.0 million in cash.</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4" w:right="33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518"/>
        <w:spacing w:after="0" w:line="270" w:lineRule="auto"/>
        <w:rPr>
          <w:sz w:val="20"/>
          <w:szCs w:val="20"/>
          <w:color w:val="auto"/>
        </w:rPr>
      </w:pPr>
      <w:r>
        <w:rPr>
          <w:rFonts w:ascii="Arial" w:cs="Arial" w:eastAsia="Arial" w:hAnsi="Arial"/>
          <w:sz w:val="17"/>
          <w:szCs w:val="17"/>
          <w:color w:val="auto"/>
        </w:rPr>
        <w:t xml:space="preserve">We are a clinical-stage biopharmaceutical company engaged in the development of orally administered small molecule drug candidates to fill significant unmet medical needs. We have a pipeline of clinical drug candidates, led by our programs for the treatment of Alzheimer’s disease (“AD”) and diabetes. Our drug candidate for the treatment of AD,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w:t>
      </w:r>
      <w:r>
        <w:rPr>
          <w:rFonts w:ascii="Arial" w:cs="Arial" w:eastAsia="Arial" w:hAnsi="Arial"/>
          <w:sz w:val="17"/>
          <w:szCs w:val="17"/>
          <w:i w:val="1"/>
          <w:iCs w:val="1"/>
          <w:color w:val="auto"/>
        </w:rPr>
        <w:t>TTP488</w:t>
      </w:r>
      <w:r>
        <w:rPr>
          <w:rFonts w:ascii="Arial" w:cs="Arial" w:eastAsia="Arial" w:hAnsi="Arial"/>
          <w:sz w:val="17"/>
          <w:szCs w:val="17"/>
          <w:color w:val="auto"/>
        </w:rPr>
        <w:t xml:space="preserve">), is an orally administered, small molecule antagonist targeting the receptor for advanced glycation endproducts (“RAGE”). We began screening patients in June 2019 for a Phase 2 trial to evaluate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as a potential treatment of mild-AD in patients with type 2 diabetes. We are currently investigating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treatment for type 1 diabetes in a Phase 2 study in partnership with JDRF International (“JDRF”). In addition, we are furthering the development of </w:t>
      </w:r>
      <w:r>
        <w:rPr>
          <w:rFonts w:ascii="Arial" w:cs="Arial" w:eastAsia="Arial" w:hAnsi="Arial"/>
          <w:sz w:val="17"/>
          <w:szCs w:val="17"/>
          <w:i w:val="1"/>
          <w:iCs w:val="1"/>
          <w:color w:val="auto"/>
        </w:rPr>
        <w:t>TTP273</w:t>
      </w:r>
      <w:r>
        <w:rPr>
          <w:rFonts w:ascii="Arial" w:cs="Arial" w:eastAsia="Arial" w:hAnsi="Arial"/>
          <w:sz w:val="17"/>
          <w:szCs w:val="17"/>
          <w:color w:val="auto"/>
        </w:rPr>
        <w:t>, an orally administered, non-peptide agonist that targets the glucagon-like peptide-1 receptor (“GLP-1r”), our peroxisome proliferation activated receptor delta (“PPAR-δ”) agonist, and phosphodiesterase type 4 (“PDE4”) programs through partnerships with pharmaceutical partners via licensing arrangements. Finally, we continue to advance our NRF2 pathway program via research agreements with academic and industry collaborators.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current drug candidates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83185</wp:posOffset>
            </wp:positionV>
            <wp:extent cx="5951855" cy="257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5185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Our Alzheimer’s Program – </w:t>
      </w:r>
      <w:r>
        <w:rPr>
          <w:rFonts w:ascii="Arial" w:cs="Arial" w:eastAsia="Arial" w:hAnsi="Arial"/>
          <w:sz w:val="18"/>
          <w:szCs w:val="18"/>
          <w:b w:val="1"/>
          <w:bCs w:val="1"/>
          <w:i w:val="1"/>
          <w:iCs w:val="1"/>
          <w:color w:val="auto"/>
        </w:rPr>
        <w:t>Azeliragon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Sequential Phase 2 and Phase 3 Studies in Mild-AD patients with Type 2 Diabetes</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 xml:space="preserve">In June 2019, we began screening patients for a clinical trial to evaluate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as a potential treatment of mild-AD in patients with type 2 diabetes that consists of sequential phase 2 and phase 3 studies operationally conducted under a single clinical trial protocol (the “488-305 Study”). The Phase 2 study is designed to enroll approximately 100 patients to evaluate the impact of six months of treatment with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on cognitive performance as measured by the change from baseline in the Alzheimer’s Disease Assessment Scale – Cognitive Subscale (“ADAS-COG</w:t>
      </w:r>
      <w:r>
        <w:rPr>
          <w:rFonts w:ascii="Arial" w:cs="Arial" w:eastAsia="Arial" w:hAnsi="Arial"/>
          <w:sz w:val="13"/>
          <w:szCs w:val="13"/>
          <w:color w:val="auto"/>
        </w:rPr>
        <w:t>14</w:t>
      </w:r>
      <w:r>
        <w:rPr>
          <w:rFonts w:ascii="Arial" w:cs="Arial" w:eastAsia="Arial" w:hAnsi="Arial"/>
          <w:sz w:val="16"/>
          <w:szCs w:val="16"/>
          <w:color w:val="auto"/>
        </w:rPr>
        <w:t xml:space="preserve">”). We expect to report top-line results from the Phase 2 study by the end of the fourth quarter of 2020. The Phase 3 study is designed to enroll approximately 200 patients to evaluate the efficacy of 18 months of treatment with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on cognition and function. The design of the Phase 3 study may be adapted based on the results of the Phase 2 study.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Diabetes Programs – Glucokinase Activator</w:t>
      </w:r>
    </w:p>
    <w:p>
      <w:pPr>
        <w:spacing w:after="0" w:line="121" w:lineRule="exact"/>
        <w:rPr>
          <w:sz w:val="20"/>
          <w:szCs w:val="20"/>
          <w:color w:val="auto"/>
        </w:rPr>
      </w:pPr>
    </w:p>
    <w:p>
      <w:pPr>
        <w:ind w:right="40" w:firstLine="761"/>
        <w:spacing w:after="0" w:line="277" w:lineRule="auto"/>
        <w:rPr>
          <w:sz w:val="20"/>
          <w:szCs w:val="20"/>
          <w:color w:val="auto"/>
        </w:rPr>
      </w:pPr>
      <w:r>
        <w:rPr>
          <w:rFonts w:ascii="Arial" w:cs="Arial" w:eastAsia="Arial" w:hAnsi="Arial"/>
          <w:sz w:val="18"/>
          <w:szCs w:val="18"/>
          <w:color w:val="auto"/>
        </w:rPr>
        <w:t xml:space="preserve">In June 2019, we announced positive results from the primary analysis of Part 1 of the Phase 2 Simplici-T1 trial assessing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adult patients with type 1 diabetes (“T1D”).</w:t>
      </w:r>
    </w:p>
    <w:p>
      <w:pPr>
        <w:spacing w:after="0" w:line="62" w:lineRule="exact"/>
        <w:rPr>
          <w:sz w:val="20"/>
          <w:szCs w:val="20"/>
          <w:color w:val="auto"/>
        </w:rPr>
      </w:pPr>
    </w:p>
    <w:p>
      <w:pPr>
        <w:ind w:right="280" w:firstLine="761"/>
        <w:spacing w:after="0" w:line="302" w:lineRule="auto"/>
        <w:rPr>
          <w:sz w:val="20"/>
          <w:szCs w:val="20"/>
          <w:color w:val="auto"/>
        </w:rPr>
      </w:pPr>
      <w:r>
        <w:rPr>
          <w:rFonts w:ascii="Arial" w:cs="Arial" w:eastAsia="Arial" w:hAnsi="Arial"/>
          <w:sz w:val="16"/>
          <w:szCs w:val="16"/>
          <w:color w:val="auto"/>
        </w:rPr>
        <w:t xml:space="preserve">In this double-blind, placebo-controlled 12-week trial, the baseline mean HbA1c for the groups treated with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and placebo was 7.3% and 7.4%, respectively. Patients treated with TTP399 (n=8) showed a statistically significant mean reduction in HbA1c of 0.6% at 12 weeks, while the group treated with placebo (n=11) showed a mean increase in HbA1c of 0.1%, resulting in a mean HbA1c reduction of 0.7% in the </w:t>
      </w:r>
      <w:r>
        <w:rPr>
          <w:rFonts w:ascii="Arial" w:cs="Arial" w:eastAsia="Arial" w:hAnsi="Arial"/>
          <w:sz w:val="16"/>
          <w:szCs w:val="16"/>
          <w:i w:val="1"/>
          <w:iCs w:val="1"/>
          <w:color w:val="auto"/>
        </w:rPr>
        <w:t>TTP399</w:t>
      </w:r>
      <w:r>
        <w:rPr>
          <w:rFonts w:ascii="Arial" w:cs="Arial" w:eastAsia="Arial" w:hAnsi="Arial"/>
          <w:sz w:val="16"/>
          <w:szCs w:val="16"/>
          <w:color w:val="auto"/>
        </w:rPr>
        <w:t xml:space="preserve"> group relative to the placebo group (p=0.03). At the same time, trends toward decreased insulin usage were observed in the group treated with </w:t>
      </w:r>
      <w:r>
        <w:rPr>
          <w:rFonts w:ascii="Arial" w:cs="Arial" w:eastAsia="Arial" w:hAnsi="Arial"/>
          <w:sz w:val="16"/>
          <w:szCs w:val="16"/>
          <w:i w:val="1"/>
          <w:iCs w:val="1"/>
          <w:color w:val="auto"/>
        </w:rPr>
        <w:t>TTP399</w:t>
      </w:r>
      <w:r>
        <w:rPr>
          <w:rFonts w:ascii="Arial" w:cs="Arial" w:eastAsia="Arial" w:hAnsi="Arial"/>
          <w:sz w:val="16"/>
          <w:szCs w:val="16"/>
          <w:color w:val="auto"/>
        </w:rPr>
        <w:t>.</w:t>
      </w:r>
    </w:p>
    <w:p>
      <w:pPr>
        <w:spacing w:after="0" w:line="46" w:lineRule="exact"/>
        <w:rPr>
          <w:sz w:val="20"/>
          <w:szCs w:val="20"/>
          <w:color w:val="auto"/>
        </w:rPr>
      </w:pPr>
    </w:p>
    <w:p>
      <w:pPr>
        <w:ind w:right="220" w:firstLine="761"/>
        <w:spacing w:after="0" w:line="297" w:lineRule="auto"/>
        <w:rPr>
          <w:sz w:val="20"/>
          <w:szCs w:val="20"/>
          <w:color w:val="auto"/>
        </w:rPr>
      </w:pPr>
      <w:r>
        <w:rPr>
          <w:rFonts w:ascii="Arial" w:cs="Arial" w:eastAsia="Arial" w:hAnsi="Arial"/>
          <w:sz w:val="16"/>
          <w:szCs w:val="16"/>
          <w:color w:val="auto"/>
        </w:rPr>
        <w:t xml:space="preserve">Patients in this study received insulin adjustments to optimize glucose levels. As a result, the primary analysis included a responder analysis in which a ‘treatment responder’ was defined as a patient who had a decrease in HbA1c at Week 12, no abnormal lactate or ketones detected in blood or urine during the study, and no increased time in Level 2 hypoglycemia (blood glucose &lt;54 mg/dl). Of all study patients, there was a greater proportion of responders in the group treated with </w:t>
      </w:r>
      <w:r>
        <w:rPr>
          <w:rFonts w:ascii="Arial" w:cs="Arial" w:eastAsia="Arial" w:hAnsi="Arial"/>
          <w:sz w:val="16"/>
          <w:szCs w:val="16"/>
          <w:i w:val="1"/>
          <w:iCs w:val="1"/>
          <w:color w:val="auto"/>
        </w:rPr>
        <w:t>TTP399</w:t>
      </w:r>
      <w:r>
        <w:rPr>
          <w:rFonts w:ascii="Arial" w:cs="Arial" w:eastAsia="Arial" w:hAnsi="Arial"/>
          <w:sz w:val="16"/>
          <w:szCs w:val="16"/>
          <w:color w:val="auto"/>
        </w:rPr>
        <w:t xml:space="preserve"> (75%) than in the placebo group (9%) (p=0.006). Consistent with the treatment responder results, abnormal ketones were observed in plasma or urine in 63% of patients on placebo vs. 13% of patients treated with </w:t>
      </w:r>
      <w:r>
        <w:rPr>
          <w:rFonts w:ascii="Arial" w:cs="Arial" w:eastAsia="Arial" w:hAnsi="Arial"/>
          <w:sz w:val="16"/>
          <w:szCs w:val="16"/>
          <w:i w:val="1"/>
          <w:iCs w:val="1"/>
          <w:color w:val="auto"/>
        </w:rPr>
        <w:t>TTP399</w:t>
      </w:r>
      <w:r>
        <w:rPr>
          <w:rFonts w:ascii="Arial" w:cs="Arial" w:eastAsia="Arial" w:hAnsi="Arial"/>
          <w:sz w:val="16"/>
          <w:szCs w:val="16"/>
          <w:color w:val="auto"/>
        </w:rPr>
        <w:t>.</w:t>
      </w:r>
    </w:p>
    <w:p>
      <w:pPr>
        <w:spacing w:after="0" w:line="50" w:lineRule="exact"/>
        <w:rPr>
          <w:sz w:val="20"/>
          <w:szCs w:val="20"/>
          <w:color w:val="auto"/>
        </w:rPr>
      </w:pPr>
    </w:p>
    <w:p>
      <w:pPr>
        <w:ind w:right="440" w:firstLine="761"/>
        <w:spacing w:after="0" w:line="277" w:lineRule="auto"/>
        <w:rPr>
          <w:sz w:val="20"/>
          <w:szCs w:val="20"/>
          <w:color w:val="auto"/>
        </w:rPr>
      </w:pPr>
      <w:r>
        <w:rPr>
          <w:rFonts w:ascii="Arial" w:cs="Arial" w:eastAsia="Arial" w:hAnsi="Arial"/>
          <w:sz w:val="18"/>
          <w:szCs w:val="18"/>
          <w:i w:val="1"/>
          <w:iCs w:val="1"/>
          <w:color w:val="auto"/>
        </w:rPr>
        <w:t xml:space="preserve">TTP399 </w:t>
      </w:r>
      <w:r>
        <w:rPr>
          <w:rFonts w:ascii="Arial" w:cs="Arial" w:eastAsia="Arial" w:hAnsi="Arial"/>
          <w:sz w:val="18"/>
          <w:szCs w:val="18"/>
          <w:color w:val="auto"/>
        </w:rPr>
        <w:t>was well tolerated with similar incidences of treatment-emergent adverse events overall and by system organ class. The study had no</w:t>
      </w:r>
      <w:r>
        <w:rPr>
          <w:rFonts w:ascii="Arial" w:cs="Arial" w:eastAsia="Arial" w:hAnsi="Arial"/>
          <w:sz w:val="18"/>
          <w:szCs w:val="18"/>
          <w:i w:val="1"/>
          <w:iCs w:val="1"/>
          <w:color w:val="auto"/>
        </w:rPr>
        <w:t xml:space="preserve"> </w:t>
      </w:r>
      <w:r>
        <w:rPr>
          <w:rFonts w:ascii="Arial" w:cs="Arial" w:eastAsia="Arial" w:hAnsi="Arial"/>
          <w:sz w:val="18"/>
          <w:szCs w:val="18"/>
          <w:color w:val="auto"/>
        </w:rPr>
        <w:t>serious adverse event reported. The study also had no report of diabetic ketoacidosis or severe hypoglycemia.</w:t>
      </w:r>
    </w:p>
    <w:p>
      <w:pPr>
        <w:spacing w:after="0" w:line="62" w:lineRule="exact"/>
        <w:rPr>
          <w:sz w:val="20"/>
          <w:szCs w:val="20"/>
          <w:color w:val="auto"/>
        </w:rPr>
      </w:pPr>
    </w:p>
    <w:p>
      <w:pPr>
        <w:ind w:right="260" w:firstLine="761"/>
        <w:spacing w:after="0" w:line="277" w:lineRule="auto"/>
        <w:rPr>
          <w:sz w:val="20"/>
          <w:szCs w:val="20"/>
          <w:color w:val="auto"/>
        </w:rPr>
      </w:pPr>
      <w:r>
        <w:rPr>
          <w:rFonts w:ascii="Arial" w:cs="Arial" w:eastAsia="Arial" w:hAnsi="Arial"/>
          <w:sz w:val="18"/>
          <w:szCs w:val="18"/>
          <w:color w:val="auto"/>
        </w:rPr>
        <w:t>We have begun enrollment in Part 2 of the Phase 2 Simplici-T1 trial and expect to report topline results from this portion of the study in the first quarter of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To date, we have not generated any revenue from drug sales. Our revenue has been primarily derived from up-front proceeds and research fees under collaboration and license agreements.</w:t>
      </w:r>
    </w:p>
    <w:p>
      <w:pPr>
        <w:spacing w:after="0" w:line="6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59"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From our inception, including our predecessor companies, through June 30, 2019, we have incurred approximately $572.0 million in research and development expenses.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research and development expenses by project for the three and six months ended June 30, 2019 and 2018 were as follows (in thousands):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36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23"/>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research and development expense:</w:t>
            </w:r>
          </w:p>
        </w:tc>
        <w:tc>
          <w:tcPr>
            <w:tcW w:w="5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i w:val="1"/>
                <w:iCs w:val="1"/>
                <w:color w:val="auto"/>
              </w:rPr>
              <w:t>Azeliragon</w:t>
            </w:r>
          </w:p>
        </w:tc>
        <w:tc>
          <w:tcPr>
            <w:tcW w:w="134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2,454</w:t>
            </w:r>
          </w:p>
        </w:tc>
        <w:tc>
          <w:tcPr>
            <w:tcW w:w="110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5,717</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3,157</w:t>
            </w:r>
          </w:p>
        </w:tc>
        <w:tc>
          <w:tcPr>
            <w:tcW w:w="300" w:type="dxa"/>
            <w:vAlign w:val="bottom"/>
          </w:tcPr>
          <w:p>
            <w:pPr>
              <w:spacing w:after="0"/>
              <w:rPr>
                <w:sz w:val="19"/>
                <w:szCs w:val="19"/>
                <w:color w:val="auto"/>
              </w:rPr>
            </w:pP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12,275</w:t>
            </w:r>
          </w:p>
        </w:tc>
        <w:tc>
          <w:tcPr>
            <w:tcW w:w="120" w:type="dxa"/>
            <w:vAlign w:val="bottom"/>
          </w:tcPr>
          <w:p>
            <w:pPr>
              <w:spacing w:after="0"/>
              <w:rPr>
                <w:sz w:val="19"/>
                <w:szCs w:val="19"/>
                <w:color w:val="auto"/>
              </w:rPr>
            </w:pPr>
          </w:p>
        </w:tc>
      </w:tr>
      <w:tr>
        <w:trPr>
          <w:trHeight w:val="230"/>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TTP399</w:t>
            </w: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FF0FC"/>
          </w:tcPr>
          <w:p>
            <w:pPr>
              <w:spacing w:after="0"/>
              <w:rPr>
                <w:sz w:val="19"/>
                <w:szCs w:val="19"/>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Other projects</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Indirect research and development expense</w:t>
            </w:r>
          </w:p>
        </w:tc>
        <w:tc>
          <w:tcPr>
            <w:tcW w:w="5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1,101</w:t>
            </w:r>
          </w:p>
        </w:tc>
        <w:tc>
          <w:tcPr>
            <w:tcW w:w="3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2,320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w:t>
            </w:r>
          </w:p>
        </w:tc>
        <w:tc>
          <w:tcPr>
            <w:tcW w:w="120" w:type="dxa"/>
            <w:vAlign w:val="bottom"/>
            <w:shd w:val="clear" w:color="auto" w:fill="CFF0FC"/>
          </w:tcPr>
          <w:p>
            <w:pPr>
              <w:spacing w:after="0"/>
              <w:rPr>
                <w:sz w:val="19"/>
                <w:szCs w:val="19"/>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52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4,228</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8,594</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17,537</w:t>
            </w:r>
          </w:p>
        </w:tc>
        <w:tc>
          <w:tcPr>
            <w:tcW w:w="12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 xml:space="preserve">We expect our research and development expenses to increase as we continue screening and enrollment of the Phase 2 portion of the 488-305 Study as well as the continuing enrollment of patients in Part 2 of the Simplici-T1 study, subject to the availability of additional funding. To the extent we initiate further development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or our other programs, our expenses, cash needs and operating losses may further increase.</w:t>
      </w:r>
    </w:p>
    <w:p>
      <w:pPr>
        <w:spacing w:after="0" w:line="5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79" w:lineRule="exact"/>
        <w:rPr>
          <w:sz w:val="20"/>
          <w:szCs w:val="20"/>
          <w:color w:val="auto"/>
        </w:rPr>
      </w:pPr>
    </w:p>
    <w:p>
      <w:pPr>
        <w:ind w:left="1040" w:right="58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uncertainty of the scope, rate of progress and expense of our ongoing, as well as any additional, clinical trials and other research and development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of our candidates over other therapies;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drug candidates that we are developing or may develop in the future;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enroll patients in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receipt of regulatory approvals, if any;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filing, prosecuting, defending and enforcing of patent claims and other intellectual property rights, and the expense of doing so.</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920" w:firstLine="518"/>
        <w:spacing w:after="0" w:line="308" w:lineRule="auto"/>
        <w:rPr>
          <w:sz w:val="20"/>
          <w:szCs w:val="20"/>
          <w:color w:val="auto"/>
        </w:rPr>
      </w:pPr>
      <w:r>
        <w:rPr>
          <w:rFonts w:ascii="Arial" w:cs="Arial" w:eastAsia="Arial" w:hAnsi="Arial"/>
          <w:sz w:val="17"/>
          <w:szCs w:val="17"/>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ind w:right="660"/>
        <w:spacing w:after="0" w:line="277" w:lineRule="auto"/>
        <w:rPr>
          <w:sz w:val="20"/>
          <w:szCs w:val="20"/>
          <w:color w:val="auto"/>
        </w:rPr>
      </w:pPr>
      <w:r>
        <w:rPr>
          <w:rFonts w:ascii="Arial" w:cs="Arial" w:eastAsia="Arial" w:hAnsi="Arial"/>
          <w:sz w:val="18"/>
          <w:szCs w:val="18"/>
          <w:color w:val="auto"/>
        </w:rPr>
        <w:t>include accounting and legal services, expenses associated with obtaining and maintaining patents, cost of various consultants, occupancy costs and information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Interest expense primarily consists of cash and non-cash interest expense related to our Loan Agreement. Cash interest on the Loan Agreement is recognized at a floating interest rate equal to 10.5% plus the amount by which the one-month London Interbank Offer Rate (“LIBOR”) exceeds 0.5%. Non-cash interest expense represents the amortization of the costs incurred in connection with the Loan Agreement, the allocated fair value of the warrants to purchase shares of our Class A Common Stock issued in connection with the Loan Agreement (the “Warrants”) and the accretion of the final interest payments (which will be paid in cash upon loan maturity), all of which are recognized in our Condensed Consolidated Statement of Operations using the effective interest method.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8"/>
          </w:tcPr>
          <w:p>
            <w:pPr>
              <w:jc w:val="right"/>
              <w:ind w:right="70"/>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data:</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Revenue</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(4,366)</w:t>
            </w:r>
          </w:p>
        </w:tc>
      </w:tr>
      <w:tr>
        <w:trPr>
          <w:trHeight w:val="230"/>
        </w:trPr>
        <w:tc>
          <w:tcPr>
            <w:tcW w:w="20" w:type="dxa"/>
            <w:vAlign w:val="bottom"/>
          </w:tcPr>
          <w:p>
            <w:pPr>
              <w:spacing w:after="0"/>
              <w:rPr>
                <w:sz w:val="19"/>
                <w:szCs w:val="19"/>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(345)</w:t>
            </w: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(4,711)</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(870)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net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Loss before income taxes</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(2,232)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(6,524)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Revenue was $1.8 million for the three months ended June 30, 2019 and $2.5 million for the three months ended June 30, 2018. The reduction in revenue for the three months ended June 30, 2019 relates primarily to the completion of revenue recognized for the license performance obligation under our license agreement with Hangzhou Zhongmei Huadong Pharmaceutical Co., Ltd. (“Huadong”) (the “Huadong License Agreement”) in 2018. This decrease was offset by the recognition of $1.0 million of revenue under our license agreement with Newsoara Biopharma Co., Ltd. (“Newsoara”) (the “Newsoara License Agreement”), which is related to the adjustment in the transaction price due to the satisfaction of a contingent development milestone. We generally recognize the portion of the consideration allocated to the license performance obligation for each of these agreements over the requisite knowledge transfer or research service periods in accordance with the applicable accounting guidance. However, the transaction price may change, causing the recognition of additional revenue for these performance obligations, based upon the inclusion of additional variable consideration when it becomes probable that a development or sales milestone included in our license agreements will be met.</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 xml:space="preserve">Research and development expenses were $4.2 million and $8.6 million for the three months ended June 30, 2019 and 2018, respectively. The decrease in research and development expenses during the period of $4.4 million, or 50.8%, was primarily due to a decrease in clinical trial costs of $3.3 million for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which was mainly driven by the termination of our STEADFAST and open-label extension (“OLE”) studies in early April 2018. This decrease was offset, in part, by an increase in spending for the 488-305 Study. Additionally, we saw a reduction in personnel costs of approximately $1.0 million driven primarily by the corporate restructuring announced in December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General and administrative expenses were relatively consistent between periods at $2.4 million and $2.7 million for the three months ended June 30,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Interest expense was $0.5 million and $0.9 million for the three months ended June 30, 2019 and 2018, respectively. The decrease in interest expense was driven by principal payments made in accordance with the terms of our Loan Agreement. Interest expense relates to the cash and non-cash interest for our Loan Agreement which bears interest at 10.5% plus the amount by which the one-month LIBOR exceeds 0.5%.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8"/>
          </w:tcPr>
          <w:p>
            <w:pPr>
              <w:jc w:val="right"/>
              <w:ind w:right="125"/>
              <w:spacing w:after="0"/>
              <w:rPr>
                <w:sz w:val="20"/>
                <w:szCs w:val="20"/>
                <w:color w:val="auto"/>
              </w:rPr>
            </w:pPr>
            <w:r>
              <w:rPr>
                <w:rFonts w:ascii="Arial" w:cs="Arial" w:eastAsia="Arial" w:hAnsi="Arial"/>
                <w:sz w:val="14"/>
                <w:szCs w:val="14"/>
                <w:b w:val="1"/>
                <w:bCs w:val="1"/>
                <w:color w:val="auto"/>
              </w:rPr>
              <w:t>Six Months Ended June 30,</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data:</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Revenue</w:t>
            </w:r>
          </w:p>
        </w:tc>
        <w:tc>
          <w:tcPr>
            <w:tcW w:w="60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(10,487)</w:t>
            </w: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(214)</w:t>
            </w: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(1,725)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income, net</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9,473</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Revenue was $2.7 million for the six months ended June 30, 2019 and $4.5 million for the six months ended June 30, 2018. The reduction in revenue for the six months ended June 30, 2019 relates primarily to the completion of revenue recognized for the license performance obligation under the Huadong License Agreement in 2018. This decrease was offset by the recognition of $1.0 million of revenue under the Newsoara License Agreement related to the adjustment in the transaction price due to the satisfaction of a contingent development milestone. We generally recognize the portion of the consideration allocated to the license performance obligation for each of these agreements over the requisite knowledge transfer or research service periods in accordance with the applicable accounting guidance. However, the transaction price may change, causing the recognition of additional revenue for these performance obligations, based upon the inclusion of additional variable consideration when it becomes probable that a development or sales milestone included in our license agreements will be met.</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Research and development expenses were $7.1 million and $17.5 million for the six months ended June 30, 2019 and 2018, respectively. The decrease in research and development expenses during the period of $10.5 million, or 59.8%, was primarily due to a decrease in clinical trial costs of $9.1 million for </w:t>
      </w:r>
      <w:r>
        <w:rPr>
          <w:rFonts w:ascii="Arial" w:cs="Arial" w:eastAsia="Arial" w:hAnsi="Arial"/>
          <w:sz w:val="18"/>
          <w:szCs w:val="18"/>
          <w:i w:val="1"/>
          <w:iCs w:val="1"/>
          <w:color w:val="auto"/>
        </w:rPr>
        <w:t xml:space="preserve">azeliragon </w:t>
      </w:r>
      <w:r>
        <w:rPr>
          <w:rFonts w:ascii="Arial" w:cs="Arial" w:eastAsia="Arial" w:hAnsi="Arial"/>
          <w:sz w:val="18"/>
          <w:szCs w:val="18"/>
          <w:color w:val="auto"/>
        </w:rPr>
        <w:t>which was mainly driven by the termination of our STEADFAST and open-label extension (“OLE”) studies in early April 2018. This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offset, in part, by an increase in expenses for the 488-305 Study. Additionally, we saw a reduction in personnel and related overhead costs of approximately $1.9 million primarily driven by the corporate restructuring announced in December 2018. Such decreases were offset by $0.6 million of higher spending on the Simplici-T1 study. During the first quarter of 2019, we were conducting Part 1 of this study, while in the first quarter of 2018, we were beginning startup activities for the sentinel phase.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General and administrative expenses were relatively consistent between periods at $4.8 million and $5.0 million for the six months ended June 30,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240" w:firstLine="518"/>
        <w:spacing w:after="0" w:line="286" w:lineRule="auto"/>
        <w:rPr>
          <w:sz w:val="20"/>
          <w:szCs w:val="20"/>
          <w:color w:val="auto"/>
        </w:rPr>
      </w:pPr>
      <w:r>
        <w:rPr>
          <w:rFonts w:ascii="Arial" w:cs="Arial" w:eastAsia="Arial" w:hAnsi="Arial"/>
          <w:sz w:val="17"/>
          <w:szCs w:val="17"/>
          <w:color w:val="auto"/>
        </w:rPr>
        <w:t>Interest expense was $1.1 million and $1.7 million for the six months ended June 30, 2019 and 2018, respectively. The decrease in interest expense was driven by principal payments made in accordance with the terms of our Loan Agreement. Interest expense relates to the cash and non-cash interest for our Loan Agreement which bears interest at 10.5% plus the amount by which the one-month LIBOR exceeds 0.5%.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Going Concern</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As of June 30, 2019, we have an accumulated deficit of $217.6 million as well as a history of negative cash flows from operating activities. We anticipate that we will continue to incur losses for the foreseeable future as we continue our clinical trials. Further, we expect that we will need additional capital to continue to fund our operations. As of June 30, 2019, our liquidity sources included cash and cash equivalents of $1.5 million, the $7.0 million of remaining funds available under the letter agreements entered into with MacAndrews and Forbes Group LLC (“MacAndrews”) (the “Letter Agreements”) and amounts due under our license agreements with Newsoara and JDRF International, net of applicable taxes. Based on our current operating plan, we believe that our current cash and cash equivalents and remaining funds available under the Letter Agreements will allow us to meet our liquidity requirements into the third quarter of fiscal 2019. These factors raise substantial doubt regarding our ability to continue as a going concern.</w:t>
      </w:r>
    </w:p>
    <w:p>
      <w:pPr>
        <w:spacing w:after="0" w:line="70"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 xml:space="preserve">We began screening patients for the 488-305 Study in June 2019 and are continuing to conduct Part 2 of the Phase 2 clinical trial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patients with type 1 diabetes. In order to complete these trials and continue the Company’s operations, we will require additional financing. We are evaluating several financing strategies to provide continued funding which may include additional direct equity investments or future public offerings of our common stock. The timing and availability of such financing is not yet known.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120" w:firstLine="476"/>
        <w:spacing w:after="0" w:line="279" w:lineRule="auto"/>
        <w:rPr>
          <w:sz w:val="20"/>
          <w:szCs w:val="20"/>
          <w:color w:val="auto"/>
        </w:rPr>
      </w:pPr>
      <w:r>
        <w:rPr>
          <w:rFonts w:ascii="Arial" w:cs="Arial" w:eastAsia="Arial" w:hAnsi="Arial"/>
          <w:sz w:val="17"/>
          <w:szCs w:val="17"/>
          <w:color w:val="auto"/>
        </w:rPr>
        <w:t>We have entered into the Letter Agreements with MacAndrews. Under the terms of the Letter Agreements, we have the right to sell to MacAndrews shares of Class A Common Stock at a specified price per share, and MacAndrews has the right (exercisable up to three times) to require us to sell to it shares of Class A Common Stock at the same price. In addition, in connection with the entrance into certain of these Letter Agreements, we also issued MacAndrews warrants (the “Letter Agreement Warrants”) to purchase additional shares of our Class A Common Stock.</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terms of these Letter Agreements are set forth in the table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right"/>
              <w:ind w:right="14"/>
              <w:spacing w:after="0"/>
              <w:rPr>
                <w:sz w:val="20"/>
                <w:szCs w:val="20"/>
                <w:color w:val="auto"/>
              </w:rPr>
            </w:pPr>
            <w:r>
              <w:rPr>
                <w:rFonts w:ascii="Arial" w:cs="Arial" w:eastAsia="Arial" w:hAnsi="Arial"/>
                <w:sz w:val="14"/>
                <w:szCs w:val="14"/>
                <w:b w:val="1"/>
                <w:bCs w:val="1"/>
                <w:color w:val="auto"/>
                <w:w w:val="91"/>
              </w:rPr>
              <w:t>December 5, 2017 Letter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July 30, 2018 Letter</w:t>
            </w:r>
          </w:p>
        </w:tc>
        <w:tc>
          <w:tcPr>
            <w:tcW w:w="1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December 11, 2018 Letter</w:t>
            </w:r>
          </w:p>
        </w:tc>
        <w:tc>
          <w:tcPr>
            <w:tcW w:w="12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18, 2019 Letter</w:t>
            </w:r>
          </w:p>
        </w:tc>
      </w:tr>
      <w:tr>
        <w:trPr>
          <w:trHeight w:val="171"/>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right"/>
              <w:ind w:right="434"/>
              <w:spacing w:after="0"/>
              <w:rPr>
                <w:sz w:val="20"/>
                <w:szCs w:val="20"/>
                <w:color w:val="auto"/>
              </w:rPr>
            </w:pPr>
            <w:r>
              <w:rPr>
                <w:rFonts w:ascii="Arial" w:cs="Arial" w:eastAsia="Arial" w:hAnsi="Arial"/>
                <w:sz w:val="14"/>
                <w:szCs w:val="14"/>
                <w:b w:val="1"/>
                <w:bCs w:val="1"/>
                <w:color w:val="auto"/>
              </w:rPr>
              <w:t>Agreement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Agreement</w:t>
            </w:r>
          </w:p>
        </w:tc>
        <w:tc>
          <w:tcPr>
            <w:tcW w:w="180" w:type="dxa"/>
            <w:vAlign w:val="bottom"/>
          </w:tcPr>
          <w:p>
            <w:pPr>
              <w:spacing w:after="0"/>
              <w:rPr>
                <w:sz w:val="14"/>
                <w:szCs w:val="14"/>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Agreement</w:t>
            </w:r>
          </w:p>
        </w:tc>
        <w:tc>
          <w:tcPr>
            <w:tcW w:w="12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Agreement</w:t>
            </w:r>
          </w:p>
        </w:tc>
      </w:tr>
      <w:tr>
        <w:trPr>
          <w:trHeight w:val="209"/>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dollar value to be sold under</w:t>
            </w:r>
          </w:p>
        </w:tc>
        <w:tc>
          <w:tcPr>
            <w:tcW w:w="4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3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agreement</w:t>
            </w: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million</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$10.0 million</w:t>
            </w:r>
          </w:p>
        </w:tc>
        <w:tc>
          <w:tcPr>
            <w:tcW w:w="18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 million</w:t>
            </w:r>
          </w:p>
        </w:tc>
        <w:tc>
          <w:tcPr>
            <w:tcW w:w="1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 million</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Specified purchase price per share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4.38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 agreement</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December 5, 2018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July 30, 2019</w:t>
            </w:r>
          </w:p>
        </w:tc>
        <w:tc>
          <w:tcPr>
            <w:tcW w:w="1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3"/>
              </w:rPr>
              <w:t>December 11, 2019</w:t>
            </w:r>
          </w:p>
        </w:tc>
        <w:tc>
          <w:tcPr>
            <w:tcW w:w="1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March 18, 2020</w:t>
            </w: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Shares available to be issued under related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warrants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198,267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518,654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340,534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 warrants</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Expiration date of related warrants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December 5, 2024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560"/>
              <w:spacing w:after="0"/>
              <w:rPr>
                <w:sz w:val="20"/>
                <w:szCs w:val="20"/>
                <w:color w:val="auto"/>
              </w:rPr>
            </w:pPr>
            <w:r>
              <w:rPr>
                <w:rFonts w:ascii="Arial" w:cs="Arial" w:eastAsia="Arial" w:hAnsi="Arial"/>
                <w:sz w:val="18"/>
                <w:szCs w:val="18"/>
                <w:color w:val="auto"/>
              </w:rPr>
              <w:t>July 30, 2025</w:t>
            </w:r>
          </w:p>
        </w:tc>
        <w:tc>
          <w:tcPr>
            <w:tcW w:w="18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December 11, 2025</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 June 30, 2019</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2,283,105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7,518,797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5,434,783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1,212,121</w:t>
            </w:r>
          </w:p>
        </w:tc>
        <w:tc>
          <w:tcPr>
            <w:tcW w:w="100" w:type="dxa"/>
            <w:vAlign w:val="bottom"/>
            <w:shd w:val="clear" w:color="auto" w:fill="CFF0FC"/>
          </w:tcPr>
          <w:p>
            <w:pPr>
              <w:spacing w:after="0"/>
              <w:rPr>
                <w:sz w:val="19"/>
                <w:szCs w:val="19"/>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Remaining shares to be issued as of</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June 30, 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4,242,425</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Transaction</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In October 2016, we and vTv LLC entered into the Loan Agreement, under which we have borrowed $20.0 million. Each loan tranche bears interest at a floating rate equal to 10.5% plus the amount by which the one-month LIBOR exceeds 0.5%.</w:t>
      </w:r>
    </w:p>
    <w:p>
      <w:pPr>
        <w:spacing w:after="0" w:line="62" w:lineRule="exact"/>
        <w:rPr>
          <w:sz w:val="20"/>
          <w:szCs w:val="20"/>
          <w:color w:val="auto"/>
        </w:rPr>
      </w:pPr>
    </w:p>
    <w:p>
      <w:pPr>
        <w:ind w:right="220" w:firstLine="518"/>
        <w:spacing w:after="0" w:line="272" w:lineRule="auto"/>
        <w:rPr>
          <w:sz w:val="20"/>
          <w:szCs w:val="20"/>
          <w:color w:val="auto"/>
        </w:rPr>
      </w:pPr>
      <w:r>
        <w:rPr>
          <w:rFonts w:ascii="Arial" w:cs="Arial" w:eastAsia="Arial" w:hAnsi="Arial"/>
          <w:sz w:val="17"/>
          <w:szCs w:val="17"/>
          <w:color w:val="auto"/>
        </w:rPr>
        <w:t>We borrowed the first tranche of $12.5 million upon the close of the Loan Agreement in October 2016. The first tranche required only monthly interest payments until May 1, 2018, followed by equal monthly payments of principal plus accrued interest through the scheduled maturity date on May 1, 2020. In addition, a final payment for the first tranche loan equal to $0.8 million will be due on May 1, 2020, or such earlier date specified in the Loan Agreement. We borrowed the second tranche of $7.5 million in March 2017. The second tranche requires only monthly interest payments until October 1, 2018, followed by equal monthly payments of principal plus accrued interest through the scheduled maturity date on October 1, 2020. In addition, a final payment for the second tranche loan equal to $0.5 million will be due on October 1, 2020, or such earlier date specified in the Loan Agreement. The availability of the third tranche of $5.0 million expired unused on June 30, 2017.</w:t>
      </w:r>
    </w:p>
    <w:p>
      <w:pPr>
        <w:spacing w:after="0" w:line="70"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If we repay all or a portion of the loan prior to the applicable maturity date, we will pay the Lenders a prepayment penalty fee, based on a percentage of the then outstanding principal balance equal to 4.0% during the first 18 months following the funding of the second tranche and 2.0% thereafter.</w:t>
      </w:r>
    </w:p>
    <w:p>
      <w:pPr>
        <w:spacing w:after="0" w:line="16" w:lineRule="exact"/>
        <w:rPr>
          <w:sz w:val="20"/>
          <w:szCs w:val="20"/>
          <w:color w:val="auto"/>
        </w:rPr>
      </w:pPr>
    </w:p>
    <w:p>
      <w:pPr>
        <w:ind w:right="140" w:firstLine="518"/>
        <w:spacing w:after="0" w:line="289" w:lineRule="auto"/>
        <w:rPr>
          <w:sz w:val="20"/>
          <w:szCs w:val="20"/>
          <w:color w:val="auto"/>
        </w:rPr>
      </w:pPr>
      <w:r>
        <w:rPr>
          <w:rFonts w:ascii="Arial" w:cs="Arial" w:eastAsia="Arial" w:hAnsi="Arial"/>
          <w:sz w:val="16"/>
          <w:szCs w:val="16"/>
          <w:color w:val="auto"/>
        </w:rPr>
        <w:t>In connection with the Loan Agreement, we have issued to the Lenders warrants to purchase shares of our Class A Common Stock (the “Warrants”). On October 28, 2016, we issued Warrants to purchase 152,580 shares of our Class A Common Stock at a per share exercise price of $6.39 per share, which aggregate exercise price represents 6.0% of the principal amount borrowed under the first tranche of the Loan Agreement and 3.0% of the amount available under the second tranche of the Loan Agreement. On March 24, 2017, in connection with the funding of the second tranche, we issued Warrants to purchase 38,006 shares of our Class A Common Stock at a per share exercise price of $5.92 per share, which aggregate exercise price represents 3.0% of the principal amount of the second tranche. In each instance, the Warrants have an exercise price equal to the lower of (a) the volume weighted average price per share of our Class A Common Stock, as reported on the principal stock exchange on which our Class A Common Stock is listed, for 10 trading days prior to the issuance of the applicable Warrants or (b) the closing price of a share of our Class A Common Stock on the trading day prior to the issuance of the applicable Warrants. The Warrants will expire seven years from their date of issuance.</w:t>
      </w:r>
    </w:p>
    <w:p>
      <w:pPr>
        <w:spacing w:after="0" w:line="59"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of not less than $2.5 million in a deposit account pledged to secure the Loan Agreement and subject to an account control agreement. The Loan Agreement includes customary events of default, including payment defaults, covenant defaults, and material adverse change default. Upon the occurrence of an event of default and following any applicable cure periods, a default interest rate of an additional 5.0% will be applied to the outstanding loan balances, and the Lenders may declare all outstanding obligations immediately due and payable and take such other actions as set forth in the Loan Agreement. We have granted the Lenders a first priority security interest in all of our intellectual property, subject to certain limited exceptions.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(10,947)</w:t>
            </w: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(14,727)</w:t>
            </w: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38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six months ended June 30, 2019, our net cash used in operating activities decreased $3.8 million from the six months ended June 30,</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2018. This decrease was driven by the reduction in the net loss for the six months ended June 30, 2019 which was primarily driven by the cessation of the STEADFAST and related OLE studies in April 2018. This reduction in net loss was offset by the receipt of approximately $7.8 million in receivables related to an upfront payment for our Huadong License Agreement during the six months ended June 30,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six months ended June 30, 2019 and 2018, net cash provided by investing activities was insignificant.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For the six months ended June 30, 2019, net cash provided by financing activities increased by $6.8 million from the six months ended June 30, 2018, driven by increases in funding received from sales of Class A Common Stock pursuant to the Letter Agreements and through a registered direct offering in 2019. Such increases in funding were offset by higher uses of cash to repay the principal portion of our outstanding notes payable in 2019 pursuant to the payment terms of the Loan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We anticipate that we will need substantial additional funding in connection with our continuing operations.</w:t>
      </w:r>
    </w:p>
    <w:p>
      <w:pPr>
        <w:spacing w:after="0" w:line="5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Based on our current operating plan, we believe that our current cash and cash equivalents, remaining funds available under the Letter Agreements and amounts expected to be collected under our collaboration agreements will allow us to meet our liquidity requirements into the third quarter of 2019. We began screening patients for the 488-305 Study in June 2019 and are continuing to conduct Part 2 of the Phase 2 clinical trial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patients with type 1 diabetes. In order to complete these trials and continue our operations, we will require additional financing. We are evaluating several financing strategies to provide continued funding, which may include additional direct equity investments or future public offerings of our common stock. The timing and availability of such financing is not yet known.</w:t>
      </w:r>
    </w:p>
    <w:p>
      <w:pPr>
        <w:spacing w:after="0" w:line="85" w:lineRule="exact"/>
        <w:rPr>
          <w:sz w:val="20"/>
          <w:szCs w:val="20"/>
          <w:color w:val="auto"/>
        </w:rPr>
      </w:pPr>
    </w:p>
    <w:p>
      <w:pPr>
        <w:jc w:val="both"/>
        <w:ind w:right="300" w:firstLine="518"/>
        <w:spacing w:after="0" w:line="312" w:lineRule="auto"/>
        <w:rPr>
          <w:sz w:val="20"/>
          <w:szCs w:val="20"/>
          <w:color w:val="auto"/>
        </w:rPr>
      </w:pPr>
      <w:r>
        <w:rPr>
          <w:rFonts w:ascii="Arial" w:cs="Arial" w:eastAsia="Arial" w:hAnsi="Arial"/>
          <w:sz w:val="16"/>
          <w:szCs w:val="16"/>
          <w:color w:val="auto"/>
        </w:rPr>
        <w:t>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progress, costs, results and timing of our planned 488-305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number and characteristics of drug candidates that we pursue, including our drug candidates in preclinical and clinical development;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9" w:name="page30"/>
    <w:bookmarkEnd w:id="29"/>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ind w:left="1040" w:right="2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need and ability to retain management and scientific and medical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amount of any payments we are required to make to M&amp;F TTP Holdings Two LLC in the future under the Tax Receivable Agreement.</w:t>
      </w:r>
    </w:p>
    <w:p>
      <w:pPr>
        <w:spacing w:after="0" w:line="129" w:lineRule="exact"/>
        <w:rPr>
          <w:sz w:val="20"/>
          <w:szCs w:val="20"/>
          <w:color w:val="auto"/>
        </w:rPr>
      </w:pPr>
    </w:p>
    <w:p>
      <w:pPr>
        <w:ind w:right="140" w:firstLine="518"/>
        <w:spacing w:after="0" w:line="288" w:lineRule="auto"/>
        <w:rPr>
          <w:sz w:val="20"/>
          <w:szCs w:val="20"/>
          <w:color w:val="auto"/>
        </w:rPr>
      </w:pPr>
      <w:r>
        <w:rPr>
          <w:rFonts w:ascii="Arial" w:cs="Arial" w:eastAsia="Arial" w:hAnsi="Arial"/>
          <w:sz w:val="16"/>
          <w:szCs w:val="16"/>
          <w:color w:val="auto"/>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through the March 2019 Letter Agreement.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which could adversely affect our business prospects.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21"/>
        <w:spacing w:after="0" w:line="302" w:lineRule="auto"/>
        <w:rPr>
          <w:sz w:val="20"/>
          <w:szCs w:val="20"/>
          <w:color w:val="auto"/>
        </w:rPr>
      </w:pPr>
      <w:r>
        <w:rPr>
          <w:rFonts w:ascii="Arial" w:cs="Arial" w:eastAsia="Arial" w:hAnsi="Arial"/>
          <w:sz w:val="16"/>
          <w:szCs w:val="16"/>
          <w:color w:val="auto"/>
        </w:rPr>
        <w:t>We have entered into the Letter Agreements with MacAndrews and Forbes Group LLC which, as of June 30, 2019, provide us the right to sell to MacAndrews an additional 4,242,425 shares of our Class A Common Stock at a price of $1.65 per share. Further, MacAndrews has the right (exercisable up to three times) to require us to sell to it an equal number of shares of Class A Common Stock at the same price. As of June 30, 2019, we had received funding of $32.0 million under the Letter Agreements and, in exchange, had issued a total of 16,448,806 shares of our Class A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Critical Accounting Policies</w:t>
      </w:r>
    </w:p>
    <w:p>
      <w:pPr>
        <w:spacing w:after="0" w:line="12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For a discussion of our critical accounting policies and estimates, please refer to Part II, Item 7. “Management’s Discussion and Analysis of Financial Condition and Results of Operations” in our Annual Report on Form 10-K for the year ended December 31, 2018. Significant changes made to our critical accounting policies and estimates in 2019 with respect to our adoption of Accounting Standards Codification Topic 842 “Leases” are discussed within Note 2 of the Condensed Consolidated Financial Statements included in Item 1 of this Quarterly Report on Form 10-Q.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ind w:right="120"/>
        <w:spacing w:after="0" w:line="277" w:lineRule="auto"/>
        <w:rPr>
          <w:sz w:val="20"/>
          <w:szCs w:val="20"/>
          <w:color w:val="auto"/>
        </w:rPr>
      </w:pPr>
      <w:r>
        <w:rPr>
          <w:rFonts w:ascii="Arial" w:cs="Arial" w:eastAsia="Arial" w:hAnsi="Arial"/>
          <w:sz w:val="18"/>
          <w:szCs w:val="18"/>
          <w:color w:val="auto"/>
        </w:rPr>
        <w:t>Quarterly Report on Form 10-Q, could affect our actual financial results or results of operations and could cause actual results to differ materially from those in the forward-looking statements.</w:t>
      </w:r>
    </w:p>
    <w:p>
      <w:pPr>
        <w:spacing w:after="0" w:line="62"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121"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See discussion of recent accounting pronouncements in Note 2, “Summary of Significant Accounting Policies”, to the Condensed Consolidated Financial Statements in this Form 10-Q.</w:t>
      </w:r>
    </w:p>
    <w:p>
      <w:pPr>
        <w:spacing w:after="0" w:line="3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Our Loan Agreement bears interest at a floating rate equal to 10.5% plus the amount by which the one-month LIBOR exceeds 0.5%. A one percent increase in the variable rate of interest on the Loan Agreement would increase interest expense by approximately $0.1 million annually based on the amounts currently outstanding. We do not currently hedge our interest rate exposure.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The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material foreign currency exposure.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June 30, 2019. Based upon that evaluation, our Chief Executive Officer and Chief Financial Officer concluded that, as of June 30, 2019,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85"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5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may deteriorate. Because of the inherent limitations in a cost-effective control system, misstatements due to error or fraud may occur and may not be detected.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Reports and other Corporate Governance Information</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In addition to the other information in this report, investors should carefully consider the risk factors set forth under the heading “Risk Factors” under Item 1A of Part I in our Annual Report on Form 10-K for the year ended December 31, 2018.</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There were no sales of unregistered equity securities during the three months ended June 30, 2019 that have not previously been included in a Current Report on Form 8-K.</w:t>
      </w:r>
    </w:p>
    <w:p>
      <w:pPr>
        <w:spacing w:after="0" w:line="62"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Our ability to pay dividends is restricted by our Loan Agreement. See “Management's Discussion and Analysis of Financial Condition and Results of Operations”.</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6.</w:t>
            </w:r>
          </w:p>
        </w:tc>
        <w:tc>
          <w:tcPr>
            <w:tcW w:w="10460" w:type="dxa"/>
            <w:vAlign w:val="bottom"/>
            <w:gridSpan w:val="10"/>
          </w:tcPr>
          <w:p>
            <w:pPr>
              <w:ind w:left="80"/>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960" w:type="dxa"/>
            <w:vAlign w:val="bottom"/>
            <w:gridSpan w:val="7"/>
            <w:vMerge w:val="restart"/>
          </w:tcPr>
          <w:p>
            <w:pPr>
              <w:ind w:left="34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960" w:type="dxa"/>
            <w:vAlign w:val="bottom"/>
            <w:tcBorders>
              <w:bottom w:val="single" w:sz="8" w:color="auto"/>
            </w:tcBorders>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2"/>
                <w:szCs w:val="22"/>
                <w:color w:val="auto"/>
              </w:rPr>
            </w:pPr>
          </w:p>
        </w:tc>
        <w:tc>
          <w:tcPr>
            <w:tcW w:w="10360" w:type="dxa"/>
            <w:vAlign w:val="bottom"/>
            <w:gridSpan w:val="9"/>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Certification of President and Chief Executive Officer required by Rule 13a-14(a)/15d-14(a) under the Securities Exchange Act of 1934, as</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amended, as adopted pursuant to Section 302 of the Sarbanes-Oxley Act of 2002.</w:t>
              </w:r>
            </w:hyperlink>
          </w:p>
        </w:tc>
        <w:tc>
          <w:tcPr>
            <w:tcW w:w="4160" w:type="dxa"/>
            <w:vAlign w:val="bottom"/>
            <w:tcBorders>
              <w:top w:val="single" w:sz="8" w:color="0000EE"/>
            </w:tcBorders>
            <w:gridSpan w:val="2"/>
          </w:tcPr>
          <w:p>
            <w:pPr>
              <w:spacing w:after="0"/>
              <w:rPr>
                <w:sz w:val="17"/>
                <w:szCs w:val="17"/>
                <w:color w:val="auto"/>
              </w:rPr>
            </w:pPr>
          </w:p>
        </w:tc>
        <w:tc>
          <w:tcPr>
            <w:tcW w:w="3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99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Certification of Chief Financial Officer required by Rule 13a-14(a)/15d-14(a) under the Securities Exchange Act of 1934, as amended, as</w:t>
              </w:r>
            </w:hyperlink>
          </w:p>
        </w:tc>
        <w:tc>
          <w:tcPr>
            <w:tcW w:w="4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60" w:type="dxa"/>
            <w:vAlign w:val="bottom"/>
            <w:gridSpan w:val="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adopted pursuant to Section 302 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Certification of President and Chief Executive Officer pursuant to 18 U.S.C. Section 1350, as adopted pursuant to Section 906 of the Sarbanes-</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Oxley Act of 2002.</w:t>
              </w:r>
            </w:hyperlink>
          </w:p>
        </w:tc>
        <w:tc>
          <w:tcPr>
            <w:tcW w:w="89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360" w:type="dxa"/>
            <w:vAlign w:val="bottom"/>
            <w:gridSpan w:val="9"/>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Certification of Chief Financial Officer pursuant to 18 U.S.C. Section 1350, as adopted pursuant to Section 906 of the Sarbanes-Oxley Act of</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8">
              <w:r>
                <w:rPr>
                  <w:rFonts w:ascii="Arial" w:cs="Arial" w:eastAsia="Arial" w:hAnsi="Arial"/>
                  <w:sz w:val="18"/>
                  <w:szCs w:val="18"/>
                  <w:color w:val="0000EE"/>
                  <w:w w:val="84"/>
                </w:rPr>
                <w:t>2002.</w:t>
              </w:r>
            </w:hyperlink>
          </w:p>
        </w:tc>
        <w:tc>
          <w:tcPr>
            <w:tcW w:w="100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036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0360" w:type="dxa"/>
            <w:vAlign w:val="bottom"/>
            <w:gridSpan w:val="9"/>
          </w:tcPr>
          <w:p>
            <w:pPr>
              <w:spacing w:after="0"/>
              <w:rPr>
                <w:sz w:val="20"/>
                <w:szCs w:val="20"/>
                <w:color w:val="auto"/>
              </w:rPr>
            </w:pPr>
            <w:r>
              <w:rPr>
                <w:rFonts w:ascii="Arial" w:cs="Arial" w:eastAsia="Arial" w:hAnsi="Arial"/>
                <w:sz w:val="18"/>
                <w:szCs w:val="18"/>
                <w:color w:val="auto"/>
              </w:rPr>
              <w:t>XBRL Taxonomy Extension Schema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1036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10360" w:type="dxa"/>
            <w:vAlign w:val="bottom"/>
            <w:gridSpan w:val="9"/>
          </w:tcPr>
          <w:p>
            <w:pPr>
              <w:spacing w:after="0"/>
              <w:rPr>
                <w:sz w:val="20"/>
                <w:szCs w:val="20"/>
                <w:color w:val="auto"/>
              </w:rPr>
            </w:pPr>
            <w:r>
              <w:rPr>
                <w:rFonts w:ascii="Arial" w:cs="Arial" w:eastAsia="Arial" w:hAnsi="Arial"/>
                <w:sz w:val="18"/>
                <w:szCs w:val="18"/>
                <w:color w:val="auto"/>
              </w:rPr>
              <w:t>XBRL Taxonomy Extension Definition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036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1036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20" w:type="dxa"/>
            <w:vAlign w:val="bottom"/>
            <w:gridSpan w:val="4"/>
          </w:tcPr>
          <w:p>
            <w:pPr>
              <w:jc w:val="right"/>
              <w:ind w:right="108"/>
              <w:spacing w:after="0"/>
              <w:rPr>
                <w:sz w:val="20"/>
                <w:szCs w:val="20"/>
                <w:color w:val="auto"/>
              </w:rPr>
            </w:pPr>
            <w:r>
              <w:rPr>
                <w:rFonts w:ascii="Arial" w:cs="Arial" w:eastAsia="Arial" w:hAnsi="Arial"/>
                <w:sz w:val="18"/>
                <w:szCs w:val="18"/>
                <w:color w:val="auto"/>
              </w:rPr>
              <w:t>33</w:t>
            </w:r>
          </w:p>
        </w:tc>
        <w:tc>
          <w:tcPr>
            <w:tcW w:w="9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60"/>
          </w:cols>
          <w:pgMar w:left="220" w:top="337" w:right="21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80" w:type="dxa"/>
            <w:vAlign w:val="bottom"/>
          </w:tcPr>
          <w:p>
            <w:pPr>
              <w:ind w:left="920"/>
              <w:spacing w:after="0"/>
              <w:rPr>
                <w:sz w:val="20"/>
                <w:szCs w:val="20"/>
                <w:color w:val="auto"/>
              </w:rPr>
            </w:pPr>
            <w:r>
              <w:rPr>
                <w:rFonts w:ascii="Arial" w:cs="Arial" w:eastAsia="Arial" w:hAnsi="Arial"/>
                <w:sz w:val="18"/>
                <w:szCs w:val="18"/>
                <w:color w:val="auto"/>
              </w:rPr>
              <w:t>VTV THERAPEUTICS INC.</w:t>
            </w:r>
          </w:p>
        </w:tc>
      </w:tr>
      <w:tr>
        <w:trPr>
          <w:trHeight w:val="230"/>
        </w:trPr>
        <w:tc>
          <w:tcPr>
            <w:tcW w:w="580" w:type="dxa"/>
            <w:vAlign w:val="bottom"/>
          </w:tcPr>
          <w:p>
            <w:pPr>
              <w:spacing w:after="0"/>
              <w:rPr>
                <w:sz w:val="20"/>
                <w:szCs w:val="20"/>
                <w:color w:val="auto"/>
              </w:rPr>
            </w:pPr>
          </w:p>
        </w:tc>
        <w:tc>
          <w:tcPr>
            <w:tcW w:w="3980" w:type="dxa"/>
            <w:vAlign w:val="bottom"/>
          </w:tcPr>
          <w:p>
            <w:pPr>
              <w:ind w:left="1560"/>
              <w:spacing w:after="0"/>
              <w:rPr>
                <w:sz w:val="20"/>
                <w:szCs w:val="20"/>
                <w:color w:val="auto"/>
              </w:rPr>
            </w:pPr>
            <w:r>
              <w:rPr>
                <w:rFonts w:ascii="Arial" w:cs="Arial" w:eastAsia="Arial" w:hAnsi="Arial"/>
                <w:sz w:val="18"/>
                <w:szCs w:val="18"/>
                <w:color w:val="auto"/>
              </w:rPr>
              <w:t>(Registrant)</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L. Holcombe, certify that:</w:t>
      </w:r>
    </w:p>
    <w:p>
      <w:pPr>
        <w:spacing w:after="0" w:line="117"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hanging="519"/>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Stephen L. Holcombe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Rudy C. Howard, certify that:</w:t>
      </w:r>
    </w:p>
    <w:p>
      <w:pPr>
        <w:spacing w:after="0" w:line="117"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hanging="506"/>
        <w:spacing w:after="0" w:line="264"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Rudy C. Howard</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June 30, 2019 as filed with the Securities and Exchange Commission on the date hereof (the “Report”), I, Stephen L. Holcombe,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June 30, 2019 as filed with the Securities and Exchange Commission on the date hereof (the “Report”), I, Rudy C. Howard,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2019-12-28T09:26:22Z</dcterms:created>
  <dcterms:modified xsi:type="dcterms:W3CDTF">2019-12-28T09:26:22Z</dcterms:modified>
</cp:coreProperties>
</file>