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47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479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SPIEGELMAN DANIEL K</w:t>
              </w:r>
            </w:hyperlink>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vTv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VTVT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40" w:type="dxa"/>
            <w:vAlign w:val="bottom"/>
            <w:tcBorders>
              <w:bottom w:val="single" w:sz="8" w:color="0000EE"/>
            </w:tcBorders>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9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9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8"/>
              </w:rPr>
              <w:t>C/O VTV THERAPEUTICS INC.</w:t>
            </w:r>
          </w:p>
        </w:tc>
        <w:tc>
          <w:tcPr>
            <w:tcW w:w="130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9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3980 PREMIER DRIVE, SUITE 110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HIGH POINT</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27265</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68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35.08</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06/26/2036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35.08</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16,000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June 26, 2027, and the date of the 2027 annual general meeting of shareholders, subject to the director's continued service on the board of directors through such vesting.</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Elizabeth Keiley, as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4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8403" TargetMode="External"/><Relationship Id="rId14" Type="http://schemas.openxmlformats.org/officeDocument/2006/relationships/hyperlink" Target="http://www.sec.gov/cgi-bin/browse-edgar?action=getcompany&amp;CIK=00016414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2026-06-29T15:32:31Z</dcterms:created>
  <dcterms:modified xsi:type="dcterms:W3CDTF">2026-06-29T15:32:31Z</dcterms:modified>
</cp:coreProperties>
</file>