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13, 2026</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vTv Therapeutics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001-37524</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47-3916571</w:t>
      </w:r>
    </w:p>
    <w:p>
      <w:pPr>
        <w:spacing w:after="0" w:line="67"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00" w:space="720"/>
            <w:col w:w="2540"/>
          </w:cols>
          <w:pgMar w:left="320" w:top="1440" w:right="3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3980 Premier Drive, Suite 110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 Point, NC 27265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841-0300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VTVT</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On May 13, 2026, vTv Therapeutics Inc. issued a press release to announce its financial results for the fiscal period ended March 31, 2026. A copy of the press release is attached as Exhibit 99.1 to this current report on Form 8-K and is incorporated herein by reference.</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The information in this report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 Exhibits</w:t>
            </w:r>
          </w:p>
        </w:tc>
      </w:tr>
      <w:tr>
        <w:trPr>
          <w:trHeight w:val="44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196"/>
        </w:trPr>
        <w:tc>
          <w:tcPr>
            <w:tcW w:w="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May 13 2026, announcing financial results for the fiscal quarter ended March 31, 2026</w:t>
            </w:r>
          </w:p>
        </w:tc>
        <w:tc>
          <w:tcPr>
            <w:tcW w:w="2180" w:type="dxa"/>
            <w:vAlign w:val="bottom"/>
          </w:tcPr>
          <w:p>
            <w:pPr>
              <w:spacing w:after="0"/>
              <w:rPr>
                <w:sz w:val="17"/>
                <w:szCs w:val="17"/>
                <w:color w:val="auto"/>
              </w:rPr>
            </w:pPr>
          </w:p>
        </w:tc>
      </w:tr>
      <w:tr>
        <w:trPr>
          <w:trHeight w:val="2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1047"/>
        </w:trPr>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283"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J. Sekhri</w:t>
            </w:r>
          </w:p>
        </w:tc>
      </w:tr>
      <w:tr>
        <w:trPr>
          <w:trHeight w:val="27"/>
        </w:trPr>
        <w:tc>
          <w:tcPr>
            <w:tcW w:w="7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J. Sekhri</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ectPr>
          <w:pgSz w:w="11900" w:h="16838" w:orient="portrait"/>
          <w:cols w:equalWidth="0" w:num="1">
            <w:col w:w="10920"/>
          </w:cols>
          <w:pgMar w:left="320" w:top="1103"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057400" cy="1329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vTv Therapeutics Reports First Quarter 2026 Financial Results and Provides Corporate Update </w:t>
      </w:r>
      <w:r>
        <w:rPr>
          <w:rFonts w:ascii="Times New Roman" w:cs="Times New Roman" w:eastAsia="Times New Roman" w:hAnsi="Times New Roman"/>
          <w:sz w:val="18"/>
          <w:szCs w:val="18"/>
          <w:i w:val="1"/>
          <w:iCs w:val="1"/>
          <w:color w:val="auto"/>
        </w:rPr>
        <w:t>Phase 3 CATT1 completion of enrollment on track for the third quarter of 2026 Strong balance sheet expected to fund operations through anticipated CATT1 topline data readout</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HIGH POINT, N.C., May 13, 2026 (GLOBE NEWSWIRE) – vTv Therapeutics Inc. (Nasdaq: VTVT), a late-stage biopharmaceutical company focused on the development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a novel, potential first-in-class oral adjunctive therapy to insulin being investigated for the treatment of type 1 diabetes (T1D), today reported financial results for the first quarter ended March 31, 2026, and provided a corporate update. The Company continues to advance its Phase 3 CATT1 trial, with enrollment on track for completion in the third quarter of 2026. vTv expects its current cash position to be sufficient to fund operations through the anticipated CATT1 topline data readout, positioning the Company to reach this key value inflection point with cash currently on hand.</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executing with focus and discipline as we advance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a potentially transformative, first-in-class oral therapy for people living with type 1 diabetes,” said Paul Sekhri, Chairman, President, and CEO of vTv Therapeutics. “Enrollment in our Phase 3 CATT1 trial continues to progress steadily, supported by expanded site activation and strong engagement from both investigators and patients. Importantly, with our recently strengthened balance sheet, we are well-capitalized to deliver on completion of enrollment and the anticipated topline data readout and drive long-term value for shareholders.”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Highlights</w:t>
      </w:r>
    </w:p>
    <w:p>
      <w:pPr>
        <w:spacing w:after="0" w:line="117" w:lineRule="exact"/>
        <w:rPr>
          <w:sz w:val="20"/>
          <w:szCs w:val="20"/>
          <w:color w:val="auto"/>
        </w:rPr>
      </w:pPr>
    </w:p>
    <w:p>
      <w:pPr>
        <w:jc w:val="both"/>
        <w:ind w:left="660" w:hanging="328"/>
        <w:spacing w:after="0" w:line="26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3 CATT1 Trial Progressing: </w:t>
      </w:r>
      <w:r>
        <w:rPr>
          <w:rFonts w:ascii="Times New Roman" w:cs="Times New Roman" w:eastAsia="Times New Roman" w:hAnsi="Times New Roman"/>
          <w:sz w:val="18"/>
          <w:szCs w:val="18"/>
          <w:color w:val="auto"/>
        </w:rPr>
        <w:t>Enrollment is ongoing in the Phase 3 CATT1 trial evaluating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oral adjunctive therapy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insulin in individuals with T1D. The Company expects to complete enrollment in the third quarter of 2026, supported by expanded site activation and increased investigator and patient engagement.</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E0E0E"/>
        </w:rPr>
        <w:t xml:space="preserve">License Amendment Adds Non-Dilutive Capital: </w:t>
      </w:r>
      <w:r>
        <w:rPr>
          <w:rFonts w:ascii="Times New Roman" w:cs="Times New Roman" w:eastAsia="Times New Roman" w:hAnsi="Times New Roman"/>
          <w:sz w:val="18"/>
          <w:szCs w:val="18"/>
          <w:color w:val="0E0E0E"/>
        </w:rPr>
        <w:t>In February 2026, the Company announced an amendment to its license agreement with</w:t>
      </w:r>
      <w:r>
        <w:rPr>
          <w:rFonts w:ascii="Times New Roman" w:cs="Times New Roman" w:eastAsia="Times New Roman" w:hAnsi="Times New Roman"/>
          <w:sz w:val="18"/>
          <w:szCs w:val="18"/>
          <w:b w:val="1"/>
          <w:bCs w:val="1"/>
          <w:color w:val="0E0E0E"/>
        </w:rPr>
        <w:t xml:space="preserve"> </w:t>
      </w:r>
      <w:r>
        <w:rPr>
          <w:rFonts w:ascii="Times New Roman" w:cs="Times New Roman" w:eastAsia="Times New Roman" w:hAnsi="Times New Roman"/>
          <w:sz w:val="18"/>
          <w:szCs w:val="18"/>
          <w:color w:val="0E0E0E"/>
        </w:rPr>
        <w:t xml:space="preserve">Newsoara Biopharma, granting Newsoara global rights to the Company's highly selective PDE4 inhibitor, HPP737. Under the amended agreement, the Company received a $20.0 million upfront payment and is eligible to receive up to approximately $50.0 million in development milestones, up to $65.0 million in sales milestones, and tiered royalties on net sales. The transaction strengthens the Company's balance sheet and maintains strategic focus on advancing </w:t>
      </w:r>
      <w:r>
        <w:rPr>
          <w:rFonts w:ascii="Times New Roman" w:cs="Times New Roman" w:eastAsia="Times New Roman" w:hAnsi="Times New Roman"/>
          <w:sz w:val="18"/>
          <w:szCs w:val="18"/>
          <w:i w:val="1"/>
          <w:iCs w:val="1"/>
          <w:color w:val="0E0E0E"/>
        </w:rPr>
        <w:t>cadisegliatin</w:t>
      </w:r>
      <w:r>
        <w:rPr>
          <w:rFonts w:ascii="Times New Roman" w:cs="Times New Roman" w:eastAsia="Times New Roman" w:hAnsi="Times New Roman"/>
          <w:sz w:val="18"/>
          <w:szCs w:val="18"/>
          <w:color w:val="0E0E0E"/>
        </w:rPr>
        <w:t>.</w:t>
      </w:r>
    </w:p>
    <w:p>
      <w:pPr>
        <w:sectPr>
          <w:pgSz w:w="11900" w:h="16838" w:orient="portrait"/>
          <w:cols w:equalWidth="0" w:num="1">
            <w:col w:w="11240"/>
          </w:cols>
          <w:pgMar w:left="320" w:top="1418"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131" w:lineRule="exact"/>
        <w:rPr>
          <w:sz w:val="20"/>
          <w:szCs w:val="20"/>
          <w:color w:val="auto"/>
        </w:rPr>
      </w:pPr>
    </w:p>
    <w:p>
      <w:pPr>
        <w:jc w:val="both"/>
        <w:ind w:left="660" w:right="300" w:hanging="328"/>
        <w:spacing w:after="0" w:line="261"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Cash and cash equivalents as of March 31, 2026, were $98.1 million, compared to $88.9 million as of December 31,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reflects the $20.0 million upfront payment received under the recent amendment to the Newsoara license, partially offset by operating expenditures.</w:t>
      </w:r>
    </w:p>
    <w:p>
      <w:pPr>
        <w:spacing w:after="0" w:line="82"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Research &amp; Development (R&amp;D) Expenses</w:t>
      </w:r>
      <w:r>
        <w:rPr>
          <w:rFonts w:ascii="Times New Roman" w:cs="Times New Roman" w:eastAsia="Times New Roman" w:hAnsi="Times New Roman"/>
          <w:sz w:val="18"/>
          <w:szCs w:val="18"/>
          <w:color w:val="auto"/>
        </w:rPr>
        <w:t>: R&amp;D expenses were $9.0 million and $2.8 million in each of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2025, respectively. The increase was primarily driven by continued investment in the Phase 3 CATT1 trial.</w:t>
      </w:r>
    </w:p>
    <w:p>
      <w:pPr>
        <w:spacing w:after="0" w:line="80" w:lineRule="exact"/>
        <w:rPr>
          <w:rFonts w:ascii="Arial" w:cs="Arial" w:eastAsia="Arial" w:hAnsi="Arial"/>
          <w:sz w:val="20"/>
          <w:szCs w:val="20"/>
          <w:color w:val="auto"/>
        </w:rPr>
      </w:pPr>
    </w:p>
    <w:p>
      <w:pPr>
        <w:ind w:left="660" w:right="160" w:hanging="328"/>
        <w:spacing w:after="0" w:line="275"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 xml:space="preserve">General &amp; Administrative (G&amp;A) Expenses: </w:t>
      </w:r>
      <w:r>
        <w:rPr>
          <w:rFonts w:ascii="Times New Roman" w:cs="Times New Roman" w:eastAsia="Times New Roman" w:hAnsi="Times New Roman"/>
          <w:sz w:val="18"/>
          <w:szCs w:val="18"/>
          <w:color w:val="auto"/>
        </w:rPr>
        <w:t>G&amp;A expenses were $4.6 million and $3.7 million for each of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2025, respectively. The increase reflects ongoing support for corporate operations and clinical development activities.</w:t>
      </w:r>
    </w:p>
    <w:p>
      <w:pPr>
        <w:spacing w:after="0" w:line="52" w:lineRule="exact"/>
        <w:rPr>
          <w:rFonts w:ascii="Arial" w:cs="Arial" w:eastAsia="Arial" w:hAnsi="Arial"/>
          <w:sz w:val="20"/>
          <w:szCs w:val="20"/>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for the three months ended March 31, 2026, and 2025, of $0.8 million and $0.3 million, respectively, is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dividend income from our money market accounts.</w:t>
      </w:r>
    </w:p>
    <w:p>
      <w:pPr>
        <w:spacing w:after="0" w:line="4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Income (Loss)</w:t>
      </w:r>
      <w:r>
        <w:rPr>
          <w:rFonts w:ascii="Times New Roman" w:cs="Times New Roman" w:eastAsia="Times New Roman" w:hAnsi="Times New Roman"/>
          <w:sz w:val="18"/>
          <w:szCs w:val="18"/>
          <w:color w:val="auto"/>
        </w:rPr>
        <w:t>: Net income attributable to vTv shareholders for the three months ended March 31, 2026, was $24.1 million or $1.94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$1.65 per basic and diluted share, respectively. Net loss attributable to vTv shareholders for the comparable period a year ago was $5.1 million or $0.77 per basic and diluted share.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Events</w:t>
      </w:r>
    </w:p>
    <w:p>
      <w:pPr>
        <w:spacing w:after="0" w:line="117" w:lineRule="exact"/>
        <w:rPr>
          <w:sz w:val="20"/>
          <w:szCs w:val="20"/>
          <w:color w:val="auto"/>
        </w:rPr>
      </w:pPr>
    </w:p>
    <w:p>
      <w:pPr>
        <w:ind w:left="660" w:right="5800" w:hanging="328"/>
        <w:spacing w:after="0" w:line="26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H.C. Wainwright 4th Annual BioConnect Investor Conference </w:t>
      </w:r>
      <w:r>
        <w:rPr>
          <w:rFonts w:ascii="Times New Roman" w:cs="Times New Roman" w:eastAsia="Times New Roman" w:hAnsi="Times New Roman"/>
          <w:sz w:val="18"/>
          <w:szCs w:val="18"/>
          <w:color w:val="auto"/>
        </w:rPr>
        <w:t>Format: Fireside Chat &amp; 1x1 Investor Meetings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Tuesday, May 19, 2026</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12:30 PM ET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New York, NY</w:t>
      </w:r>
    </w:p>
    <w:p>
      <w:pPr>
        <w:spacing w:after="0" w:line="94" w:lineRule="exact"/>
        <w:rPr>
          <w:rFonts w:ascii="Times New Roman" w:cs="Times New Roman" w:eastAsia="Times New Roman" w:hAnsi="Times New Roman"/>
          <w:sz w:val="18"/>
          <w:szCs w:val="18"/>
          <w:color w:val="auto"/>
        </w:rPr>
      </w:pPr>
    </w:p>
    <w:p>
      <w:pPr>
        <w:ind w:left="660" w:right="6200" w:hanging="328"/>
        <w:spacing w:after="0" w:line="26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Alliance Global Partners Healthcare Company Showcase </w:t>
      </w:r>
      <w:r>
        <w:rPr>
          <w:rFonts w:ascii="Times New Roman" w:cs="Times New Roman" w:eastAsia="Times New Roman" w:hAnsi="Times New Roman"/>
          <w:sz w:val="18"/>
          <w:szCs w:val="18"/>
          <w:color w:val="auto"/>
        </w:rPr>
        <w:t>Format: Fireside Chat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Wednesday, May 20, 2026</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4:20 PM ET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Virtual</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vTv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1"/>
        </w:trPr>
        <w:tc>
          <w:tcPr>
            <w:tcW w:w="8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6"/>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8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88,932</w:t>
            </w: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98,808</w:t>
            </w: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89,893</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98,813</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25,462</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Stock</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392,478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391,090</w:t>
            </w: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(302,558)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(326,692)</w:t>
            </w:r>
          </w:p>
        </w:tc>
      </w:tr>
      <w:tr>
        <w:trPr>
          <w:trHeight w:val="27"/>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64,437</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98,813</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89,899</w:t>
            </w:r>
          </w:p>
        </w:tc>
      </w:tr>
      <w:tr>
        <w:trPr>
          <w:trHeight w:val="21"/>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vTv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387"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4"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6"/>
                <w:szCs w:val="16"/>
                <w:color w:val="auto"/>
              </w:rPr>
            </w:pPr>
          </w:p>
        </w:tc>
      </w:tr>
      <w:tr>
        <w:trPr>
          <w:trHeight w:val="37"/>
        </w:trPr>
        <w:tc>
          <w:tcPr>
            <w:tcW w:w="8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3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 and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4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4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vTv Therapeutics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6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vTv Therapeutics Inc.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1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9"/>
        </w:trPr>
        <w:tc>
          <w:tcPr>
            <w:tcW w:w="8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net income (loss) per share of vTv Therapeutics Inc. Class A common stock</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weighted average number of vTv Therapeutics Inc. Class A common stock</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12,409,278</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6,582,844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9"/>
        </w:trPr>
        <w:tc>
          <w:tcPr>
            <w:tcW w:w="8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 net income (loss) per share of vTv Therapeutics Inc. Class A common stock</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weighted average number of vTv Therapeutics Inc. Class A common stock</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14,634,420</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6,582,844</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vTv Therapeutics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vTv Therapeutics is a late-stage biopharmaceutical company focused on developing oral, small molecule drug candidates intended to help treat people living with diabetes and other chronic diseases. vTv's clinical pipeline is led by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currently in a U.S. Phase 3 trial, a potential first-in-class oral glucokinase activator being investigated for the treatment of type 1 diabetes. vTv and its development partners are investigating multiple molecules across different indications for chronic diseases. Learn more at vtvtherapeutics.com or follow the company on LinkedIn or X.</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Cadisegliatin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Cadisegliatin (TTP399) </w:t>
      </w:r>
      <w:r>
        <w:rPr>
          <w:rFonts w:ascii="Times New Roman" w:cs="Times New Roman" w:eastAsia="Times New Roman" w:hAnsi="Times New Roman"/>
          <w:sz w:val="18"/>
          <w:szCs w:val="18"/>
          <w:color w:val="auto"/>
        </w:rPr>
        <w:t>is a novel, oral small molecule, liver-selective glucokinase activator being investigated in the U.S. as a potential first-in-class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adjunctive treatment for type 1 diabetes (T1D). In non-clinical studies,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acted selectively on the liver and increased glucokinase activity independently of insulin. These findings support clinical investigation of whether c</w:t>
      </w:r>
      <w:r>
        <w:rPr>
          <w:rFonts w:ascii="Times New Roman" w:cs="Times New Roman" w:eastAsia="Times New Roman" w:hAnsi="Times New Roman"/>
          <w:sz w:val="18"/>
          <w:szCs w:val="18"/>
          <w:i w:val="1"/>
          <w:iCs w:val="1"/>
          <w:color w:val="auto"/>
        </w:rPr>
        <w:t>adisegliatin</w:t>
      </w:r>
      <w:r>
        <w:rPr>
          <w:rFonts w:ascii="Times New Roman" w:cs="Times New Roman" w:eastAsia="Times New Roman" w:hAnsi="Times New Roman"/>
          <w:sz w:val="18"/>
          <w:szCs w:val="18"/>
          <w:color w:val="auto"/>
        </w:rPr>
        <w:t xml:space="preserve"> can improve glycemic control through hepatic glucose uptake and glycogen storage.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has been granted Breakthrough Therapy designation by the U.S. Food and Drug Administration (FDA).</w:t>
      </w:r>
    </w:p>
    <w:p>
      <w:pPr>
        <w:spacing w:after="0" w:line="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is under investigation, and the safety and efficacy have not been established. There is no guarantee that this product will receive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approval or become commercially available for the use being investigat</w:t>
      </w:r>
      <w:r>
        <w:rPr>
          <w:rFonts w:ascii="Times New Roman" w:cs="Times New Roman" w:eastAsia="Times New Roman" w:hAnsi="Times New Roman"/>
          <w:sz w:val="21"/>
          <w:szCs w:val="21"/>
          <w:color w:val="auto"/>
        </w:rPr>
        <w: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release contains forward-looking statements, which involve risks and uncertainties. These forward-looking statements can be identified by the use of forward-looking terminology, including the terms “anticipate,” “believe,” “could,” “estimate,” “expect,” “intend,” “may,” “plan,” “potential,” “predict,” “project,” “should,” “target,” “will,” “would” and, in each case,</w:t>
      </w:r>
    </w:p>
    <w:p>
      <w:pPr>
        <w:sectPr>
          <w:pgSz w:w="11900" w:h="16838" w:orient="portrait"/>
          <w:cols w:equalWidth="0" w:num="1">
            <w:col w:w="11240"/>
          </w:cols>
          <w:pgMar w:left="320" w:top="1310"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their negative or other various or comparable terminology. All statements other than statements of historical facts contained in this release, including statements regarding the timing of our clinical trials, the anticipated effect of Phase 3 topline data on the Company, the benefits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to people living with T1D,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those described under the heading “Risk Factors” in our Annual Report on Form 10-K, subsequent Quarterly Reports on Form 10-Q and our other filings with the SEC. These forward-looking statements reflect our views with respect to future events as of the date of this release and are based on assumptions and subject to risks and uncertainties. Given these uncertainties, you should not place undue reliance on these forward-looking statements. These forward-looking statements represent our estimates and assumptions only as of the date of this release and, except as required by law, we undertake no obligation to update or review publicly any forward-looking statements, whether as a result of new information, future events or otherwise after the date of this release. We anticipate that subsequent events and developments will cause our views to change. Our forward-looking statements do not reflect the potential impact of any future acquisitions, merger, dispositions, joint ventures, or investments we may undertake. We qualify all our forward-looking statements by these cautionary statements.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34" w:lineRule="auto"/>
        <w:rPr>
          <w:sz w:val="20"/>
          <w:szCs w:val="20"/>
          <w:color w:val="auto"/>
        </w:rPr>
      </w:pPr>
      <w:r>
        <w:rPr>
          <w:rFonts w:ascii="Times New Roman" w:cs="Times New Roman" w:eastAsia="Times New Roman" w:hAnsi="Times New Roman"/>
          <w:sz w:val="18"/>
          <w:szCs w:val="18"/>
          <w:color w:val="auto"/>
        </w:rPr>
        <w:t>John Fraunces</w:t>
      </w:r>
    </w:p>
    <w:p>
      <w:pPr>
        <w:spacing w:after="0" w:line="235" w:lineRule="auto"/>
        <w:rPr>
          <w:sz w:val="20"/>
          <w:szCs w:val="20"/>
          <w:color w:val="auto"/>
        </w:rPr>
      </w:pPr>
      <w:r>
        <w:rPr>
          <w:rFonts w:ascii="Times New Roman" w:cs="Times New Roman" w:eastAsia="Times New Roman" w:hAnsi="Times New Roman"/>
          <w:sz w:val="18"/>
          <w:szCs w:val="18"/>
          <w:color w:val="auto"/>
        </w:rPr>
        <w:t>LifeSci Advisors, LLC</w:t>
      </w:r>
    </w:p>
    <w:p>
      <w:pPr>
        <w:spacing w:after="0" w:line="235" w:lineRule="auto"/>
        <w:rPr>
          <w:sz w:val="20"/>
          <w:szCs w:val="20"/>
          <w:color w:val="auto"/>
        </w:rPr>
      </w:pPr>
      <w:r>
        <w:rPr>
          <w:rFonts w:ascii="Times New Roman" w:cs="Times New Roman" w:eastAsia="Times New Roman" w:hAnsi="Times New Roman"/>
          <w:sz w:val="18"/>
          <w:szCs w:val="18"/>
          <w:color w:val="auto"/>
        </w:rPr>
        <w:t>917-355-2395</w:t>
      </w:r>
    </w:p>
    <w:p>
      <w:pPr>
        <w:spacing w:after="0"/>
        <w:rPr>
          <w:sz w:val="20"/>
          <w:szCs w:val="20"/>
          <w:color w:val="auto"/>
        </w:rPr>
      </w:pPr>
      <w:r>
        <w:rPr>
          <w:rFonts w:ascii="Times New Roman" w:cs="Times New Roman" w:eastAsia="Times New Roman" w:hAnsi="Times New Roman"/>
          <w:sz w:val="18"/>
          <w:szCs w:val="18"/>
          <w:color w:val="0000FF"/>
        </w:rPr>
        <w:t>jfraunces@lifesciadvisors.com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Caren Begun</w:t>
      </w:r>
    </w:p>
    <w:p>
      <w:pPr>
        <w:spacing w:after="0" w:line="234" w:lineRule="auto"/>
        <w:rPr>
          <w:sz w:val="20"/>
          <w:szCs w:val="20"/>
          <w:color w:val="auto"/>
        </w:rPr>
      </w:pPr>
      <w:r>
        <w:rPr>
          <w:rFonts w:ascii="Times New Roman" w:cs="Times New Roman" w:eastAsia="Times New Roman" w:hAnsi="Times New Roman"/>
          <w:sz w:val="18"/>
          <w:szCs w:val="18"/>
          <w:color w:val="auto"/>
        </w:rPr>
        <w:t>TellMed Strategies</w:t>
      </w:r>
    </w:p>
    <w:p>
      <w:pPr>
        <w:spacing w:after="0" w:line="235" w:lineRule="auto"/>
        <w:rPr>
          <w:sz w:val="20"/>
          <w:szCs w:val="20"/>
          <w:color w:val="auto"/>
        </w:rPr>
      </w:pPr>
      <w:r>
        <w:rPr>
          <w:rFonts w:ascii="Times New Roman" w:cs="Times New Roman" w:eastAsia="Times New Roman" w:hAnsi="Times New Roman"/>
          <w:sz w:val="18"/>
          <w:szCs w:val="18"/>
          <w:color w:val="auto"/>
        </w:rPr>
        <w:t>201-396-8551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caren.begun@tmstrat.com</w:t>
      </w:r>
    </w:p>
    <w:sectPr>
      <w:pgSz w:w="11900" w:h="16838" w:orient="portrait"/>
      <w:cols w:equalWidth="0" w:num="1">
        <w:col w:w="11240"/>
      </w:cols>
      <w:pgMar w:left="320" w:top="12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2026-05-13T15:37:40Z</dcterms:created>
  <dcterms:modified xsi:type="dcterms:W3CDTF">2026-05-13T15:37:40Z</dcterms:modified>
</cp:coreProperties>
</file>