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8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40" w:before="8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40" w:before="8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erif" w:hAnsi="Times New Roman;serif"/>
          <w:b/>
          <w:color w:val="000000"/>
          <w:sz w:val="20"/>
        </w:rPr>
        <w:t>For the quarterly period ended June 30, 2026</w:t>
      </w:r>
      <w:r>
        <w:rPr>
          <w:color w:val="000000"/>
        </w:rPr>
        <w:t xml:space="preserve">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001-37524</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vTv Therapeutics Inc.</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3980 Premier Dr, Suite 110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(336) 841-0300</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tbl>
      <w:tblPr>
        <w:tblW w:w="7511"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907"/>
        <w:gridCol w:w="907"/>
        <w:gridCol w:w="1291"/>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Outstanding as of August 6, 2026</w:t>
            </w:r>
          </w:p>
        </w:tc>
      </w:tr>
      <w:tr>
        <w:trPr/>
        <w:tc>
          <w:tcPr>
            <w:tcW w:w="4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3,953,928 </w:t>
            </w:r>
          </w:p>
        </w:tc>
        <w:tc>
          <w:tcPr>
            <w:tcW w:w="1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vTv THERAPEUTICS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JUNE 30, 2026</w:t>
      </w:r>
    </w:p>
    <w:tbl>
      <w:tblPr>
        <w:tblW w:w="10205" w:type="dxa"/>
        <w:jc w:val="left"/>
        <w:tblInd w:w="0" w:type="dxa"/>
        <w:tblLayout w:type="fixed"/>
        <w:tblCellMar>
          <w:top w:w="28" w:type="dxa"/>
          <w:left w:w="28" w:type="dxa"/>
          <w:bottom w:w="28" w:type="dxa"/>
          <w:right w:w="28" w:type="dxa"/>
        </w:tblCellMar>
      </w:tblPr>
      <w:tblGrid>
        <w:gridCol w:w="492"/>
        <w:gridCol w:w="433"/>
        <w:gridCol w:w="433"/>
        <w:gridCol w:w="2733"/>
        <w:gridCol w:w="2616"/>
        <w:gridCol w:w="2638"/>
        <w:gridCol w:w="250"/>
        <w:gridCol w:w="250"/>
        <w:gridCol w:w="360"/>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br/>
              <w:t>NUMBER</w:t>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9fadb18a1cc64d17ba910cfcf66d9538_10">
              <w:r>
                <w:rPr>
                  <w:rStyle w:val="InternetLink"/>
                  <w:rFonts w:ascii="Times New Roman;serif" w:hAnsi="Times New Roman;serif"/>
                  <w:b w:val="false"/>
                  <w:color w:val="0000FF"/>
                  <w:sz w:val="20"/>
                  <w:u w:val="single"/>
                </w:rPr>
                <w:t>PART I – FINANCIAL INFORMATION</w:t>
              </w:r>
            </w:hyperlink>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3">
              <w:r>
                <w:rPr>
                  <w:rStyle w:val="InternetLink"/>
                  <w:rFonts w:ascii="Times New Roman;serif" w:hAnsi="Times New Roman;serif"/>
                  <w:b w:val="false"/>
                  <w:strike w:val="false"/>
                  <w:dstrike w:val="false"/>
                  <w:color w:val="000000"/>
                  <w:sz w:val="20"/>
                  <w:u w:val="none"/>
                  <w:effect w:val="none"/>
                </w:rPr>
                <w:t>Item 1.</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9fadb18a1cc64d17ba910cfcf66d9538_13">
              <w:r>
                <w:rPr>
                  <w:rStyle w:val="InternetLink"/>
                  <w:rFonts w:ascii="Times New Roman;serif" w:hAnsi="Times New Roman;serif"/>
                  <w:b w:val="false"/>
                  <w:color w:val="000080"/>
                  <w:sz w:val="20"/>
                  <w:u w:val="single"/>
                </w:rPr>
                <w:t xml:space="preserve">Condensed Consolidated Balance Sheets as of </w:t>
              </w:r>
            </w:hyperlink>
            <w:hyperlink w:anchor="i9fadb18a1cc64d17ba910cfcf66d9538_13">
              <w:r>
                <w:rPr>
                  <w:rStyle w:val="InternetLink"/>
                  <w:rFonts w:ascii="Times New Roman;serif" w:hAnsi="Times New Roman;serif"/>
                  <w:b w:val="false"/>
                  <w:color w:val="000080"/>
                  <w:sz w:val="20"/>
                  <w:u w:val="single"/>
                </w:rPr>
                <w:t>June</w:t>
              </w:r>
            </w:hyperlink>
            <w:hyperlink w:anchor="i9fadb18a1cc64d17ba910cfcf66d9538_13">
              <w:r>
                <w:rPr>
                  <w:rStyle w:val="InternetLink"/>
                  <w:rFonts w:ascii="Times New Roman;serif" w:hAnsi="Times New Roman;serif"/>
                  <w:b w:val="false"/>
                  <w:color w:val="000080"/>
                  <w:sz w:val="20"/>
                  <w:u w:val="single"/>
                </w:rPr>
                <w:t xml:space="preserve"> 3</w:t>
              </w:r>
            </w:hyperlink>
            <w:hyperlink w:anchor="i9fadb18a1cc64d17ba910cfcf66d9538_13">
              <w:r>
                <w:rPr>
                  <w:rStyle w:val="InternetLink"/>
                  <w:rFonts w:ascii="Times New Roman;serif" w:hAnsi="Times New Roman;serif"/>
                  <w:b w:val="false"/>
                  <w:color w:val="000080"/>
                  <w:sz w:val="20"/>
                  <w:u w:val="single"/>
                </w:rPr>
                <w:t>0</w:t>
              </w:r>
            </w:hyperlink>
            <w:hyperlink w:anchor="i9fadb18a1cc64d17ba910cfcf66d9538_13">
              <w:r>
                <w:rPr>
                  <w:rStyle w:val="InternetLink"/>
                  <w:rFonts w:ascii="Times New Roman;serif" w:hAnsi="Times New Roman;serif"/>
                  <w:b w:val="false"/>
                  <w:color w:val="000080"/>
                  <w:sz w:val="20"/>
                  <w:u w:val="single"/>
                </w:rPr>
                <w:t>, 2026 (Unaudited) and December 31, 2025</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3">
              <w:r>
                <w:rPr>
                  <w:rStyle w:val="InternetLink"/>
                  <w:rFonts w:ascii="Times New Roman;serif" w:hAnsi="Times New Roman;serif"/>
                  <w:b w:val="false"/>
                  <w:strike w:val="false"/>
                  <w:dstrike w:val="false"/>
                  <w:color w:val="000000"/>
                  <w:sz w:val="20"/>
                  <w:u w:val="none"/>
                  <w:effect w:val="none"/>
                </w:rPr>
                <w:t>4</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9fadb18a1cc64d17ba910cfcf66d9538_16">
              <w:r>
                <w:rPr>
                  <w:rStyle w:val="InternetLink"/>
                  <w:rFonts w:ascii="Times New Roman;serif" w:hAnsi="Times New Roman;serif"/>
                  <w:b w:val="false"/>
                  <w:color w:val="000080"/>
                  <w:sz w:val="20"/>
                  <w:u w:val="single"/>
                </w:rPr>
                <w:t>Unaudited Condensed Consolidated Statements of Operations for the three</w:t>
              </w:r>
            </w:hyperlink>
            <w:hyperlink w:anchor="i9fadb18a1cc64d17ba910cfcf66d9538_16">
              <w:r>
                <w:rPr>
                  <w:rStyle w:val="InternetLink"/>
                  <w:rFonts w:ascii="Times New Roman;serif" w:hAnsi="Times New Roman;serif"/>
                  <w:b w:val="false"/>
                  <w:color w:val="000080"/>
                  <w:sz w:val="20"/>
                  <w:u w:val="single"/>
                </w:rPr>
                <w:t xml:space="preserve"> and six</w:t>
              </w:r>
            </w:hyperlink>
            <w:hyperlink w:anchor="i9fadb18a1cc64d17ba910cfcf66d9538_16">
              <w:r>
                <w:rPr>
                  <w:rStyle w:val="InternetLink"/>
                  <w:rFonts w:ascii="Times New Roman;serif" w:hAnsi="Times New Roman;serif"/>
                  <w:b w:val="false"/>
                  <w:color w:val="000080"/>
                  <w:sz w:val="20"/>
                  <w:u w:val="single"/>
                </w:rPr>
                <w:t xml:space="preserve"> months ended </w:t>
              </w:r>
            </w:hyperlink>
            <w:hyperlink w:anchor="i9fadb18a1cc64d17ba910cfcf66d9538_16">
              <w:r>
                <w:rPr>
                  <w:rStyle w:val="InternetLink"/>
                  <w:rFonts w:ascii="Times New Roman;serif" w:hAnsi="Times New Roman;serif"/>
                  <w:b w:val="false"/>
                  <w:color w:val="000080"/>
                  <w:sz w:val="20"/>
                  <w:u w:val="single"/>
                </w:rPr>
                <w:t>June</w:t>
              </w:r>
            </w:hyperlink>
            <w:hyperlink w:anchor="i9fadb18a1cc64d17ba910cfcf66d9538_16">
              <w:r>
                <w:rPr>
                  <w:rStyle w:val="InternetLink"/>
                  <w:rFonts w:ascii="Times New Roman;serif" w:hAnsi="Times New Roman;serif"/>
                  <w:b w:val="false"/>
                  <w:color w:val="000080"/>
                  <w:sz w:val="20"/>
                  <w:u w:val="single"/>
                </w:rPr>
                <w:t xml:space="preserve"> 3</w:t>
              </w:r>
            </w:hyperlink>
            <w:hyperlink w:anchor="i9fadb18a1cc64d17ba910cfcf66d9538_16">
              <w:r>
                <w:rPr>
                  <w:rStyle w:val="InternetLink"/>
                  <w:rFonts w:ascii="Times New Roman;serif" w:hAnsi="Times New Roman;serif"/>
                  <w:b w:val="false"/>
                  <w:color w:val="000080"/>
                  <w:sz w:val="20"/>
                  <w:u w:val="single"/>
                </w:rPr>
                <w:t>0</w:t>
              </w:r>
            </w:hyperlink>
            <w:hyperlink w:anchor="i9fadb18a1cc64d17ba910cfcf66d9538_16">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00"/>
                <w:sz w:val="20"/>
              </w:rPr>
              <w:t>5</w:t>
            </w:r>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6">
              <w:r>
                <w:rPr>
                  <w:rStyle w:val="InternetLink"/>
                  <w:rFonts w:ascii="Times New Roman;serif" w:hAnsi="Times New Roman;serif"/>
                  <w:b w:val="false"/>
                  <w:strike w:val="false"/>
                  <w:dstrike w:val="false"/>
                  <w:color w:val="000000"/>
                  <w:sz w:val="20"/>
                  <w:u w:val="none"/>
                  <w:effect w:val="none"/>
                </w:rPr>
                <w:t>5</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9fadb18a1cc64d17ba910cfcf66d9538_22">
              <w:r>
                <w:rPr>
                  <w:rStyle w:val="InternetLink"/>
                  <w:rFonts w:ascii="Times New Roman;serif" w:hAnsi="Times New Roman;serif"/>
                  <w:b w:val="false"/>
                  <w:color w:val="000080"/>
                  <w:sz w:val="20"/>
                  <w:u w:val="single"/>
                </w:rPr>
                <w:t xml:space="preserve">Unaudited Condensed Consolidated Statement of Changes in Stockholders’ Equity for the three </w:t>
              </w:r>
            </w:hyperlink>
            <w:hyperlink w:anchor="i9fadb18a1cc64d17ba910cfcf66d9538_22">
              <w:r>
                <w:rPr>
                  <w:rStyle w:val="InternetLink"/>
                  <w:rFonts w:ascii="Times New Roman;serif" w:hAnsi="Times New Roman;serif"/>
                  <w:b w:val="false"/>
                  <w:color w:val="000080"/>
                  <w:sz w:val="20"/>
                  <w:u w:val="single"/>
                </w:rPr>
                <w:t xml:space="preserve">and six </w:t>
              </w:r>
            </w:hyperlink>
            <w:hyperlink w:anchor="i9fadb18a1cc64d17ba910cfcf66d9538_22">
              <w:r>
                <w:rPr>
                  <w:rStyle w:val="InternetLink"/>
                  <w:rFonts w:ascii="Times New Roman;serif" w:hAnsi="Times New Roman;serif"/>
                  <w:b w:val="false"/>
                  <w:color w:val="000080"/>
                  <w:sz w:val="20"/>
                  <w:u w:val="single"/>
                </w:rPr>
                <w:t xml:space="preserve">months ended </w:t>
              </w:r>
            </w:hyperlink>
            <w:hyperlink w:anchor="i9fadb18a1cc64d17ba910cfcf66d9538_22">
              <w:r>
                <w:rPr>
                  <w:rStyle w:val="InternetLink"/>
                  <w:rFonts w:ascii="Times New Roman;serif" w:hAnsi="Times New Roman;serif"/>
                  <w:b w:val="false"/>
                  <w:color w:val="000080"/>
                  <w:sz w:val="20"/>
                  <w:u w:val="single"/>
                </w:rPr>
                <w:t>June</w:t>
              </w:r>
            </w:hyperlink>
            <w:hyperlink w:anchor="i9fadb18a1cc64d17ba910cfcf66d9538_22">
              <w:r>
                <w:rPr>
                  <w:rStyle w:val="InternetLink"/>
                  <w:rFonts w:ascii="Times New Roman;serif" w:hAnsi="Times New Roman;serif"/>
                  <w:b w:val="false"/>
                  <w:color w:val="000080"/>
                  <w:sz w:val="20"/>
                  <w:u w:val="single"/>
                </w:rPr>
                <w:t xml:space="preserve"> 3</w:t>
              </w:r>
            </w:hyperlink>
            <w:hyperlink w:anchor="i9fadb18a1cc64d17ba910cfcf66d9538_22">
              <w:r>
                <w:rPr>
                  <w:rStyle w:val="InternetLink"/>
                  <w:rFonts w:ascii="Times New Roman;serif" w:hAnsi="Times New Roman;serif"/>
                  <w:b w:val="false"/>
                  <w:color w:val="000080"/>
                  <w:sz w:val="20"/>
                  <w:u w:val="single"/>
                </w:rPr>
                <w:t>0</w:t>
              </w:r>
            </w:hyperlink>
            <w:hyperlink w:anchor="i9fadb18a1cc64d17ba910cfcf66d9538_22">
              <w:r>
                <w:rPr>
                  <w:rStyle w:val="InternetLink"/>
                  <w:rFonts w:ascii="Times New Roman;serif" w:hAnsi="Times New Roman;serif"/>
                  <w:b w:val="false"/>
                  <w:color w:val="000080"/>
                  <w:sz w:val="20"/>
                  <w:u w:val="single"/>
                </w:rPr>
                <w:t>, 2026 and 2025</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22">
              <w:r>
                <w:rPr>
                  <w:rStyle w:val="InternetLink"/>
                  <w:rFonts w:ascii="Times New Roman;serif" w:hAnsi="Times New Roman;serif"/>
                  <w:b w:val="false"/>
                  <w:strike w:val="false"/>
                  <w:dstrike w:val="false"/>
                  <w:color w:val="000000"/>
                  <w:sz w:val="20"/>
                  <w:u w:val="none"/>
                  <w:effect w:val="none"/>
                </w:rPr>
                <w:t>6</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9fadb18a1cc64d17ba910cfcf66d9538_31">
              <w:r>
                <w:rPr>
                  <w:rStyle w:val="InternetLink"/>
                  <w:rFonts w:ascii="Times New Roman;serif" w:hAnsi="Times New Roman;serif"/>
                  <w:b w:val="false"/>
                  <w:color w:val="000080"/>
                  <w:sz w:val="20"/>
                  <w:u w:val="single"/>
                </w:rPr>
                <w:t xml:space="preserve">Unaudited Condensed Consolidated Statements of Cash Flows for the </w:t>
              </w:r>
            </w:hyperlink>
            <w:hyperlink w:anchor="i9fadb18a1cc64d17ba910cfcf66d9538_31">
              <w:r>
                <w:rPr>
                  <w:rStyle w:val="InternetLink"/>
                  <w:rFonts w:ascii="Times New Roman;serif" w:hAnsi="Times New Roman;serif"/>
                  <w:b w:val="false"/>
                  <w:color w:val="000080"/>
                  <w:sz w:val="20"/>
                  <w:u w:val="single"/>
                </w:rPr>
                <w:t>six</w:t>
              </w:r>
            </w:hyperlink>
            <w:hyperlink w:anchor="i9fadb18a1cc64d17ba910cfcf66d9538_31">
              <w:r>
                <w:rPr>
                  <w:rStyle w:val="InternetLink"/>
                  <w:rFonts w:ascii="Times New Roman;serif" w:hAnsi="Times New Roman;serif"/>
                  <w:b w:val="false"/>
                  <w:color w:val="000080"/>
                  <w:sz w:val="20"/>
                  <w:u w:val="single"/>
                </w:rPr>
                <w:t xml:space="preserve"> months ended </w:t>
              </w:r>
            </w:hyperlink>
            <w:hyperlink w:anchor="i9fadb18a1cc64d17ba910cfcf66d9538_31">
              <w:r>
                <w:rPr>
                  <w:rStyle w:val="InternetLink"/>
                  <w:rFonts w:ascii="Times New Roman;serif" w:hAnsi="Times New Roman;serif"/>
                  <w:b w:val="false"/>
                  <w:color w:val="000080"/>
                  <w:sz w:val="20"/>
                  <w:u w:val="single"/>
                </w:rPr>
                <w:t>June</w:t>
              </w:r>
            </w:hyperlink>
            <w:hyperlink w:anchor="i9fadb18a1cc64d17ba910cfcf66d9538_31">
              <w:r>
                <w:rPr>
                  <w:rStyle w:val="InternetLink"/>
                  <w:rFonts w:ascii="Times New Roman;serif" w:hAnsi="Times New Roman;serif"/>
                  <w:b w:val="false"/>
                  <w:color w:val="000080"/>
                  <w:sz w:val="20"/>
                  <w:u w:val="single"/>
                </w:rPr>
                <w:t xml:space="preserve"> 3</w:t>
              </w:r>
            </w:hyperlink>
            <w:hyperlink w:anchor="i9fadb18a1cc64d17ba910cfcf66d9538_31">
              <w:r>
                <w:rPr>
                  <w:rStyle w:val="InternetLink"/>
                  <w:rFonts w:ascii="Times New Roman;serif" w:hAnsi="Times New Roman;serif"/>
                  <w:b w:val="false"/>
                  <w:color w:val="000080"/>
                  <w:sz w:val="20"/>
                  <w:u w:val="single"/>
                </w:rPr>
                <w:t>0</w:t>
              </w:r>
            </w:hyperlink>
            <w:hyperlink w:anchor="i9fadb18a1cc64d17ba910cfcf66d9538_31">
              <w:r>
                <w:rPr>
                  <w:rStyle w:val="InternetLink"/>
                  <w:rFonts w:ascii="Times New Roman;serif" w:hAnsi="Times New Roman;serif"/>
                  <w:b w:val="false"/>
                  <w:color w:val="000080"/>
                  <w:sz w:val="20"/>
                  <w:u w:val="single"/>
                </w:rPr>
                <w:t>, 2026 and 2025</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31">
              <w:r>
                <w:rPr>
                  <w:rStyle w:val="InternetLink"/>
                  <w:rFonts w:ascii="Times New Roman;serif" w:hAnsi="Times New Roman;serif"/>
                  <w:b w:val="false"/>
                  <w:strike w:val="false"/>
                  <w:dstrike w:val="false"/>
                  <w:color w:val="000000"/>
                  <w:sz w:val="20"/>
                  <w:u w:val="none"/>
                  <w:effect w:val="none"/>
                </w:rPr>
                <w:t>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34">
              <w:r>
                <w:rPr>
                  <w:rStyle w:val="InternetLink"/>
                  <w:rFonts w:ascii="Times New Roman;serif" w:hAnsi="Times New Roman;serif"/>
                  <w:b w:val="false"/>
                  <w:color w:val="0000FF"/>
                  <w:sz w:val="20"/>
                  <w:u w:val="single"/>
                </w:rPr>
                <w:t>Notes to Unaudited Consolidated Financial Statements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34">
              <w:r>
                <w:rPr>
                  <w:rStyle w:val="InternetLink"/>
                  <w:rFonts w:ascii="Times New Roman;serif" w:hAnsi="Times New Roman;serif"/>
                  <w:b w:val="false"/>
                  <w:strike w:val="false"/>
                  <w:dstrike w:val="false"/>
                  <w:color w:val="000000"/>
                  <w:sz w:val="20"/>
                  <w:u w:val="none"/>
                  <w:effect w:val="none"/>
                </w:rPr>
                <w:t>9</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94">
              <w:r>
                <w:rPr>
                  <w:rStyle w:val="InternetLink"/>
                  <w:rFonts w:ascii="Times New Roman;serif" w:hAnsi="Times New Roman;serif"/>
                  <w:b w:val="false"/>
                  <w:strike w:val="false"/>
                  <w:dstrike w:val="false"/>
                  <w:color w:val="000000"/>
                  <w:sz w:val="20"/>
                  <w:u w:val="none"/>
                  <w:effect w:val="none"/>
                </w:rPr>
                <w:t>Item 2.</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94">
              <w:r>
                <w:rPr>
                  <w:rStyle w:val="InternetLink"/>
                  <w:rFonts w:ascii="Times New Roman;serif" w:hAnsi="Times New Roman;serif"/>
                  <w:b w:val="false"/>
                  <w:strike w:val="false"/>
                  <w:dstrike w:val="false"/>
                  <w:color w:val="000000"/>
                  <w:sz w:val="20"/>
                  <w:u w:val="none"/>
                  <w:effect w:val="none"/>
                </w:rPr>
                <w:t>18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33">
              <w:r>
                <w:rPr>
                  <w:rStyle w:val="InternetLink"/>
                  <w:rFonts w:ascii="Times New Roman;serif" w:hAnsi="Times New Roman;serif"/>
                  <w:b w:val="false"/>
                  <w:strike w:val="false"/>
                  <w:dstrike w:val="false"/>
                  <w:color w:val="000000"/>
                  <w:sz w:val="20"/>
                  <w:u w:val="none"/>
                  <w:effect w:val="none"/>
                </w:rPr>
                <w:t>Item 3.</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33">
              <w:r>
                <w:rPr>
                  <w:rStyle w:val="InternetLink"/>
                  <w:rFonts w:ascii="Times New Roman;serif" w:hAnsi="Times New Roman;serif"/>
                  <w:b w:val="false"/>
                  <w:color w:val="0000FF"/>
                  <w:sz w:val="20"/>
                  <w:u w:val="single"/>
                </w:rPr>
                <w:t>Quantitative and Qualitative Disclosures About Market Risk</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33">
              <w:r>
                <w:rPr>
                  <w:rStyle w:val="InternetLink"/>
                  <w:rFonts w:ascii="Times New Roman;serif" w:hAnsi="Times New Roman;serif"/>
                  <w:b w:val="false"/>
                  <w:strike w:val="false"/>
                  <w:dstrike w:val="false"/>
                  <w:color w:val="000000"/>
                  <w:sz w:val="20"/>
                  <w:u w:val="none"/>
                  <w:effect w:val="none"/>
                </w:rPr>
                <w:t>27</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36">
              <w:r>
                <w:rPr>
                  <w:rStyle w:val="InternetLink"/>
                  <w:rFonts w:ascii="Times New Roman;serif" w:hAnsi="Times New Roman;serif"/>
                  <w:b w:val="false"/>
                  <w:strike w:val="false"/>
                  <w:dstrike w:val="false"/>
                  <w:color w:val="000000"/>
                  <w:sz w:val="20"/>
                  <w:u w:val="none"/>
                  <w:effect w:val="none"/>
                </w:rPr>
                <w:t>Item 4.</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36">
              <w:r>
                <w:rPr>
                  <w:rStyle w:val="InternetLink"/>
                  <w:rFonts w:ascii="Times New Roman;serif" w:hAnsi="Times New Roman;serif"/>
                  <w:b w:val="false"/>
                  <w:color w:val="0000FF"/>
                  <w:sz w:val="20"/>
                  <w:u w:val="single"/>
                </w:rPr>
                <w:t>Controls and Procedures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36">
              <w:r>
                <w:rPr>
                  <w:rStyle w:val="InternetLink"/>
                  <w:rFonts w:ascii="Times New Roman;serif" w:hAnsi="Times New Roman;serif"/>
                  <w:b w:val="false"/>
                  <w:strike w:val="false"/>
                  <w:dstrike w:val="false"/>
                  <w:color w:val="000000"/>
                  <w:sz w:val="20"/>
                  <w:u w:val="none"/>
                  <w:effect w:val="none"/>
                </w:rPr>
                <w:t>27</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9fadb18a1cc64d17ba910cfcf66d9538_139">
              <w:r>
                <w:rPr>
                  <w:rStyle w:val="InternetLink"/>
                  <w:rFonts w:ascii="Times New Roman;serif" w:hAnsi="Times New Roman;serif"/>
                  <w:b w:val="false"/>
                  <w:color w:val="0000FF"/>
                  <w:sz w:val="20"/>
                  <w:u w:val="single"/>
                </w:rPr>
                <w:t xml:space="preserve">PART II – OTHER INFORMATION </w:t>
              </w:r>
            </w:hyperlink>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42">
              <w:r>
                <w:rPr>
                  <w:rStyle w:val="InternetLink"/>
                  <w:rFonts w:ascii="Times New Roman;serif" w:hAnsi="Times New Roman;serif"/>
                  <w:b w:val="false"/>
                  <w:strike w:val="false"/>
                  <w:dstrike w:val="false"/>
                  <w:color w:val="000000"/>
                  <w:sz w:val="20"/>
                  <w:u w:val="none"/>
                  <w:effect w:val="none"/>
                </w:rPr>
                <w:t>Item 1.</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42">
              <w:r>
                <w:rPr>
                  <w:rStyle w:val="InternetLink"/>
                  <w:rFonts w:ascii="Times New Roman;serif" w:hAnsi="Times New Roman;serif"/>
                  <w:b w:val="false"/>
                  <w:color w:val="0000FF"/>
                  <w:sz w:val="20"/>
                  <w:u w:val="single"/>
                </w:rPr>
                <w:t>Legal Proceedings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42">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45">
              <w:r>
                <w:rPr>
                  <w:rStyle w:val="InternetLink"/>
                  <w:rFonts w:ascii="Times New Roman;serif" w:hAnsi="Times New Roman;serif"/>
                  <w:b w:val="false"/>
                  <w:strike w:val="false"/>
                  <w:dstrike w:val="false"/>
                  <w:color w:val="000000"/>
                  <w:sz w:val="20"/>
                  <w:u w:val="none"/>
                  <w:effect w:val="none"/>
                </w:rPr>
                <w:t>Item 1A.</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45">
              <w:r>
                <w:rPr>
                  <w:rStyle w:val="InternetLink"/>
                  <w:rFonts w:ascii="Times New Roman;serif" w:hAnsi="Times New Roman;serif"/>
                  <w:b w:val="false"/>
                  <w:color w:val="0000FF"/>
                  <w:sz w:val="20"/>
                  <w:u w:val="single"/>
                </w:rPr>
                <w:t>Risk Factors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45">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48">
              <w:r>
                <w:rPr>
                  <w:rStyle w:val="InternetLink"/>
                  <w:rFonts w:ascii="Times New Roman;serif" w:hAnsi="Times New Roman;serif"/>
                  <w:b w:val="false"/>
                  <w:strike w:val="false"/>
                  <w:dstrike w:val="false"/>
                  <w:color w:val="000000"/>
                  <w:sz w:val="20"/>
                  <w:u w:val="none"/>
                  <w:effect w:val="none"/>
                </w:rPr>
                <w:t>Item 2.</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48">
              <w:r>
                <w:rPr>
                  <w:rStyle w:val="InternetLink"/>
                  <w:rFonts w:ascii="Times New Roman;serif" w:hAnsi="Times New Roman;serif"/>
                  <w:b w:val="false"/>
                  <w:color w:val="0000FF"/>
                  <w:sz w:val="20"/>
                  <w:u w:val="single"/>
                </w:rPr>
                <w:t>Unregistered Sales of Equity Securities and Use of Proceeds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48">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51">
              <w:r>
                <w:rPr>
                  <w:rStyle w:val="InternetLink"/>
                  <w:rFonts w:ascii="Times New Roman;serif" w:hAnsi="Times New Roman;serif"/>
                  <w:b w:val="false"/>
                  <w:strike w:val="false"/>
                  <w:dstrike w:val="false"/>
                  <w:color w:val="000000"/>
                  <w:sz w:val="20"/>
                  <w:u w:val="none"/>
                  <w:effect w:val="none"/>
                </w:rPr>
                <w:t>Item 3.</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51">
              <w:r>
                <w:rPr>
                  <w:rStyle w:val="InternetLink"/>
                  <w:rFonts w:ascii="Times New Roman;serif" w:hAnsi="Times New Roman;serif"/>
                  <w:b w:val="false"/>
                  <w:color w:val="0000FF"/>
                  <w:sz w:val="20"/>
                  <w:u w:val="single"/>
                </w:rPr>
                <w:t>Defaults Upon Senior Securities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51">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54">
              <w:r>
                <w:rPr>
                  <w:rStyle w:val="InternetLink"/>
                  <w:rFonts w:ascii="Times New Roman;serif" w:hAnsi="Times New Roman;serif"/>
                  <w:b w:val="false"/>
                  <w:strike w:val="false"/>
                  <w:dstrike w:val="false"/>
                  <w:color w:val="000000"/>
                  <w:sz w:val="20"/>
                  <w:u w:val="none"/>
                  <w:effect w:val="none"/>
                </w:rPr>
                <w:t>Item 4.</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54">
              <w:r>
                <w:rPr>
                  <w:rStyle w:val="InternetLink"/>
                  <w:rFonts w:ascii="Times New Roman;serif" w:hAnsi="Times New Roman;serif"/>
                  <w:b w:val="false"/>
                  <w:color w:val="0000FF"/>
                  <w:sz w:val="20"/>
                  <w:u w:val="single"/>
                </w:rPr>
                <w:t>Mine Safety Disclosures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54">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57">
              <w:r>
                <w:rPr>
                  <w:rStyle w:val="InternetLink"/>
                  <w:rFonts w:ascii="Times New Roman;serif" w:hAnsi="Times New Roman;serif"/>
                  <w:b w:val="false"/>
                  <w:strike w:val="false"/>
                  <w:dstrike w:val="false"/>
                  <w:color w:val="000000"/>
                  <w:sz w:val="20"/>
                  <w:u w:val="none"/>
                  <w:effect w:val="none"/>
                </w:rPr>
                <w:t>Item 5.</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57">
              <w:r>
                <w:rPr>
                  <w:rStyle w:val="InternetLink"/>
                  <w:rFonts w:ascii="Times New Roman;serif" w:hAnsi="Times New Roman;serif"/>
                  <w:b w:val="false"/>
                  <w:color w:val="0000FF"/>
                  <w:sz w:val="20"/>
                  <w:u w:val="single"/>
                </w:rPr>
                <w:t>Other Information</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57">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fadb18a1cc64d17ba910cfcf66d9538_160">
              <w:r>
                <w:rPr>
                  <w:rStyle w:val="InternetLink"/>
                  <w:rFonts w:ascii="Times New Roman;serif" w:hAnsi="Times New Roman;serif"/>
                  <w:b w:val="false"/>
                  <w:strike w:val="false"/>
                  <w:dstrike w:val="false"/>
                  <w:color w:val="000000"/>
                  <w:sz w:val="20"/>
                  <w:u w:val="none"/>
                  <w:effect w:val="none"/>
                </w:rPr>
                <w:t>Item 6.</w:t>
              </w:r>
            </w:hyperlink>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60">
              <w:r>
                <w:rPr>
                  <w:rStyle w:val="InternetLink"/>
                  <w:rFonts w:ascii="Times New Roman;serif" w:hAnsi="Times New Roman;serif"/>
                  <w:b w:val="false"/>
                  <w:color w:val="0000FF"/>
                  <w:sz w:val="20"/>
                  <w:u w:val="single"/>
                </w:rPr>
                <w:t>Exhibits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60">
              <w:r>
                <w:rPr>
                  <w:rStyle w:val="InternetLink"/>
                  <w:rFonts w:ascii="Times New Roman;serif" w:hAnsi="Times New Roman;serif"/>
                  <w:b w:val="false"/>
                  <w:strike w:val="false"/>
                  <w:dstrike w:val="false"/>
                  <w:color w:val="000000"/>
                  <w:sz w:val="20"/>
                  <w:u w:val="none"/>
                  <w:effect w:val="none"/>
                </w:rPr>
                <w:t>28</w:t>
              </w:r>
            </w:hyperlink>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9fadb18a1cc64d17ba910cfcf66d9538_163">
              <w:r>
                <w:rPr>
                  <w:rStyle w:val="InternetLink"/>
                  <w:rFonts w:ascii="Times New Roman;serif" w:hAnsi="Times New Roman;serif"/>
                  <w:b w:val="false"/>
                  <w:color w:val="0000FF"/>
                  <w:sz w:val="20"/>
                  <w:u w:val="single"/>
                </w:rPr>
                <w:t>Signatures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fadb18a1cc64d17ba910cfcf66d9538_163">
              <w:r>
                <w:rPr>
                  <w:rStyle w:val="InternetLink"/>
                  <w:rFonts w:ascii="Times New Roman;serif" w:hAnsi="Times New Roman;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888"/>
        <w:gridCol w:w="2433"/>
        <w:gridCol w:w="2401"/>
        <w:gridCol w:w="211"/>
        <w:gridCol w:w="721"/>
        <w:gridCol w:w="109"/>
        <w:gridCol w:w="109"/>
        <w:gridCol w:w="109"/>
        <w:gridCol w:w="109"/>
        <w:gridCol w:w="216"/>
        <w:gridCol w:w="739"/>
        <w:gridCol w:w="160"/>
      </w:tblGrid>
      <w:tr>
        <w:trPr/>
        <w:tc>
          <w:tcPr>
            <w:tcW w:w="288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88,932 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4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60"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200,000,000 shares authorized, 3,938,803 and 3,938,654 outstanding as of June 30, 2026 and December 31, 2025, respectively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100,000,000 shares authorized, 92 and 241 outstanding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394,205 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391,090 </w:t>
            </w:r>
          </w:p>
        </w:tc>
        <w:tc>
          <w:tcPr>
            <w:tcW w:w="1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78,632 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64,437 </w:t>
            </w:r>
          </w:p>
        </w:tc>
        <w:tc>
          <w:tcPr>
            <w:tcW w:w="160"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89,899 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1773"/>
        <w:gridCol w:w="1412"/>
        <w:gridCol w:w="1424"/>
        <w:gridCol w:w="240"/>
        <w:gridCol w:w="841"/>
        <w:gridCol w:w="109"/>
        <w:gridCol w:w="109"/>
        <w:gridCol w:w="109"/>
        <w:gridCol w:w="109"/>
        <w:gridCol w:w="244"/>
        <w:gridCol w:w="732"/>
        <w:gridCol w:w="109"/>
        <w:gridCol w:w="109"/>
        <w:gridCol w:w="109"/>
        <w:gridCol w:w="109"/>
        <w:gridCol w:w="244"/>
        <w:gridCol w:w="837"/>
        <w:gridCol w:w="109"/>
        <w:gridCol w:w="109"/>
        <w:gridCol w:w="109"/>
        <w:gridCol w:w="109"/>
        <w:gridCol w:w="211"/>
        <w:gridCol w:w="783"/>
        <w:gridCol w:w="156"/>
      </w:tblGrid>
      <w:tr>
        <w:trPr/>
        <w:tc>
          <w:tcPr>
            <w:tcW w:w="177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0"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27,506 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5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(loss) income </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related party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 and noncontrolling interest</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noncontrolling interest</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vTv Therapeutics Inc.</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vTv Therapeutics Inc. common shareholders</w:t>
            </w:r>
          </w:p>
        </w:tc>
        <w:tc>
          <w:tcPr>
            <w:tcW w:w="1081"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09"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09"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56"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of vTv Therapeutics Inc. Class A common stock</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vTv Therapeutics Inc. Class A common stock</w:t>
            </w:r>
          </w:p>
        </w:tc>
        <w:tc>
          <w:tcPr>
            <w:tcW w:w="1081"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12,409,316 </w:t>
            </w:r>
          </w:p>
        </w:tc>
        <w:tc>
          <w:tcPr>
            <w:tcW w:w="109"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09"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12,409,297 </w:t>
            </w:r>
          </w:p>
        </w:tc>
        <w:tc>
          <w:tcPr>
            <w:tcW w:w="109"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56"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of vTv Therapeutics Inc. Class A common stock</w:t>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vTv Therapeutics Inc. Class A common stock</w:t>
            </w:r>
          </w:p>
        </w:tc>
        <w:tc>
          <w:tcPr>
            <w:tcW w:w="1081" w:type="dxa"/>
            <w:gridSpan w:val="2"/>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12,409,316 </w:t>
            </w:r>
          </w:p>
        </w:tc>
        <w:tc>
          <w:tcPr>
            <w:tcW w:w="109" w:type="dxa"/>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09" w:type="dxa"/>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14,541,788 </w:t>
            </w:r>
          </w:p>
        </w:tc>
        <w:tc>
          <w:tcPr>
            <w:tcW w:w="109" w:type="dxa"/>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56" w:type="dxa"/>
            <w:tcBorders>
              <w:top w:val="doub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Stockholders’ Equity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0205" w:type="dxa"/>
        <w:jc w:val="center"/>
        <w:tblInd w:w="0" w:type="dxa"/>
        <w:tblLayout w:type="fixed"/>
        <w:tblCellMar>
          <w:top w:w="28" w:type="dxa"/>
          <w:left w:w="28" w:type="dxa"/>
          <w:bottom w:w="28" w:type="dxa"/>
          <w:right w:w="28" w:type="dxa"/>
        </w:tblCellMar>
      </w:tblPr>
      <w:tblGrid>
        <w:gridCol w:w="697"/>
        <w:gridCol w:w="348"/>
        <w:gridCol w:w="350"/>
        <w:gridCol w:w="109"/>
        <w:gridCol w:w="109"/>
        <w:gridCol w:w="109"/>
        <w:gridCol w:w="443"/>
        <w:gridCol w:w="443"/>
        <w:gridCol w:w="196"/>
        <w:gridCol w:w="112"/>
        <w:gridCol w:w="112"/>
        <w:gridCol w:w="112"/>
        <w:gridCol w:w="239"/>
        <w:gridCol w:w="357"/>
        <w:gridCol w:w="112"/>
        <w:gridCol w:w="109"/>
        <w:gridCol w:w="109"/>
        <w:gridCol w:w="109"/>
        <w:gridCol w:w="220"/>
        <w:gridCol w:w="220"/>
        <w:gridCol w:w="196"/>
        <w:gridCol w:w="111"/>
        <w:gridCol w:w="111"/>
        <w:gridCol w:w="111"/>
        <w:gridCol w:w="201"/>
        <w:gridCol w:w="417"/>
        <w:gridCol w:w="111"/>
        <w:gridCol w:w="109"/>
        <w:gridCol w:w="109"/>
        <w:gridCol w:w="109"/>
        <w:gridCol w:w="196"/>
        <w:gridCol w:w="751"/>
        <w:gridCol w:w="109"/>
        <w:gridCol w:w="109"/>
        <w:gridCol w:w="109"/>
        <w:gridCol w:w="109"/>
        <w:gridCol w:w="203"/>
        <w:gridCol w:w="785"/>
        <w:gridCol w:w="112"/>
        <w:gridCol w:w="109"/>
        <w:gridCol w:w="109"/>
        <w:gridCol w:w="109"/>
        <w:gridCol w:w="229"/>
        <w:gridCol w:w="772"/>
        <w:gridCol w:w="194"/>
      </w:tblGrid>
      <w:tr>
        <w:trPr/>
        <w:tc>
          <w:tcPr>
            <w:tcW w:w="6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3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3,938,654</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57"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12"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17"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392,478</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5"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(302,558)</w:t>
            </w:r>
          </w:p>
        </w:tc>
        <w:tc>
          <w:tcPr>
            <w:tcW w:w="112"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89,959</w:t>
            </w:r>
            <w:r>
              <w:rPr>
                <w:color w:val="000000"/>
              </w:rPr>
              <w:t> </w:t>
            </w:r>
          </w:p>
        </w:tc>
        <w:tc>
          <w:tcPr>
            <w:tcW w:w="194"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9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3,938,803</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5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1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394,205</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(315,612)</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78,632</w:t>
            </w:r>
            <w:r>
              <w:rPr>
                <w:color w:val="000000"/>
              </w:rPr>
              <w:t> </w:t>
            </w:r>
          </w:p>
        </w:tc>
        <w:tc>
          <w:tcPr>
            <w:tcW w:w="19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3060" w:type="dxa"/>
        <w:jc w:val="left"/>
        <w:tblInd w:w="0" w:type="dxa"/>
        <w:tblLayout w:type="fixed"/>
        <w:tblCellMar>
          <w:top w:w="28" w:type="dxa"/>
          <w:left w:w="28" w:type="dxa"/>
          <w:bottom w:w="28" w:type="dxa"/>
          <w:right w:w="28" w:type="dxa"/>
        </w:tblCellMar>
      </w:tblPr>
      <w:tblGrid>
        <w:gridCol w:w="677"/>
        <w:gridCol w:w="239"/>
        <w:gridCol w:w="240"/>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45"/>
        <w:gridCol w:w="714"/>
        <w:gridCol w:w="137"/>
        <w:gridCol w:w="109"/>
        <w:gridCol w:w="109"/>
        <w:gridCol w:w="109"/>
        <w:gridCol w:w="317"/>
        <w:gridCol w:w="706"/>
        <w:gridCol w:w="178"/>
        <w:gridCol w:w="109"/>
        <w:gridCol w:w="109"/>
        <w:gridCol w:w="109"/>
        <w:gridCol w:w="242"/>
        <w:gridCol w:w="707"/>
        <w:gridCol w:w="192"/>
      </w:tblGrid>
      <w:tr>
        <w:trPr/>
        <w:tc>
          <w:tcPr>
            <w:tcW w:w="6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c>
          <w:tcPr>
            <w:tcW w:w="2669"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312,698</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(304,810)</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7,920</w:t>
            </w:r>
            <w:r>
              <w:rPr>
                <w:color w:val="000000"/>
              </w:rPr>
              <w:t> </w:t>
            </w:r>
          </w:p>
        </w:tc>
        <w:tc>
          <w:tcPr>
            <w:tcW w:w="137"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977</w:t>
            </w:r>
            <w:r>
              <w:rPr>
                <w:color w:val="000000"/>
              </w:rPr>
              <w:t> </w:t>
            </w:r>
          </w:p>
        </w:tc>
        <w:tc>
          <w:tcPr>
            <w:tcW w:w="178"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8,897</w:t>
            </w:r>
            <w:r>
              <w:rPr>
                <w:color w:val="000000"/>
              </w:rPr>
              <w:t> </w:t>
            </w:r>
          </w:p>
        </w:tc>
        <w:tc>
          <w:tcPr>
            <w:tcW w:w="192"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shares withheld for tax withholding related to the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3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9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2,617,215</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313,586</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(310,856)</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2,762</w:t>
            </w:r>
            <w:r>
              <w:rPr>
                <w:color w:val="000000"/>
              </w:rPr>
              <w:t> </w:t>
            </w:r>
          </w:p>
        </w:tc>
        <w:tc>
          <w:tcPr>
            <w:tcW w:w="13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(357)</w:t>
            </w:r>
          </w:p>
        </w:tc>
        <w:tc>
          <w:tcPr>
            <w:tcW w:w="17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2,405</w:t>
            </w:r>
            <w:r>
              <w:rPr>
                <w:color w:val="000000"/>
              </w:rPr>
              <w:t> </w:t>
            </w:r>
          </w:p>
        </w:tc>
        <w:tc>
          <w:tcPr>
            <w:tcW w:w="19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Stockholders’ Equity - Unaudited</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0205" w:type="dxa"/>
        <w:jc w:val="left"/>
        <w:tblInd w:w="0" w:type="dxa"/>
        <w:tblLayout w:type="fixed"/>
        <w:tblCellMar>
          <w:top w:w="28" w:type="dxa"/>
          <w:left w:w="28" w:type="dxa"/>
          <w:bottom w:w="28" w:type="dxa"/>
          <w:right w:w="28" w:type="dxa"/>
        </w:tblCellMar>
      </w:tblPr>
      <w:tblGrid>
        <w:gridCol w:w="643"/>
        <w:gridCol w:w="374"/>
        <w:gridCol w:w="375"/>
        <w:gridCol w:w="109"/>
        <w:gridCol w:w="109"/>
        <w:gridCol w:w="109"/>
        <w:gridCol w:w="443"/>
        <w:gridCol w:w="443"/>
        <w:gridCol w:w="196"/>
        <w:gridCol w:w="112"/>
        <w:gridCol w:w="112"/>
        <w:gridCol w:w="112"/>
        <w:gridCol w:w="238"/>
        <w:gridCol w:w="357"/>
        <w:gridCol w:w="112"/>
        <w:gridCol w:w="109"/>
        <w:gridCol w:w="109"/>
        <w:gridCol w:w="109"/>
        <w:gridCol w:w="220"/>
        <w:gridCol w:w="220"/>
        <w:gridCol w:w="197"/>
        <w:gridCol w:w="111"/>
        <w:gridCol w:w="111"/>
        <w:gridCol w:w="111"/>
        <w:gridCol w:w="201"/>
        <w:gridCol w:w="416"/>
        <w:gridCol w:w="111"/>
        <w:gridCol w:w="109"/>
        <w:gridCol w:w="109"/>
        <w:gridCol w:w="109"/>
        <w:gridCol w:w="196"/>
        <w:gridCol w:w="751"/>
        <w:gridCol w:w="109"/>
        <w:gridCol w:w="109"/>
        <w:gridCol w:w="109"/>
        <w:gridCol w:w="109"/>
        <w:gridCol w:w="203"/>
        <w:gridCol w:w="788"/>
        <w:gridCol w:w="113"/>
        <w:gridCol w:w="109"/>
        <w:gridCol w:w="109"/>
        <w:gridCol w:w="109"/>
        <w:gridCol w:w="229"/>
        <w:gridCol w:w="772"/>
        <w:gridCol w:w="194"/>
      </w:tblGrid>
      <w:tr>
        <w:trPr/>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392"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3,938,654</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57"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12"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197"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1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391,090</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(326,692)</w:t>
            </w:r>
          </w:p>
        </w:tc>
        <w:tc>
          <w:tcPr>
            <w:tcW w:w="113"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64,437</w:t>
            </w:r>
            <w:r>
              <w:rPr>
                <w:color w:val="000000"/>
              </w:rPr>
              <w:t> </w:t>
            </w:r>
          </w:p>
        </w:tc>
        <w:tc>
          <w:tcPr>
            <w:tcW w:w="194"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vTv Therapeutics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9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2"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3,938,803</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5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w:t>
            </w:r>
            <w:r>
              <w:rPr>
                <w:color w:val="000000"/>
              </w:rPr>
              <w:t> </w:t>
            </w:r>
          </w:p>
        </w:tc>
        <w:tc>
          <w:tcPr>
            <w:tcW w:w="19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1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394,205</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(315,612)</w:t>
            </w:r>
          </w:p>
        </w:tc>
        <w:tc>
          <w:tcPr>
            <w:tcW w:w="113"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78,632</w:t>
            </w:r>
            <w:r>
              <w:rPr>
                <w:color w:val="000000"/>
              </w:rPr>
              <w:t> </w:t>
            </w:r>
          </w:p>
        </w:tc>
        <w:tc>
          <w:tcPr>
            <w:tcW w:w="19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278" w:type="dxa"/>
        <w:jc w:val="left"/>
        <w:tblInd w:w="0" w:type="dxa"/>
        <w:tblLayout w:type="fixed"/>
        <w:tblCellMar>
          <w:top w:w="28" w:type="dxa"/>
          <w:left w:w="28" w:type="dxa"/>
          <w:bottom w:w="28" w:type="dxa"/>
          <w:right w:w="28" w:type="dxa"/>
        </w:tblCellMar>
      </w:tblPr>
      <w:tblGrid>
        <w:gridCol w:w="619"/>
        <w:gridCol w:w="268"/>
        <w:gridCol w:w="269"/>
        <w:gridCol w:w="109"/>
        <w:gridCol w:w="10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21"/>
        <w:gridCol w:w="745"/>
        <w:gridCol w:w="175"/>
      </w:tblGrid>
      <w:tr>
        <w:trPr/>
        <w:tc>
          <w:tcPr>
            <w:tcW w:w="6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1810" w:type="dxa"/>
            <w:gridSpan w:val="5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1468" w:type="dxa"/>
            <w:gridSpan w:val="6"/>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vTv Therapeutics Inc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 xml:space="preserve">Equity </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311,885</w:t>
            </w: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(299,718)</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12,199</w:t>
            </w:r>
            <w:r>
              <w:rPr>
                <w:color w:val="000000"/>
              </w:rPr>
              <w:t> </w:t>
            </w:r>
          </w:p>
        </w:tc>
        <w:tc>
          <w:tcPr>
            <w:tcW w:w="125"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2,102</w:t>
            </w:r>
            <w:r>
              <w:rPr>
                <w:color w:val="000000"/>
              </w:rPr>
              <w:t> </w:t>
            </w:r>
          </w:p>
        </w:tc>
        <w:tc>
          <w:tcPr>
            <w:tcW w:w="151"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14,301</w:t>
            </w:r>
            <w:r>
              <w:rPr>
                <w:color w:val="000000"/>
              </w:rPr>
              <w:t> </w:t>
            </w:r>
          </w:p>
        </w:tc>
        <w:tc>
          <w:tcPr>
            <w:tcW w:w="175"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5"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shares withheld for tax withholding related to the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2,617,215</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313,586</w:t>
            </w:r>
            <w:r>
              <w:rPr>
                <w:color w:val="000000"/>
              </w:rPr>
              <w:t>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(310,856)</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2,762</w:t>
            </w:r>
            <w:r>
              <w:rPr>
                <w:color w:val="000000"/>
              </w:rPr>
              <w:t> </w:t>
            </w:r>
          </w:p>
        </w:tc>
        <w:tc>
          <w:tcPr>
            <w:tcW w:w="12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(357)</w:t>
            </w:r>
          </w:p>
        </w:tc>
        <w:tc>
          <w:tcPr>
            <w:tcW w:w="15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2,405</w:t>
            </w:r>
            <w:r>
              <w:rPr>
                <w:color w:val="000000"/>
              </w:rPr>
              <w:t> </w:t>
            </w:r>
          </w:p>
        </w:tc>
        <w:tc>
          <w:tcPr>
            <w:tcW w:w="17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831"/>
        <w:gridCol w:w="2420"/>
        <w:gridCol w:w="2436"/>
        <w:gridCol w:w="211"/>
        <w:gridCol w:w="721"/>
        <w:gridCol w:w="109"/>
        <w:gridCol w:w="109"/>
        <w:gridCol w:w="109"/>
        <w:gridCol w:w="109"/>
        <w:gridCol w:w="211"/>
        <w:gridCol w:w="784"/>
        <w:gridCol w:w="155"/>
      </w:tblGrid>
      <w:tr>
        <w:trPr/>
        <w:tc>
          <w:tcPr>
            <w:tcW w:w="2831"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87"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noncontrolling interest</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55"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before noncontrolling interest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related party</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155"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beginning of period</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55"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768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Note 1: Description of Business and Basis of Presentation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vTv Therapeutics Inc. (the “Company,” the “Registrant,” “we” or “us”) was incorporated in the state of Delaware in April 2015. The Company is a late-stage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being investigated as an adjunctive therapy to insulin for the treatment of type 1 diabetes. The Company and its development partners are investigating multiple molecules across different indications for chronic diseases.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Company’s principal operating subsidiary.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Unaudited Condensed Consolidated Financial Statements. The assets and liabilities of vTv LLC represent substantially all of the Company’s consolidated assets and liabilities with the exception of the Warrants and $67.6 million of cash and cash equivalents.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Various holders own non-voting interests in vTv LLC, representing a de minimis amount of economic interest. Effectively, vTv Therapeutics Inc.’s interest is approximately 100.0% of vTv LLC’s economic results. vTv Therapeutics Inc. has provided financial and other support to vTv LLC in the form of its purchase of vTv Units with the net proceeds of the Company’s various debt and equity transactions in prior years and equity purchase agreements with various parties. v</w:t>
      </w:r>
      <w:r>
        <w:rPr>
          <w:rFonts w:ascii="Times New Roman;serif" w:hAnsi="Times New Roman;serif"/>
          <w:b w:val="false"/>
          <w:color w:val="000000"/>
          <w:sz w:val="20"/>
          <w:shd w:fill="FFFFFF" w:val="clear"/>
        </w:rPr>
        <w:t xml:space="preserve">Tv Therapeutics Inc. will not be required to provide financial or other support for vTv LLC. </w:t>
      </w:r>
      <w:r>
        <w:rPr>
          <w:rFonts w:ascii="Times New Roman;serif" w:hAnsi="Times New Roman;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June 30, 2026,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2026, the Company had an accumulated deficit of $315.6 million and has generated net losses in each year of its existence. As of June 30, 2026, the Company’s liquidity sources included cash and cash equivalents of $86.6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January 30, 2026, the Company entered into a Second Amendment to License Agreement with Newsoara Biopharma Co., Ltd. (“Newsoara”) (the “Second Amendment”). Under the Second Amendment, Newsoara's rights in the Company's PDE4 inhibitor, </w:t>
      </w:r>
      <w:r>
        <w:rPr>
          <w:rFonts w:ascii="Times New Roman;serif" w:hAnsi="Times New Roman;serif"/>
          <w:b w:val="false"/>
          <w:i/>
          <w:color w:val="000000"/>
          <w:sz w:val="20"/>
        </w:rPr>
        <w:t>HPP737</w:t>
      </w:r>
      <w:r>
        <w:rPr>
          <w:rFonts w:ascii="Times New Roman;serif" w:hAnsi="Times New Roman;serif"/>
          <w:b w:val="false"/>
          <w:color w:val="000000"/>
          <w:sz w:val="20"/>
        </w:rPr>
        <w:t>, will expand to include all countries of the world upon Newsoara's payment of the upfront fee of $20.0 million. See Note 3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in accordance with accounting principles generally accepted in the United States of America (“GAAP”). The accompanying Condensed Consolidated Balance Sheet as of June 30, 2026, Condensed Consolidated Statements of Operations for the three and six months ended June 30, 2026 and 2025, Condensed Consolidated Statement of Changes in Stockholders’ Equity for the three and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2026 and 2025, and Condensed Consolidated Statements of Cash Flows for the six months ended June 30, 2026 and 2025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2025,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2026, the results of operations for the three and six months ended June 30, 2026 and 2025, and cash flows for the six months ended June 30, 2026 and 2025. The December 31, 2025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to the financial statements related to the three and six months ended June 30, 2026 and 2025 are unaudited. Interim results are not necessarily indicative of results for an entire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including those related to the grant date fair value of equity awards, the fair value of warrants to purchase shares of its Class A common stock and the useful lives of property and equipment,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uncertainty and disruption in the global economy and financial markets due to a number of factors, including geopolitical instability, inflationary pressures, high interest rates, a recessionary environment, domestic and global monetary and fiscal policy, changes in trade policy, including tariffs or other trade restrictions or the threat of such actions, banking and other financial institution instability and other factors. Our business may also be impacted by changes or disruptions at the U.S. Food and Drug Administration (“FDA”) and other government agencies. The Company has taken into consideration any known impacts to its accounting estimates to date and is not aware of any additional specific events or circumstances that would require any additional updates to its estimates or judgments or a revision of the carrying value of its assets or liabilities as of the filing date of this Quarterly Report on Form 10-Q.</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significant accounting policies during the three and six months ended June 30, 2026, as compared to those disclosed in Note 2 Summary of Significant Accounting Policies included in the Company’s Annual Report on Form 10-K for the year ended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540"/>
        <w:jc w:val="both"/>
        <w:rPr/>
      </w:pPr>
      <w:r>
        <w:rPr>
          <w:rFonts w:ascii="Times New Roman;serif" w:hAnsi="Times New Roman;serif"/>
          <w:b/>
          <w:color w:val="000000"/>
          <w:sz w:val="20"/>
        </w:rPr>
        <w:t>Disaggregation of Income Statement Expenses:</w:t>
      </w:r>
      <w:r>
        <w:rPr>
          <w:color w:val="000000"/>
        </w:rPr>
        <w:t xml:space="preserve"> </w:t>
      </w: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Income Statement—Reporting Comprehensive Income—Expense Disaggregation Disclosures: Disaggregation of Income Statement Expenses.</w:t>
      </w:r>
      <w:r>
        <w:rPr>
          <w:color w:val="000000"/>
        </w:rPr>
        <w:t xml:space="preserve">” </w:t>
      </w:r>
      <w:r>
        <w:rPr>
          <w:rFonts w:ascii="Times New Roman;serif" w:hAnsi="Times New Roman;serif"/>
          <w:b w:val="false"/>
          <w:color w:val="000000"/>
          <w:sz w:val="20"/>
        </w:rPr>
        <w:t>This guidance requires disclosures about significant expense categories, including but not limited to, inventory purchases, employee compensation, depreciation, amortization, and selling expenses</w:t>
      </w:r>
      <w:r>
        <w:rPr>
          <w:rFonts w:ascii="Times New Roman;serif" w:hAnsi="Times New Roman;serif"/>
          <w:b w:val="false"/>
          <w:color w:val="000000"/>
          <w:sz w:val="20"/>
          <w:shd w:fill="FFFFFF" w:val="clear"/>
        </w:rPr>
        <w:t>. This amendment is effective for our annual reporting periods beginning after December 15, 2026, and interim reporting periods beginning after December 15, 2027. We are currently assessing the impact of this guidance on our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3: Collaboration Agreements</w:t>
      </w:r>
    </w:p>
    <w:p>
      <w:pPr>
        <w:pStyle w:val="TextBody"/>
        <w:bidi w:val="0"/>
        <w:spacing w:lineRule="auto" w:line="288" w:before="120" w:after="283"/>
        <w:ind w:left="0" w:right="0" w:hanging="540"/>
        <w:jc w:val="both"/>
        <w:rPr>
          <w:rFonts w:ascii="Times New Roman;serif" w:hAnsi="Times New Roman;serif"/>
          <w:b/>
          <w:i/>
          <w:color w:val="000000"/>
          <w:sz w:val="20"/>
        </w:rPr>
      </w:pPr>
      <w:r>
        <w:rPr>
          <w:rFonts w:ascii="Times New Roman;serif" w:hAnsi="Times New Roman;serif"/>
          <w:b/>
          <w:i/>
          <w:color w:val="000000"/>
          <w:sz w:val="20"/>
        </w:rPr>
        <w:t xml:space="preserve">G42 Agreements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G42 Investments AI Holding RSC Ltd, a private limited company (“G42 Investments”), entered into a Common Stock Purchase Agreement (the “G42 Purchase Agreement”), on May 31, 2022, pursuant to which the Company sold to G42 Investments 259,657 shares of the Company’s Class A common stock, for an aggregate purchase price of $25.0 million, which was paid (i) $12.5 million in cash at the closing and (ii) $12.5 million in the form of a promissory note of G42 Investments paid in 2023. G42 Investments agreed to certain transfer restrictions (including restrictions on short sales or similar transactions) and restrictions on further acquisitions of shares. The Company granted G42 Investments certain shelf and piggyback registration rights with respect to those shares, including the ability to conduct an underwritten offering to resell such shares under certain circumstances. The registration rights include customary cooperation, cut-back, expense reimbursement, and indemnification provisions.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Contemporaneously with the G42 Purchase Agreement, in 2022, the Company entered into a collaboration and license agreement (the “Collaboration Agreement”) with Cogna Technology Solutions LLC, an affiliate of G42 Investments, with those rights transferring to G42 Healthcare Research Technology Projects LLC ("G42"), an affiliate of G42 Investments. The Collaboration Agreement requires G42 to work with the Company in performing clinical trials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TP399)</w:t>
      </w:r>
      <w:r>
        <w:rPr>
          <w:color w:val="000000"/>
        </w:rPr>
        <w:t xml:space="preserve"> </w:t>
      </w:r>
      <w:r>
        <w:rPr>
          <w:rFonts w:ascii="Times New Roman;serif" w:hAnsi="Times New Roman;serif"/>
          <w:b w:val="false"/>
          <w:color w:val="000000"/>
          <w:sz w:val="20"/>
        </w:rPr>
        <w:t xml:space="preserve">as well as jointly creating a global development plan to develop, market, and commercialize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in certain countries in the Middle East, Africa, and Central Asia (the “Partner Territory”). Under the terms of the Collaboration Agreement, G42 obtained a license under certain intellectual property controlled by the Company to enable it to fulfill its obligations and exercise its rights under the Collaboration Agreement, including to develop and commercialize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in the Partner Territory. Specifically, the Company will share various protocols with G42 related to conducting the clinical trials and will provide the patient dosages and placebo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needed to conduct the trials. Under the Collaboration Agreement, G42 has the right to develop and commercialize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in the Partner Territory at its own cost. The Company may supply at cost, or G42 may manufacture,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for commercial sale under terms to be agreed upon by the parties at a later date. Separately, the Company will conduct its clinical trials for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outside of the Partner Territory at its own cost. The results of each party’s clinical trials may be combined by the Company to seek FDA approval in the United States for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G42 Purchase Agreement also provides for, following the receipt of the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FDA Approval,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FDA Approval and subject to certain limitations and conditions set forth in the G42 Purchase Agreement. There can be no assurance that the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FDA Approval will be granted or as to the timing thereof. Once commercialization takes place in the Partner Territory, the Company will receive royalties in the single digits from G42 Healthcare on the net sales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for a period of at least ten years after the first commercial sale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in the Partner Territory.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premium was paid on the Class A common stock by G42 Investments of $18.7 million, net of a note receivable discount of $0.6 million, which was deferred and recorded as a contract liability. This premium was determined to be the transaction price for all remaining obligations under the agreements and accounted for under ASC 808 or ASC 606 based on determination of the unit of account. As of December 31, 2025, $18.7 million was recorded in the Consolidated Balance Sheet.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determined that certain commitments under the agreements are in the scope of ASC 808 as both the Company and G42 are active participants in the clinical trials of </w:t>
      </w:r>
      <w:r>
        <w:rPr>
          <w:rFonts w:ascii="Times New Roman;serif" w:hAnsi="Times New Roman;serif"/>
          <w:b w:val="false"/>
          <w:i/>
          <w:color w:val="000000"/>
          <w:sz w:val="20"/>
        </w:rPr>
        <w:t>cadisegliatin</w:t>
      </w:r>
      <w:r>
        <w:rPr>
          <w:rFonts w:ascii="Times New Roman;serif" w:hAnsi="Times New Roman;serif"/>
          <w:b w:val="false"/>
          <w:color w:val="000000"/>
          <w:sz w:val="20"/>
        </w:rPr>
        <w:t>, and both are exposed to significant risks and rewards based on the success of the clinical trials and subsequent FDA approval. G42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as an ASC 808 unit of account, applying the recognition and measurement principles of ASC 606 by analogy. The Company will recognize collaboration revenue for its development activities under ASC 808 over time based on the estimated period of performance.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By applying the principles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G42 would need to be able to use and benefit from delivery of the assets or services. The performance obligation under the agreements that fall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within the ASC 808 unit of account are concentrated in the clinical trials. As of June 30, 2026, the clinical trials had not commenced. Accordingly, no collaboration revenue was recognized for the ASC 808 unit of account during the three and six months ended June 30, 2026 and 2025. $1.3 million remains deferred and recorded in contract liabilities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certain commitments that are in the scope of ASC 606 as G42’s relationship is that of a customer for these commitments. The significant performance obligations that are in the scope of ASC 606 are (1) the development, commercialization and manufacturing license of the intellectual property (IP) once restrictions on the use of the IP have been lifted by the Company and (2) a potential material right to a commercial supply agreement. As a result, the Company recognizes revenue associated with the development, commercialization, and manufacturing license at a point in time upon the release of the IP restrictions.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lifted the contractual restrictions on the use of the IP. Accordingly, the Company determined that control of the license was transferred to G42 at that point in time, and the related performance obligation was satisfied. During the six months ended June 30, 2026, the Company recognized $16.9 million license revenue associated with the transfer of the IP. No license revenue was recognized during the three months ended June 30, 2026 or the three and six months ended June 30,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will recognize revenue from the material right related to G42’s ability to purchase the commercial supply at cost as G42 purchases the commercial supply from the Company, which will occur after the completion of the initial clinical trials (if G42 decides to purchase the clinical supply from the Company). No revenue has been recognized related to the commercial supply agreement during the three and six months ended June 30, 2026 and 2025, as G42 has not exercised its option to purchase commercial supply as of those dates. $0.5 million remains deferred and recorded in contract liabilities as of June 30, 2026.</w:t>
      </w:r>
    </w:p>
    <w:p>
      <w:pPr>
        <w:pStyle w:val="TextBody"/>
        <w:bidi w:val="0"/>
        <w:spacing w:lineRule="auto" w:line="288" w:before="120" w:after="283"/>
        <w:ind w:left="0" w:right="0" w:hanging="540"/>
        <w:jc w:val="left"/>
        <w:rPr>
          <w:rFonts w:ascii="Times New Roman;serif" w:hAnsi="Times New Roman;serif"/>
          <w:b/>
          <w:i/>
          <w:color w:val="000000"/>
          <w:sz w:val="20"/>
        </w:rPr>
      </w:pPr>
      <w:r>
        <w:rPr>
          <w:rFonts w:ascii="Times New Roman;serif" w:hAnsi="Times New Roman;serif"/>
          <w:b/>
          <w:i/>
          <w:color w:val="000000"/>
          <w:sz w:val="20"/>
        </w:rPr>
        <w:t>Newsoara License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serif" w:hAnsi="Times New Roman;serif"/>
          <w:b w:val="false"/>
          <w:i/>
          <w:color w:val="000000"/>
          <w:sz w:val="20"/>
        </w:rPr>
        <w:t>HPP737</w:t>
      </w:r>
      <w:r>
        <w:rPr>
          <w:rFonts w:ascii="Times New Roman;serif" w:hAnsi="Times New Roman;serif"/>
          <w:b w:val="false"/>
          <w:color w:val="000000"/>
          <w:sz w:val="20"/>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In accordance with ASC 606, the Company identified all of the performance obligations at the inception of the Newsoara License Agreement. The significant obligations were determined to be the license and the technology transfer services. The Company determined that the license and technology transfer services represent a single performance obligation because they were not capable of being distinct on their own. The transaction price was fully allocated to this combined performance obligation and the related revenue was recognized during the year ended December 31, 2018.</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Newsoara License Agreement was amended in 2020 to change certain future milestone payments and patent rights (the “First Newsoara Amendment”). On January 30, 2026, the Company entered into a new Second Amendment with Newsoara. </w:t>
      </w:r>
      <w:r>
        <w:rPr>
          <w:rFonts w:ascii="Times New Roman;serif" w:hAnsi="Times New Roman;serif"/>
          <w:b w:val="false"/>
          <w:color w:val="000000"/>
          <w:sz w:val="20"/>
          <w:shd w:fill="FFFFFF" w:val="clear"/>
        </w:rPr>
        <w:t xml:space="preserve">Although the Company had previously entered into an amendment with Newsoara to expand the Original Agreement, that amendment became null and void in June 2025. Under the new Second Amendment, Newsoara's rights in the Company's PDE4 inhibitor, </w:t>
      </w:r>
      <w:r>
        <w:rPr>
          <w:rFonts w:ascii="Times New Roman;serif" w:hAnsi="Times New Roman;serif"/>
          <w:b w:val="false"/>
          <w:i/>
          <w:color w:val="000000"/>
          <w:sz w:val="20"/>
          <w:shd w:fill="FFFFFF" w:val="clear"/>
        </w:rPr>
        <w:t>HPP737</w:t>
      </w:r>
      <w:r>
        <w:rPr>
          <w:rFonts w:ascii="Times New Roman;serif" w:hAnsi="Times New Roman;serif"/>
          <w:b w:val="false"/>
          <w:color w:val="000000"/>
          <w:sz w:val="20"/>
          <w:shd w:fill="FFFFFF" w:val="clear"/>
        </w:rPr>
        <w:t xml:space="preserve">, will expand to include all countries of the world upon Newsoara's payment of the upfront fee of </w:t>
      </w:r>
      <w:r>
        <w:rPr>
          <w:rFonts w:ascii="Times New Roman;serif" w:hAnsi="Times New Roman;serif"/>
          <w:b w:val="false"/>
          <w:color w:val="000000"/>
          <w:sz w:val="20"/>
        </w:rPr>
        <w:t>$20.0 million</w:t>
      </w:r>
      <w:r>
        <w:rPr>
          <w:rFonts w:ascii="Times New Roman;serif" w:hAnsi="Times New Roman;serif"/>
          <w:b w:val="false"/>
          <w:color w:val="000000"/>
          <w:sz w:val="20"/>
          <w:shd w:fill="FFFFFF" w:val="clear"/>
        </w:rPr>
        <w:t xml:space="preserve">. The Second Amendment also requires Newsoara to pay vTv LLC up to approximately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in development milestones, </w:t>
      </w:r>
      <w:r>
        <w:rPr>
          <w:rFonts w:ascii="Times New Roman;serif" w:hAnsi="Times New Roman;serif"/>
          <w:b w:val="false"/>
          <w:color w:val="000000"/>
          <w:sz w:val="20"/>
        </w:rPr>
        <w:t>$65.0 million</w:t>
      </w:r>
      <w:r>
        <w:rPr>
          <w:color w:val="000000"/>
          <w:shd w:fill="FFFFFF" w:val="clear"/>
        </w:rPr>
        <w:t xml:space="preserve"> </w:t>
      </w:r>
      <w:r>
        <w:rPr>
          <w:rFonts w:ascii="Times New Roman;serif" w:hAnsi="Times New Roman;serif"/>
          <w:b w:val="false"/>
          <w:color w:val="000000"/>
          <w:sz w:val="20"/>
          <w:shd w:fill="FFFFFF" w:val="clear"/>
        </w:rPr>
        <w:t>in sales-related milestones and royalties in the mid single digits depending upon sales volumes.</w:t>
      </w:r>
      <w:r>
        <w:rPr>
          <w:color w:val="000000"/>
        </w:rPr>
        <w:t xml:space="preserve"> </w:t>
      </w:r>
      <w:r>
        <w:rPr>
          <w:rFonts w:ascii="Times New Roman;serif" w:hAnsi="Times New Roman;serif"/>
          <w:b w:val="false"/>
          <w:color w:val="000000"/>
          <w:sz w:val="20"/>
        </w:rPr>
        <w:t>In February 2026, the Company received and recognized the $20.0 million upfront payment from Newsoara as stipulated in the Second Amendment and recognized the related revenue due to satisfying the performance obligation.</w:t>
      </w:r>
      <w:r>
        <w:rPr>
          <w:color w:val="000000"/>
        </w:rPr>
        <w:t xml:space="preserve"> </w:t>
      </w:r>
      <w:r>
        <w:rPr>
          <w:rFonts w:ascii="Times New Roman;serif" w:hAnsi="Times New Roman;serif"/>
          <w:b w:val="false"/>
          <w:color w:val="000000"/>
          <w:sz w:val="20"/>
        </w:rPr>
        <w:t>As of June 30, 2026, development milestones totaling $3.0 million had been recognized in prior periods by the Company under the Second Amendment.</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4: 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issued non-qualified stock option awards to management, other key employees, consultants, and non-employee directors and these options ratably vest over a four-year service period. In addition, we issued options in connection with the private placement on February 27, 2024, that vest ratably over a three-year period. The option awards expire after a term of ten years from the date of grant. As of June 30, 2026, the Company had total unrecognized stock-based compensation expense for its outstanding stock option awards of approximately $13.5 million, which is expected to be recognized over a weighted average period of 3.0 years. The weighted average grant date fair value of options granted during the six months ended June 30, 2026 and 2025 was $28.05 and $15.01 per option,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stock option awards for the six months ended June 30, 2026:</w:t>
      </w:r>
    </w:p>
    <w:tbl>
      <w:tblPr>
        <w:tblW w:w="10205" w:type="dxa"/>
        <w:jc w:val="left"/>
        <w:tblInd w:w="0" w:type="dxa"/>
        <w:tblLayout w:type="fixed"/>
        <w:tblCellMar>
          <w:top w:w="28" w:type="dxa"/>
          <w:left w:w="28" w:type="dxa"/>
          <w:bottom w:w="28" w:type="dxa"/>
          <w:right w:w="28" w:type="dxa"/>
        </w:tblCellMar>
      </w:tblPr>
      <w:tblGrid>
        <w:gridCol w:w="1376"/>
        <w:gridCol w:w="1209"/>
        <w:gridCol w:w="1212"/>
        <w:gridCol w:w="488"/>
        <w:gridCol w:w="488"/>
        <w:gridCol w:w="438"/>
        <w:gridCol w:w="109"/>
        <w:gridCol w:w="109"/>
        <w:gridCol w:w="109"/>
        <w:gridCol w:w="366"/>
        <w:gridCol w:w="1069"/>
        <w:gridCol w:w="188"/>
        <w:gridCol w:w="109"/>
        <w:gridCol w:w="109"/>
        <w:gridCol w:w="109"/>
        <w:gridCol w:w="526"/>
        <w:gridCol w:w="1801"/>
        <w:gridCol w:w="390"/>
      </w:tblGrid>
      <w:tr>
        <w:trPr/>
        <w:tc>
          <w:tcPr>
            <w:tcW w:w="137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379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December 31, 2025</w:t>
            </w:r>
          </w:p>
        </w:tc>
        <w:tc>
          <w:tcPr>
            <w:tcW w:w="97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1,017,620 </w:t>
            </w:r>
          </w:p>
        </w:tc>
        <w:tc>
          <w:tcPr>
            <w:tcW w:w="438"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88"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564,719 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jc w:val="left"/>
              <w:rPr>
                <w:sz w:val="4"/>
                <w:szCs w:val="4"/>
              </w:rPr>
            </w:pPr>
            <w:r>
              <w:rPr>
                <w:sz w:val="4"/>
                <w:szCs w:val="4"/>
              </w:rPr>
            </w:r>
          </w:p>
        </w:tc>
      </w:tr>
      <w:tr>
        <w:trPr/>
        <w:tc>
          <w:tcPr>
            <w:tcW w:w="379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(41,687)</w:t>
            </w:r>
          </w:p>
        </w:tc>
        <w:tc>
          <w:tcPr>
            <w:tcW w:w="43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8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June 30, 2026</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1,540,652 </w:t>
            </w:r>
          </w:p>
        </w:tc>
        <w:tc>
          <w:tcPr>
            <w:tcW w:w="4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17,857 </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2026</w:t>
            </w:r>
          </w:p>
        </w:tc>
        <w:tc>
          <w:tcPr>
            <w:tcW w:w="976" w:type="dxa"/>
            <w:gridSpan w:val="2"/>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604,164 </w:t>
            </w:r>
          </w:p>
        </w:tc>
        <w:tc>
          <w:tcPr>
            <w:tcW w:w="438"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88"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1" w:type="dxa"/>
            <w:tcBorders>
              <w:top w:val="doub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390" w:type="dxa"/>
            <w:tcBorders>
              <w:top w:val="doub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at June 30, 2026</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1,275,464 </w:t>
            </w:r>
          </w:p>
        </w:tc>
        <w:tc>
          <w:tcPr>
            <w:tcW w:w="43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8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related to the grants of stock options is included in research and development and general and administrative expense as follows (in thousands):</w:t>
      </w:r>
    </w:p>
    <w:tbl>
      <w:tblPr>
        <w:tblW w:w="8595" w:type="dxa"/>
        <w:jc w:val="left"/>
        <w:tblInd w:w="0" w:type="dxa"/>
        <w:tblLayout w:type="fixed"/>
        <w:tblCellMar>
          <w:top w:w="28" w:type="dxa"/>
          <w:left w:w="28" w:type="dxa"/>
          <w:bottom w:w="28" w:type="dxa"/>
          <w:right w:w="28" w:type="dxa"/>
        </w:tblCellMar>
      </w:tblPr>
      <w:tblGrid>
        <w:gridCol w:w="1245"/>
        <w:gridCol w:w="1092"/>
        <w:gridCol w:w="1098"/>
        <w:gridCol w:w="233"/>
        <w:gridCol w:w="681"/>
        <w:gridCol w:w="120"/>
        <w:gridCol w:w="120"/>
        <w:gridCol w:w="120"/>
        <w:gridCol w:w="120"/>
        <w:gridCol w:w="233"/>
        <w:gridCol w:w="515"/>
        <w:gridCol w:w="120"/>
        <w:gridCol w:w="109"/>
        <w:gridCol w:w="109"/>
        <w:gridCol w:w="109"/>
        <w:gridCol w:w="109"/>
        <w:gridCol w:w="109"/>
        <w:gridCol w:w="109"/>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3"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20"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0"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33"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20"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20"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5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5: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Novo Nordisk</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This agreement was amended in May 2019 to create milestone payments applicable to certain specific and non-specific areas of therapeutic use. Under the terms of the amended Novo License Agreement, the Company has potential developmental and regulatory milestone payment obligations totaling up to $6.0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As of June 30, 2026, the Company does not have any commercialized licensed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Note 6: Stockholders’ Equity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 and Pre-funded Warrants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August 2025, the Company entered into a securities purchase agreement with certain Private Placement Investors pursuant to which the Company issued and sold an aggregate of 682,018 shares of Class A common stock at a purchase price of $15.265 per share, Pre-funded Warrants to purchase </w:t>
      </w:r>
      <w:r>
        <w:rPr>
          <w:rFonts w:ascii="Times New Roman;serif" w:hAnsi="Times New Roman;serif"/>
          <w:b w:val="false"/>
          <w:color w:val="000000"/>
          <w:sz w:val="20"/>
          <w:shd w:fill="FFFFFF" w:val="clear"/>
        </w:rPr>
        <w:t>4,561,714</w:t>
      </w:r>
      <w:r>
        <w:rPr>
          <w:color w:val="000000"/>
        </w:rPr>
        <w:t xml:space="preserve"> </w:t>
      </w:r>
      <w:r>
        <w:rPr>
          <w:rFonts w:ascii="Times New Roman;serif" w:hAnsi="Times New Roman;serif"/>
          <w:b w:val="false"/>
          <w:color w:val="000000"/>
          <w:sz w:val="20"/>
        </w:rPr>
        <w:t xml:space="preserve">shares of Class A common stock at a purchase price of $15.255 per Pre-funded Warrant, and accompanying Common Warrants to purchase up to </w:t>
      </w:r>
      <w:r>
        <w:rPr>
          <w:rFonts w:ascii="Times New Roman;serif" w:hAnsi="Times New Roman;serif"/>
          <w:b w:val="false"/>
          <w:color w:val="000000"/>
          <w:sz w:val="20"/>
          <w:shd w:fill="FFFFFF" w:val="clear"/>
        </w:rPr>
        <w:t>5,243,732</w:t>
      </w:r>
      <w:r>
        <w:rPr>
          <w:color w:val="000000"/>
        </w:rPr>
        <w:t xml:space="preserve"> </w:t>
      </w:r>
      <w:r>
        <w:rPr>
          <w:rFonts w:ascii="Times New Roman;serif" w:hAnsi="Times New Roman;serif"/>
          <w:b w:val="false"/>
          <w:color w:val="000000"/>
          <w:sz w:val="20"/>
        </w:rPr>
        <w:t>shares of Class A common stock for aggregate gross proceeds of approximately $80.0 million,</w:t>
      </w:r>
      <w:r>
        <w:rPr>
          <w:color w:val="000000"/>
          <w:shd w:fill="FFFFFF" w:val="clear"/>
        </w:rPr>
        <w:t xml:space="preserve"> </w:t>
      </w:r>
      <w:r>
        <w:rPr>
          <w:rFonts w:ascii="Times New Roman;serif" w:hAnsi="Times New Roman;serif"/>
          <w:b w:val="false"/>
          <w:color w:val="000000"/>
          <w:sz w:val="20"/>
          <w:shd w:fill="FFFFFF" w:val="clear"/>
        </w:rPr>
        <w:t>before deducting offering costs payable by us</w:t>
      </w:r>
      <w:r>
        <w:rPr>
          <w:rFonts w:ascii="Times New Roman;serif" w:hAnsi="Times New Roman;serif"/>
          <w:b w:val="false"/>
          <w:color w:val="000000"/>
          <w:sz w:val="20"/>
        </w:rPr>
        <w:t xml:space="preserve">. The Pre-funded Warrants were immediately exercisable at an exercise price of $0.01 per share. The Common Warrants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exercisable at </w:t>
      </w:r>
      <w:r>
        <w:rPr>
          <w:rFonts w:ascii="Times New Roman;serif" w:hAnsi="Times New Roman;serif"/>
          <w:b w:val="false"/>
          <w:color w:val="000000"/>
          <w:sz w:val="20"/>
          <w:shd w:fill="FFFFFF" w:val="clear"/>
        </w:rPr>
        <w:t>$22.71</w:t>
      </w:r>
      <w:r>
        <w:rPr>
          <w:color w:val="000000"/>
        </w:rPr>
        <w:t xml:space="preserve"> </w:t>
      </w:r>
      <w:r>
        <w:rPr>
          <w:rFonts w:ascii="Times New Roman;serif" w:hAnsi="Times New Roman;serif"/>
          <w:b w:val="false"/>
          <w:color w:val="000000"/>
          <w:sz w:val="20"/>
        </w:rPr>
        <w:t xml:space="preserve">per share and expire upon the earlier of the fifth anniversary of issuance or </w:t>
      </w:r>
      <w:r>
        <w:rPr>
          <w:rFonts w:ascii="Times New Roman;serif" w:hAnsi="Times New Roman;serif"/>
          <w:b w:val="false"/>
          <w:color w:val="000000"/>
          <w:sz w:val="20"/>
          <w:shd w:fill="FFFFFF" w:val="clear"/>
        </w:rPr>
        <w:t xml:space="preserve">90 days </w:t>
      </w:r>
      <w:r>
        <w:rPr>
          <w:rFonts w:ascii="Times New Roman;serif" w:hAnsi="Times New Roman;serif"/>
          <w:b w:val="false"/>
          <w:color w:val="000000"/>
          <w:sz w:val="20"/>
        </w:rPr>
        <w:t>following the announcement of positive top-line data from the Company’s ongoing CATT1 clinical trial.</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2024, the Company entered into a securities purchase agreement with certain Private Placement Investors pursuant to which the Company issued and sold an aggregate of 464,377 shares of Class A common stock at a purchase price of $11.81 per share and Pre-funded Warrants to purchase 3,853,997 shares of Class A common stock at a purchase price of $11.80 per Pre-funded Warrant for aggregate gross proceeds of approximately $51.0 million, b</w:t>
      </w:r>
      <w:r>
        <w:rPr>
          <w:rFonts w:ascii="Times New Roman;serif" w:hAnsi="Times New Roman;serif"/>
          <w:b w:val="false"/>
          <w:color w:val="000000"/>
          <w:sz w:val="20"/>
          <w:shd w:fill="FFFFFF" w:val="clear"/>
        </w:rPr>
        <w:t>efore deducting offering costs payable by us</w:t>
      </w:r>
      <w:r>
        <w:rPr>
          <w:rFonts w:ascii="Times New Roman;serif" w:hAnsi="Times New Roman;serif"/>
          <w:b w:val="false"/>
          <w:color w:val="000000"/>
          <w:sz w:val="20"/>
        </w:rPr>
        <w:t>. The Pre-funded Warrants were immediately exercisable at an exercise price of</w:t>
      </w:r>
      <w:r>
        <w:rPr>
          <w:color w:val="000000"/>
          <w:shd w:fill="FFFFFF" w:val="clear"/>
        </w:rPr>
        <w:t xml:space="preserve"> </w:t>
      </w:r>
      <w:r>
        <w:rPr>
          <w:rFonts w:ascii="Times New Roman;serif" w:hAnsi="Times New Roman;serif"/>
          <w:b w:val="false"/>
          <w:color w:val="000000"/>
          <w:sz w:val="20"/>
        </w:rPr>
        <w:t>$0.01 per share and contain customary beneficial ownership limitations.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entered into a letter agreement with the Private Placement Investors pursuant to which the investors exchanged an aggregate of 116,493 shares of Class A common stock for 116,590 Pre-funded Warrants.</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Equity-Based Stock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equity-based stock warrant activity for the six months ended June 30, 2026:</w:t>
      </w:r>
    </w:p>
    <w:tbl>
      <w:tblPr>
        <w:tblW w:w="7900"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540"/>
        <w:gridCol w:w="541"/>
        <w:gridCol w:w="226"/>
        <w:gridCol w:w="109"/>
        <w:gridCol w:w="109"/>
        <w:gridCol w:w="109"/>
        <w:gridCol w:w="721"/>
        <w:gridCol w:w="1748"/>
        <w:gridCol w:w="53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29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530"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5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*Amount includes 8,470,624 Pre-Funded Warrants and 5,243,732 Common Warrants.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Pre-Funded and Common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at no time will we sell securities registered on the registration statement relating to the TD Cowen ATM Offering with an aggregate amount exceeding one-third of our public float in any 12-calendar 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sell any shares of Class A common stock under the TD Cowen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7: Related-Party Transactions</w:t>
      </w:r>
    </w:p>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MacAndrews &amp; Forbes Incorporated</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19, 2025, MacAndrews converted all 577,108 outstanding shares of their Class B common stock (together with an equal number of vTv LLC units) into Class A common stock. As a result, vTv Therapeutics Inc. now owns approximately 100% of vTv LLC, as of September 30, 2025. Further, as of June 30, 2026, MacAndrews directly or indirectly holds 1,490,090 shares of the Company’s Class A common stock. As a result, MacAndrews’ holdings represent approximately 37.8% of the combined voting power of the Company’s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several agreements with MacAndrews or its affiliates as further detailed below:</w:t>
      </w:r>
    </w:p>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Exchange Agreement</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On September 19, 2025, MacAndrews exchanged 577,108 shares under the provisions of the Exchange Agreement.</w:t>
      </w:r>
    </w:p>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MacAndrews exchanged 577,108 shares pursuant to the Exchange Agreement (discussed above), and the Company has not recognized any liability, nor has it made any payments pursuant to the Tax Receivable Agreement as of June 30, 2026.</w:t>
      </w:r>
    </w:p>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8: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Paul Sekhri. The CODM makes decisions on resource allocation, assesses performance of the business, and monitors budget versus actual results using net loss. Net (loss) income is also a measure that is considered in monitoring budget versus actual results. The measure of the segment assets is reported on the Condensed Consolidated Balance Sheet as total assets.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manages its business activities on a consolidated basis and operates in a single reportable segment. Its operations primarily focus on the research and development of its lead product candidate,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and it has not yet generated any product revenue. All of the Company’s principal operations, assets, and decision-making functions are based in the U.S., and as a result, all of our financial information is derived from domestic sources except for collaboration and license revenue of $36.8 million during the six months ended June 30, 2026, which was derived from two foreign collaboration partners located in China and United Arab Emirates.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segment expenses are included in the table below and represent direct and indirect research and development expenses by project for the three and six months ended June 30, 2026, and 2025 were as follows (in thousands):</w:t>
      </w:r>
    </w:p>
    <w:tbl>
      <w:tblPr>
        <w:tblW w:w="8657" w:type="dxa"/>
        <w:jc w:val="left"/>
        <w:tblInd w:w="0" w:type="dxa"/>
        <w:tblLayout w:type="fixed"/>
        <w:tblCellMar>
          <w:top w:w="28" w:type="dxa"/>
          <w:left w:w="28" w:type="dxa"/>
          <w:bottom w:w="28" w:type="dxa"/>
          <w:right w:w="28" w:type="dxa"/>
        </w:tblCellMar>
      </w:tblPr>
      <w:tblGrid>
        <w:gridCol w:w="1348"/>
        <w:gridCol w:w="1182"/>
        <w:gridCol w:w="118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projects</w:t>
            </w:r>
            <w:r>
              <w:rPr>
                <w:rFonts w:ascii="Times New Roman;serif" w:hAnsi="Times New Roman;serif"/>
                <w:b w:val="false"/>
                <w:color w:val="000000"/>
                <w:sz w:val="16"/>
              </w:rPr>
              <w:t>*</w:t>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576" w:type="dxa"/>
        <w:jc w:val="left"/>
        <w:tblInd w:w="0" w:type="dxa"/>
        <w:tblLayout w:type="fixed"/>
        <w:tblCellMar>
          <w:top w:w="28" w:type="dxa"/>
          <w:left w:w="28" w:type="dxa"/>
          <w:bottom w:w="28" w:type="dxa"/>
          <w:right w:w="28" w:type="dxa"/>
        </w:tblCellMar>
      </w:tblPr>
      <w:tblGrid>
        <w:gridCol w:w="124"/>
        <w:gridCol w:w="109"/>
        <w:gridCol w:w="109"/>
        <w:gridCol w:w="654"/>
        <w:gridCol w:w="654"/>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Includes HPP737 and azeliragon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Includes share-based compensation</w:t>
            </w:r>
          </w:p>
        </w:tc>
      </w:tr>
    </w:tbl>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Segment revenue is consistent with what is presented in the Company’s Condensed Consolidated Statements of Operations. Other segment items consist of (i) operating expenses, which include share-based compensation, (ii) interest and other expense and (iii) income tax expense, all of which are reflected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as well as state taxes. The Company did not record an income tax provision for the three and six months ended June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June 30, 2026, is due to the valuation allowance against the Company’s expected net operating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7,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10: Net (Loss)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(loss) income per share is computed by dividing net (loss) income attributable to vTv Therapeutics Inc. by the weighted average number of shares of Class A common stock outstanding during the period. Diluted net (loss) income per share is computed by dividing net (loss) income by the weighted-average number of shares of common stock and potentially dilutive shares of common stock outstanding during the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dilutive securities, all outstanding stock options, and Common Warrants, are considered potentially outstanding common stock. The dilutive effect, if any, of stock options, and Common Warrants is calculated using the treasury stock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income per share of Class A common stock is as follows (amounts 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1820"/>
        <w:gridCol w:w="1290"/>
        <w:gridCol w:w="1305"/>
        <w:gridCol w:w="245"/>
        <w:gridCol w:w="885"/>
        <w:gridCol w:w="118"/>
        <w:gridCol w:w="118"/>
        <w:gridCol w:w="118"/>
        <w:gridCol w:w="118"/>
        <w:gridCol w:w="245"/>
        <w:gridCol w:w="770"/>
        <w:gridCol w:w="118"/>
        <w:gridCol w:w="109"/>
        <w:gridCol w:w="109"/>
        <w:gridCol w:w="109"/>
        <w:gridCol w:w="244"/>
        <w:gridCol w:w="837"/>
        <w:gridCol w:w="112"/>
        <w:gridCol w:w="112"/>
        <w:gridCol w:w="112"/>
        <w:gridCol w:w="112"/>
        <w:gridCol w:w="225"/>
        <w:gridCol w:w="806"/>
        <w:gridCol w:w="168"/>
      </w:tblGrid>
      <w:tr>
        <w:trPr/>
        <w:tc>
          <w:tcPr>
            <w:tcW w:w="182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w:t>
            </w:r>
          </w:p>
        </w:tc>
        <w:tc>
          <w:tcPr>
            <w:tcW w:w="124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4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1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1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68"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 of vTv Therapeutics Inc.</w:t>
            </w:r>
          </w:p>
        </w:tc>
        <w:tc>
          <w:tcPr>
            <w:tcW w:w="1130"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18"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18"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12"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68"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 average vTv Therapeutics Inc. Class A common stock </w:t>
            </w:r>
            <w:r>
              <w:rPr>
                <w:rFonts w:ascii="Times New Roman;serif" w:hAnsi="Times New Roman;serif"/>
                <w:b w:val="false"/>
                <w:color w:val="000000"/>
                <w:sz w:val="13"/>
              </w:rPr>
              <w:t>(1)</w:t>
            </w:r>
          </w:p>
        </w:tc>
        <w:tc>
          <w:tcPr>
            <w:tcW w:w="113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12,409,316 </w:t>
            </w:r>
          </w:p>
        </w:tc>
        <w:tc>
          <w:tcPr>
            <w:tcW w:w="11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1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12,409,297 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68"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of vTv Therapeutics Inc. Class A common stock</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4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3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1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68"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 of vTv Therapeutics Inc</w:t>
            </w:r>
          </w:p>
        </w:tc>
        <w:tc>
          <w:tcPr>
            <w:tcW w:w="11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4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 average vTv Therapeutics Inc. Class A common stock </w:t>
            </w:r>
            <w:r>
              <w:rPr>
                <w:rFonts w:ascii="Times New Roman;serif" w:hAnsi="Times New Roman;serif"/>
                <w:b w:val="false"/>
                <w:color w:val="000000"/>
                <w:sz w:val="13"/>
              </w:rPr>
              <w:t>(1)</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12,409,316 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6,587,070 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14,541,788 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6,584,969 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of vTv Therapeutics Inc. Class A common stock</w:t>
            </w:r>
          </w:p>
        </w:tc>
        <w:tc>
          <w:tcPr>
            <w:tcW w:w="24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1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 average number of shares outstanding, basic and diluted, for the three and six months ended June 30, 2026 and 2025.</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not included in the calculation of dilutive net loss per share are as follows:</w:t>
      </w:r>
    </w:p>
    <w:tbl>
      <w:tblPr>
        <w:tblW w:w="6951" w:type="dxa"/>
        <w:jc w:val="left"/>
        <w:tblInd w:w="0" w:type="dxa"/>
        <w:tblLayout w:type="fixed"/>
        <w:tblCellMar>
          <w:top w:w="28" w:type="dxa"/>
          <w:left w:w="28" w:type="dxa"/>
          <w:bottom w:w="28" w:type="dxa"/>
          <w:right w:w="28" w:type="dxa"/>
        </w:tblCellMar>
      </w:tblPr>
      <w:tblGrid>
        <w:gridCol w:w="1423"/>
        <w:gridCol w:w="1251"/>
        <w:gridCol w:w="1256"/>
        <w:gridCol w:w="482"/>
        <w:gridCol w:w="374"/>
        <w:gridCol w:w="376"/>
        <w:gridCol w:w="109"/>
        <w:gridCol w:w="109"/>
        <w:gridCol w:w="109"/>
        <w:gridCol w:w="488"/>
        <w:gridCol w:w="488"/>
        <w:gridCol w:w="486"/>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85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7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577,349 </w:t>
            </w:r>
          </w:p>
        </w:tc>
        <w:tc>
          <w:tcPr>
            <w:tcW w:w="486" w:type="dxa"/>
            <w:tcBorders>
              <w:top w:val="single" w:sz="8" w:space="0" w:color="000000"/>
            </w:tcBorders>
            <w:shd w:fill="EBF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options granted under the Plan </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674,538 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1,018,250 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warrants </w:t>
            </w:r>
          </w:p>
        </w:tc>
        <w:tc>
          <w:tcPr>
            <w:tcW w:w="85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19,160 </w:t>
            </w:r>
          </w:p>
        </w:tc>
        <w:tc>
          <w:tcPr>
            <w:tcW w:w="3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70,639 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693,790 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1,666,238 </w:t>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evaluated subsequent events through August 6, 2026, and determined that there have been no events that have occurred that would require adjustments to our disclosures or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Cautionary Note Regarding Forward Looking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late-stage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(“GKA”) being investigated as an adjunctive therapy to insulin for the treatment of type 1 diabetes (“T1D”). The Company and its development partners are investigating multiple molecules across different indications for chronic diseases.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developments since our last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clinical development candidates and their respective stages of development:</w:t>
      </w:r>
    </w:p>
    <w:p>
      <w:pPr>
        <w:pStyle w:val="TextBody"/>
        <w:bidi w:val="0"/>
        <w:spacing w:before="120" w:after="283"/>
        <w:jc w:val="left"/>
        <w:rPr/>
      </w:pPr>
      <w:r>
        <w:rPr/>
        <w:drawing>
          <wp:inline distT="0" distB="0" distL="0" distR="0">
            <wp:extent cx="6400800" cy="3762375"/>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6400800" cy="3762375"/>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shd w:fill="FFFFFF" w:val="clear"/>
        </w:rPr>
        <w:t xml:space="preserve">Our Type 1 Diabetes Program – </w:t>
      </w:r>
      <w:r>
        <w:rPr>
          <w:rFonts w:ascii="Times New Roman;serif" w:hAnsi="Times New Roman;serif"/>
          <w:b/>
          <w:i/>
          <w:color w:val="000000"/>
          <w:sz w:val="20"/>
          <w:shd w:fill="FFFFFF" w:val="clear"/>
        </w:rPr>
        <w:t>Cadisegliatin (TTP399)</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Type 1 diabetes (“T1D”) is an autoimmune disease in which the body’s immune system destroys the insulin-producing beta cells of the pancreas. According to the T1D Index, an estimated 1.5 million individuals live with T1D in the United States as of 2026. Patients with T1D have difficulty achieving and maintaining glycemic control, defined as HbA1c &lt;7% as recommended by the American Diabetes Association (“ADA”), with approximately 75% of Americans living with T1D not achieving this target. Blood sugar management is a constant balancing act between reducing hyperglycemia while avoiding hypoglycemia, which the ADA Standard of Care 2026 identifies as often the major limiting factor in the glycemic management of T1D.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the lack of oral adjunctive treatments for T1D, several existing therapies developed for type 2 diabetes have been investigated in T1D with limited success, primarily due to safety risks including increased risk of diabetic ketoacidosis (“DKA”). Despite the FDA’s approval of teplizumab (to delay onset of Stage 3 T1D) and donislecel (an islet cell therapy restricted to patients with recurrent severe hypoglycemia), serious unmet medical need remains for a safe oral treatment option that reduces the incidence of hypoglycemia and improves glycemic control without the risk of DKA or other serious adverse effects.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is a novel, small-molecule, liver-selective glucokinase activator (“GKA”) being evaluated as a potential first-in-class oral adjunctive therapy to insulin for the treatment of T1D. Glucokinase is a key regulator of glucose homeostasis that acts as a physiological glucose sensor; liver-selective activation of glucokinase could improve overall blood glucose control and reduce the frequency of hypoglycemic episodes through a mechanism of action distinct from currently marketed oral anti-diabetic drugs. The U.S. Food and Drug Administration (“FDA”) granted Breakthrough Therapy designation in 2021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as an adjunctive therapy to insulin for the treatment of T1D, supported by the positive results from the Phase 2 SimpliciT-1 study.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the Phase 2 SimpliciT-1 study, a multi-center, randomized, double-blind, adaptive trial, treatment with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resulted in a statistically significant improvement in HbA1c relative to placebo and a clinically meaningful decrease (40%) in the frequency of severe and symptomatic hypoglycemia.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demonstrated a favorable safety profile, in which abnormal levels of serum or urine ketones were detected less frequently in patients taking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than those taking placebo. A Phase 1 mechanistic study further demonstrated no increased risk of ketoacidosis with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during acute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insulin withdrawal in patients with T1D. We have completed eleven Phase 1 and three Phase 2 clinical trials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totaling more than 500 patients with type 1 and type 2 diabetes.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on reducing the frequency of Level 2 hypoglycemia (blood glucose levels are less than 54 mg/dL or 3 mmol/L, regardless of symptoms) and Level 3 hypoglycemia (“severe” hypoglycemia e.g., requiring assistance of another person) in 150 patients with type 1 diabetes on a 1:1:1 basis (i.e., 50 patients per study arm) to receive 800 mg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daily, 800 mg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twice daily, or placebo. A key secondary endpoint is reduction in glycated hemoglobin (HbA1c) to assess the potential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to reduce hyperglycemia. The Company expects to complete enrollment of the CATT1 trial in the third quarter of 2026.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2025, the Company completed a food effect study in healthy volunteers that investigated the effect of fasting, low fat, and high fat meals on the absorption of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The study showed significantly higher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exposure in the fed groups as compared to the fasted group. The results confirm the current recommendation in the CATT1 trial that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be taken with food to maximize its absorption.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During this reporting period, we also continued working on the design and execution of supportive trials for </w:t>
      </w:r>
      <w:r>
        <w:rPr>
          <w:rFonts w:ascii="Times New Roman;serif" w:hAnsi="Times New Roman;serif"/>
          <w:b w:val="false"/>
          <w:i/>
          <w:color w:val="000000"/>
          <w:sz w:val="20"/>
        </w:rPr>
        <w:t>cadisegliatin</w:t>
      </w:r>
      <w:r>
        <w:rPr>
          <w:rFonts w:ascii="Times New Roman;serif" w:hAnsi="Times New Roman;serif"/>
          <w:b w:val="false"/>
          <w:color w:val="000000"/>
          <w:sz w:val="20"/>
        </w:rPr>
        <w:t>, including a thorough QT study. We expect to initiate a Phase 2 study in patients with T1D using hybrid closed loop insulin infusion systems in late 2026.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continues to work on the design for further registrational studies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in type 1 diabetes, which we expect to start in 2027.</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2025, together with our partner, G42 Investments (“G42”), we initiated a double-blind, randomized, controlled Phase 2 trial in the Middle East region in insulin-using patients with type 2 diabetes (“T2D”). The study will randomize 300 patients to assess the potential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as an adjunct therapy to insulin in patients with T2D, and is expected to start screening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Holding Company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by project for the three and six months ended June 30, 2026 and 2025 were as follows (in thousands):</w:t>
      </w:r>
    </w:p>
    <w:tbl>
      <w:tblPr>
        <w:tblW w:w="8552" w:type="dxa"/>
        <w:jc w:val="left"/>
        <w:tblInd w:w="0" w:type="dxa"/>
        <w:tblLayout w:type="fixed"/>
        <w:tblCellMar>
          <w:top w:w="28" w:type="dxa"/>
          <w:left w:w="28" w:type="dxa"/>
          <w:bottom w:w="28" w:type="dxa"/>
          <w:right w:w="28" w:type="dxa"/>
        </w:tblCellMar>
      </w:tblPr>
      <w:tblGrid>
        <w:gridCol w:w="1310"/>
        <w:gridCol w:w="1149"/>
        <w:gridCol w:w="1155"/>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61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projects*</w:t>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112"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*Includes </w:t>
      </w:r>
      <w:r>
        <w:rPr>
          <w:rFonts w:ascii="Times New Roman;serif" w:hAnsi="Times New Roman;serif"/>
          <w:b w:val="false"/>
          <w:i/>
          <w:color w:val="000000"/>
          <w:sz w:val="16"/>
        </w:rPr>
        <w:t>HPP737</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azeliragon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continue to incur significant research and development expenses for the foreseeable future as we continue the development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scope, rate of progress and expense of our clinical trials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receipt of any regulatory approvals;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cash interest income from dividends and interest from our money market accounts, all of which are recognized in our Condensed Consolidated Statement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primarily consists of the recognition of changes in fair value of the warrants to purchase shares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8810" w:type="dxa"/>
        <w:jc w:val="left"/>
        <w:tblInd w:w="0" w:type="dxa"/>
        <w:tblLayout w:type="fixed"/>
        <w:tblCellMar>
          <w:top w:w="28" w:type="dxa"/>
          <w:left w:w="28" w:type="dxa"/>
          <w:bottom w:w="28" w:type="dxa"/>
          <w:right w:w="28" w:type="dxa"/>
        </w:tblCellMar>
      </w:tblPr>
      <w:tblGrid>
        <w:gridCol w:w="1701"/>
        <w:gridCol w:w="1494"/>
        <w:gridCol w:w="1500"/>
        <w:gridCol w:w="356"/>
        <w:gridCol w:w="434"/>
        <w:gridCol w:w="361"/>
        <w:gridCol w:w="146"/>
        <w:gridCol w:w="146"/>
        <w:gridCol w:w="146"/>
        <w:gridCol w:w="309"/>
        <w:gridCol w:w="376"/>
        <w:gridCol w:w="314"/>
        <w:gridCol w:w="146"/>
        <w:gridCol w:w="146"/>
        <w:gridCol w:w="146"/>
        <w:gridCol w:w="354"/>
        <w:gridCol w:w="303"/>
        <w:gridCol w:w="432"/>
      </w:tblGrid>
      <w:tr>
        <w:trPr/>
        <w:tc>
          <w:tcPr>
            <w:tcW w:w="170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4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56"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51"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w:t>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 and noncontrolling interest</w:t>
            </w:r>
          </w:p>
        </w:tc>
        <w:tc>
          <w:tcPr>
            <w:tcW w:w="1151"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1151"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r>
      <w:tr>
        <w:trPr/>
        <w:tc>
          <w:tcPr>
            <w:tcW w:w="46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356"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w:t>
            </w:r>
          </w:p>
        </w:tc>
        <w:tc>
          <w:tcPr>
            <w:tcW w:w="43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revenue for the three months ended June 30, 2026 and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$8.8 million and $4.1 million for the three months ended June 30, 2026 and 2025, respectively. The increase in research and development expenses during this period of $4.7 million or 113.7%, was primarily driven by i) an increase in spending on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of $3.5 million due to increases in clinical studies and consulting related costs, ii) an increase in indirect research and development expense of $1.1 million primarily related to increases in payroll and share-based expenses and iii) an increase in other projects of $0.1 million.</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$5.2 million and $3.6 million for the three months ended June 30, 2026 and 2025, respectively. The increase in general and administrative expenses during this period of $1.5 million, or 42.6%,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primarily driven by i) increases of $0.6 million in share-based expenses, ii) increases of $0.5 million in other operating costs, iii) increases of $0.2 million in payroll related costs and iv) increases of $0.2 million in legal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three months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of $0.8 million and </w:t>
      </w:r>
      <w:r>
        <w:rPr>
          <w:rFonts w:ascii="Times New Roman;serif" w:hAnsi="Times New Roman;serif"/>
          <w:b w:val="false"/>
          <w:color w:val="000000"/>
          <w:sz w:val="20"/>
        </w:rPr>
        <w:t>$0.3 million</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is related to 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pPr>
      <w:r>
        <w:rPr>
          <w:rFonts w:ascii="Times New Roman;serif" w:hAnsi="Times New Roman;serif"/>
          <w:b/>
          <w:i/>
          <w:color w:val="000000"/>
          <w:sz w:val="20"/>
        </w:rPr>
        <w:t>Other Income</w:t>
      </w:r>
      <w:r>
        <w:rPr>
          <w:rFonts w:ascii="Times New Roman;serif" w:hAnsi="Times New Roman;serif"/>
          <w:b/>
          <w:i/>
          <w:color w:val="000000"/>
          <w:sz w:val="20"/>
          <w:shd w:fill="FFFFFF" w:val="clear"/>
        </w:rPr>
        <w:t>,</w:t>
      </w:r>
      <w:r>
        <w:rPr>
          <w:color w:val="000000"/>
        </w:rPr>
        <w:t xml:space="preserve"> </w:t>
      </w:r>
      <w:r>
        <w:rPr>
          <w:rFonts w:ascii="Times New Roman;serif" w:hAnsi="Times New Roman;serif"/>
          <w:b/>
          <w:i/>
          <w:color w:val="000000"/>
          <w:sz w:val="20"/>
        </w:rPr>
        <w:t>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for the three months ended June 30, 2026 and 2025, was immaterial.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20" w:after="283"/>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9400" w:type="dxa"/>
        <w:jc w:val="left"/>
        <w:tblInd w:w="0" w:type="dxa"/>
        <w:tblLayout w:type="fixed"/>
        <w:tblCellMar>
          <w:top w:w="28" w:type="dxa"/>
          <w:left w:w="28" w:type="dxa"/>
          <w:bottom w:w="28" w:type="dxa"/>
          <w:right w:w="28" w:type="dxa"/>
        </w:tblCellMar>
      </w:tblPr>
      <w:tblGrid>
        <w:gridCol w:w="1978"/>
        <w:gridCol w:w="1738"/>
        <w:gridCol w:w="1744"/>
        <w:gridCol w:w="258"/>
        <w:gridCol w:w="335"/>
        <w:gridCol w:w="341"/>
        <w:gridCol w:w="133"/>
        <w:gridCol w:w="133"/>
        <w:gridCol w:w="133"/>
        <w:gridCol w:w="338"/>
        <w:gridCol w:w="389"/>
        <w:gridCol w:w="406"/>
        <w:gridCol w:w="133"/>
        <w:gridCol w:w="133"/>
        <w:gridCol w:w="133"/>
        <w:gridCol w:w="354"/>
        <w:gridCol w:w="298"/>
        <w:gridCol w:w="423"/>
      </w:tblGrid>
      <w:tr>
        <w:trPr/>
        <w:tc>
          <w:tcPr>
            <w:tcW w:w="197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5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36,839</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93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934"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27,506</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income/(loss)</w:t>
            </w:r>
          </w:p>
        </w:tc>
        <w:tc>
          <w:tcPr>
            <w:tcW w:w="9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 and noncontrolling interest</w:t>
            </w:r>
          </w:p>
        </w:tc>
        <w:tc>
          <w:tcPr>
            <w:tcW w:w="934"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24,677</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noncontrolling interest</w:t>
            </w:r>
          </w:p>
        </w:tc>
        <w:tc>
          <w:tcPr>
            <w:tcW w:w="934"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EBF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24,677</w:t>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r>
      <w:tr>
        <w:trPr/>
        <w:tc>
          <w:tcPr>
            <w:tcW w:w="5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vTv Therapeutics Inc.</w:t>
            </w:r>
          </w:p>
        </w:tc>
        <w:tc>
          <w:tcPr>
            <w:tcW w:w="25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EBF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22,218</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of $36.8 million for the six months ended June 30, 2026 was related to the Newsoara upfront fee received and recognizing the deferred revenue of G42 license agreement due to the transfer of the related IP and satisfaction of the performance obligation. There was no revenue for the six months ended June 30,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$17.7 million and $6.9 million for the six months ended June 30, 2026 and 2025, respectively. The increase in research and development expenses during the period of $10.8 million, or 156.0%, was primarily driven by i) an increase in spending on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of $9.1 million due to increases in clinical studies and consulting related cost and ii) an increase in indirect research and development expense of $1.7 million primarily related to increases in payroll and share-based expenses.</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$9.8 million and $7.3 million for the six months ended June 30, 2026 and 2025, respectively. The increase of $2.5 million or 33.8%, was primarily driven by i) increases of $0.9 million in share-based expenses, ii) increases of $0.7 million in other operating costs, iii) increases of $0.5 million in payroll related costs and iv) increases of $0.4 million in legal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six months ended June 30, 2026 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of $1.7 million and $0.6 million respectively, is related to </w:t>
      </w:r>
      <w:r>
        <w:rPr>
          <w:rFonts w:ascii="Times New Roman;serif" w:hAnsi="Times New Roman;serif"/>
          <w:b w:val="false"/>
          <w:color w:val="000000"/>
          <w:sz w:val="20"/>
        </w:rPr>
        <w:t>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for the six months ended June 30, 2026 and June 30,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an accumulated deficit of $315.6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June 30, 2026, we had cash and cash equivalents of $86.6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January 30, 2026, the Company entered into a Second Amendment to License Agreement with Newsoara Biopharma Co., Ltd. (“Newsoara”) (the “Second Amendment”). Under the Second Amendment, Newsoara's rights in the Company's PDE4 inhibitor, </w:t>
      </w:r>
      <w:r>
        <w:rPr>
          <w:rFonts w:ascii="Times New Roman;serif" w:hAnsi="Times New Roman;serif"/>
          <w:b w:val="false"/>
          <w:i/>
          <w:color w:val="000000"/>
          <w:sz w:val="20"/>
        </w:rPr>
        <w:t>HPP737</w:t>
      </w:r>
      <w:r>
        <w:rPr>
          <w:rFonts w:ascii="Times New Roman;serif" w:hAnsi="Times New Roman;serif"/>
          <w:b w:val="false"/>
          <w:color w:val="000000"/>
          <w:sz w:val="20"/>
        </w:rPr>
        <w:t>, will expand to include all countries of the world upon Newsoara's payment of the upfront fee of $20.0 million. See Note 3 for further details.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we entered into a securities purchase agreement (the “Securities Purchase Agreement”) with certain institutional accredited investors (the “Private Placement Investors”), pursuant to which we agreed to issue and sell 5,243,732 units (the “Units”) to the Private Placement Investors in a private placement (the “Private Placement”). Each Unit includes (i) either (A) one share (the “Shares”) of our Class A common stock at purchase price of $15.265 per share, (the “Common Stock”), or (B) a Pre-Funded Warrant (the “Pre-Funded Warrants”) to purchase one share of Common Stock (the “Pre-Funded Warrant Shares”) at a purchase price of $15.255 per share (representing per Private Placement Share purchase price less the exercise price of $0.01) and (ii) a warrant (the “Common Warrants”) to purchase one share of Common Stock (the “Warrant Shares”) (or a Pre-Funded warrant to purchase one share of Common Stock in lieu of a share of Common Stock (the “Replacement Warrants” and, together with the Pre-Funded Warrants and the Common Warrants, the “Warrants”). We received aggregate gross proceeds from the Private Placement of approximately $80.0 million, before deducting offering costs payable by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Pre-Funded Warrants are exercisable for $0.01, at any time after their original issuance and will not expire. The common warrants are exercisable for (x) $22.71, if exercised for a Share, or (y) $22.70 if exercised for a Pre-Funded Warrant, after the original issuance through the termination date. The Common Warrants will expire upon the earlier to occur of (i) the fifth anniversary of the issuance of the Warrants and (ii) 90 days following the announcement of positive top-line data from the Company’s ongoing CATT1 clinical trial.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evaluating several financing strategies to increase our cash reserves, including direct equity investments and the potential licensing and monetization of other Company programs. The timing and availability of such additional funding are not yet known and we can provide no assurance that these plans will be successful.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TD Cowen Sales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at no time will we sell securities registered on the registration statement relating to the TD Cowen ATM Offering with an aggregate amount exceeding one-third of our public float in any 12-calendar 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 leaving $47.5 million available to be sold. The shares are offered and sold pursuant to the Company’s shelf registration statement on Form S-3.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tbl>
      <w:tblPr>
        <w:tblW w:w="5993" w:type="dxa"/>
        <w:jc w:val="left"/>
        <w:tblInd w:w="0" w:type="dxa"/>
        <w:tblLayout w:type="fixed"/>
        <w:tblCellMar>
          <w:top w:w="28" w:type="dxa"/>
          <w:left w:w="28" w:type="dxa"/>
          <w:bottom w:w="28" w:type="dxa"/>
          <w:right w:w="28" w:type="dxa"/>
        </w:tblCellMar>
      </w:tblPr>
      <w:tblGrid>
        <w:gridCol w:w="1263"/>
        <w:gridCol w:w="1113"/>
        <w:gridCol w:w="1118"/>
        <w:gridCol w:w="211"/>
        <w:gridCol w:w="691"/>
        <w:gridCol w:w="109"/>
        <w:gridCol w:w="109"/>
        <w:gridCol w:w="109"/>
        <w:gridCol w:w="109"/>
        <w:gridCol w:w="211"/>
        <w:gridCol w:w="79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5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six months ended June 30, 2026, our net cash used in operating activities decreased by $8.5 million from the six months ended June 30, 2025. The significant contributor to the change was the $20.0 million received from the Newsoara upfront fee under the Second Amendment, partially offset by working capital changes.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cash flows from investing activities for the six months ended June 30, 2026, and 2025.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cash flows from financing activities for the six months ended June 30, 2026. For the six months ended June 30, 2025, our net cash used in financing activities was immaterial.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serif" w:hAnsi="Times New Roman;serif"/>
          <w:b w:val="false"/>
          <w:i/>
          <w:color w:val="000000"/>
          <w:sz w:val="20"/>
        </w:rPr>
        <w:t>cadisegliatin</w:t>
      </w:r>
      <w:r>
        <w:rPr>
          <w:rFonts w:ascii="Times New Roman;serif" w:hAnsi="Times New Roman;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progress, costs, results and timing of our trials to evaluate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maintain control over our costs in line with our budget for our lead product candidate, </w:t>
      </w:r>
      <w:r>
        <w:rPr>
          <w:rFonts w:ascii="Times New Roman;serif" w:hAnsi="Times New Roman;serif"/>
          <w:b w:val="false"/>
          <w:i/>
          <w:color w:val="000000"/>
          <w:sz w:val="20"/>
        </w:rPr>
        <w:t>cadisegliatin</w:t>
      </w:r>
      <w:r>
        <w:rPr>
          <w:rFonts w:ascii="Times New Roman;serif" w:hAnsi="Times New Roman;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economic and other terms, timing and success of our existing licensing arrangements and any collaboration, licensing or other arrangements into which we may enter in the future;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of any payments we are required to make to M&amp;F TTP Holdings Two LLC in the future under the Tax Receivable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erif" w:hAnsi="Times New Roman;serif"/>
          <w:b w:val="false"/>
          <w:color w:val="000000"/>
          <w:sz w:val="20"/>
          <w:shd w:fill="FFFFFF" w:val="clear"/>
        </w:rPr>
        <w:t xml:space="preserv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Discussion of 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2025. There have been no material changes to our critical accounting policies and estimates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Effect of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discussion of recent accounting pronouncements in Note 2, “Summary of Significant Accounting Policies”, to the Unaudited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material interest rate exposure.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June 30, 2026. Based upon that evaluation, our Chief Executive Officer and Chief Financial Officer concluded that, as of June 30, 2026,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same business day as the filing date with the SEC on the SEC’s website http://www.sec.gov. The contents of our website are not made a part of this Quarterly Report on Form 10-Q.</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risk factors are set forth under the heading “Risk Factors” under Item 1A of Part I in our Annual Report on Form 10-K for the year ended December 31, 2025.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80" w:after="283"/>
        <w:ind w:left="0" w:right="0" w:firstLine="54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fiscal quarter ended June 30, 2026,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60630xexx311.htm">
              <w:r>
                <w:rPr>
                  <w:rStyle w:val="InternetLink"/>
                  <w:rFonts w:ascii="Times New Roman;serif" w:hAnsi="Times New Roman;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60630xexx312.htm">
              <w:r>
                <w:rPr>
                  <w:rStyle w:val="InternetLink"/>
                  <w:rFonts w:ascii="Times New Roman;serif" w:hAnsi="Times New Roman;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60630xexx321.htm">
              <w:r>
                <w:rPr>
                  <w:rStyle w:val="InternetLink"/>
                  <w:rFonts w:ascii="Times New Roman;serif" w:hAnsi="Times New Roman;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606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9fadb18a1cc64d17ba910cfcf66d953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9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0"/>
        <w:gridCol w:w="1510"/>
        <w:gridCol w:w="21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Paul J. Sekhri,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Michael Tung,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June 30, 2026,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June 30, 2026, as filed with the Securities and Exchange Commission on the date hereof (the “Report”), I, Michael Tung,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15439</Words>
  <Characters>85681</Characters>
  <CharactersWithSpaces>100267</CharactersWithSpaces>
  <Paragraphs>1487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