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26, 2026</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vTv Therapeutics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001-37524</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47-3916571</w:t>
      </w:r>
    </w:p>
    <w:p>
      <w:pPr>
        <w:spacing w:after="0" w:line="67"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00" w:space="720"/>
            <w:col w:w="2540"/>
          </w:cols>
          <w:pgMar w:left="320" w:top="1440" w:right="3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3980 Premier Drive, Suite 110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 Point, NC 27265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841-0300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4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4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VTVT</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442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 June 26, 2026, vTv Therapeutics Inc. (the “Company”) held its 2026 Annual Meeting of Stockholders (the “Annual Meeting”). The matters voted on at the Annual Meeting and the votes cast with respect to each such matter are set forth below:</w:t>
      </w:r>
    </w:p>
    <w:p>
      <w:pPr>
        <w:spacing w:after="0" w:line="189" w:lineRule="exact"/>
        <w:rPr>
          <w:sz w:val="20"/>
          <w:szCs w:val="20"/>
          <w:color w:val="auto"/>
        </w:rPr>
      </w:pPr>
    </w:p>
    <w:p>
      <w:pPr>
        <w:ind w:left="6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following results of the voting, the Company’s stockholders elected the nominees listed below to the Company’s Board of Directors, each to serve for a term to expire at the Company’s 2027 annual meeting of stockholders or until their successors are duly elected and qualified: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Nominee</w:t>
            </w:r>
          </w:p>
        </w:tc>
        <w:tc>
          <w:tcPr>
            <w:tcW w:w="280" w:type="dxa"/>
            <w:vAlign w:val="bottom"/>
            <w:tcBorders>
              <w:bottom w:val="single" w:sz="8" w:color="C6F4F9"/>
            </w:tcBorders>
          </w:tcPr>
          <w:p>
            <w:pPr>
              <w:spacing w:after="0"/>
              <w:rPr>
                <w:sz w:val="22"/>
                <w:szCs w:val="22"/>
                <w:color w:val="auto"/>
              </w:rPr>
            </w:pPr>
          </w:p>
        </w:tc>
        <w:tc>
          <w:tcPr>
            <w:tcW w:w="20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For</w:t>
            </w:r>
          </w:p>
        </w:tc>
        <w:tc>
          <w:tcPr>
            <w:tcW w:w="280" w:type="dxa"/>
            <w:vAlign w:val="bottom"/>
            <w:tcBorders>
              <w:bottom w:val="single" w:sz="8" w:color="C6F4F9"/>
            </w:tcBorders>
          </w:tcPr>
          <w:p>
            <w:pPr>
              <w:spacing w:after="0"/>
              <w:rPr>
                <w:sz w:val="22"/>
                <w:szCs w:val="22"/>
                <w:color w:val="auto"/>
              </w:rPr>
            </w:pPr>
          </w:p>
        </w:tc>
        <w:tc>
          <w:tcPr>
            <w:tcW w:w="2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Withheld</w:t>
            </w:r>
          </w:p>
        </w:tc>
        <w:tc>
          <w:tcPr>
            <w:tcW w:w="280" w:type="dxa"/>
            <w:vAlign w:val="bottom"/>
            <w:tcBorders>
              <w:bottom w:val="single" w:sz="8" w:color="C6F4F9"/>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Broker Non Votes</w:t>
            </w:r>
          </w:p>
        </w:tc>
      </w:tr>
      <w:tr>
        <w:trPr>
          <w:trHeight w:val="243"/>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Srinivas Akkaraju</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720,963</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1,938,192</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7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Cheong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729,489</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1,929,666</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7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Fahed Al Marzooqi</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2,395,229</w:t>
            </w:r>
          </w:p>
        </w:tc>
        <w:tc>
          <w:tcPr>
            <w:tcW w:w="28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263,926</w:t>
            </w:r>
          </w:p>
        </w:tc>
        <w:tc>
          <w:tcPr>
            <w:tcW w:w="28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7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S. Nelson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2,395,013</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264,142</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7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Anne Phillips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905,938</w:t>
            </w:r>
          </w:p>
        </w:tc>
        <w:tc>
          <w:tcPr>
            <w:tcW w:w="28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1,753,217</w:t>
            </w:r>
          </w:p>
        </w:tc>
        <w:tc>
          <w:tcPr>
            <w:tcW w:w="280" w:type="dxa"/>
            <w:vAlign w:val="bottom"/>
            <w:shd w:val="clear" w:color="auto" w:fill="CCEEFF"/>
          </w:tcPr>
          <w:p>
            <w:pPr>
              <w:spacing w:after="0"/>
              <w:rPr>
                <w:sz w:val="23"/>
                <w:szCs w:val="23"/>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Sekhri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905,325</w:t>
            </w:r>
          </w:p>
        </w:tc>
        <w:tc>
          <w:tcPr>
            <w:tcW w:w="28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1,753,830</w:t>
            </w:r>
          </w:p>
        </w:tc>
        <w:tc>
          <w:tcPr>
            <w:tcW w:w="28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K. Spiegelman</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774,244</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1,884,911</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310,535</w:t>
            </w:r>
          </w:p>
        </w:tc>
      </w:tr>
      <w:tr>
        <w:trPr>
          <w:trHeight w:val="20"/>
        </w:trPr>
        <w:tc>
          <w:tcPr>
            <w:tcW w:w="4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660" w:right="160" w:hanging="328"/>
        <w:spacing w:after="0" w:line="282"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Ernst &amp; Young LLP as our independent registered public accounting firm for the fiscal year ending December 31, 2026, was ratified based on the following results of the voting: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5"/>
              </w:rPr>
              <w:t>For</w:t>
            </w: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Against</w:t>
            </w:r>
          </w:p>
        </w:tc>
        <w:tc>
          <w:tcPr>
            <w:tcW w:w="2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Abstain</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 Votes</w:t>
            </w:r>
          </w:p>
        </w:tc>
      </w:tr>
      <w:tr>
        <w:trPr>
          <w:trHeight w:val="493"/>
        </w:trPr>
        <w:tc>
          <w:tcPr>
            <w:tcW w:w="24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2,964,869</w:t>
            </w:r>
          </w:p>
        </w:tc>
        <w:tc>
          <w:tcPr>
            <w:tcW w:w="480" w:type="dxa"/>
            <w:vAlign w:val="bottom"/>
          </w:tcPr>
          <w:p>
            <w:pPr>
              <w:spacing w:after="0"/>
              <w:rPr>
                <w:sz w:val="24"/>
                <w:szCs w:val="24"/>
                <w:color w:val="auto"/>
              </w:rPr>
            </w:pPr>
          </w:p>
        </w:tc>
        <w:tc>
          <w:tcPr>
            <w:tcW w:w="24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1,952</w:t>
            </w:r>
          </w:p>
        </w:tc>
        <w:tc>
          <w:tcPr>
            <w:tcW w:w="500" w:type="dxa"/>
            <w:vAlign w:val="bottom"/>
          </w:tcPr>
          <w:p>
            <w:pPr>
              <w:spacing w:after="0"/>
              <w:rPr>
                <w:sz w:val="24"/>
                <w:szCs w:val="24"/>
                <w:color w:val="auto"/>
              </w:rPr>
            </w:pPr>
          </w:p>
        </w:tc>
        <w:tc>
          <w:tcPr>
            <w:tcW w:w="24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2,869</w:t>
            </w:r>
          </w:p>
        </w:tc>
        <w:tc>
          <w:tcPr>
            <w:tcW w:w="480" w:type="dxa"/>
            <w:vAlign w:val="bottom"/>
          </w:tcPr>
          <w:p>
            <w:pPr>
              <w:spacing w:after="0"/>
              <w:rPr>
                <w:sz w:val="24"/>
                <w:szCs w:val="24"/>
                <w:color w:val="auto"/>
              </w:rPr>
            </w:pPr>
          </w:p>
        </w:tc>
        <w:tc>
          <w:tcPr>
            <w:tcW w:w="2460" w:type="dxa"/>
            <w:vAlign w:val="bottom"/>
            <w:tcBorders>
              <w:top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660" w:right="160" w:hanging="328"/>
        <w:spacing w:after="0" w:line="282"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voted on a nonbinding advisory basis on the compensation paid to the Company’s named executive officers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5"/>
              </w:rPr>
              <w:t>For</w:t>
            </w: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Against</w:t>
            </w:r>
          </w:p>
        </w:tc>
        <w:tc>
          <w:tcPr>
            <w:tcW w:w="2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Abstain</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 Votes</w:t>
            </w:r>
          </w:p>
        </w:tc>
      </w:tr>
      <w:tr>
        <w:trPr>
          <w:trHeight w:val="493"/>
        </w:trPr>
        <w:tc>
          <w:tcPr>
            <w:tcW w:w="24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686,535</w:t>
            </w:r>
          </w:p>
        </w:tc>
        <w:tc>
          <w:tcPr>
            <w:tcW w:w="480" w:type="dxa"/>
            <w:vAlign w:val="bottom"/>
          </w:tcPr>
          <w:p>
            <w:pPr>
              <w:spacing w:after="0"/>
              <w:rPr>
                <w:sz w:val="24"/>
                <w:szCs w:val="24"/>
                <w:color w:val="auto"/>
              </w:rPr>
            </w:pPr>
          </w:p>
        </w:tc>
        <w:tc>
          <w:tcPr>
            <w:tcW w:w="24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5,291</w:t>
            </w:r>
          </w:p>
        </w:tc>
        <w:tc>
          <w:tcPr>
            <w:tcW w:w="500" w:type="dxa"/>
            <w:vAlign w:val="bottom"/>
          </w:tcPr>
          <w:p>
            <w:pPr>
              <w:spacing w:after="0"/>
              <w:rPr>
                <w:sz w:val="24"/>
                <w:szCs w:val="24"/>
                <w:color w:val="auto"/>
              </w:rPr>
            </w:pPr>
          </w:p>
        </w:tc>
        <w:tc>
          <w:tcPr>
            <w:tcW w:w="24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1,967,329</w:t>
            </w:r>
          </w:p>
        </w:tc>
        <w:tc>
          <w:tcPr>
            <w:tcW w:w="480" w:type="dxa"/>
            <w:vAlign w:val="bottom"/>
          </w:tcPr>
          <w:p>
            <w:pPr>
              <w:spacing w:after="0"/>
              <w:rPr>
                <w:sz w:val="24"/>
                <w:szCs w:val="24"/>
                <w:color w:val="auto"/>
              </w:rPr>
            </w:pPr>
          </w:p>
        </w:tc>
        <w:tc>
          <w:tcPr>
            <w:tcW w:w="24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310,535</w:t>
            </w:r>
          </w:p>
        </w:tc>
      </w:tr>
      <w:tr>
        <w:trPr>
          <w:trHeight w:val="27"/>
        </w:trPr>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1013"/>
        </w:trPr>
        <w:tc>
          <w:tcPr>
            <w:tcW w:w="2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283" w:lineRule="exact"/>
        <w:rPr>
          <w:sz w:val="20"/>
          <w:szCs w:val="20"/>
          <w:color w:val="auto"/>
        </w:rPr>
      </w:pPr>
    </w:p>
    <w:p>
      <w:pPr>
        <w:ind w:left="54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2434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p>
      <w:pPr>
        <w:ind w:left="5460"/>
        <w:spacing w:after="0"/>
        <w:tabs>
          <w:tab w:leader="none" w:pos="6180" w:val="left"/>
        </w:tabs>
        <w:rPr>
          <w:sz w:val="20"/>
          <w:szCs w:val="20"/>
          <w:color w:val="auto"/>
        </w:rPr>
      </w:pPr>
      <w:r>
        <w:rPr>
          <w:rFonts w:ascii="Times New Roman" w:cs="Times New Roman" w:eastAsia="Times New Roman" w:hAnsi="Times New Roman"/>
          <w:sz w:val="18"/>
          <w:szCs w:val="18"/>
          <w:color w:val="auto"/>
        </w:rPr>
        <w:t>Name:</w:t>
        <w:tab/>
        <w:t>Michael Tung</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27" w:lineRule="exact"/>
        <w:rPr>
          <w:sz w:val="20"/>
          <w:szCs w:val="20"/>
          <w:color w:val="auto"/>
        </w:rPr>
      </w:pPr>
    </w:p>
    <w:p>
      <w:pPr>
        <w:ind w:left="54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sectPr>
      <w:pgSz w:w="11900" w:h="16838" w:orient="portrait"/>
      <w:cols w:equalWidth="0" w:num="1">
        <w:col w:w="10920"/>
      </w:cols>
      <w:pgMar w:left="320" w:top="110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2026-06-29T15:29:55Z</dcterms:created>
  <dcterms:modified xsi:type="dcterms:W3CDTF">2026-06-29T15:29:55Z</dcterms:modified>
</cp:coreProperties>
</file>