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92075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8" w:lineRule="exact"/>
        <w:rPr>
          <w:sz w:val="24"/>
          <w:szCs w:val="24"/>
          <w:color w:val="auto"/>
        </w:rPr>
      </w:pPr>
    </w:p>
    <w:p>
      <w:pPr>
        <w:ind w:left="520" w:right="40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48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001-37524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1"/>
          <w:szCs w:val="41"/>
          <w:b w:val="1"/>
          <w:bCs w:val="1"/>
          <w:color w:val="auto"/>
        </w:rPr>
        <w:t>vTv Therapeutics Inc.</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5"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4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47-3916571</w:t>
            </w:r>
          </w:p>
        </w:tc>
      </w:tr>
      <w:tr>
        <w:trPr>
          <w:trHeight w:val="149"/>
        </w:trPr>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40" w:type="dxa"/>
            <w:vAlign w:val="bottom"/>
          </w:tcPr>
          <w:p>
            <w:pPr>
              <w:jc w:val="center"/>
              <w:ind w:left="39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40" w:type="dxa"/>
            <w:vAlign w:val="bottom"/>
          </w:tcPr>
          <w:p>
            <w:pPr>
              <w:jc w:val="center"/>
              <w:ind w:left="39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4170 Mendenhall Oaks Pkwy</w:t>
            </w:r>
          </w:p>
        </w:tc>
        <w:tc>
          <w:tcPr>
            <w:tcW w:w="5140" w:type="dxa"/>
            <w:vAlign w:val="bottom"/>
          </w:tcPr>
          <w:p>
            <w:pPr>
              <w:spacing w:after="0"/>
              <w:rPr>
                <w:sz w:val="23"/>
                <w:szCs w:val="23"/>
                <w:color w:val="auto"/>
              </w:rPr>
            </w:pPr>
          </w:p>
        </w:tc>
      </w:tr>
      <w:tr>
        <w:trPr>
          <w:trHeight w:val="214"/>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High Point, NC</w:t>
            </w:r>
          </w:p>
        </w:tc>
        <w:tc>
          <w:tcPr>
            <w:tcW w:w="514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27265</w:t>
            </w: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40" w:type="dxa"/>
            <w:vAlign w:val="bottom"/>
          </w:tcPr>
          <w:p>
            <w:pPr>
              <w:jc w:val="center"/>
              <w:ind w:left="39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55"/>
        </w:trPr>
        <w:tc>
          <w:tcPr>
            <w:tcW w:w="2420" w:type="dxa"/>
            <w:vAlign w:val="bottom"/>
          </w:tcPr>
          <w:p>
            <w:pPr>
              <w:spacing w:after="0"/>
              <w:rPr>
                <w:sz w:val="22"/>
                <w:szCs w:val="22"/>
                <w:color w:val="auto"/>
              </w:rPr>
            </w:pPr>
          </w:p>
        </w:tc>
        <w:tc>
          <w:tcPr>
            <w:tcW w:w="5140" w:type="dxa"/>
            <w:vAlign w:val="bottom"/>
          </w:tcPr>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(336) 841-0300</w:t>
            </w:r>
          </w:p>
        </w:tc>
      </w:tr>
      <w:tr>
        <w:trPr>
          <w:trHeight w:val="190"/>
        </w:trPr>
        <w:tc>
          <w:tcPr>
            <w:tcW w:w="2420" w:type="dxa"/>
            <w:vAlign w:val="bottom"/>
          </w:tcPr>
          <w:p>
            <w:pPr>
              <w:spacing w:after="0"/>
              <w:rPr>
                <w:sz w:val="16"/>
                <w:szCs w:val="16"/>
                <w:color w:val="auto"/>
              </w:rPr>
            </w:pPr>
          </w:p>
        </w:tc>
        <w:tc>
          <w:tcPr>
            <w:tcW w:w="5140" w:type="dxa"/>
            <w:vAlign w:val="bottom"/>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ind w:right="26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207" w:lineRule="exact"/>
        <w:tabs>
          <w:tab w:leader="none" w:pos="580" w:val="left"/>
          <w:tab w:leader="none" w:pos="128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63" w:lineRule="exact"/>
        <w:rPr>
          <w:sz w:val="24"/>
          <w:szCs w:val="24"/>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0" w:lineRule="exact"/>
        <w:rPr>
          <w:sz w:val="24"/>
          <w:szCs w:val="24"/>
          <w:color w:val="auto"/>
        </w:rPr>
      </w:pPr>
    </w:p>
    <w:p>
      <w:pPr>
        <w:jc w:val="both"/>
        <w:ind w:right="100" w:firstLine="60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20"/>
        <w:spacing w:after="0" w:line="207" w:lineRule="exact"/>
        <w:tabs>
          <w:tab w:leader="none" w:pos="8940" w:val="left"/>
          <w:tab w:leader="none" w:pos="96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6320" w:type="dxa"/>
            <w:vAlign w:val="bottom"/>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Class of Stock</w:t>
            </w:r>
          </w:p>
        </w:tc>
        <w:tc>
          <w:tcPr>
            <w:tcW w:w="33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Shares Outstanding as of May 1, 2019</w:t>
            </w: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5"/>
        </w:trPr>
        <w:tc>
          <w:tcPr>
            <w:tcW w:w="1700" w:type="dxa"/>
            <w:vAlign w:val="bottom"/>
          </w:tcPr>
          <w:p>
            <w:pPr>
              <w:spacing w:after="0"/>
              <w:rPr>
                <w:sz w:val="17"/>
                <w:szCs w:val="17"/>
                <w:color w:val="auto"/>
              </w:rPr>
            </w:pPr>
          </w:p>
        </w:tc>
        <w:tc>
          <w:tcPr>
            <w:tcW w:w="45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Class A common stock, par value $0.01 per share</w:t>
            </w:r>
          </w:p>
        </w:tc>
        <w:tc>
          <w:tcPr>
            <w:tcW w:w="120" w:type="dxa"/>
            <w:vAlign w:val="bottom"/>
          </w:tcPr>
          <w:p>
            <w:pPr>
              <w:spacing w:after="0"/>
              <w:rPr>
                <w:sz w:val="17"/>
                <w:szCs w:val="17"/>
                <w:color w:val="auto"/>
              </w:rPr>
            </w:pPr>
          </w:p>
        </w:tc>
        <w:tc>
          <w:tcPr>
            <w:tcW w:w="33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27,255,963</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632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Class B common stock, par value $0.01 per share</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23,094,221</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2"/>
        </w:trPr>
        <w:tc>
          <w:tcPr>
            <w:tcW w:w="170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7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7" w:right="21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vTv THERAPEUTICS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 ENDED MARCH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PAGE</w:t>
            </w:r>
          </w:p>
        </w:tc>
      </w:tr>
      <w:tr>
        <w:trPr>
          <w:trHeight w:val="17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NUMBER</w:t>
            </w:r>
          </w:p>
        </w:tc>
      </w:tr>
      <w:tr>
        <w:trPr>
          <w:trHeight w:val="291"/>
        </w:trPr>
        <w:tc>
          <w:tcPr>
            <w:tcW w:w="29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PART I – FINANCIAL INFORMATION</w:t>
              </w:r>
            </w:hyperlink>
          </w:p>
        </w:tc>
        <w:tc>
          <w:tcPr>
            <w:tcW w:w="7580" w:type="dxa"/>
            <w:vAlign w:val="bottom"/>
            <w:gridSpan w:val="11"/>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as of March 31, 2019 (Unaudited) and December 31, 2018</w:t>
              </w:r>
            </w:hyperlink>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Operations for the three months ended March 31, 2019 and 2018</w:t>
              </w:r>
            </w:hyperlink>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Condensed Consolidated Statement of Changes in Redeemable Noncontrolling Interest and Stockholders’ Deficit for the</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2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three months ended March 31, 2019 and 2018</w:t>
              </w:r>
            </w:hyperlink>
          </w:p>
        </w:tc>
        <w:tc>
          <w:tcPr>
            <w:tcW w:w="220" w:type="dxa"/>
            <w:vAlign w:val="bottom"/>
          </w:tcPr>
          <w:p>
            <w:pPr>
              <w:spacing w:after="0"/>
              <w:rPr>
                <w:sz w:val="17"/>
                <w:szCs w:val="17"/>
                <w:color w:val="auto"/>
              </w:rPr>
            </w:pPr>
          </w:p>
        </w:tc>
        <w:tc>
          <w:tcPr>
            <w:tcW w:w="8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83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Unaudited Condensed Consolidated Statements of Cash Flows for the three months ended March 31, 2019 and 2018</w:t>
              </w:r>
            </w:hyperlink>
          </w:p>
        </w:tc>
        <w:tc>
          <w:tcPr>
            <w:tcW w:w="1300" w:type="dxa"/>
            <w:vAlign w:val="bottom"/>
            <w:gridSpan w:val="2"/>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880" w:type="dxa"/>
            <w:vAlign w:val="bottom"/>
          </w:tcPr>
          <w:p>
            <w:pPr>
              <w:spacing w:after="0"/>
              <w:rPr>
                <w:sz w:val="24"/>
                <w:szCs w:val="24"/>
                <w:color w:val="auto"/>
              </w:rPr>
            </w:pPr>
          </w:p>
        </w:tc>
        <w:tc>
          <w:tcPr>
            <w:tcW w:w="39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Unaudited Consolidated Financial Statements</w:t>
              </w:r>
            </w:hyperlink>
          </w:p>
        </w:tc>
        <w:tc>
          <w:tcPr>
            <w:tcW w:w="5740" w:type="dxa"/>
            <w:vAlign w:val="bottom"/>
            <w:gridSpan w:val="8"/>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220" w:type="dxa"/>
            <w:vAlign w:val="bottom"/>
            <w:gridSpan w:val="5"/>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Quantitative and Qualitative Disclosures About Market Risk</w:t>
              </w:r>
            </w:hyperlink>
          </w:p>
        </w:tc>
        <w:tc>
          <w:tcPr>
            <w:tcW w:w="5320" w:type="dxa"/>
            <w:vAlign w:val="bottom"/>
            <w:gridSpan w:val="6"/>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Controls and Procedures</w:t>
              </w:r>
            </w:hyperlink>
          </w:p>
        </w:tc>
        <w:tc>
          <w:tcPr>
            <w:tcW w:w="7900" w:type="dxa"/>
            <w:vAlign w:val="bottom"/>
            <w:gridSpan w:val="13"/>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26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PART II – OTHER INFORMATION</w:t>
              </w:r>
            </w:hyperlink>
          </w:p>
        </w:tc>
        <w:tc>
          <w:tcPr>
            <w:tcW w:w="788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gridSpan w:val="21"/>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Legal Proceedings</w:t>
              </w:r>
            </w:hyperlink>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24"/>
                <w:szCs w:val="24"/>
                <w:color w:val="auto"/>
              </w:rPr>
            </w:pPr>
          </w:p>
        </w:tc>
        <w:tc>
          <w:tcPr>
            <w:tcW w:w="8360" w:type="dxa"/>
            <w:vAlign w:val="bottom"/>
            <w:gridSpan w:val="15"/>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21"/>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Unregistered Sales of Equity Securities and Use of Proceeds</w:t>
              </w:r>
            </w:hyperlink>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30">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5340" w:type="dxa"/>
            <w:vAlign w:val="bottom"/>
            <w:gridSpan w:val="7"/>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21"/>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Mine Safety Disclosures</w:t>
              </w:r>
            </w:hyperlink>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Other Information</w:t>
              </w:r>
            </w:hyperlink>
          </w:p>
        </w:tc>
        <w:tc>
          <w:tcPr>
            <w:tcW w:w="7920" w:type="dxa"/>
            <w:vAlign w:val="bottom"/>
            <w:gridSpan w:val="14"/>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1">
              <w:r>
                <w:rPr>
                  <w:rFonts w:ascii="Times New Roman" w:cs="Times New Roman" w:eastAsia="Times New Roman" w:hAnsi="Times New Roman"/>
                  <w:sz w:val="18"/>
                  <w:szCs w:val="18"/>
                  <w:color w:val="0000EE"/>
                  <w:w w:val="96"/>
                </w:rPr>
                <w:t>Exhibits</w:t>
              </w:r>
            </w:hyperlink>
          </w:p>
        </w:tc>
        <w:tc>
          <w:tcPr>
            <w:tcW w:w="700" w:type="dxa"/>
            <w:vAlign w:val="bottom"/>
            <w:tcBorders>
              <w:top w:val="single" w:sz="8" w:color="0000EE"/>
            </w:tcBorders>
            <w:gridSpan w:val="3"/>
          </w:tcPr>
          <w:p>
            <w:pPr>
              <w:spacing w:after="0"/>
              <w:rPr>
                <w:sz w:val="24"/>
                <w:szCs w:val="24"/>
                <w:color w:val="auto"/>
              </w:rPr>
            </w:pPr>
          </w:p>
        </w:tc>
        <w:tc>
          <w:tcPr>
            <w:tcW w:w="8380" w:type="dxa"/>
            <w:vAlign w:val="bottom"/>
            <w:gridSpan w:val="16"/>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318"/>
        </w:trPr>
        <w:tc>
          <w:tcPr>
            <w:tcW w:w="88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Signatures</w:t>
              </w:r>
            </w:hyperlink>
          </w:p>
        </w:tc>
        <w:tc>
          <w:tcPr>
            <w:tcW w:w="8920" w:type="dxa"/>
            <w:vAlign w:val="bottom"/>
            <w:gridSpan w:val="18"/>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858"/>
        </w:trPr>
        <w:tc>
          <w:tcPr>
            <w:tcW w:w="880" w:type="dxa"/>
            <w:vAlign w:val="bottom"/>
          </w:tcPr>
          <w:p>
            <w:pPr>
              <w:spacing w:after="0"/>
              <w:rPr>
                <w:sz w:val="24"/>
                <w:szCs w:val="24"/>
                <w:color w:val="auto"/>
              </w:rPr>
            </w:pPr>
          </w:p>
        </w:tc>
        <w:tc>
          <w:tcPr>
            <w:tcW w:w="6460" w:type="dxa"/>
            <w:vAlign w:val="bottom"/>
            <w:gridSpan w:val="16"/>
          </w:tcPr>
          <w:p>
            <w:pPr>
              <w:ind w:left="478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7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r>
      <w:tr>
        <w:trPr>
          <w:trHeight w:val="156"/>
        </w:trPr>
        <w:tc>
          <w:tcPr>
            <w:tcW w:w="7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shd w:val="clear" w:color="auto" w:fill="CFF0FC"/>
          </w:tcPr>
          <w:p>
            <w:pPr>
              <w:spacing w:after="0"/>
              <w:rPr>
                <w:sz w:val="19"/>
                <w:szCs w:val="19"/>
                <w:color w:val="auto"/>
              </w:rPr>
            </w:pPr>
          </w:p>
        </w:tc>
      </w:tr>
      <w:tr>
        <w:trPr>
          <w:trHeight w:val="230"/>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9"/>
                <w:szCs w:val="19"/>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deposits</w:t>
            </w:r>
          </w:p>
        </w:tc>
        <w:tc>
          <w:tcPr>
            <w:tcW w:w="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shd w:val="clear" w:color="auto" w:fill="CFF0FC"/>
          </w:tcPr>
          <w:p>
            <w:pPr>
              <w:spacing w:after="0"/>
              <w:rPr>
                <w:sz w:val="19"/>
                <w:szCs w:val="19"/>
                <w:color w:val="auto"/>
              </w:rPr>
            </w:pP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2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and cash equivalents, long-term</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FF0FC"/>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deposits</w:t>
            </w:r>
          </w:p>
        </w:tc>
        <w:tc>
          <w:tcPr>
            <w:tcW w:w="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9"/>
                <w:szCs w:val="19"/>
                <w:color w:val="auto"/>
              </w:rPr>
            </w:pPr>
          </w:p>
        </w:tc>
      </w:tr>
      <w:tr>
        <w:trPr>
          <w:trHeight w:val="263"/>
        </w:trPr>
        <w:tc>
          <w:tcPr>
            <w:tcW w:w="7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20" w:type="dxa"/>
            <w:vAlign w:val="bottom"/>
            <w:tcBorders>
              <w:bottom w:val="single" w:sz="8" w:color="CFF0FC"/>
            </w:tcBorders>
          </w:tcPr>
          <w:p>
            <w:pPr>
              <w:spacing w:after="0"/>
              <w:rPr>
                <w:sz w:val="22"/>
                <w:szCs w:val="22"/>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Deficit</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20" w:type="dxa"/>
            <w:vAlign w:val="bottom"/>
            <w:shd w:val="clear" w:color="auto" w:fill="CFF0FC"/>
          </w:tcPr>
          <w:p>
            <w:pPr>
              <w:spacing w:after="0"/>
              <w:rPr>
                <w:sz w:val="19"/>
                <w:szCs w:val="19"/>
                <w:color w:val="auto"/>
              </w:rPr>
            </w:pPr>
          </w:p>
        </w:tc>
      </w:tr>
      <w:tr>
        <w:trPr>
          <w:trHeight w:val="230"/>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shd w:val="clear" w:color="auto" w:fill="CFF0FC"/>
          </w:tcPr>
          <w:p>
            <w:pPr>
              <w:spacing w:after="0"/>
              <w:rPr>
                <w:sz w:val="19"/>
                <w:szCs w:val="19"/>
                <w:color w:val="auto"/>
              </w:rPr>
            </w:pPr>
          </w:p>
        </w:tc>
      </w:tr>
      <w:tr>
        <w:trPr>
          <w:trHeight w:val="230"/>
        </w:trPr>
        <w:tc>
          <w:tcPr>
            <w:tcW w:w="73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120" w:type="dxa"/>
            <w:vAlign w:val="bottom"/>
            <w:tcBorders>
              <w:bottom w:val="single" w:sz="8" w:color="CFF0FC"/>
            </w:tcBorders>
          </w:tcPr>
          <w:p>
            <w:pPr>
              <w:spacing w:after="0"/>
              <w:rPr>
                <w:sz w:val="19"/>
                <w:szCs w:val="19"/>
                <w:color w:val="auto"/>
              </w:rPr>
            </w:pPr>
          </w:p>
        </w:tc>
      </w:tr>
      <w:tr>
        <w:trPr>
          <w:trHeight w:val="223"/>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18,837</w:t>
            </w:r>
          </w:p>
        </w:tc>
        <w:tc>
          <w:tcPr>
            <w:tcW w:w="120" w:type="dxa"/>
            <w:vAlign w:val="bottom"/>
            <w:shd w:val="clear" w:color="auto" w:fill="CFF0FC"/>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2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shd w:val="clear" w:color="auto" w:fill="CFF0FC"/>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2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FF0FC"/>
          </w:tcPr>
          <w:p>
            <w:pPr>
              <w:spacing w:after="0"/>
              <w:rPr>
                <w:sz w:val="19"/>
                <w:szCs w:val="19"/>
                <w:color w:val="auto"/>
              </w:rPr>
            </w:pP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12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62,482</w:t>
            </w:r>
          </w:p>
        </w:tc>
        <w:tc>
          <w:tcPr>
            <w:tcW w:w="12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A Common Stock, $0.01 par value; 100,000,000 shares authorized, 27,255,963</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20,347,065 shares outstanding as of March 31, 2019 and December 31, 2018,</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0"/>
                <w:szCs w:val="20"/>
                <w:color w:val="auto"/>
              </w:rPr>
            </w:pPr>
          </w:p>
        </w:tc>
      </w:tr>
      <w:tr>
        <w:trPr>
          <w:trHeight w:val="211"/>
        </w:trPr>
        <w:tc>
          <w:tcPr>
            <w:tcW w:w="7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B Common Stock, $0.01 par value; 100,000,000 shares authorized, and 23,094,221</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3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outstanding as of March 31, 2019 and December 31, 2018</w:t>
            </w: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FF0FC"/>
          </w:tcPr>
          <w:p>
            <w:pPr>
              <w:spacing w:after="0"/>
              <w:rPr>
                <w:sz w:val="20"/>
                <w:szCs w:val="20"/>
                <w:color w:val="auto"/>
              </w:rPr>
            </w:pPr>
          </w:p>
        </w:tc>
      </w:tr>
      <w:tr>
        <w:trPr>
          <w:trHeight w:val="230"/>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150,595</w:t>
            </w:r>
          </w:p>
        </w:tc>
        <w:tc>
          <w:tcPr>
            <w:tcW w:w="120" w:type="dxa"/>
            <w:vAlign w:val="bottom"/>
          </w:tcPr>
          <w:p>
            <w:pPr>
              <w:spacing w:after="0"/>
              <w:rPr>
                <w:sz w:val="19"/>
                <w:szCs w:val="19"/>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(220,489)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(233,883)</w:t>
            </w:r>
          </w:p>
        </w:tc>
      </w:tr>
      <w:tr>
        <w:trPr>
          <w:trHeight w:val="223"/>
        </w:trPr>
        <w:tc>
          <w:tcPr>
            <w:tcW w:w="7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deficit attributable to vTv Therapeutics Inc.</w:t>
            </w:r>
          </w:p>
        </w:tc>
        <w:tc>
          <w:tcPr>
            <w:tcW w:w="6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(82,853)</w:t>
            </w:r>
          </w:p>
        </w:tc>
        <w:tc>
          <w:tcPr>
            <w:tcW w:w="120" w:type="dxa"/>
            <w:vAlign w:val="bottom"/>
            <w:tcBorders>
              <w:bottom w:val="single" w:sz="8" w:color="CFF0FC"/>
            </w:tcBorders>
          </w:tcPr>
          <w:p>
            <w:pPr>
              <w:spacing w:after="0"/>
              <w:rPr>
                <w:sz w:val="19"/>
                <w:szCs w:val="19"/>
                <w:color w:val="auto"/>
              </w:rPr>
            </w:pPr>
          </w:p>
        </w:tc>
      </w:tr>
      <w:tr>
        <w:trPr>
          <w:trHeight w:val="223"/>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stockholders’ deficit</w:t>
            </w:r>
          </w:p>
        </w:tc>
        <w:tc>
          <w:tcPr>
            <w:tcW w:w="6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2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 related party</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5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 and noncontrolling interest</w:t>
            </w:r>
          </w:p>
        </w:tc>
        <w:tc>
          <w:tcPr>
            <w:tcW w:w="3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(1,827)</w:t>
            </w:r>
          </w:p>
        </w:tc>
        <w:tc>
          <w:tcPr>
            <w:tcW w:w="5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(7,008)</w:t>
            </w: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vTv Therapeutics Inc.</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vTv Therapeutics Inc. common shareholders</w:t>
            </w:r>
          </w:p>
        </w:tc>
        <w:tc>
          <w:tcPr>
            <w:tcW w:w="3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vMerge w:val="continue"/>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280" w:type="dxa"/>
            <w:vAlign w:val="bottom"/>
            <w:tcBorders>
              <w:bottom w:val="single" w:sz="8" w:color="CFF0FC"/>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7820" w:type="dxa"/>
            <w:vAlign w:val="bottom"/>
            <w:shd w:val="clear" w:color="auto" w:fill="CFF0FC"/>
          </w:tcPr>
          <w:p>
            <w:pPr>
              <w:ind w:left="260"/>
              <w:spacing w:after="0" w:line="192" w:lineRule="exact"/>
              <w:rPr>
                <w:sz w:val="20"/>
                <w:szCs w:val="20"/>
                <w:color w:val="auto"/>
              </w:rPr>
            </w:pPr>
            <w:r>
              <w:rPr>
                <w:rFonts w:ascii="Times New Roman" w:cs="Times New Roman" w:eastAsia="Times New Roman" w:hAnsi="Times New Roman"/>
                <w:sz w:val="18"/>
                <w:szCs w:val="18"/>
                <w:color w:val="auto"/>
              </w:rPr>
              <w:t>Net loss per share of vTv Therapeutics Inc. Class A Common</w:t>
            </w:r>
          </w:p>
        </w:tc>
        <w:tc>
          <w:tcPr>
            <w:tcW w:w="3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basic and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Weighted-average number of vTv Therapeutics Inc. Class A</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basic and diluted</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22,862,907</w:t>
            </w:r>
          </w:p>
        </w:tc>
        <w:tc>
          <w:tcPr>
            <w:tcW w:w="2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9,699,721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2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2019</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1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ind w:left="260"/>
              <w:spacing w:after="0" w:line="143" w:lineRule="exact"/>
              <w:rPr>
                <w:sz w:val="20"/>
                <w:szCs w:val="20"/>
                <w:color w:val="auto"/>
              </w:rPr>
            </w:pPr>
            <w:r>
              <w:rPr>
                <w:rFonts w:ascii="Times New Roman" w:cs="Times New Roman" w:eastAsia="Times New Roman" w:hAnsi="Times New Roman"/>
                <w:sz w:val="13"/>
                <w:szCs w:val="13"/>
                <w:b w:val="1"/>
                <w:bCs w:val="1"/>
                <w:color w:val="auto"/>
              </w:rPr>
              <w:t>Class A Common Stock</w:t>
            </w:r>
          </w:p>
        </w:tc>
        <w:tc>
          <w:tcPr>
            <w:tcW w:w="1820" w:type="dxa"/>
            <w:vAlign w:val="bottom"/>
            <w:tcBorders>
              <w:top w:val="single" w:sz="8" w:color="auto"/>
            </w:tcBorders>
            <w:gridSpan w:val="5"/>
          </w:tcPr>
          <w:p>
            <w:pPr>
              <w:jc w:val="right"/>
              <w:ind w:right="217"/>
              <w:spacing w:after="0" w:line="143" w:lineRule="exact"/>
              <w:rPr>
                <w:sz w:val="20"/>
                <w:szCs w:val="20"/>
                <w:color w:val="auto"/>
              </w:rPr>
            </w:pPr>
            <w:r>
              <w:rPr>
                <w:rFonts w:ascii="Times New Roman" w:cs="Times New Roman" w:eastAsia="Times New Roman" w:hAnsi="Times New Roman"/>
                <w:sz w:val="13"/>
                <w:szCs w:val="13"/>
                <w:b w:val="1"/>
                <w:bCs w:val="1"/>
                <w:color w:val="auto"/>
              </w:rPr>
              <w:t>Class B Common Stock</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top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8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Balances at December 31, 2018</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62,482</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20,347,065</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203</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23,094,221</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150,595</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(233,883)</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(82,853)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(1,827)</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(2,155)</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(2,155)</w:t>
            </w: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6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under registered direct offering</w:t>
            </w: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3,636,364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6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Class A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340"/>
              <w:spacing w:after="0" w:line="135" w:lineRule="exact"/>
              <w:rPr>
                <w:sz w:val="20"/>
                <w:szCs w:val="20"/>
                <w:color w:val="auto"/>
              </w:rPr>
            </w:pPr>
            <w:r>
              <w:rPr>
                <w:rFonts w:ascii="Times New Roman" w:cs="Times New Roman" w:eastAsia="Times New Roman" w:hAnsi="Times New Roman"/>
                <w:sz w:val="13"/>
                <w:szCs w:val="13"/>
                <w:color w:val="auto"/>
              </w:rPr>
              <w:t>to a related party under the Letter</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Agreements</w:t>
            </w:r>
          </w:p>
        </w:tc>
        <w:tc>
          <w:tcPr>
            <w:tcW w:w="80" w:type="dxa"/>
            <w:vAlign w:val="bottom"/>
            <w:shd w:val="clear" w:color="auto" w:fill="CFF0FC"/>
          </w:tcPr>
          <w:p>
            <w:pPr>
              <w:spacing w:after="0"/>
              <w:rPr>
                <w:sz w:val="13"/>
                <w:szCs w:val="13"/>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3,260,868</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5,967</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26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noncontrolling interest</w:t>
            </w:r>
          </w:p>
        </w:tc>
        <w:tc>
          <w:tcPr>
            <w:tcW w:w="80" w:type="dxa"/>
            <w:vAlign w:val="bottom"/>
            <w:shd w:val="clear" w:color="auto" w:fill="CFF0FC"/>
          </w:tcPr>
          <w:p>
            <w:pPr>
              <w:spacing w:after="0"/>
              <w:rPr>
                <w:sz w:val="13"/>
                <w:szCs w:val="13"/>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(15,549)</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15,549</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15,549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Balances at March 31, 2019</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45,106</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27,255,963</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273</w:t>
            </w:r>
          </w:p>
        </w:tc>
        <w:tc>
          <w:tcPr>
            <w:tcW w:w="2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23,094,221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162,249</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(220,489)</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(57,735)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120" w:type="dxa"/>
            <w:vAlign w:val="bottom"/>
          </w:tcPr>
          <w:p>
            <w:pPr>
              <w:spacing w:after="0"/>
              <w:rPr>
                <w:sz w:val="12"/>
                <w:szCs w:val="12"/>
                <w:color w:val="auto"/>
              </w:rPr>
            </w:pPr>
          </w:p>
        </w:tc>
        <w:tc>
          <w:tcPr>
            <w:tcW w:w="2080" w:type="dxa"/>
            <w:vAlign w:val="bottom"/>
            <w:gridSpan w:val="5"/>
          </w:tcPr>
          <w:p>
            <w:pPr>
              <w:ind w:left="260"/>
              <w:spacing w:after="0" w:line="143" w:lineRule="exact"/>
              <w:rPr>
                <w:sz w:val="20"/>
                <w:szCs w:val="20"/>
                <w:color w:val="auto"/>
              </w:rPr>
            </w:pPr>
            <w:r>
              <w:rPr>
                <w:rFonts w:ascii="Times New Roman" w:cs="Times New Roman" w:eastAsia="Times New Roman" w:hAnsi="Times New Roman"/>
                <w:sz w:val="13"/>
                <w:szCs w:val="13"/>
                <w:b w:val="1"/>
                <w:bCs w:val="1"/>
                <w:color w:val="auto"/>
              </w:rPr>
              <w:t>Class A Common Stock</w:t>
            </w:r>
          </w:p>
        </w:tc>
        <w:tc>
          <w:tcPr>
            <w:tcW w:w="1820" w:type="dxa"/>
            <w:vAlign w:val="bottom"/>
            <w:gridSpan w:val="5"/>
          </w:tcPr>
          <w:p>
            <w:pPr>
              <w:jc w:val="right"/>
              <w:ind w:right="217"/>
              <w:spacing w:after="0" w:line="143" w:lineRule="exact"/>
              <w:rPr>
                <w:sz w:val="20"/>
                <w:szCs w:val="20"/>
                <w:color w:val="auto"/>
              </w:rPr>
            </w:pPr>
            <w:r>
              <w:rPr>
                <w:rFonts w:ascii="Times New Roman" w:cs="Times New Roman" w:eastAsia="Times New Roman" w:hAnsi="Times New Roman"/>
                <w:sz w:val="13"/>
                <w:szCs w:val="13"/>
                <w:b w:val="1"/>
                <w:bCs w:val="1"/>
                <w:color w:val="auto"/>
              </w:rPr>
              <w:t>Class B 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8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Balances at December 31, 2017</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131,440</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9,693,254</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97</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23,119,246</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127,682</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(279,058)</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(151,047)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(7,008)</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(2,952)</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(2,952)</w:t>
            </w:r>
          </w:p>
        </w:tc>
        <w:tc>
          <w:tcPr>
            <w:tcW w:w="0" w:type="dxa"/>
            <w:vAlign w:val="bottom"/>
          </w:tcPr>
          <w:p>
            <w:pPr>
              <w:spacing w:after="0"/>
              <w:rPr>
                <w:sz w:val="1"/>
                <w:szCs w:val="1"/>
                <w:color w:val="auto"/>
              </w:rPr>
            </w:pPr>
          </w:p>
        </w:tc>
      </w:tr>
      <w:tr>
        <w:trPr>
          <w:trHeight w:val="130"/>
        </w:trPr>
        <w:tc>
          <w:tcPr>
            <w:tcW w:w="26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Cumulative effect of accounting</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change</w:t>
            </w:r>
          </w:p>
        </w:tc>
        <w:tc>
          <w:tcPr>
            <w:tcW w:w="80" w:type="dxa"/>
            <w:vAlign w:val="bottom"/>
            <w:shd w:val="clear" w:color="auto" w:fill="CFF0FC"/>
          </w:tcPr>
          <w:p>
            <w:pPr>
              <w:spacing w:after="0"/>
              <w:rPr>
                <w:sz w:val="13"/>
                <w:szCs w:val="13"/>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Exchange of Class B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for Class A Common Stock</w:t>
            </w:r>
          </w:p>
        </w:tc>
        <w:tc>
          <w:tcPr>
            <w:tcW w:w="80" w:type="dxa"/>
            <w:vAlign w:val="bottom"/>
            <w:shd w:val="clear" w:color="auto" w:fill="CFF0FC"/>
          </w:tcPr>
          <w:p>
            <w:pPr>
              <w:spacing w:after="0"/>
              <w:rPr>
                <w:sz w:val="13"/>
                <w:szCs w:val="13"/>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(151)</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25,025</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(25,025)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26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noncontrolling interest</w:t>
            </w:r>
          </w:p>
        </w:tc>
        <w:tc>
          <w:tcPr>
            <w:tcW w:w="80" w:type="dxa"/>
            <w:vAlign w:val="bottom"/>
            <w:shd w:val="clear" w:color="auto" w:fill="CFF0FC"/>
          </w:tcPr>
          <w:p>
            <w:pPr>
              <w:spacing w:after="0"/>
              <w:rPr>
                <w:sz w:val="13"/>
                <w:szCs w:val="13"/>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(3,884)</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3,884</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3,884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Balances at March 31, 2018</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120,397</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9,729,946</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97</w:t>
            </w:r>
          </w:p>
        </w:tc>
        <w:tc>
          <w:tcPr>
            <w:tcW w:w="2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23,094,221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128,796</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(277,913)</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(148,788)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88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before noncontrolling interest</w:t>
            </w:r>
          </w:p>
        </w:tc>
        <w:tc>
          <w:tcPr>
            <w:tcW w:w="20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(3,982)</w:t>
            </w:r>
          </w:p>
        </w:tc>
        <w:tc>
          <w:tcPr>
            <w:tcW w:w="116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(9,960)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Adjustments to reconcile net loss before noncontrolling interest to net cash used in operating</w:t>
            </w: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activities: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Loss (gain) on disposal of property and equipment, net</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expense</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warrants, related party</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(921)</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Amortization of debt discount</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Accounts receivable</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7,790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Long-term deposits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(1,445)</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(913)</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(2,064)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liabilities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98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(5,450)</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(5,397)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9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issuance of Class A Common Stock to a related party under the Letter Agreements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Proceeds from issuance of Class A Common Stock, net of offering costs</w:t>
            </w:r>
          </w:p>
        </w:tc>
        <w:tc>
          <w:tcPr>
            <w:tcW w:w="9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Repayment of notes payable</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(2,717)</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98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8,726</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 and cash equivalents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(5,385)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cash, cash equivalents and restricted cash and cash equivalents, beginning of period</w:t>
            </w:r>
          </w:p>
        </w:tc>
        <w:tc>
          <w:tcPr>
            <w:tcW w:w="98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cash, cash equivalents and restricted cash and cash equivalents, end of period</w:t>
            </w:r>
          </w:p>
        </w:tc>
        <w:tc>
          <w:tcPr>
            <w:tcW w:w="980" w:type="dxa"/>
            <w:vAlign w:val="bottom"/>
          </w:tcPr>
          <w:p>
            <w:pPr>
              <w:spacing w:after="0"/>
              <w:rPr>
                <w:sz w:val="17"/>
                <w:szCs w:val="17"/>
                <w:color w:val="auto"/>
              </w:rPr>
            </w:pPr>
          </w:p>
        </w:tc>
        <w:tc>
          <w:tcPr>
            <w:tcW w:w="1020" w:type="dxa"/>
            <w:vAlign w:val="bottom"/>
            <w:tcBorders>
              <w:bottom w:val="single" w:sz="8" w:color="auto"/>
            </w:tcBorders>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7,459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8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9,035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86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Non-cash activities: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Change in redemption value of noncontrolling interest</w:t>
            </w:r>
          </w:p>
        </w:tc>
        <w:tc>
          <w:tcPr>
            <w:tcW w:w="20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(15,549)</w:t>
            </w:r>
          </w:p>
        </w:tc>
        <w:tc>
          <w:tcPr>
            <w:tcW w:w="116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(3,884)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6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Exchange of vTv Therapeutics Inc. Class B Common Stock and vTv Therapeutics, LLC</w:t>
            </w:r>
          </w:p>
        </w:tc>
        <w:tc>
          <w:tcPr>
            <w:tcW w:w="2000" w:type="dxa"/>
            <w:vAlign w:val="bottom"/>
            <w:gridSpan w:val="2"/>
            <w:vMerge w:val="restart"/>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member units for vTv Therapeutics Inc. Class A Common Stock</w:t>
            </w:r>
          </w:p>
        </w:tc>
        <w:tc>
          <w:tcPr>
            <w:tcW w:w="20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are in thousands, unless otherwise noted)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Business, Basis of Presentation and Going Concern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vTv Therapeutics Inc. (the “Company,” the “Registrant,” “we” or “us”) was incorporated in the state of Delaware in April 2015. The Company was formed to discover and develop orally administered small molecule drug candidates to fill significant unmet medical needs.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right="720" w:firstLine="518"/>
        <w:spacing w:after="0" w:line="266" w:lineRule="auto"/>
        <w:rPr>
          <w:sz w:val="20"/>
          <w:szCs w:val="20"/>
          <w:color w:val="auto"/>
        </w:rPr>
      </w:pPr>
      <w:r>
        <w:rPr>
          <w:rFonts w:ascii="Times New Roman" w:cs="Times New Roman" w:eastAsia="Times New Roman" w:hAnsi="Times New Roman"/>
          <w:sz w:val="18"/>
          <w:szCs w:val="18"/>
          <w:color w:val="auto"/>
        </w:rPr>
        <w:t>vTv Therapeutics Inc. is a holding company and its principal asset is a controlling equity interest in vTv Therapeutics LLC (“vTv LLC”), the Company’s principal operating subsidiary, which is a clinical-stage biopharmaceutical company engaged in the discovery and development of orally administered small molecule drug candidates to fill significant unmet medical needs.</w:t>
      </w:r>
    </w:p>
    <w:p>
      <w:pPr>
        <w:spacing w:after="0" w:line="68"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As of March 31, 2019, various holders own non-voting interests in vTv LLC, representing a 45.9% economic interest in vTv LLC, effectively restricting vTv Therapeutics Inc.’s interest to 54.1% of vTv LLC’s economic results, subject to increase in the future, should vTv Therapeutics Inc. purchase additional non-voting common units (“vTv Units”) of vTv LLC, or should the holders of vTv Units decide to exchange such units (together with shares of Class B Common Stock) for shares of Class A Common Stock (or cash) pursuant to the Exchange Agreement (as defined in Note 9). vTv Therapeutics Inc. has provided financial and other support to vTv LLC in the form of its purchase of vTv Units with the net proceeds of the Company’s initial public offering (“IPO”) in 2015 and its registered direct offering in March 2019, its agreeing to be a co-borrower under the Venture Loan and Security Agreement (the “Loan Agreement”) with Horizon Technology Finance Corporation and Silicon Valley Bank (together, the “Lenders”) which was entered into in 2016 and its entrance into the letter agreements, dated as of December 5, 2017, July 30, 2018, December 11, 2018 and March 18, 2019 with MacAndrews and Forbes Group LLC (the “Letter Agreements”). vTv Therapeutics Inc. will not be required to provide financial or other support for vTv LLC outside of its obligations pertaining to the Loan Agreement as a co-borrower. However, vTv Therapeutics Inc. will control its business and other activities through its managing member interest in vTv LLC, and its management is the management of vTv LLC. The creditors of vTv LLC do not have any recourse to the general credit of vTv Therapeutics Inc. except as allowed under the provisions of the Loan Agreement. Nevertheless, because vTv Therapeutics Inc. will have no material assets other than its interests in vTv LLC, any financial difficulties at vTv LLC could result in vTv Therapeutics Inc. recognizing a loss.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Liquidity</w:t>
      </w:r>
    </w:p>
    <w:p>
      <w:pPr>
        <w:spacing w:after="0" w:line="229" w:lineRule="exact"/>
        <w:rPr>
          <w:sz w:val="20"/>
          <w:szCs w:val="20"/>
          <w:color w:val="auto"/>
        </w:rPr>
      </w:pPr>
    </w:p>
    <w:p>
      <w:pPr>
        <w:ind w:right="340" w:firstLine="518"/>
        <w:spacing w:after="0" w:line="258" w:lineRule="auto"/>
        <w:rPr>
          <w:sz w:val="20"/>
          <w:szCs w:val="20"/>
          <w:color w:val="auto"/>
        </w:rPr>
      </w:pPr>
      <w:r>
        <w:rPr>
          <w:rFonts w:ascii="Times New Roman" w:cs="Times New Roman" w:eastAsia="Times New Roman" w:hAnsi="Times New Roman"/>
          <w:sz w:val="18"/>
          <w:szCs w:val="18"/>
          <w:color w:val="auto"/>
        </w:rPr>
        <w:t>To date, the Company has not generated any product revenue and has not achieved profitable operations. The continuing development of our drug candidates will require additional financing. From its inception through March 31, 2019,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March 31, 2019, the Company had an accumulated deficit of $220.5 million and has generated net losses in each year of its existence.</w:t>
      </w:r>
    </w:p>
    <w:p>
      <w:pPr>
        <w:spacing w:after="0" w:line="184"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March 2019, the Company completed a registered direct offering through which it sold 3,636,364 shares of its Class A Common Stock and raised net proceeds of approximately $5.4 million, net of related transaction costs. Further, the Company entered into an additional Letter Agreement with MacAndrews and Forbes Group LLC (the “March 2019 Letter Agreement”) under which it may sell, at the Company’s option, up to 5,454,546 shares of its Class A Common Stock at a fixed price of $1.65 per share for aggregate proceeds of up to $9.0 million during a one-year period after the date of the March 2019 Letter Agreement (the “Investment Period”). The March 2019 Letter Agreement also permits MacAndrews and Forbes Group LLC to exercise an option to purchase Class A Common Stock at the same price up to three times during the Investment Period.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As of March 31, 2019, the Company’s liquidity sources included cash and cash equivalents of $5.0 million and $11.5 million of remaining funds available under the Letter Agreements. Based on the Company’s current operating plan, management believes that its current cash and cash equivalents and the remaining funds available under the Letter Agreements will allow the Company to meet its liquidity requirements into the third quarter of 2019, which is less than twelve months from the issuance of these Condensed Consolidated Financial Statements. These conditions raise substantial doubt about the Company’s ability to continue as a going concern.</w:t>
      </w:r>
    </w:p>
    <w:p>
      <w:pPr>
        <w:spacing w:after="0" w:line="74" w:lineRule="exact"/>
        <w:rPr>
          <w:sz w:val="20"/>
          <w:szCs w:val="20"/>
          <w:color w:val="auto"/>
        </w:rPr>
      </w:pPr>
    </w:p>
    <w:p>
      <w:pPr>
        <w:ind w:right="40" w:firstLine="518"/>
        <w:spacing w:after="0" w:line="259" w:lineRule="auto"/>
        <w:rPr>
          <w:sz w:val="20"/>
          <w:szCs w:val="20"/>
          <w:color w:val="auto"/>
        </w:rPr>
      </w:pPr>
      <w:r>
        <w:rPr>
          <w:rFonts w:ascii="Times New Roman" w:cs="Times New Roman" w:eastAsia="Times New Roman" w:hAnsi="Times New Roman"/>
          <w:sz w:val="18"/>
          <w:szCs w:val="18"/>
          <w:color w:val="auto"/>
        </w:rPr>
        <w:t xml:space="preserve">The Company is performing start-up activities and expects to begin screening patients in June 2019 for a Phase 2 trial to evaluate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as a potential treatment of mild-AD in patients with type 2 diabetes. Further, the Company continues to conduct the Phase 2 clinical trial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patients with type 1 diabetes. In order to complete these trials and continue its operations, the Company will require additional financing. The Company is evaluating several financing strategies to provide continued funding which may include additional direct equity investments or future public offerings of our common stock. The timing and availability of such financing is not yet known.</w:t>
      </w:r>
    </w:p>
    <w:p>
      <w:pPr>
        <w:spacing w:after="0" w:line="182"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The accompanying Condensed Consolidated Balance Sheet as of March 31, 2019, Condensed Consolidated Statements of Operations for the three months ended March 31, 2019 and 2018, Condensed Consolidated Statement of Changes in Redeemable Noncontrolling Interest and Stockholders’ Deficit for the three months ended March 31, 2019 and 2018 and Condensed Consolidated Statements of Cash Flows for the three months ended March 31, 2019 and 2018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2018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March 31, 2019, the results of operations for the three months ended March 31, 2019 and 2018 and cash flows for the three months ended March 31, 2019 and 2018. The December 31, 2018 Condensed Consolidated Balance Sheet included herein was derived from the audited financial statements but does not include all disclosures or notes required by GAAP for complete financial statements.</w:t>
      </w:r>
    </w:p>
    <w:p>
      <w:pPr>
        <w:spacing w:after="0" w:line="8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financial data and other information disclosed in these notes to the financial statements related to the three months ended March 31, 2019 and 2018 are unaudited. Interim results are not necessarily indicative of results for an entire year.</w:t>
      </w:r>
    </w:p>
    <w:p>
      <w:pPr>
        <w:spacing w:after="0" w:line="54"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2"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On an ongoing basis, the Company evaluates its estimates, including those related to the grant date fair value of equity awards, the fair value of warrants to purchase shares of its Class A Common Stock, the fair value of the Class B Common Stock, the useful lives of property and equipment, the fair value of derivative liabilities,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54"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Two customers represented 100% of the revenue earned during the three months ended March 31, 2019. Two customers represented 100% of the revenue earned during the three months ended March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considers any highly liquid investments with an original maturity of three months or less to be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121"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Restricted cash and cash equivalents, long-term as of March 31, 2019 and December 31, 2018 was $2.5 million at each date. These amounts relate to the minimum balance that the Company must maintain in a deposit account that is pledged to secure the Loan Agreement and is subject to an account control agreement pursuant to the Loan Agreement.</w:t>
      </w:r>
    </w:p>
    <w:p>
      <w:pPr>
        <w:spacing w:after="0" w:line="68"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as of March 31, 2019 and December 31, 2018 that sum to the total of the same such amounts shown in the Condensed Consolidated Statements of Cash Flows (in thousands):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23"/>
        </w:trPr>
        <w:tc>
          <w:tcPr>
            <w:tcW w:w="2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 and cash equivalents, long-term</w:t>
            </w:r>
          </w:p>
        </w:tc>
        <w:tc>
          <w:tcPr>
            <w:tcW w:w="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Borders>
              <w:bottom w:val="single" w:sz="8" w:color="CFF0FC"/>
            </w:tcBorders>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44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and cash</w:t>
            </w: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equivalents shown in the consolidated statement of</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flows</w:t>
            </w:r>
          </w:p>
        </w:tc>
        <w:tc>
          <w:tcPr>
            <w:tcW w:w="66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connection with the License Agreement with Reneo Pharmaceuticals, Inc. (“Reneo”) (the “Reneo License Agreement”), the Company received common stock and certain participation rights representing a minority equity interest in Reneo that is classified as a long-term investment in the Company’s Condensed Consolidated Balance Sheets as of March 31, 2019 and December 31, 2018. The Company owns less than 20% of the voting equity of Reneo and does not have the ability to exercise significant influence over Reneo. Since it does not have a readily determinable market value, the Company has elected to measure its investment in Reneo at cost minus impairment, if any, plus or minus changes resulting from observable price changes in orderly transactions for the identical or similar investment.</w:t>
      </w:r>
    </w:p>
    <w:p>
      <w:pPr>
        <w:spacing w:after="0" w:line="80"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No adjustments were made to the value of the Company’s investment in Reneo for the three months ended March 31, 2019 and 2018 either due to impairment or based on observable price changes.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assets and operating lease liabilities in the Condensed Consolidated Balance Sheets. Operating lease right-of-use assets and operating lease liabilities are recognized based on the present value of the future minimum lease payments over the lease term at commencement date. As most of the Company’s leases do not provide an implicit rate, the Company uses its incremental borrowing rate based on the information available at the commencement date in determining the present value of future payments. The operating lease right-of-use asset also includes any lease payments made and excludes lease incentives and initial direct costs incurred. Lease expense for minimum lease payments is recognized on a straight-line basis over the lease term.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uses the revenue recognition guidance established by ASC Topic 606, “Revenue From Contracts With Customers” (“ASC Topic 606”).</w:t>
      </w:r>
    </w:p>
    <w:p>
      <w:pPr>
        <w:spacing w:after="0" w:line="117"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0" w:name="page11"/>
    <w:bookmarkEnd w:id="10"/>
    <w:p>
      <w:pPr>
        <w:ind w:right="100"/>
        <w:spacing w:after="0" w:line="282" w:lineRule="auto"/>
        <w:rPr>
          <w:sz w:val="20"/>
          <w:szCs w:val="20"/>
          <w:color w:val="auto"/>
        </w:rPr>
      </w:pPr>
      <w:r>
        <w:rPr>
          <w:rFonts w:ascii="Times New Roman" w:cs="Times New Roman" w:eastAsia="Times New Roman" w:hAnsi="Times New Roman"/>
          <w:sz w:val="18"/>
          <w:szCs w:val="18"/>
          <w:color w:val="auto"/>
        </w:rPr>
        <w:t>within the contract. A performance obligation is a promise in a contract to transfer a distinct good or service to the customer. The Company then recognizes revenue under each contract as the related performance obligations are satisfied.</w:t>
      </w:r>
    </w:p>
    <w:p>
      <w:pPr>
        <w:spacing w:after="0" w:line="54"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Major components of research and development costs include cash and share-based compensation, costs of preclinical studies, clinical trials and related clinical manufacturing, costs of drug development, costs of materials and supplies, facilities costs, overhead costs, regulatory and compliance costs, and fees paid to consultants and other entities that conduct certain research and development activities on the Company’s behalf. Research and development costs are expensed as incurred.</w:t>
      </w:r>
    </w:p>
    <w:p>
      <w:pPr>
        <w:spacing w:after="0" w:line="7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81"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54"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costs that are reimbursed under a cost-sharing arrangement are reflected as a reduction of research and development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9" w:lineRule="exact"/>
        <w:rPr>
          <w:sz w:val="20"/>
          <w:szCs w:val="20"/>
          <w:color w:val="auto"/>
        </w:rPr>
      </w:pPr>
    </w:p>
    <w:p>
      <w:pPr>
        <w:ind w:right="60" w:firstLine="471"/>
        <w:spacing w:after="0" w:line="281" w:lineRule="auto"/>
        <w:rPr>
          <w:sz w:val="20"/>
          <w:szCs w:val="20"/>
          <w:color w:val="auto"/>
        </w:rPr>
      </w:pPr>
      <w:r>
        <w:rPr>
          <w:rFonts w:ascii="Times New Roman" w:cs="Times New Roman" w:eastAsia="Times New Roman" w:hAnsi="Times New Roman"/>
          <w:sz w:val="17"/>
          <w:szCs w:val="17"/>
          <w:color w:val="auto"/>
        </w:rPr>
        <w:t>In February 2016, the FASB issued ASU No. 2016-02, “Lease (Topic 842)” (“ASU 2016-02”), which increases transparency and comparability among companies accounting for lease transactions. The Company adopted this guidance effective January 1, 2019 using a modified retrospective application and recorded a cumulative-effect adjustment at the beginning of the period of adoption. The adoption resulted in the recognition of $0.3 million of additional assets and liabilities related to the Company’s operating leases within its Condensed Consolidated Balance Sheets. See Note 7 for further details.</w:t>
      </w:r>
    </w:p>
    <w:p>
      <w:pPr>
        <w:spacing w:after="0" w:line="36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8"/>
          <w:szCs w:val="18"/>
          <w:b w:val="1"/>
          <w:bCs w:val="1"/>
          <w:color w:val="auto"/>
        </w:rPr>
        <w:t>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Reneo License Agreement</w:t>
      </w:r>
    </w:p>
    <w:p>
      <w:pPr>
        <w:spacing w:after="0" w:line="121" w:lineRule="exact"/>
        <w:rPr>
          <w:sz w:val="20"/>
          <w:szCs w:val="20"/>
          <w:color w:val="auto"/>
        </w:rPr>
      </w:pPr>
    </w:p>
    <w:p>
      <w:pPr>
        <w:ind w:right="320" w:firstLine="476"/>
        <w:spacing w:after="0" w:line="266" w:lineRule="auto"/>
        <w:rPr>
          <w:sz w:val="20"/>
          <w:szCs w:val="20"/>
          <w:color w:val="auto"/>
        </w:rPr>
      </w:pPr>
      <w:r>
        <w:rPr>
          <w:rFonts w:ascii="Times New Roman" w:cs="Times New Roman" w:eastAsia="Times New Roman" w:hAnsi="Times New Roman"/>
          <w:sz w:val="18"/>
          <w:szCs w:val="18"/>
          <w:color w:val="auto"/>
        </w:rPr>
        <w:t xml:space="preserve">The Company is party to a License Agreement with Reneo Pharmaceuticals, Inc. (“Reneo”) (the “Reneo License Agreement”), under which Reneo obtained an exclusive, worldwide, sublicensable license to develop and commercialize the Company’s peroxisome proliferation activated receptor delta (PPAR-δ) agonist program, including the compound </w:t>
      </w:r>
      <w:r>
        <w:rPr>
          <w:rFonts w:ascii="Times New Roman" w:cs="Times New Roman" w:eastAsia="Times New Roman" w:hAnsi="Times New Roman"/>
          <w:sz w:val="18"/>
          <w:szCs w:val="18"/>
          <w:i w:val="1"/>
          <w:iCs w:val="1"/>
          <w:color w:val="auto"/>
        </w:rPr>
        <w:t>HPP593</w:t>
      </w:r>
      <w:r>
        <w:rPr>
          <w:rFonts w:ascii="Times New Roman" w:cs="Times New Roman" w:eastAsia="Times New Roman" w:hAnsi="Times New Roman"/>
          <w:sz w:val="18"/>
          <w:szCs w:val="18"/>
          <w:color w:val="auto"/>
        </w:rPr>
        <w:t>, for therapeutic, prophylactic or diagnostic application in humans.</w:t>
      </w:r>
    </w:p>
    <w:p>
      <w:pPr>
        <w:spacing w:after="0" w:line="68" w:lineRule="exact"/>
        <w:rPr>
          <w:sz w:val="20"/>
          <w:szCs w:val="20"/>
          <w:color w:val="auto"/>
        </w:rPr>
      </w:pPr>
    </w:p>
    <w:p>
      <w:pPr>
        <w:ind w:right="20" w:firstLine="476"/>
        <w:spacing w:after="0" w:line="261" w:lineRule="auto"/>
        <w:rPr>
          <w:sz w:val="20"/>
          <w:szCs w:val="20"/>
          <w:color w:val="auto"/>
        </w:rPr>
      </w:pPr>
      <w:r>
        <w:rPr>
          <w:rFonts w:ascii="Times New Roman" w:cs="Times New Roman" w:eastAsia="Times New Roman" w:hAnsi="Times New Roman"/>
          <w:sz w:val="18"/>
          <w:szCs w:val="18"/>
          <w:color w:val="auto"/>
        </w:rPr>
        <w:t>The Company has fully allocated the transaction price to the license and the technology transfer services, which represents a single combined performance obligation because they were not capable of being distinct on their own. The revenue related to this performance obligation is being recognized on a straight-line basis over the technology transfer service period. The unrecognized amount of the transaction price allocated to this performance obligation as of March 31, 2019 was $0.8 million.</w:t>
      </w:r>
    </w:p>
    <w:p>
      <w:pPr>
        <w:spacing w:after="0" w:line="72" w:lineRule="exact"/>
        <w:rPr>
          <w:sz w:val="20"/>
          <w:szCs w:val="20"/>
          <w:color w:val="auto"/>
        </w:rPr>
      </w:pPr>
    </w:p>
    <w:p>
      <w:pPr>
        <w:ind w:right="140" w:firstLine="476"/>
        <w:spacing w:after="0" w:line="282" w:lineRule="auto"/>
        <w:rPr>
          <w:sz w:val="20"/>
          <w:szCs w:val="20"/>
          <w:color w:val="auto"/>
        </w:rPr>
      </w:pPr>
      <w:r>
        <w:rPr>
          <w:rFonts w:ascii="Times New Roman" w:cs="Times New Roman" w:eastAsia="Times New Roman" w:hAnsi="Times New Roman"/>
          <w:sz w:val="18"/>
          <w:szCs w:val="18"/>
          <w:color w:val="auto"/>
        </w:rPr>
        <w:t>The remainder of this performance obligation will be recognized over approximately 2.5 months. For each of the three months ended March 31, 2019 and 2018, the Company has recognized $0.9 million of revenue related to this performance obligation. There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have been no adjustments to the transaction price for this performance obligation during the three months ended March 31, 2019 and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Huadong License Agreement</w:t>
      </w:r>
    </w:p>
    <w:p>
      <w:pPr>
        <w:spacing w:after="0" w:line="121" w:lineRule="exact"/>
        <w:rPr>
          <w:sz w:val="20"/>
          <w:szCs w:val="20"/>
          <w:color w:val="auto"/>
        </w:rPr>
      </w:pPr>
    </w:p>
    <w:p>
      <w:pPr>
        <w:ind w:right="60" w:firstLine="476"/>
        <w:spacing w:after="0" w:line="256" w:lineRule="auto"/>
        <w:rPr>
          <w:sz w:val="20"/>
          <w:szCs w:val="20"/>
          <w:color w:val="auto"/>
        </w:rPr>
      </w:pPr>
      <w:r>
        <w:rPr>
          <w:rFonts w:ascii="Times New Roman" w:cs="Times New Roman" w:eastAsia="Times New Roman" w:hAnsi="Times New Roman"/>
          <w:sz w:val="18"/>
          <w:szCs w:val="18"/>
          <w:color w:val="auto"/>
        </w:rPr>
        <w:t xml:space="preserve">The Company is party to a License Agreement with Huadong (the “Huadong License Agreement”), under which Huadong obtained an exclusive and sublicensable license to develop and commercialize the Company’s glucagon-like peptide-1 receptor agonist (“GLP-1r”) program, including the compound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for therapeutic uses in humans or animals, in China and certain other Pacific Rim countries, including Australia and South Korea (collectively,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w:t>
      </w:r>
    </w:p>
    <w:p>
      <w:pPr>
        <w:spacing w:after="0" w:line="80" w:lineRule="exact"/>
        <w:rPr>
          <w:sz w:val="20"/>
          <w:szCs w:val="20"/>
          <w:color w:val="auto"/>
        </w:rPr>
      </w:pPr>
    </w:p>
    <w:p>
      <w:pPr>
        <w:ind w:right="80" w:firstLine="476"/>
        <w:spacing w:after="0" w:line="261" w:lineRule="auto"/>
        <w:rPr>
          <w:sz w:val="20"/>
          <w:szCs w:val="20"/>
          <w:color w:val="auto"/>
        </w:rPr>
      </w:pPr>
      <w:r>
        <w:rPr>
          <w:rFonts w:ascii="Times New Roman" w:cs="Times New Roman" w:eastAsia="Times New Roman" w:hAnsi="Times New Roman"/>
          <w:sz w:val="18"/>
          <w:szCs w:val="18"/>
          <w:color w:val="auto"/>
        </w:rPr>
        <w:t xml:space="preserve">Under the Huadong License Agreement, the Company is also responsible for conducting a Phase 2 multi-region clinical trial (the “Phase 2 MRCT”) including sites in both the United States and Huadong License Territory for the purpose of assessing the safety and efficacy of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in patients with type 2 diabetes. The Phase 2 MRCT will be designed to satisfy the requirements of the China Food and Drug Administration necessary in order for Huadong to begin a Phase 3 clinical trial in China. The Company will also be responsible for contributing up to $3.0 million in connection with the Phase 2 MRCT.</w:t>
      </w:r>
    </w:p>
    <w:p>
      <w:pPr>
        <w:spacing w:after="0" w:line="72" w:lineRule="exact"/>
        <w:rPr>
          <w:sz w:val="20"/>
          <w:szCs w:val="20"/>
          <w:color w:val="auto"/>
        </w:rPr>
      </w:pPr>
    </w:p>
    <w:p>
      <w:pPr>
        <w:ind w:right="80" w:firstLine="476"/>
        <w:spacing w:after="0" w:line="261" w:lineRule="auto"/>
        <w:rPr>
          <w:sz w:val="20"/>
          <w:szCs w:val="20"/>
          <w:color w:val="auto"/>
        </w:rPr>
      </w:pPr>
      <w:r>
        <w:rPr>
          <w:rFonts w:ascii="Times New Roman" w:cs="Times New Roman" w:eastAsia="Times New Roman" w:hAnsi="Times New Roman"/>
          <w:sz w:val="18"/>
          <w:szCs w:val="18"/>
          <w:color w:val="auto"/>
        </w:rPr>
        <w:t>The significant performance obligations under this license agreement were determined to be (i) the exclusive license to develop and commercialize the Company’s GLP-1r program, (ii) technology transfer services related to the chemistry and manufacturing know-how for a defined period after the effective date (iii) the obligation to sponsor and conduct the Phase 2 MRCT, (iv) the Company’s obligation to participate on a joint development committee, and (v) other obligations considered to be de minimis in nature.</w:t>
      </w:r>
    </w:p>
    <w:p>
      <w:pPr>
        <w:spacing w:after="0" w:line="72" w:lineRule="exact"/>
        <w:rPr>
          <w:sz w:val="20"/>
          <w:szCs w:val="20"/>
          <w:color w:val="auto"/>
        </w:rPr>
      </w:pPr>
    </w:p>
    <w:p>
      <w:pPr>
        <w:ind w:right="40" w:firstLine="476"/>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discernable pattern in which the technology transfer services would be provided during the transfer service period. As such, the Company recognized the revenue related to this combined performance obligation using the straight-line method over the transfer service period. The revenue related to this combined performance obligation has been fully recognized as of March 31, 2019. No revenue related to this combined performance obligation was recognized during the three months ended March 31, 2019. For the three months ended March 31, 2018, $1.1 million of revenue was recognized related to this combined performance obligation.</w:t>
      </w:r>
    </w:p>
    <w:p>
      <w:pPr>
        <w:spacing w:after="0" w:line="81" w:lineRule="exact"/>
        <w:rPr>
          <w:sz w:val="20"/>
          <w:szCs w:val="20"/>
          <w:color w:val="auto"/>
        </w:rPr>
      </w:pPr>
    </w:p>
    <w:p>
      <w:pPr>
        <w:ind w:right="80" w:firstLine="476"/>
        <w:spacing w:after="0" w:line="266" w:lineRule="auto"/>
        <w:rPr>
          <w:sz w:val="20"/>
          <w:szCs w:val="20"/>
          <w:color w:val="auto"/>
        </w:rPr>
      </w:pPr>
      <w:r>
        <w:rPr>
          <w:rFonts w:ascii="Times New Roman" w:cs="Times New Roman" w:eastAsia="Times New Roman" w:hAnsi="Times New Roman"/>
          <w:sz w:val="18"/>
          <w:szCs w:val="18"/>
          <w:color w:val="auto"/>
        </w:rPr>
        <w:t>The portion of the transaction price allocated to the obligation to sponsor and conduct a portion of the Phase 2 MRCT was $1.0 million and remained deferred as of March 31, 2019. Revenue for this performance obligation will be recognized using the proportional performance model over the period during which the Company conducts the Phase 2 MRCT trial. No revenue for this performance obligation has yet been recognized.</w:t>
      </w:r>
    </w:p>
    <w:p>
      <w:pPr>
        <w:spacing w:after="0" w:line="68" w:lineRule="exact"/>
        <w:rPr>
          <w:sz w:val="20"/>
          <w:szCs w:val="20"/>
          <w:color w:val="auto"/>
        </w:rPr>
      </w:pPr>
    </w:p>
    <w:p>
      <w:pPr>
        <w:ind w:firstLine="476"/>
        <w:spacing w:after="0" w:line="258" w:lineRule="auto"/>
        <w:rPr>
          <w:sz w:val="20"/>
          <w:szCs w:val="20"/>
          <w:color w:val="auto"/>
        </w:rPr>
      </w:pPr>
      <w:r>
        <w:rPr>
          <w:rFonts w:ascii="Times New Roman" w:cs="Times New Roman" w:eastAsia="Times New Roman" w:hAnsi="Times New Roman"/>
          <w:sz w:val="18"/>
          <w:szCs w:val="18"/>
          <w:color w:val="auto"/>
        </w:rPr>
        <w:t>The portion of the transaction price allocated to the obligation to participate in the joint development committee (the “JDC”) to oversee the development of products and the Phase 2 MRCT in accordance with the development plan remained deferred as of March 31, 2019 and revenue will be recognized using the proportional performance model over the period of the Company’s participation on the JDC. The unrecognized amount of the transaction price allocated to this performance obligation as of March 31, 2019 was $0.1 million. An immaterial amount of revenue for this performance obligation has been recognized during the three months ended March 31, 2019.</w:t>
      </w:r>
    </w:p>
    <w:p>
      <w:pPr>
        <w:spacing w:after="0" w:line="76" w:lineRule="exact"/>
        <w:rPr>
          <w:sz w:val="20"/>
          <w:szCs w:val="20"/>
          <w:color w:val="auto"/>
        </w:rPr>
      </w:pPr>
    </w:p>
    <w:p>
      <w:pPr>
        <w:ind w:right="540" w:firstLine="476"/>
        <w:spacing w:after="0" w:line="282" w:lineRule="auto"/>
        <w:rPr>
          <w:sz w:val="20"/>
          <w:szCs w:val="20"/>
          <w:color w:val="auto"/>
        </w:rPr>
      </w:pPr>
      <w:r>
        <w:rPr>
          <w:rFonts w:ascii="Times New Roman" w:cs="Times New Roman" w:eastAsia="Times New Roman" w:hAnsi="Times New Roman"/>
          <w:sz w:val="18"/>
          <w:szCs w:val="18"/>
          <w:color w:val="auto"/>
        </w:rPr>
        <w:t>There have been no adjustments to the transaction price for the performance obligations under the Huadong License Agreement during the three months ended March 31, 2019 and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Newsoara License Agreement</w:t>
      </w:r>
    </w:p>
    <w:p>
      <w:pPr>
        <w:spacing w:after="0" w:line="121" w:lineRule="exact"/>
        <w:rPr>
          <w:sz w:val="20"/>
          <w:szCs w:val="20"/>
          <w:color w:val="auto"/>
        </w:rPr>
      </w:pPr>
    </w:p>
    <w:p>
      <w:pPr>
        <w:ind w:right="80" w:firstLine="476"/>
        <w:spacing w:after="0" w:line="256" w:lineRule="auto"/>
        <w:rPr>
          <w:sz w:val="20"/>
          <w:szCs w:val="20"/>
          <w:color w:val="auto"/>
        </w:rPr>
      </w:pPr>
      <w:r>
        <w:rPr>
          <w:rFonts w:ascii="Times New Roman" w:cs="Times New Roman" w:eastAsia="Times New Roman" w:hAnsi="Times New Roman"/>
          <w:sz w:val="18"/>
          <w:szCs w:val="18"/>
          <w:color w:val="auto"/>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80" w:lineRule="exact"/>
        <w:rPr>
          <w:sz w:val="20"/>
          <w:szCs w:val="20"/>
          <w:color w:val="auto"/>
        </w:rPr>
      </w:pPr>
    </w:p>
    <w:p>
      <w:pPr>
        <w:ind w:right="40" w:firstLine="563"/>
        <w:spacing w:after="0" w:line="261" w:lineRule="auto"/>
        <w:rPr>
          <w:sz w:val="20"/>
          <w:szCs w:val="20"/>
          <w:color w:val="auto"/>
        </w:rPr>
      </w:pPr>
      <w:r>
        <w:rPr>
          <w:rFonts w:ascii="Times New Roman" w:cs="Times New Roman" w:eastAsia="Times New Roman" w:hAnsi="Times New Roman"/>
          <w:sz w:val="18"/>
          <w:szCs w:val="18"/>
          <w:color w:val="auto"/>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The revenue for this performance obligation has been fully recognized as of March 31, 2019. No revenue related to this performance obligation was recognized for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 w:name="page13"/>
    <w:bookmarkEnd w:id="12"/>
    <w:p>
      <w:pPr>
        <w:ind w:right="120"/>
        <w:spacing w:after="0" w:line="282" w:lineRule="auto"/>
        <w:rPr>
          <w:sz w:val="20"/>
          <w:szCs w:val="20"/>
          <w:color w:val="auto"/>
        </w:rPr>
      </w:pPr>
      <w:r>
        <w:rPr>
          <w:rFonts w:ascii="Times New Roman" w:cs="Times New Roman" w:eastAsia="Times New Roman" w:hAnsi="Times New Roman"/>
          <w:sz w:val="18"/>
          <w:szCs w:val="18"/>
          <w:color w:val="auto"/>
        </w:rPr>
        <w:t>three months ended March 31, 2019 or the three months ended March 31, 2018. There have been no adjustments to the transaction price for the performance obligations under the Newsoara License Agreement during the three months ended March 31, 2019 and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JDRF Agreement</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 xml:space="preserve">In August 2017, the Company entered into the JDRF Agreement to support the funding of the Simplici-T1 Study, a Phase 2 study to explore the effects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type 1 diabetics. The Company initiated the Phase 2 portion of this study in the second quarter of 2018. According to the terms of the JDRF Agreement, JDRF will provide research funding of up to $3.0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 treatment for type 1 diabetes.</w:t>
      </w:r>
    </w:p>
    <w:p>
      <w:pPr>
        <w:spacing w:after="0" w:line="76"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Payments that the Company receives from JDRF under this agreement will be recorded as restricted cash and current liabilities and recognized as an offset to research and development expense, based on the progress of the project, and only to the extent that the restricted cash is utilized to fund such development activities. As of March 31, 2019, the Company had received funding under this agreement of $0.8 million. Research and development costs were offset by a total of $0.8 million over the course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Contract liabilities related to the Company’s collaboration agreements consisted of the following (in thousands):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The change in the Company’s contract liabilities for the three months ended March 31, 2019 of $0.9 million was due to the recognition of amounts included in the contract liability at the beginning of the period. There were no changes in the estimated transaction prices for the related contracts during the three months ended March 31, 2019.</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4:Share-Based Compensation</w:t>
      </w:r>
    </w:p>
    <w:p>
      <w:pPr>
        <w:spacing w:after="0" w:line="12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2019, the Company issued non-qualified stock option awards to certain employees of the Company. These option awards vest ratably over a three-year period and the option awards expire after a term of ten years from the date of grant. As of March 31, 2019, the Company had total unrecognized stock-based compensation expense for its outstanding stock option awards of approximately $2.7 million, which is expected to be recognized over a weighted average period of 2.3 years. The weighted average grant date fair value of option grants during the three months ended March 31, 2019 and 2018 was $1.97 and $4.43 per option, respectively. The aggregate intrinsic value of the in-the-money awards outstanding at March 31, 2019 was $0.</w:t>
      </w:r>
    </w:p>
    <w:p>
      <w:pPr>
        <w:spacing w:after="0" w:line="80"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 pricing model to calculate the fair value of stock options granted. The fair value of stock options granted was estimated using the following assumptions: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32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160" w:type="dxa"/>
            <w:vAlign w:val="bottom"/>
          </w:tcPr>
          <w:p>
            <w:pPr>
              <w:spacing w:after="0"/>
              <w:rPr>
                <w:sz w:val="19"/>
                <w:szCs w:val="19"/>
                <w:color w:val="auto"/>
              </w:rPr>
            </w:pPr>
          </w:p>
        </w:tc>
      </w:tr>
      <w:tr>
        <w:trPr>
          <w:trHeight w:val="238"/>
        </w:trPr>
        <w:tc>
          <w:tcPr>
            <w:tcW w:w="11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108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- 115.88%</w:t>
            </w:r>
          </w:p>
        </w:tc>
        <w:tc>
          <w:tcPr>
            <w:tcW w:w="26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71.15%</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 in years</w:t>
            </w: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6.0</w:t>
            </w:r>
          </w:p>
        </w:tc>
        <w:tc>
          <w:tcPr>
            <w:tcW w:w="260" w:type="dxa"/>
            <w:vAlign w:val="bottom"/>
          </w:tcPr>
          <w:p>
            <w:pPr>
              <w:spacing w:after="0"/>
              <w:rPr>
                <w:sz w:val="19"/>
                <w:szCs w:val="19"/>
                <w:color w:val="auto"/>
              </w:rPr>
            </w:pPr>
          </w:p>
        </w:tc>
        <w:tc>
          <w:tcPr>
            <w:tcW w:w="20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- 2.64%</w:t>
            </w:r>
          </w:p>
        </w:tc>
        <w:tc>
          <w:tcPr>
            <w:tcW w:w="260" w:type="dxa"/>
            <w:vAlign w:val="bottom"/>
            <w:shd w:val="clear" w:color="auto" w:fill="CFF0FC"/>
          </w:tcPr>
          <w:p>
            <w:pPr>
              <w:spacing w:after="0"/>
              <w:rPr>
                <w:sz w:val="19"/>
                <w:szCs w:val="19"/>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4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27"/>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stock option awards for the three months ended March 31, 2019:</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20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outstanding at December 31, 2018</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1,767,503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2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(50,143)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Awards outstanding at March 31, 2019</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2,665,860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March 31, 2019</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1,415,223</w:t>
            </w: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 Years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vested and expected to vest at March 31, 2019</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2,603,440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RSU awards for the three months ended March 31, 2019:</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1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Grant Date 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outstanding at December 31, 2018</w:t>
            </w: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outstanding at March 31, 2019</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RSUs expected to vest at March 31, 2019</w:t>
            </w: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00" w:type="dxa"/>
            <w:vAlign w:val="bottom"/>
            <w:gridSpan w:val="2"/>
            <w:vMerge w:val="continue"/>
          </w:tcPr>
          <w:p>
            <w:pPr>
              <w:spacing w:after="0"/>
              <w:rPr>
                <w:sz w:val="18"/>
                <w:szCs w:val="18"/>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571"/>
        <w:spacing w:after="0" w:line="266" w:lineRule="auto"/>
        <w:rPr>
          <w:sz w:val="20"/>
          <w:szCs w:val="20"/>
          <w:color w:val="auto"/>
        </w:rPr>
      </w:pPr>
      <w:r>
        <w:rPr>
          <w:rFonts w:ascii="Times New Roman" w:cs="Times New Roman" w:eastAsia="Times New Roman" w:hAnsi="Times New Roman"/>
          <w:sz w:val="18"/>
          <w:szCs w:val="18"/>
          <w:color w:val="auto"/>
        </w:rPr>
        <w:t>As of March 31, 2019, the Company had total unrecognized stock-based compensation expense for its outstanding RSU awards of approximately $0.1 million, which is expected to be recognized over a weighted-average period of 0.9 years. The aggregate intrinsic value of the RSUs outstanding at March 31, 2019 was de minimis.</w:t>
      </w:r>
    </w:p>
    <w:p>
      <w:pPr>
        <w:spacing w:after="0" w:line="68" w:lineRule="exact"/>
        <w:rPr>
          <w:sz w:val="20"/>
          <w:szCs w:val="20"/>
          <w:color w:val="auto"/>
        </w:rPr>
      </w:pPr>
    </w:p>
    <w:p>
      <w:pPr>
        <w:ind w:right="540" w:firstLine="577"/>
        <w:spacing w:after="0" w:line="282" w:lineRule="auto"/>
        <w:rPr>
          <w:sz w:val="20"/>
          <w:szCs w:val="20"/>
          <w:color w:val="auto"/>
        </w:rPr>
      </w:pPr>
      <w:r>
        <w:rPr>
          <w:rFonts w:ascii="Times New Roman" w:cs="Times New Roman" w:eastAsia="Times New Roman" w:hAnsi="Times New Roman"/>
          <w:sz w:val="18"/>
          <w:szCs w:val="18"/>
          <w:color w:val="auto"/>
        </w:rPr>
        <w:t>Compensation expense related to the grants of stock options and RSUs is included in research and development and general and administrative expense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4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3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Pr>
          <w:p>
            <w:pPr>
              <w:spacing w:after="0"/>
              <w:rPr>
                <w:sz w:val="18"/>
                <w:szCs w:val="18"/>
                <w:color w:val="auto"/>
              </w:rPr>
            </w:pPr>
          </w:p>
        </w:tc>
        <w:tc>
          <w:tcPr>
            <w:tcW w:w="142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2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300" w:type="dxa"/>
            <w:vAlign w:val="bottom"/>
          </w:tcPr>
          <w:p>
            <w:pPr>
              <w:spacing w:after="0" w:line="20" w:lineRule="exact"/>
              <w:rPr>
                <w:sz w:val="1"/>
                <w:szCs w:val="1"/>
                <w:color w:val="auto"/>
              </w:rPr>
            </w:pPr>
          </w:p>
        </w:tc>
        <w:tc>
          <w:tcPr>
            <w:tcW w:w="4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Notes payable consist of the following (in thousands):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04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CFF0FC"/>
            </w:tcBorders>
          </w:tcPr>
          <w:p>
            <w:pPr>
              <w:spacing w:after="0"/>
              <w:rPr>
                <w:sz w:val="21"/>
                <w:szCs w:val="21"/>
                <w:color w:val="auto"/>
              </w:rPr>
            </w:pPr>
          </w:p>
        </w:tc>
        <w:tc>
          <w:tcPr>
            <w:tcW w:w="20" w:type="dxa"/>
            <w:vAlign w:val="bottom"/>
            <w:tcBorders>
              <w:top w:val="single" w:sz="8" w:color="auto"/>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80" w:type="dxa"/>
            <w:vAlign w:val="bottom"/>
            <w:tcBorders>
              <w:bottom w:val="single" w:sz="8" w:color="CFF0FC"/>
            </w:tcBorders>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payable under the Loan Agreement</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Short-term financing</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Accreted final payment</w:t>
            </w:r>
          </w:p>
        </w:tc>
        <w:tc>
          <w:tcPr>
            <w:tcW w:w="10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notes payable</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(9,167)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(9,383)</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notes payable, net of current portion</w:t>
            </w:r>
          </w:p>
        </w:tc>
        <w:tc>
          <w:tcPr>
            <w:tcW w:w="10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In October 2016, the Company entered into the Loan Agreement with Horizon Technology Finance Corporation and Silicon Valley Bank, under which the Company and vTv LLC borrowed $20.0 million.</w:t>
      </w:r>
    </w:p>
    <w:p>
      <w:pPr>
        <w:spacing w:after="0" w:line="54"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Each loan tranche bears interest at a floating rate equal to 10.5% plus the amount by which the one-month London Interbank Offer Rate (“LIBOR”) exceeds 0.5%.</w:t>
      </w:r>
    </w:p>
    <w:p>
      <w:pPr>
        <w:spacing w:after="0" w:line="54"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Company borrowed the first tranche of $12.5 million upon close of the Loan Agreement in October 2016. The first tranche requires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The Company borrowed the second tranche of $7.5 million in March 2017. The second tranche requires only monthly interest payments until October 1, 2018 followed by equal monthly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 w:name="page15"/>
    <w:bookmarkEnd w:id="14"/>
    <w:p>
      <w:pPr>
        <w:ind w:right="100"/>
        <w:spacing w:after="0" w:line="266" w:lineRule="auto"/>
        <w:rPr>
          <w:sz w:val="20"/>
          <w:szCs w:val="20"/>
          <w:color w:val="auto"/>
        </w:rPr>
      </w:pPr>
      <w:r>
        <w:rPr>
          <w:rFonts w:ascii="Times New Roman" w:cs="Times New Roman" w:eastAsia="Times New Roman" w:hAnsi="Times New Roman"/>
          <w:sz w:val="18"/>
          <w:szCs w:val="18"/>
          <w:color w:val="auto"/>
        </w:rPr>
        <w:t>payments of principal plus accrued interest through the scheduled maturity date on October 1, 2020. In addition, a final payment for the second tranche loan equal to $0.5 million will be due on October 1, 2020, or such earlier date specified in the Loan Agreement. The availability of the third tranche of $5.0 million expired unused on June 30, 2017.</w:t>
      </w:r>
    </w:p>
    <w:p>
      <w:pPr>
        <w:spacing w:after="0" w:line="68" w:lineRule="exact"/>
        <w:rPr>
          <w:sz w:val="20"/>
          <w:szCs w:val="20"/>
          <w:color w:val="auto"/>
        </w:rPr>
      </w:pPr>
    </w:p>
    <w:p>
      <w:pPr>
        <w:ind w:firstLine="518"/>
        <w:spacing w:after="0" w:line="313" w:lineRule="auto"/>
        <w:rPr>
          <w:sz w:val="20"/>
          <w:szCs w:val="20"/>
          <w:color w:val="auto"/>
        </w:rPr>
      </w:pPr>
      <w:r>
        <w:rPr>
          <w:rFonts w:ascii="Times New Roman" w:cs="Times New Roman" w:eastAsia="Times New Roman" w:hAnsi="Times New Roman"/>
          <w:sz w:val="17"/>
          <w:szCs w:val="17"/>
          <w:color w:val="auto"/>
        </w:rPr>
        <w:t>If the Company repays all or a portion of the loan prior to the applicable maturity date, it will pay the Lenders a prepayment penalty fee, based on a percentage of the then outstanding principal balance equal to 4.0% during the first 18 months following the funding of the second tranche and 2.0% thereafter.</w:t>
      </w:r>
    </w:p>
    <w:p>
      <w:pPr>
        <w:spacing w:after="0" w:line="30"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Loan Agreement are secured by a first priority security interest in substantially all of its assets. The Company has granted the Lenders a first priority security interest in all of the Company’s intellectual property, subject to certain limited exceptions. The Company has agreed not to pledge or otherwise encumber its intellectual property assets, subject to certain exceptions.</w:t>
      </w:r>
    </w:p>
    <w:p>
      <w:pPr>
        <w:spacing w:after="0" w:line="6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Loan Agreement includes customary events of default, including payment defaults, covenant defaults, and material adverse change default. Upon the occurrence of an event of default and following any applicable cure periods, a default interest rate of an additional 5.0% will be applied to the outstanding loan balances, and the Lenders may declare all outstanding obligations immediately due and payable and take such other actions as set forth in the Loan Agreement.</w:t>
      </w:r>
    </w:p>
    <w:p>
      <w:pPr>
        <w:spacing w:after="0" w:line="8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connection with the Loan Agreement, the Company issued to the Lenders warrants to purchase shares of the Company’s Class A Common Stock (the “Warrants”). On October 28, 2016, the Company issued Warrants to purchase 152,580 shares of its Class A Common Stock at a per share exercise price of $6.39 per share, which aggregate exercise price represents 6.0% of the principal amount borrowed under the first tranche of the Loan Agreement and 3.0% of the amount available under the second tranche of the Loan Agreement. On March 24, 2017, in connection with the funding of the second tranche, the Company issued Warrants to purchase 38,006 shares of its Class A Common Stock at a per share exercise price of $5.92 per share, which aggregate exercise price represents 3.0% of the principal amount of the second tranche of the Loan Agreement. In each instance, the Warrants have an exercise price equal to the lower of (a) the volume weighted average price per share of the Company’s Class A Common Stock, as reported on the principal stock exchange on which the Company’s Class A Common Stock is listed, for 10 trading days prior to the issuance of the applicable Warrants or (b) the closing price of a share of the Company’s Class A Common Stock on the trading day prior to the issuance of the applicable Warrants. The Warrants will expire seven years from their date of issuance.</w:t>
      </w:r>
    </w:p>
    <w:p>
      <w:pPr>
        <w:spacing w:after="0" w:line="78"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costs incurred in connection with the Loan Agreement, along with the allocated fair value of the Warrants issued of $0.9 million were treated as a debt discount and are offset against the carrying value of the notes payable in the Company’s Condensed Consolidated Balance Sheet as of March 31, 2019 and December 31, 2018. These costs will be recognized as interest expense over the term of the first tranche using the effective interest method. The final payments for the first and second loan tranches of $0.8 million and $0.5 million, respectively, will be accrued as additional interest expense, using the effective interest method, over the term of the relevant tranche.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Novo Nordisk</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February 2007, the Company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Under the terms of the Novo License Agreement, the Company has additional potential developmental and regulatory milestone payments totaling up to $115.0 million for approval of a product. The Company may also be obligated to pay an additional $75.0 million in potential sales-based milestones, as well as royalty payments, at mid-single digit royalty rates, based on tiered sales of commercialized licensed products.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Huadong License Agreement</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 xml:space="preserve">Under the terms of the Huadong License Agreement, vTv LLC is responsible for sponsoring the Phase 2 MRCT including sites in both the US and the Huadong License Territory for the purpose of assessing the safety and efficacy of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in patients with type 2 diabetes. vTv LLC will be responsible for contributing up to $3.0 million in connection with the Phase 2 MRCT.</w:t>
      </w:r>
    </w:p>
    <w:p>
      <w:pPr>
        <w:spacing w:after="0" w:line="37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The Company leases its headquarters location under an operating lease expiring in December 2019. In connection with its adoption of ASC Topic 842, the Company recognized a right of use asset and corresponding operating lease liability of $0.3 million related to this lease as of January 1, 2019. The Company elected to use the package of practical expedients in implementing ASC Topic 842 under which the Company did not reassess the operating or finance lease classification of its previously existing leases. Further, the Company did not reassess whether expired or existing contracts include leases. The discount rate used in determining the operating lease liability was 15.2%.</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lease cost recognized for each of the three months ended March 31, 2019 and 2018 was $0.1 million.</w:t>
      </w:r>
    </w:p>
    <w:p>
      <w:pPr>
        <w:spacing w:after="0" w:line="117"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Future minimum lease payments under non-cancelable operating leases to be paid in 2019 as of March 31, 2019 and December 31, 2018 were $0.3 million and $0.4 million, respectively. There are no material future minimum lease payments under non-cancellable operating leases to be made in the year 2020 or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8:Redeemable Noncontrolling Interest</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is subject to the Exchange Agreement with respect to the vTv Units representing the 45.9% noncontrolling interest in vTv LLC outstanding as of March 31, 2019 (see Note 9).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1"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The redeemable noncontrolling interest is recognized at the higher of (1) its initial fair value plus accumulated earnings/losses associated with the noncontrolling interest or (2) the redemption value as of the balance sheet date. At March 31, 2019 and December 31, 2018, the redeemable noncontrolling interest was recorded based on the redemption value as of the balance sheet date of $45.1 million and $62.5 million, respectively.</w:t>
      </w:r>
    </w:p>
    <w:p>
      <w:pPr>
        <w:spacing w:after="0" w:line="68"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4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38"/>
        </w:trPr>
        <w:tc>
          <w:tcPr>
            <w:tcW w:w="62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vTv Therapeutics Inc. shareholders</w:t>
            </w:r>
          </w:p>
        </w:tc>
        <w:tc>
          <w:tcPr>
            <w:tcW w:w="40" w:type="dxa"/>
            <w:vAlign w:val="bottom"/>
          </w:tcPr>
          <w:p>
            <w:pPr>
              <w:spacing w:after="0"/>
              <w:rPr>
                <w:sz w:val="19"/>
                <w:szCs w:val="19"/>
                <w:color w:val="auto"/>
              </w:rPr>
            </w:pPr>
          </w:p>
        </w:tc>
        <w:tc>
          <w:tcPr>
            <w:tcW w:w="116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Pr>
          <w:p>
            <w:pPr>
              <w:spacing w:after="0"/>
              <w:rPr>
                <w:sz w:val="19"/>
                <w:szCs w:val="19"/>
                <w:color w:val="auto"/>
              </w:rPr>
            </w:pPr>
          </w:p>
        </w:tc>
      </w:tr>
      <w:tr>
        <w:trPr>
          <w:trHeight w:val="211"/>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vTv Therapeutics Inc. accumulated deficit for purchase of LLC Units as a</w:t>
            </w:r>
          </w:p>
        </w:tc>
        <w:tc>
          <w:tcPr>
            <w:tcW w:w="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result of common stock issuances</w:t>
            </w:r>
          </w:p>
        </w:tc>
        <w:tc>
          <w:tcPr>
            <w:tcW w:w="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(7,429)</w:t>
            </w: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05"/>
        </w:trPr>
        <w:tc>
          <w:tcPr>
            <w:tcW w:w="62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Change from net income attributable to vTv Therapeutics Inc. shareholders and</w:t>
            </w:r>
          </w:p>
        </w:tc>
        <w:tc>
          <w:tcPr>
            <w:tcW w:w="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transfers to noncontrolling interest</w:t>
            </w:r>
          </w:p>
        </w:tc>
        <w:tc>
          <w:tcPr>
            <w:tcW w:w="120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(13,312)</w:t>
            </w:r>
          </w:p>
        </w:tc>
        <w:tc>
          <w:tcPr>
            <w:tcW w:w="40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(2,973)</w:t>
            </w:r>
          </w:p>
        </w:tc>
      </w:tr>
      <w:tr>
        <w:trPr>
          <w:trHeight w:val="20"/>
        </w:trPr>
        <w:tc>
          <w:tcPr>
            <w:tcW w:w="6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9:Related-Party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MacAndrews &amp; Forbes Incorporated</w:t>
      </w:r>
    </w:p>
    <w:p>
      <w:pPr>
        <w:spacing w:after="0" w:line="121"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As of March 31, 2019, subsidiaries and affiliates of MacAndrews &amp; Forbes Incorporated (collectively “MacAndrews”) indirectly controlled 23,084,267 shares of the Company’s Class B Common Stock and 16,493,653 shares of the Company’s Class A Common Stock. As a result, MacAndrews’ holdings represent approximately 78.6% of the combined voting power of the Company’s outstanding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The Company has entered into several agreements with MacAndrews or its affiliates as further detailed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Agreements</w:t>
      </w:r>
    </w:p>
    <w:p>
      <w:pPr>
        <w:spacing w:after="0" w:line="119" w:lineRule="exact"/>
        <w:rPr>
          <w:sz w:val="20"/>
          <w:szCs w:val="20"/>
          <w:color w:val="auto"/>
        </w:rPr>
      </w:pPr>
    </w:p>
    <w:p>
      <w:pPr>
        <w:ind w:right="80" w:firstLine="476"/>
        <w:spacing w:after="0" w:line="258" w:lineRule="auto"/>
        <w:rPr>
          <w:sz w:val="20"/>
          <w:szCs w:val="20"/>
          <w:color w:val="auto"/>
        </w:rPr>
      </w:pPr>
      <w:r>
        <w:rPr>
          <w:rFonts w:ascii="Times New Roman" w:cs="Times New Roman" w:eastAsia="Times New Roman" w:hAnsi="Times New Roman"/>
          <w:sz w:val="18"/>
          <w:szCs w:val="18"/>
          <w:color w:val="auto"/>
        </w:rPr>
        <w:t>The Company has entered into the Letter Agreements with MacAndrews. Under the terms of the Letter Agreements, the Company has the right to sell to MacAndrews shares of its Class A Common Stock at a specified price per share, and MacAndrews has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Certain terms of these Letter Agreements are set forth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5, 2017 Letter</w:t>
            </w:r>
          </w:p>
        </w:tc>
        <w:tc>
          <w:tcPr>
            <w:tcW w:w="160" w:type="dxa"/>
            <w:vAlign w:val="bottom"/>
          </w:tcPr>
          <w:p>
            <w:pPr>
              <w:spacing w:after="0"/>
              <w:rPr>
                <w:sz w:val="13"/>
                <w:szCs w:val="13"/>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July 30, 2018 Letter</w:t>
            </w:r>
          </w:p>
        </w:tc>
        <w:tc>
          <w:tcPr>
            <w:tcW w:w="1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11, 2018 Letter</w:t>
            </w:r>
          </w:p>
        </w:tc>
        <w:tc>
          <w:tcPr>
            <w:tcW w:w="120" w:type="dxa"/>
            <w:vAlign w:val="bottom"/>
          </w:tcPr>
          <w:p>
            <w:pPr>
              <w:spacing w:after="0"/>
              <w:rPr>
                <w:sz w:val="13"/>
                <w:szCs w:val="13"/>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18, 2019 Letter</w:t>
            </w:r>
          </w:p>
        </w:tc>
      </w:tr>
      <w:tr>
        <w:trPr>
          <w:trHeight w:val="173"/>
        </w:trPr>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60" w:type="dxa"/>
            <w:vAlign w:val="bottom"/>
          </w:tcPr>
          <w:p>
            <w:pPr>
              <w:spacing w:after="0"/>
              <w:rPr>
                <w:sz w:val="15"/>
                <w:szCs w:val="15"/>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Pr>
          <w:p>
            <w:pPr>
              <w:spacing w:after="0"/>
              <w:rPr>
                <w:sz w:val="15"/>
                <w:szCs w:val="15"/>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Agreement</w:t>
            </w:r>
          </w:p>
        </w:tc>
        <w:tc>
          <w:tcPr>
            <w:tcW w:w="12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Agreement</w:t>
            </w:r>
          </w:p>
        </w:tc>
      </w:tr>
      <w:tr>
        <w:trPr>
          <w:trHeight w:val="205"/>
        </w:trPr>
        <w:tc>
          <w:tcPr>
            <w:tcW w:w="392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Aggregate dollar value to be sold under</w:t>
            </w:r>
          </w:p>
        </w:tc>
        <w:tc>
          <w:tcPr>
            <w:tcW w:w="10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34"/>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agreement</w:t>
            </w:r>
          </w:p>
        </w:tc>
        <w:tc>
          <w:tcPr>
            <w:tcW w:w="10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 million</w:t>
            </w:r>
          </w:p>
        </w:tc>
        <w:tc>
          <w:tcPr>
            <w:tcW w:w="1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$10.0 million</w:t>
            </w:r>
          </w:p>
        </w:tc>
        <w:tc>
          <w:tcPr>
            <w:tcW w:w="18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 million</w:t>
            </w:r>
          </w:p>
        </w:tc>
        <w:tc>
          <w:tcPr>
            <w:tcW w:w="1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 million</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Specified purchase price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Expiration date of letter agreement</w:t>
            </w:r>
          </w:p>
        </w:tc>
        <w:tc>
          <w:tcPr>
            <w:tcW w:w="1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December 5, 2018</w:t>
            </w:r>
          </w:p>
        </w:tc>
        <w:tc>
          <w:tcPr>
            <w:tcW w:w="1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July 30, 2019</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December 11, 2019</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March 18, 2020</w:t>
            </w:r>
          </w:p>
        </w:tc>
      </w:tr>
      <w:tr>
        <w:trPr>
          <w:trHeight w:val="21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to be issued under related</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warrants</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198,267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340,534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 of related warrants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 of related warrants</w:t>
            </w:r>
          </w:p>
        </w:tc>
        <w:tc>
          <w:tcPr>
            <w:tcW w:w="10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December 5, 2024</w:t>
            </w:r>
          </w:p>
        </w:tc>
        <w:tc>
          <w:tcPr>
            <w:tcW w:w="160" w:type="dxa"/>
            <w:vAlign w:val="bottom"/>
          </w:tcPr>
          <w:p>
            <w:pPr>
              <w:spacing w:after="0"/>
              <w:rPr>
                <w:sz w:val="19"/>
                <w:szCs w:val="19"/>
                <w:color w:val="auto"/>
              </w:rPr>
            </w:pPr>
          </w:p>
        </w:tc>
        <w:tc>
          <w:tcPr>
            <w:tcW w:w="1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July 30, 2025</w:t>
            </w:r>
          </w:p>
        </w:tc>
        <w:tc>
          <w:tcPr>
            <w:tcW w:w="18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December 11, 2025</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shares issued as of March 31, 2019</w:t>
            </w:r>
          </w:p>
        </w:tc>
        <w:tc>
          <w:tcPr>
            <w:tcW w:w="1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2,283,105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7,518,797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4,076,085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Remaining shares to be issued as of</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2019</w:t>
            </w:r>
          </w:p>
        </w:tc>
        <w:tc>
          <w:tcPr>
            <w:tcW w:w="100" w:type="dxa"/>
            <w:vAlign w:val="bottom"/>
          </w:tcPr>
          <w:p>
            <w:pPr>
              <w:spacing w:after="0"/>
              <w:rPr>
                <w:sz w:val="20"/>
                <w:szCs w:val="20"/>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1,358,698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5,454,546</w:t>
            </w:r>
          </w:p>
        </w:tc>
        <w:tc>
          <w:tcPr>
            <w:tcW w:w="60" w:type="dxa"/>
            <w:vAlign w:val="bottom"/>
          </w:tcPr>
          <w:p>
            <w:pPr>
              <w:spacing w:after="0"/>
              <w:rPr>
                <w:sz w:val="20"/>
                <w:szCs w:val="20"/>
                <w:color w:val="auto"/>
              </w:rPr>
            </w:pPr>
          </w:p>
        </w:tc>
      </w:tr>
    </w:tbl>
    <w:p>
      <w:pPr>
        <w:spacing w:after="0" w:line="198"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The March 18, 2019 Letter Agreement resulted in a deemed distribution of $3.7 million to MacAndrews as the fair value of the financial instruments issued to MacAndrews exceeded the fair value of the financial instrument received by the Company. This deemed distribution has been reflected as an increase to the net loss attributable to common shareholders of vTv Therapeutics Inc. for computing net loss per share.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11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Company and MacAndrews are party to an exchange agreement (the “Exchange Agreement”) pursuant to which the vTv Units (along with a corresponding number of shares of the Class B Common Stock) are exchangeable for (i) shares of the Company’s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Any decision to require an exchange for cash rather than shares of Class A Common Stock will ultimately be determined by the entire board of directors of vTv Therapeutics Inc. (the “Board of Directors”). As of March 31, 2019, MacAndrews had not exchanged any shares under the provisions of this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w:t>
      </w:r>
    </w:p>
    <w:p>
      <w:pPr>
        <w:spacing w:after="0" w:line="8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As no shares have been exchanged by MacAndrews pursuant to the Exchange Agreement (discussed above), the Company has not recognized any liability nor has it made any payments pursuant to the Tax Receivable Agreement as of March 31,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10:Income Taxes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Company is subject to U.S. federal income taxes as well as state taxes. The Company did not record an income tax provision for the three months ended March 31, 2019 and 2018. 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at March 31, 2019 is due to the valuation allowance against the Company’s expected net operating losses.</w:t>
      </w:r>
    </w:p>
    <w:p>
      <w:pPr>
        <w:spacing w:after="0" w:line="76" w:lineRule="exact"/>
        <w:rPr>
          <w:sz w:val="20"/>
          <w:szCs w:val="20"/>
          <w:color w:val="auto"/>
        </w:rPr>
      </w:pPr>
    </w:p>
    <w:p>
      <w:pPr>
        <w:ind w:right="100" w:firstLine="518"/>
        <w:spacing w:after="0" w:line="281" w:lineRule="auto"/>
        <w:rPr>
          <w:sz w:val="20"/>
          <w:szCs w:val="20"/>
          <w:color w:val="auto"/>
        </w:rPr>
      </w:pPr>
      <w:r>
        <w:rPr>
          <w:rFonts w:ascii="Times New Roman" w:cs="Times New Roman" w:eastAsia="Times New Roman" w:hAnsi="Times New Roman"/>
          <w:sz w:val="17"/>
          <w:szCs w:val="17"/>
          <w:color w:val="auto"/>
        </w:rPr>
        <w:t>As discussed in Note 9,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March 31, 2019.</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11:Net Loss per Share</w:t>
      </w:r>
    </w:p>
    <w:p>
      <w:pPr>
        <w:spacing w:after="0" w:line="121"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68"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 per share of Class A Common Stock is as follows (in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5040" w:type="dxa"/>
            <w:vAlign w:val="bottom"/>
            <w:tcBorders>
              <w:bottom w:val="single" w:sz="8" w:color="CFF0FC"/>
            </w:tcBorders>
          </w:tcPr>
          <w:p>
            <w:pPr>
              <w:spacing w:after="0"/>
              <w:rPr>
                <w:sz w:val="20"/>
                <w:szCs w:val="20"/>
                <w:color w:val="auto"/>
              </w:rPr>
            </w:pPr>
          </w:p>
        </w:tc>
        <w:tc>
          <w:tcPr>
            <w:tcW w:w="14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(3,982)</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(9,960)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(7,008)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Net loss attributable to vTv Therapeutics Inc.</w:t>
            </w:r>
          </w:p>
        </w:tc>
        <w:tc>
          <w:tcPr>
            <w:tcW w:w="14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Deemed distribution to related party (Note 9)</w:t>
            </w:r>
          </w:p>
        </w:tc>
        <w:tc>
          <w:tcPr>
            <w:tcW w:w="1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50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Net loss attributable to common shareholders of vTv Therapeutics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 basic and diluted</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vTv Therapeutics Inc. Class A</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04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Common Stock, basic and diluted</w:t>
            </w:r>
          </w:p>
        </w:tc>
        <w:tc>
          <w:tcPr>
            <w:tcW w:w="14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22,862,907</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9,699,721</w:t>
            </w:r>
          </w:p>
        </w:tc>
        <w:tc>
          <w:tcPr>
            <w:tcW w:w="120" w:type="dxa"/>
            <w:vAlign w:val="bottom"/>
            <w:tcBorders>
              <w:bottom w:val="single" w:sz="8" w:color="CFF0FC"/>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504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Net loss per share of vTv Therapeutics Inc. Class A</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basic and diluted</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bottom w:val="single" w:sz="8" w:color="CFF0FC"/>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w w:val="88"/>
              </w:rPr>
              <w:t>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1" w:right="21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Potentially dilutive securities not included in the calculation of diluted net loss per share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2018</w:t>
            </w:r>
          </w:p>
        </w:tc>
      </w:tr>
      <w:tr>
        <w:trPr>
          <w:trHeight w:val="223"/>
        </w:trPr>
        <w:tc>
          <w:tcPr>
            <w:tcW w:w="1160" w:type="dxa"/>
            <w:vAlign w:val="bottom"/>
          </w:tcPr>
          <w:p>
            <w:pPr>
              <w:spacing w:after="0"/>
              <w:rPr>
                <w:sz w:val="19"/>
                <w:szCs w:val="19"/>
                <w:color w:val="auto"/>
              </w:rPr>
            </w:pPr>
          </w:p>
        </w:tc>
        <w:tc>
          <w:tcPr>
            <w:tcW w:w="57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Class B Common Stock </w:t>
            </w:r>
            <w:r>
              <w:rPr>
                <w:rFonts w:ascii="Times New Roman" w:cs="Times New Roman" w:eastAsia="Times New Roman" w:hAnsi="Times New Roman"/>
                <w:sz w:val="15"/>
                <w:szCs w:val="15"/>
                <w:color w:val="auto"/>
              </w:rPr>
              <w:t>(1)</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23,094,221</w:t>
            </w:r>
          </w:p>
        </w:tc>
        <w:tc>
          <w:tcPr>
            <w:tcW w:w="2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23,094,221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options granted under the Plan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2,665,860</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1,990,732</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options granted under Letter Agreements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6,813,244</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2,283,105</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1,248,041</w:t>
            </w:r>
          </w:p>
        </w:tc>
        <w:tc>
          <w:tcPr>
            <w:tcW w:w="26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388,853</w:t>
            </w:r>
          </w:p>
        </w:tc>
        <w:tc>
          <w:tcPr>
            <w:tcW w:w="80" w:type="dxa"/>
            <w:vAlign w:val="bottom"/>
            <w:shd w:val="clear" w:color="auto" w:fill="CFF0FC"/>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33,833,033</w:t>
            </w:r>
          </w:p>
        </w:tc>
        <w:tc>
          <w:tcPr>
            <w:tcW w:w="2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27,780,245</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130" w:lineRule="exact"/>
        <w:rPr>
          <w:sz w:val="20"/>
          <w:szCs w:val="20"/>
          <w:color w:val="auto"/>
        </w:rPr>
      </w:pPr>
    </w:p>
    <w:p>
      <w:pPr>
        <w:ind w:left="900" w:right="60" w:hanging="379"/>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17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8"/>
          <w:szCs w:val="18"/>
          <w:b w:val="1"/>
          <w:bCs w:val="1"/>
          <w:color w:val="auto"/>
        </w:rPr>
        <w:t>Restructuring</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December 2018, the Company initiated a corporate restructuring to align with a strategic decision to continue the development of its drug candidates using external resources rather than internal resources. The restructuring will allow the Company to reduce costs while continuing to conduct clinical trials, to support existing partnerships that are advancing development of additional assets, and to pursue new licensing and partnership opportunities. This restructuring included a significant reduction in its workforce. The Company expects to complete the reductions in headcount, including the payment of employee severance and benefits, in the second quarter of 2019.</w:t>
      </w:r>
    </w:p>
    <w:p>
      <w:pPr>
        <w:spacing w:after="0" w:line="76"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the Company made cash payments of $0.3 million related to these severance benefits and recognized an immaterial amount of expense related to this plan. As of March 31, 2019, the remaining severance accrual was a de minimis amount.</w:t>
      </w:r>
    </w:p>
    <w:p>
      <w:pPr>
        <w:spacing w:after="0" w:line="15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the Company’s Loan Agreement is considered to approximate its carrying value because it bears interest at a variable interest rate.</w:t>
      </w:r>
    </w:p>
    <w:p>
      <w:pPr>
        <w:spacing w:after="0" w:line="117"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Company measures the value of its investment in Reneo at cost minus impairment, if any, plus or minus changes resulting from observable price changes in orderly transactions for the identical or similar investment. During the three months ended March 31, 2019, there were no observable price changes in identical or similar investments, nor were there any indications of impairment. As such, the value of the Company’s investment in Reneo was not remeasured.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21"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March 31, 2019 and December 31, 2018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Warrant liability, related party </w:t>
            </w:r>
            <w:r>
              <w:rPr>
                <w:rFonts w:ascii="Times New Roman" w:cs="Times New Roman" w:eastAsia="Times New Roman" w:hAnsi="Times New Roman"/>
                <w:sz w:val="15"/>
                <w:szCs w:val="15"/>
                <w:color w:val="auto"/>
              </w:rPr>
              <w:t>(1)</w:t>
            </w:r>
          </w:p>
        </w:tc>
        <w:tc>
          <w:tcPr>
            <w:tcW w:w="1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8" w:right="219" w:bottom="1440" w:gutter="0" w:footer="0" w:header="0"/>
        </w:sectPr>
      </w:pPr>
    </w:p>
    <w:bookmarkStart w:id="19" w:name="page20"/>
    <w:bookmarkEnd w:id="19"/>
    <w:tbl>
      <w:tblPr>
        <w:tblLayout w:type="fixed"/>
        <w:tblInd w:w="58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Warrant liability, related party </w:t>
            </w:r>
            <w:r>
              <w:rPr>
                <w:rFonts w:ascii="Times New Roman" w:cs="Times New Roman" w:eastAsia="Times New Roman" w:hAnsi="Times New Roman"/>
                <w:sz w:val="15"/>
                <w:szCs w:val="15"/>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20" w:right="200" w:hanging="512"/>
        <w:spacing w:after="0" w:line="266"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determined using the Black-Scholes option pricing model. Expected volatility is based on a portfolio of selected stocks of companies believed to have market and economic characteristics similar to its own. The risk-free rate is based on the U.S. Treasury yield curve in effect at the time of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12090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00" w:type="dxa"/>
            <w:vAlign w:val="bottom"/>
            <w:gridSpan w:val="1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Changes in Level 3 instruments for the three months ended March 31,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Purchases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Sales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22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Repurchases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jc w:val="right"/>
              <w:ind w:right="3090"/>
              <w:spacing w:after="0"/>
              <w:rPr>
                <w:sz w:val="20"/>
                <w:szCs w:val="20"/>
                <w:color w:val="auto"/>
              </w:rPr>
            </w:pPr>
            <w:r>
              <w:rPr>
                <w:rFonts w:ascii="Times New Roman" w:cs="Times New Roman" w:eastAsia="Times New Roman" w:hAnsi="Times New Roman"/>
                <w:sz w:val="18"/>
                <w:szCs w:val="18"/>
                <w:b w:val="1"/>
                <w:bCs w:val="1"/>
                <w:color w:val="auto"/>
                <w:w w:val="88"/>
              </w:rPr>
              <w:t>2019</w:t>
            </w:r>
          </w:p>
        </w:tc>
        <w:tc>
          <w:tcPr>
            <w:tcW w:w="1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jc w:val="right"/>
              <w:ind w:right="2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FF0FC"/>
          </w:tcPr>
          <w:p>
            <w:pPr>
              <w:jc w:val="right"/>
              <w:ind w:right="3090"/>
              <w:spacing w:after="0"/>
              <w:rPr>
                <w:sz w:val="20"/>
                <w:szCs w:val="20"/>
                <w:color w:val="auto"/>
              </w:rPr>
            </w:pPr>
            <w:r>
              <w:rPr>
                <w:rFonts w:ascii="Times New Roman" w:cs="Times New Roman" w:eastAsia="Times New Roman" w:hAnsi="Times New Roman"/>
                <w:sz w:val="18"/>
                <w:szCs w:val="18"/>
                <w:b w:val="1"/>
                <w:bCs w:val="1"/>
                <w:color w:val="auto"/>
                <w:w w:val="88"/>
              </w:rPr>
              <w:t>2018</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jc w:val="right"/>
              <w:ind w:right="2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and 2018, the Company recognized a gain of $0.9 million and an insignificant amount, respectively, related to the change in fair value of the Letter Agreement Warrants. This gain was recognized as a component of other income – related party in the Condensed Consolidated Statements of Operations. Significant inputs utilized in the valuation of the Letter Agreement Warrants as of March 31, 2019 were:</w:t>
      </w: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56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3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110.91%</w:t>
            </w:r>
          </w:p>
        </w:tc>
        <w:tc>
          <w:tcPr>
            <w:tcW w:w="1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- 118.53%</w:t>
            </w: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12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- 115.04%</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- 2.30%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- 2.69%</w:t>
            </w:r>
          </w:p>
        </w:tc>
      </w:tr>
    </w:tbl>
    <w:p>
      <w:pPr>
        <w:spacing w:after="0" w:line="193"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Changes in the unobservable inputs noted above would impact the amount of the liability for the Letter Agreement Warrants. Increases (decreases) in the estimates of the Company’s annual volatility would increase (decrease) the liability and an increase (decrease) in the annual risk-free rate would increase (decrease) the liability.</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2" w:right="339" w:bottom="1440" w:gutter="0" w:footer="0" w:header="0"/>
        </w:sectPr>
      </w:pPr>
    </w:p>
    <w:bookmarkStart w:id="20" w:name="page21"/>
    <w:bookmarkEnd w:id="20"/>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 xml:space="preserve">We are a clinical-stage biopharmaceutical company engaged in the discovery and development of orally administered small molecule drug candidates to fill significant unmet medical needs. We have a pipeline of clinical drug candidates, led by our programs for the treatment of Alzheimer’s disease (“AD”) and diabetes. Our drug candidate for the treatment of AD,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TTP488</w:t>
      </w:r>
      <w:r>
        <w:rPr>
          <w:rFonts w:ascii="Times New Roman" w:cs="Times New Roman" w:eastAsia="Times New Roman" w:hAnsi="Times New Roman"/>
          <w:sz w:val="18"/>
          <w:szCs w:val="18"/>
          <w:color w:val="auto"/>
        </w:rPr>
        <w:t xml:space="preserve">), is an orally administered, small molecule antagonist targeting the receptor for advanced glycation endproducts (“RAGE”). We are performing start-up activities and expect to begin screening patients in June 2019 for a Phase 2 trial to evaluate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as a potential treatment of mild-AD in patients with type 2 diabetes. Our type 2 diabetes drug candidates are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an orally administered, liver-selective glucokinase activator (“GKA”), which successfully completed a Phase 2b clinical trial in type 2 diabetes (the “AGATA Study”), and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an orally administered, non-peptide agonist that targets the glucagon-like peptide-1 receptor (“GLP-1r”), which successfully completed a Phase 2 clinical trial in type 2 diabetes (the “LOGRA Study”). We are currently investigating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 treatment for type 1 diabetes in an Phase 2 study in partnership with JDRF International (“JDRF”). In addition, we are furthering the development of our peroxisome proliferation activated receptor delta (“PPAR-δ”) agonist and phosphodiesterase type 4 (“PDE4”) programs through partnerships with pharmaceutical partners via licensing arrangements. Finally, we continue to advance our NRF2 pathway program via research agreements with academic and industry collaborators.</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85725</wp:posOffset>
            </wp:positionV>
            <wp:extent cx="5951855" cy="257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5185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 xml:space="preserve">Our Alzheimer’s Program – </w:t>
      </w:r>
      <w:r>
        <w:rPr>
          <w:rFonts w:ascii="Times New Roman" w:cs="Times New Roman" w:eastAsia="Times New Roman" w:hAnsi="Times New Roman"/>
          <w:sz w:val="18"/>
          <w:szCs w:val="18"/>
          <w:b w:val="1"/>
          <w:bCs w:val="1"/>
          <w:i w:val="1"/>
          <w:iCs w:val="1"/>
          <w:color w:val="auto"/>
        </w:rPr>
        <w:t>Azeliragon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Sequential Phase 2 and Phase 3 Studies in Mild-AD patients with Type 2 Diabetes</w:t>
      </w:r>
    </w:p>
    <w:p>
      <w:pPr>
        <w:spacing w:after="0" w:line="11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 xml:space="preserve">We are performing start-up activities for a clinical trial to evaluate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as a potential treatment of mild-AD in patients with type 2 diabetes that consists of sequential phase 2 and phase 3 studies operationally conducted under a single clinical trial protocol (the “488-305 Study”). The Phase 2 study is designed to enroll approximately 100 patients to evaluate the impact of six months of treatment with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on cognitive performance as measured by the change from baseline in the Alzheimer’s Disease Assessment Scale – Cognitive Subscale (“ADAS-COG</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We expect to begin screening patients in June 2019 for the Phase 2 clinical trial and to report top-line results from the Phase 2 study by the end of the fourth quarter of 2020. The Phase 3 study is designed to enroll approximately 200 patients to evaluate the efficacy of 18 months of treatment with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on cognition and global function as measured by the change from baseline in the ADAS-COG</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and Clinical Dementia Rating Scale Sum of Boxes (“CDR-SB”). The design of the Phase 3 study may be adapted based on the results of the Phase 2 study.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 from drug sales. Our revenue has been primarily derived from up-front proceeds and research fees under collaboration and license agreements.</w:t>
      </w:r>
    </w:p>
    <w:p>
      <w:pPr>
        <w:spacing w:after="0" w:line="54"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81"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From our inception, including our predecessor companies, through March 31, 2019, we have incurred approximately $567.7 million in research and development expenses.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by project for the three months ended March 31, 2019 and 2018 were as follows (in thousands):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2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00" w:type="dxa"/>
            <w:vAlign w:val="bottom"/>
            <w:vMerge w:val="restart"/>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56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w:t>
            </w:r>
          </w:p>
        </w:tc>
        <w:tc>
          <w:tcPr>
            <w:tcW w:w="14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Azeliragon</w:t>
            </w:r>
          </w:p>
        </w:tc>
        <w:tc>
          <w:tcPr>
            <w:tcW w:w="2520" w:type="dxa"/>
            <w:vAlign w:val="bottom"/>
            <w:gridSpan w:val="2"/>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380" w:type="dxa"/>
            <w:vAlign w:val="bottom"/>
          </w:tcPr>
          <w:p>
            <w:pPr>
              <w:spacing w:after="0"/>
              <w:rPr>
                <w:sz w:val="19"/>
                <w:szCs w:val="19"/>
                <w:color w:val="auto"/>
              </w:rPr>
            </w:pPr>
          </w:p>
        </w:tc>
        <w:tc>
          <w:tcPr>
            <w:tcW w:w="800" w:type="dxa"/>
            <w:vAlign w:val="bottom"/>
            <w:gridSpan w:val="2"/>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i w:val="1"/>
                <w:iCs w:val="1"/>
                <w:color w:val="auto"/>
              </w:rPr>
              <w:t>TTP399</w:t>
            </w:r>
          </w:p>
        </w:tc>
        <w:tc>
          <w:tcPr>
            <w:tcW w:w="1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projects</w:t>
            </w: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Indirect research and development expense</w:t>
            </w:r>
          </w:p>
        </w:tc>
        <w:tc>
          <w:tcPr>
            <w:tcW w:w="144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440" w:type="dxa"/>
            <w:vAlign w:val="bottom"/>
          </w:tcPr>
          <w:p>
            <w:pPr>
              <w:spacing w:after="0"/>
              <w:rPr>
                <w:sz w:val="19"/>
                <w:szCs w:val="19"/>
                <w:color w:val="auto"/>
              </w:rPr>
            </w:pPr>
          </w:p>
        </w:tc>
        <w:tc>
          <w:tcPr>
            <w:tcW w:w="108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 xml:space="preserve">We expect our research and development expenses to increase as we finalize start-up activities and begin screening for the Phase 2 portion of the 488-305 Study as well as the enrollment of patients in Part 2 of the Simplici-T1 study, subject to the availability of additional funding. To the extent we initiate further development of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or our other programs, our expenses, cash needs and operating losses may further increase.</w:t>
      </w:r>
    </w:p>
    <w:p>
      <w:pPr>
        <w:spacing w:after="0" w:line="6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2" w:lineRule="exact"/>
        <w:rPr>
          <w:sz w:val="20"/>
          <w:szCs w:val="20"/>
          <w:color w:val="auto"/>
        </w:rPr>
      </w:pPr>
    </w:p>
    <w:p>
      <w:pPr>
        <w:ind w:left="1040" w:right="500" w:hanging="51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scope, rate of progress and expense of our ongoing, as well as any additional,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candidates over other therapies;</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commercialize and achieve market acceptance for any of our drug candidates that we are developing or may develop in the future;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clinical trial results;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regulatory approvals, if any;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prosecuting, defending and enforcing of patent claims and other intellectual property rights, and the expense of doing so.</w:t>
      </w:r>
    </w:p>
    <w:p>
      <w:pPr>
        <w:spacing w:after="0" w:line="117"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Interest expense primarily consists of cash and non-cash interest expense related to our Loan Agreement. Cash interest on the Loan Agreement is recognized at a floating interest rate equal to 10.5% plus the amount by which the one-month London Interbank Offer Rate (“LIBOR”) exceeds 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payments (which will be paid in cash upon loan maturity), all of which are recognized in our Condensed Consolidated Statement of Operations using the effective interest method.</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2019 and 2018</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results of operations for the periods shown:</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8"/>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(6,121)</w:t>
            </w:r>
          </w:p>
        </w:tc>
      </w:tr>
      <w:tr>
        <w:trPr>
          <w:trHeight w:val="230"/>
        </w:trPr>
        <w:tc>
          <w:tcPr>
            <w:tcW w:w="20" w:type="dxa"/>
            <w:vAlign w:val="bottom"/>
          </w:tcPr>
          <w:p>
            <w:pPr>
              <w:spacing w:after="0"/>
              <w:rPr>
                <w:sz w:val="19"/>
                <w:szCs w:val="19"/>
                <w:color w:val="auto"/>
              </w:rPr>
            </w:pPr>
          </w:p>
        </w:tc>
        <w:tc>
          <w:tcPr>
            <w:tcW w:w="458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 provision</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(7,008)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vTv Therapeutics Inc.</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Revenue was $0.9 million for the three months ended March 31, 2019 and $2.0 million for the three months ended March 31, 2018. The revenue earned during the three months ended March 31, 2019 relates primarily to the Reneo License Agreement, while for the three months ended March 31, 2018 we recognized revenue related to both the Reneo License Agreement and the Huadong License Agreement. We recognize the portion of the consideration received allocated to the license performance obligation for each of these agreements over the requisite knowledge transfer or research service periods in accordance with the applicable accounting guidance. The portion of revenue allocated to the other performance obligations under the license agreements will be recognized as performance occurs.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Research and development expenses were $2.8 million and $8.9 million for the three months ended March 31, 2019 and 2018, respectively. The decrease in research and development expenses during the period of $6.1 million, or 68.4%, was primarily due to a decrease in clinical trial costs of $5.9 million for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which was mainly driven by a decrease in spending caused by the termination of our STEADFAST and open-label extension (“OLE”) studies in early April 2018. Additionally, we saw a reduction in personnel costs of approximately $0.5 million due to the corporate restructuring announced in December 2018. Such decreases were offset by $0.3 million of higher spending on the Simplici-T1 study. During the first quarter of 2019, we were conducting Part 1 of this study, while in the first quarter of 2018, we were beginning startup activities for the sentinel phase.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relatively consistent between periods at $2.4 million and $2.3 million for the three months ended March 31, 2019 and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Interest expense was $0.6 million and $0.9 million for the three months ended March 31, 2019 and 2018, respectively. Interest expense relates to the cash and non-cash interest for our Loan Agreement which bears interest at 10.5% plus the amount by which the one-month LIBOR exceeds 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119" w:lineRule="exact"/>
        <w:rPr>
          <w:sz w:val="20"/>
          <w:szCs w:val="20"/>
          <w:color w:val="auto"/>
        </w:rPr>
      </w:pPr>
    </w:p>
    <w:p>
      <w:pPr>
        <w:jc w:val="both"/>
        <w:ind w:right="360" w:firstLine="518"/>
        <w:spacing w:after="0" w:line="266" w:lineRule="auto"/>
        <w:rPr>
          <w:sz w:val="20"/>
          <w:szCs w:val="20"/>
          <w:color w:val="auto"/>
        </w:rPr>
      </w:pPr>
      <w:r>
        <w:rPr>
          <w:rFonts w:ascii="Times New Roman" w:cs="Times New Roman" w:eastAsia="Times New Roman" w:hAnsi="Times New Roman"/>
          <w:sz w:val="18"/>
          <w:szCs w:val="18"/>
          <w:color w:val="auto"/>
        </w:rPr>
        <w:t>As of March 31, 2019, we have an accumulated deficit of $220.5 million as well as a history of negative cash flows from operating activities. We anticipate that we will continue to incur losses for the foreseeable future as we continue our clinical trials. Further, we expect that we will need additional capital to continue to fund our operations. As of March 31, 2019, our liquidity sources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4" w:name="page25"/>
    <w:bookmarkEnd w:id="24"/>
    <w:p>
      <w:pPr>
        <w:ind w:right="80"/>
        <w:spacing w:after="0" w:line="261" w:lineRule="auto"/>
        <w:rPr>
          <w:sz w:val="20"/>
          <w:szCs w:val="20"/>
          <w:color w:val="auto"/>
        </w:rPr>
      </w:pPr>
      <w:r>
        <w:rPr>
          <w:rFonts w:ascii="Times New Roman" w:cs="Times New Roman" w:eastAsia="Times New Roman" w:hAnsi="Times New Roman"/>
          <w:sz w:val="18"/>
          <w:szCs w:val="18"/>
          <w:color w:val="auto"/>
        </w:rPr>
        <w:t>included cash and cash equivalents of $5.0 million and the $11.5 million of remaining funds available under the letter agreements entered into with MacAndrews and Forbes Group LLC (“MacAndrews”) (the “Letter Agreements”). Based on our current operating plan, we believe that our current cash and cash equivalents and remaining funds available under the Letter Agreements will allow us to meet our liquidity requirements into the third quarter of fiscal 2019. These factors raise substantial doubt regarding our ability to continue as a going concern.</w:t>
      </w:r>
    </w:p>
    <w:p>
      <w:pPr>
        <w:spacing w:after="0" w:line="7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 xml:space="preserve">We are performing start-up activities for the 488-305 Study and expect to begin screening patients in June 2019. Further, we continue to conduct the Phase 2 clinical trial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patients with type 1 diabetes. In order to complete these trials and continue its operations, we will require additional financing. We are evaluating several financing strategies to provide continued funding which may include additional direct equity investments or future public offerings of our common stock. The timing and availability of such financing is not yet known.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Agreements</w:t>
      </w:r>
    </w:p>
    <w:p>
      <w:pPr>
        <w:spacing w:after="0" w:line="119" w:lineRule="exact"/>
        <w:rPr>
          <w:sz w:val="20"/>
          <w:szCs w:val="20"/>
          <w:color w:val="auto"/>
        </w:rPr>
      </w:pPr>
    </w:p>
    <w:p>
      <w:pPr>
        <w:ind w:right="180" w:firstLine="476"/>
        <w:spacing w:after="0" w:line="261" w:lineRule="auto"/>
        <w:rPr>
          <w:sz w:val="20"/>
          <w:szCs w:val="20"/>
          <w:color w:val="auto"/>
        </w:rPr>
      </w:pPr>
      <w:r>
        <w:rPr>
          <w:rFonts w:ascii="Times New Roman" w:cs="Times New Roman" w:eastAsia="Times New Roman" w:hAnsi="Times New Roman"/>
          <w:sz w:val="18"/>
          <w:szCs w:val="18"/>
          <w:color w:val="auto"/>
        </w:rPr>
        <w:t>We have entered into the Letter Agreements with MacAndrews. Under the terms of these letter agreements, we have the right to sell to MacAndrews shares of its Class A Common Stock at a specified price per share, and MacAndrews has the right (exercisable up to three times) to require us to sell to it shares of Class A Common Stock at the same price. In addition, in connection with the entrance into certain of these Letter Agreements, we also issued MacAndrews warrants (the “Letter Agreement Warrants”) to purchase additional shares of our Class A Common Stock.</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Certain terms of these Letter Agreements are set forth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5, 2017 Letter</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July 30, 2018 Letter</w:t>
            </w:r>
          </w:p>
        </w:tc>
        <w:tc>
          <w:tcPr>
            <w:tcW w:w="18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11, 2018 Letter</w:t>
            </w:r>
          </w:p>
        </w:tc>
        <w:tc>
          <w:tcPr>
            <w:tcW w:w="120" w:type="dxa"/>
            <w:vAlign w:val="bottom"/>
          </w:tcPr>
          <w:p>
            <w:pPr>
              <w:spacing w:after="0"/>
              <w:rPr>
                <w:sz w:val="13"/>
                <w:szCs w:val="13"/>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18, 2019 Letter</w:t>
            </w:r>
          </w:p>
        </w:tc>
      </w:tr>
      <w:tr>
        <w:trPr>
          <w:trHeight w:val="173"/>
        </w:trPr>
        <w:tc>
          <w:tcPr>
            <w:tcW w:w="3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Pr>
          <w:p>
            <w:pPr>
              <w:spacing w:after="0"/>
              <w:rPr>
                <w:sz w:val="15"/>
                <w:szCs w:val="15"/>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20" w:type="dxa"/>
            <w:vAlign w:val="bottom"/>
          </w:tcPr>
          <w:p>
            <w:pPr>
              <w:spacing w:after="0"/>
              <w:rPr>
                <w:sz w:val="15"/>
                <w:szCs w:val="15"/>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Agreement</w:t>
            </w:r>
          </w:p>
        </w:tc>
      </w:tr>
      <w:tr>
        <w:trPr>
          <w:trHeight w:val="205"/>
        </w:trPr>
        <w:tc>
          <w:tcPr>
            <w:tcW w:w="352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Aggregate dollar value to be sold under</w:t>
            </w:r>
          </w:p>
        </w:tc>
        <w:tc>
          <w:tcPr>
            <w:tcW w:w="4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3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agreement</w:t>
            </w: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million</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$10.0 million</w:t>
            </w:r>
          </w:p>
        </w:tc>
        <w:tc>
          <w:tcPr>
            <w:tcW w:w="18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 million</w:t>
            </w:r>
          </w:p>
        </w:tc>
        <w:tc>
          <w:tcPr>
            <w:tcW w:w="1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 million</w:t>
            </w: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Specified purchase price per share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Expiration date of letter agreement</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5, 2018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July 30, 2019</w:t>
            </w:r>
          </w:p>
        </w:tc>
        <w:tc>
          <w:tcPr>
            <w:tcW w:w="1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December 11, 2019</w:t>
            </w: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March 18, 2020</w:t>
            </w:r>
          </w:p>
        </w:tc>
      </w:tr>
      <w:tr>
        <w:trPr>
          <w:trHeight w:val="21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to be issued under related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198,267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518,654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340,534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 of related warrants</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 of related warrants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5, 2024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July 30, 2025</w:t>
            </w:r>
          </w:p>
        </w:tc>
        <w:tc>
          <w:tcPr>
            <w:tcW w:w="18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December 11, 2025</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shares issued as of March 31, 2019</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2,283,105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7,518,797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4,076,085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Remaining shares to be issued as of</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1,358,698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5,454,546</w:t>
            </w:r>
          </w:p>
        </w:tc>
        <w:tc>
          <w:tcPr>
            <w:tcW w:w="100" w:type="dxa"/>
            <w:vAlign w:val="bottom"/>
          </w:tcPr>
          <w:p>
            <w:pPr>
              <w:spacing w:after="0"/>
              <w:rPr>
                <w:sz w:val="20"/>
                <w:szCs w:val="20"/>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Transaction</w:t>
      </w:r>
    </w:p>
    <w:p>
      <w:pPr>
        <w:spacing w:after="0" w:line="119"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In October 2016, we and vTv LLC entered into the Loan Agreement, under which we have borrowed $20.0 million. Each loan tranche bears interest at a floating rate equal to 10.5% plus the amount by which the one-month LIBOR exceeds 0.5%.</w:t>
      </w:r>
    </w:p>
    <w:p>
      <w:pPr>
        <w:spacing w:after="0" w:line="54" w:lineRule="exact"/>
        <w:rPr>
          <w:sz w:val="20"/>
          <w:szCs w:val="20"/>
          <w:color w:val="auto"/>
        </w:rPr>
      </w:pPr>
    </w:p>
    <w:p>
      <w:pPr>
        <w:ind w:right="220" w:firstLine="518"/>
        <w:spacing w:after="0" w:line="255" w:lineRule="auto"/>
        <w:rPr>
          <w:sz w:val="20"/>
          <w:szCs w:val="20"/>
          <w:color w:val="auto"/>
        </w:rPr>
      </w:pPr>
      <w:r>
        <w:rPr>
          <w:rFonts w:ascii="Times New Roman" w:cs="Times New Roman" w:eastAsia="Times New Roman" w:hAnsi="Times New Roman"/>
          <w:sz w:val="18"/>
          <w:szCs w:val="18"/>
          <w:color w:val="auto"/>
        </w:rPr>
        <w:t>We borrowed the first tranche of $12.5 million upon the close of the Loan Agreement in October 2016. The first tranche required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We borrowed the second tranche of $7.5 million in March 2017. The second tranche requires only monthly interest payments until October 1, 2018, followed by equal monthly payments of principal plus accrued interest through the scheduled maturity date on October 1, 2020. In addition, a final payment for the second tranche loan equal to $0.5 million will be due on October 1, 2020, or such earlier date specified in the Loan Agreement. The availability of the third tranche of $5.0 million expired unused on June 30, 2017.</w:t>
      </w:r>
    </w:p>
    <w:p>
      <w:pPr>
        <w:spacing w:after="0" w:line="8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If we repay all or a portion of the loan prior to the applicable maturity date, we will pay the Lenders a prepayment penalty fee, based on a percentage of the then outstanding principal balance equal to 4.0% during the first 18 months following the funding of the second tranche and 2.0% thereafter.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5" w:name="page26"/>
    <w:bookmarkEnd w:id="25"/>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In connection with the Loan Agreement, we have issued to the Lenders warrants to purchase shares of our Class A Common Stock (the “Warrants”). On October 28, 2016, we issued Warrants to purchase 152,580 shares of our Class A Common Stock at a per share exercise price of $6.39 per share, which aggregate exercise price represents 6.0% of the principal amount borrowed under the first tranche of the Loan Agreement and 3.0% of the amount available under the second tranche of the Loan Agreement. On March 24, 2017, in connection with the funding of the second tranche, we issued Warrants to purchase 38,006 shares of our Class A Common Stock at a per share exercise price of $5.92 per share, which aggregate exercise price represents 3.0% of the principal amount of the second tranche. In each instance, the Warrants have an exercise price equal to the lower of (a) the volume weighted average price per share of our Class A Common Stock, as reported on the principal stock exchange on which our Class A Common Stock is listed, for 10 trading days prior to the issuance of the applicable Warrants or (b) the closing price of a share of our Class A Common Stock on the trading day prior to the issuance of the applicable Warrants. The Warrants will expire seven years from their date of issuance.</w:t>
      </w:r>
    </w:p>
    <w:p>
      <w:pPr>
        <w:spacing w:after="0" w:line="8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Loan Agreement includes customary events of default, including payment defaults, covenant defaults, and material adverse change default. Upon the occurrence of an event of default and following any applicable cure periods, a default interest rate of an additional 5.0% will be applied to the outstanding loan balances, and the Lenders may declare all outstanding obligations immediately due and payable and take such other actions as set forth in the Loan Agreement. We have granted the Lenders a first priority security interest in all of our intellectual property, subject to certain limited exceptions.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30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(5,450)</w:t>
            </w:r>
          </w:p>
        </w:tc>
        <w:tc>
          <w:tcPr>
            <w:tcW w:w="30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(5,397)</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2019, our net cash used in operating activities increased $0.1 million from the three months ended March 31, 2018. While the overall cash used in operating activities is consistent between periods, the net loss and working capital changes for the three months ended March 31, 2019 were significantly less. The reduction in net loss between these periods was primarily driven by the cessation of the STEADFAST Study in April 2018. Further, the working capital changes for the three months ended March 31, 2018 included the receipt of approximately $7.8 million in receivables related to an upfront payment for our Huadong License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2019 and 2018, net cash used in investing activities was insignificant.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net cash provided by financing activities include the receipt of cash of approximately $6.0 million from the issuance of common stock under the Letter Agreements. Additionally, we received net proceeds of approximately $5.4 million through a registered direct offering of our Class A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We anticipate that we will need substantial additional funding in connection with our continuing operations.</w:t>
      </w:r>
    </w:p>
    <w:p>
      <w:pPr>
        <w:spacing w:after="0" w:line="6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believe that our current cash and cash equivalents and remaining funds available under the Letter Agreements will allow us to meet our liquidity requirements into the third quarter of 2019. We are performing start-up activities for the 488-305 Study and expect to begin screening patients in June 2019. Further, we continue to conduct the Phase 2</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26" w:name="page27"/>
    <w:bookmarkEnd w:id="26"/>
    <w:p>
      <w:pPr>
        <w:jc w:val="both"/>
        <w:ind w:right="60"/>
        <w:spacing w:after="0" w:line="267" w:lineRule="auto"/>
        <w:rPr>
          <w:sz w:val="20"/>
          <w:szCs w:val="20"/>
          <w:color w:val="auto"/>
        </w:rPr>
      </w:pPr>
      <w:r>
        <w:rPr>
          <w:rFonts w:ascii="Times New Roman" w:cs="Times New Roman" w:eastAsia="Times New Roman" w:hAnsi="Times New Roman"/>
          <w:sz w:val="18"/>
          <w:szCs w:val="18"/>
          <w:color w:val="auto"/>
        </w:rPr>
        <w:t xml:space="preserve">clinical trial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patients with type 1 diabetes. In order to complete these trials and continue its operations, we will require additional financing. We are evaluating several financing strategies to provide continued funding, which may include additional direct equity investments or future public offerings of our common stock. The timing and availability of such financing is not yet known.</w:t>
      </w:r>
    </w:p>
    <w:p>
      <w:pPr>
        <w:spacing w:after="0" w:line="67"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results and timing of our planned 488-305 Study;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drug candidates that we pursue, including our drug candidates in preclinical and clinical development;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drug candidates to progress through clinical development successfully;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establishing and maintaining commercialization capabilities;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products, drug candidates and technologies;</w:t>
      </w:r>
    </w:p>
    <w:p>
      <w:pPr>
        <w:spacing w:after="0" w:line="117" w:lineRule="exact"/>
        <w:rPr>
          <w:rFonts w:ascii="Times New Roman" w:cs="Times New Roman" w:eastAsia="Times New Roman" w:hAnsi="Times New Roman"/>
          <w:sz w:val="18"/>
          <w:szCs w:val="18"/>
          <w:color w:val="auto"/>
        </w:rPr>
      </w:pPr>
    </w:p>
    <w:p>
      <w:pPr>
        <w:ind w:left="1040" w:right="20" w:hanging="519"/>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retain management and scientific and medical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and success of our existing licensing arrangements and any collaboration, licensing or other arrangements into which we may enter in the future;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payments we are required to make to M&amp;F TTP Holdings Two LLC in the future under the Tax Receivable Agreement.</w:t>
      </w:r>
    </w:p>
    <w:p>
      <w:pPr>
        <w:spacing w:after="0" w:line="117"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Letter Agreements.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which could adversely affect our business prospects.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firstLine="521"/>
        <w:spacing w:after="0" w:line="258" w:lineRule="auto"/>
        <w:rPr>
          <w:sz w:val="20"/>
          <w:szCs w:val="20"/>
          <w:color w:val="auto"/>
        </w:rPr>
      </w:pPr>
      <w:r>
        <w:rPr>
          <w:rFonts w:ascii="Times New Roman" w:cs="Times New Roman" w:eastAsia="Times New Roman" w:hAnsi="Times New Roman"/>
          <w:sz w:val="18"/>
          <w:szCs w:val="18"/>
          <w:color w:val="auto"/>
        </w:rPr>
        <w:t>We have entered into the Letter Agreements with MacAndrews and Forbes Group LLC which, as of March 31, 2019, provide us the right to sell to MacAndrews an additional 1,358,698 shares of our Class A Common Stock at a price equal to $1.84 per share and an additional 5,454,546 shares of our Class A Common Stock at a price of $1.65 per share. Further, MacAndrews has the right (exercisable up to three times) to require us to sell to it an equal number of shares of Class A Common Stock at the same prices. As of March 31, 2019, we had received funding of $27.5 million under the Letter Agreements and, in exchange, had issued a total of 13,877,987 shares of our Class A Common Stock.</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Discussion of Critical Accounting Policies</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For a discussion of our critical accounting policies and estimates, please refer to Part II, Item 7. “Management’s Discussion and Analysis of Financial Condition and Results of Operations” in our Annual Report on Form 10-K for the year ended December 31, 2018. Significant changes made to our critical accounting policies and estimates in 2019 with respect to our adoption of Accounting Standards Codification Topic 842 “Leases” are discussed within Note 2 of the Condensed Consolidated Financial Statements included in Item 1 of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spacing w:after="0" w:line="8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Recent Accounting Pronouncements</w:t>
      </w:r>
    </w:p>
    <w:p>
      <w:pPr>
        <w:spacing w:after="0" w:line="121"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See discussion of recent accounting pronouncements in Note 2, “Summary of Significant Accounting Policies”, to the Condensed Consolidated Financial Statements in this Form 10-Q.</w:t>
      </w:r>
    </w:p>
    <w:p>
      <w:pPr>
        <w:spacing w:after="0" w:line="36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Our Loan Agreement bears interest at a floating rate equal to 10.5% plus the amount by which the one-month LIBOR exceeds 0.5%. A one percent increase in the variable rate of interest on the Loan Agreement would increase interest expense by approximately $0.1 million annually based on the amounts currently outstanding. We do not currently hedge our interest rate exposure.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The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material foreign currency exposure.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9" w:right="279" w:bottom="1440" w:gutter="0" w:footer="0" w:header="0"/>
        </w:sectPr>
      </w:pPr>
    </w:p>
    <w:bookmarkStart w:id="28" w:name="page29"/>
    <w:bookmarkEnd w:id="28"/>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March 31, 2019. Based upon that evaluation, our Chief Executive Officer and Chief Financial Officer concluded that, as of March 31, 2019,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0"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8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Internal Control over Financial Reporting</w:t>
      </w:r>
    </w:p>
    <w:p>
      <w:pPr>
        <w:spacing w:after="0" w:line="121"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Availability of Reports and other Corporate Governance Information</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in this report, investors should carefully consider the risk factors set forth under the heading “Risk Factors” under Item 1A of Part I in our Annual Report on Form 10-K for the year ended December 31, 2018.</w:t>
      </w:r>
    </w:p>
    <w:p>
      <w:pPr>
        <w:spacing w:after="0" w:line="3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March 31, 2019 that have not previously been included in a Current Report on Form 8-K.</w:t>
      </w:r>
    </w:p>
    <w:p>
      <w:pPr>
        <w:spacing w:after="0" w:line="54"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Our ability to pay dividends is restricted by our Loan Agreement. See “Management's Discussion and Analysis of Financial Condition and Results of Operations”.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9" w:name="page30"/>
    <w:bookmarkEnd w:id="29"/>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36"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60" w:type="dxa"/>
            <w:vAlign w:val="bottom"/>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960" w:type="dxa"/>
            <w:vAlign w:val="bottom"/>
            <w:gridSpan w:val="7"/>
            <w:vMerge w:val="restart"/>
          </w:tcPr>
          <w:p>
            <w:pPr>
              <w:ind w:left="3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960" w:type="dxa"/>
            <w:vAlign w:val="bottom"/>
            <w:tcBorders>
              <w:bottom w:val="single" w:sz="8" w:color="auto"/>
            </w:tcBorders>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2"/>
                <w:szCs w:val="22"/>
                <w:color w:val="auto"/>
              </w:rPr>
            </w:pPr>
          </w:p>
        </w:tc>
        <w:tc>
          <w:tcPr>
            <w:tcW w:w="10360" w:type="dxa"/>
            <w:vAlign w:val="bottom"/>
            <w:gridSpan w:val="9"/>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Certification of President and Chief Executive Officer required by Rule 13a-14(a)/15d-14(a) under the Securities Exchange Act of 1934, as</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amended, as adopted pursuant to Section 302 of the Sarbanes-Oxley Act of 2002.</w:t>
              </w:r>
            </w:hyperlink>
          </w:p>
        </w:tc>
        <w:tc>
          <w:tcPr>
            <w:tcW w:w="4160" w:type="dxa"/>
            <w:vAlign w:val="bottom"/>
            <w:tcBorders>
              <w:top w:val="single" w:sz="8" w:color="0000EE"/>
            </w:tcBorders>
            <w:gridSpan w:val="2"/>
          </w:tcPr>
          <w:p>
            <w:pPr>
              <w:spacing w:after="0"/>
              <w:rPr>
                <w:sz w:val="17"/>
                <w:szCs w:val="17"/>
                <w:color w:val="auto"/>
              </w:rPr>
            </w:pPr>
          </w:p>
        </w:tc>
        <w:tc>
          <w:tcPr>
            <w:tcW w:w="3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99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Certification of Chief Financial Officer required by Rule 13a-14(a)/15d-14(a) under the Securities Exchange Act of 1934, as amended, as</w:t>
              </w:r>
            </w:hyperlink>
          </w:p>
        </w:tc>
        <w:tc>
          <w:tcPr>
            <w:tcW w:w="4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60" w:type="dxa"/>
            <w:vAlign w:val="bottom"/>
            <w:gridSpan w:val="9"/>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adopted pursuant to Section 302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3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Certification of President and Chief Executive Officer pursuant to 18 U.S.C. Section 1350, as adopted pursuant to Section 906 of the Sarbanes-</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Oxley Act of 2002.</w:t>
              </w:r>
            </w:hyperlink>
          </w:p>
        </w:tc>
        <w:tc>
          <w:tcPr>
            <w:tcW w:w="89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360" w:type="dxa"/>
            <w:vAlign w:val="bottom"/>
            <w:gridSpan w:val="9"/>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w:anchor="page36">
              <w:r>
                <w:rPr>
                  <w:rFonts w:ascii="Times New Roman" w:cs="Times New Roman" w:eastAsia="Times New Roman" w:hAnsi="Times New Roman"/>
                  <w:sz w:val="18"/>
                  <w:szCs w:val="18"/>
                  <w:color w:val="0000EE"/>
                  <w:w w:val="93"/>
                </w:rPr>
                <w:t>2002.</w:t>
              </w:r>
            </w:hyperlink>
          </w:p>
        </w:tc>
        <w:tc>
          <w:tcPr>
            <w:tcW w:w="100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20" w:type="dxa"/>
            <w:vAlign w:val="bottom"/>
            <w:gridSpan w:val="4"/>
          </w:tcPr>
          <w:p>
            <w:pPr>
              <w:jc w:val="right"/>
              <w:ind w:right="108"/>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60"/>
          </w:cols>
          <w:pgMar w:left="220" w:top="333" w:right="2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2019</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VTV THERAPEUTICS INC.</w:t>
            </w:r>
          </w:p>
        </w:tc>
      </w:tr>
      <w:tr>
        <w:trPr>
          <w:trHeight w:val="234"/>
        </w:trPr>
        <w:tc>
          <w:tcPr>
            <w:tcW w:w="580" w:type="dxa"/>
            <w:vAlign w:val="bottom"/>
          </w:tcPr>
          <w:p>
            <w:pPr>
              <w:spacing w:after="0"/>
              <w:rPr>
                <w:sz w:val="20"/>
                <w:szCs w:val="20"/>
                <w:color w:val="auto"/>
              </w:rPr>
            </w:pPr>
          </w:p>
        </w:tc>
        <w:tc>
          <w:tcPr>
            <w:tcW w:w="39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L. Holcombe</w:t>
            </w:r>
          </w:p>
        </w:tc>
      </w:tr>
      <w:tr>
        <w:trPr>
          <w:trHeight w:val="191"/>
        </w:trPr>
        <w:tc>
          <w:tcPr>
            <w:tcW w:w="58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L. Holcombe</w:t>
            </w:r>
          </w:p>
        </w:tc>
      </w:t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Rudy C. Howard</w:t>
            </w:r>
          </w:p>
        </w:tc>
      </w:tr>
      <w:tr>
        <w:trPr>
          <w:trHeight w:val="191"/>
        </w:trPr>
        <w:tc>
          <w:tcPr>
            <w:tcW w:w="58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Rudy C. Howard</w:t>
            </w:r>
          </w:p>
        </w:tc>
      </w:t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33"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L. Holcombe, certify that:</w:t>
      </w:r>
    </w:p>
    <w:p>
      <w:pPr>
        <w:spacing w:after="0" w:line="117" w:lineRule="exact"/>
        <w:rPr>
          <w:sz w:val="20"/>
          <w:szCs w:val="20"/>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vTv Therapeutics Inc. (the “registrant”);</w:t>
      </w:r>
    </w:p>
    <w:p>
      <w:pPr>
        <w:spacing w:after="0" w:line="117"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40" w:hanging="519"/>
        <w:spacing w:after="0" w:line="26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540" w:right="140" w:hanging="506"/>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40" w:right="140" w:hanging="506"/>
        <w:spacing w:after="0" w:line="266"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40" w:right="60" w:hanging="519"/>
        <w:spacing w:after="0" w:line="313" w:lineRule="auto"/>
        <w:tabs>
          <w:tab w:leader="none" w:pos="10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7"/>
          <w:szCs w:val="17"/>
          <w:color w:val="auto"/>
        </w:rPr>
      </w:pPr>
    </w:p>
    <w:p>
      <w:pPr>
        <w:ind w:left="1540" w:right="380" w:hanging="506"/>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80" w:hanging="506"/>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2019</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Stephen L. Holcombe</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17"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Rudy C. Howard, certify that:</w:t>
      </w:r>
    </w:p>
    <w:p>
      <w:pPr>
        <w:spacing w:after="0" w:line="117" w:lineRule="exact"/>
        <w:rPr>
          <w:sz w:val="20"/>
          <w:szCs w:val="20"/>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vTv Therapeutics Inc. (the “registrant”);</w:t>
      </w:r>
    </w:p>
    <w:p>
      <w:pPr>
        <w:spacing w:after="0" w:line="117"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40" w:hanging="519"/>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540" w:right="140" w:hanging="506"/>
        <w:spacing w:after="0" w:line="282"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40" w:hanging="506"/>
        <w:spacing w:after="0" w:line="266"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40" w:right="60" w:hanging="519"/>
        <w:spacing w:after="0" w:line="313" w:lineRule="auto"/>
        <w:tabs>
          <w:tab w:leader="none" w:pos="10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7"/>
          <w:szCs w:val="17"/>
          <w:color w:val="auto"/>
        </w:rPr>
      </w:pPr>
    </w:p>
    <w:p>
      <w:pPr>
        <w:ind w:left="1540" w:right="380" w:hanging="506"/>
        <w:spacing w:after="0" w:line="282"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80" w:hanging="506"/>
        <w:spacing w:after="0" w:line="282"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2019</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Rudy C. Howard</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vTv Therapeutics Inc. (the “Company”) on Form 10-Q for the period ended March 31, 2019 as filed with the Securities and Exchange Commission on the date hereof (the “Report”), I, Stephen L. Holcombe, certify, pursuant to 18 U.S.C. Section 1350, as adopted pursuant to Section 906 of the Sarbanes-Oxley Act of 2002, in my capacity as an officer of the Company that, to my knowledge:</w:t>
      </w:r>
    </w:p>
    <w:p>
      <w:pPr>
        <w:spacing w:after="0" w:line="68" w:lineRule="exact"/>
        <w:rPr>
          <w:sz w:val="20"/>
          <w:szCs w:val="20"/>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2019</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L. Holcombe</w:t>
            </w:r>
          </w:p>
        </w:tc>
      </w:tr>
      <w:tr>
        <w:trPr>
          <w:trHeight w:val="191"/>
        </w:trPr>
        <w:tc>
          <w:tcPr>
            <w:tcW w:w="560" w:type="dxa"/>
            <w:vAlign w:val="bottom"/>
          </w:tcPr>
          <w:p>
            <w:pPr>
              <w:spacing w:after="0"/>
              <w:rPr>
                <w:sz w:val="16"/>
                <w:szCs w:val="16"/>
                <w:color w:val="auto"/>
              </w:rPr>
            </w:pPr>
          </w:p>
        </w:tc>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L. Holcombe</w:t>
            </w:r>
          </w:p>
        </w:tc>
      </w:tr>
      <w:tr>
        <w:trPr>
          <w:trHeight w:val="234"/>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117"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vTv Therapeutics Inc. (the “Company”) on Form 10-Q for the period ended March 31, 2019 as filed with the Securities and Exchange Commission on the date hereof (the “Report”), I, Rudy C. Howard, certify, pursuant to 18 U.S.C. Section 1350, as adopted pursuant to Section 906 of the Sarbanes-Oxley Act of 2002, in my capacity as an officer of the Company that, to my knowledge:</w:t>
      </w:r>
    </w:p>
    <w:p>
      <w:pPr>
        <w:spacing w:after="0" w:line="68"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2019</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Rudy C. Howard</w:t>
            </w:r>
          </w:p>
        </w:tc>
      </w:tr>
      <w:tr>
        <w:trPr>
          <w:trHeight w:val="191"/>
        </w:trPr>
        <w:tc>
          <w:tcPr>
            <w:tcW w:w="560" w:type="dxa"/>
            <w:vAlign w:val="bottom"/>
          </w:tcPr>
          <w:p>
            <w:pPr>
              <w:spacing w:after="0"/>
              <w:rPr>
                <w:sz w:val="16"/>
                <w:szCs w:val="16"/>
                <w:color w:val="auto"/>
              </w:rPr>
            </w:pPr>
          </w:p>
        </w:tc>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Rudy C. Howard</w:t>
            </w:r>
          </w:p>
        </w:tc>
      </w:tr>
      <w:tr>
        <w:trPr>
          <w:trHeight w:val="234"/>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2019-12-28T13:24:27Z</dcterms:created>
  <dcterms:modified xsi:type="dcterms:W3CDTF">2019-12-28T13:24:27Z</dcterms:modified>
</cp:coreProperties>
</file>