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2026</w:t>
      </w:r>
    </w:p>
    <w:p>
      <w:pPr>
        <w:spacing w:after="0" w:line="30"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7"/>
          <w:szCs w:val="17"/>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113030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vTv Therapeutics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880" w:type="dxa"/>
        <w:tblCellMar>
          <w:top w:w="0" w:type="dxa"/>
          <w:left w:w="0" w:type="dxa"/>
          <w:bottom w:w="0" w:type="dxa"/>
          <w:right w:w="0" w:type="dxa"/>
        </w:tblCellMar>
      </w:tblPr>
      <w:tr>
        <w:trPr>
          <w:trHeight w:val="214"/>
        </w:trPr>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3980 Premier Drive, Suite 110</w:t>
            </w:r>
          </w:p>
        </w:tc>
        <w:tc>
          <w:tcPr>
            <w:tcW w:w="1680" w:type="dxa"/>
            <w:vAlign w:val="bottom"/>
          </w:tcPr>
          <w:p>
            <w:pPr>
              <w:spacing w:after="0"/>
              <w:rPr>
                <w:sz w:val="18"/>
                <w:szCs w:val="18"/>
                <w:color w:val="auto"/>
              </w:rPr>
            </w:pPr>
          </w:p>
        </w:tc>
      </w:tr>
      <w:tr>
        <w:trPr>
          <w:trHeight w:val="225"/>
        </w:trPr>
        <w:tc>
          <w:tcPr>
            <w:tcW w:w="2240" w:type="dxa"/>
            <w:vAlign w:val="bottom"/>
          </w:tcPr>
          <w:p>
            <w:pPr>
              <w:jc w:val="center"/>
              <w:ind w:right="24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19"/>
                <w:szCs w:val="19"/>
                <w:color w:val="auto"/>
              </w:rPr>
            </w:pPr>
          </w:p>
        </w:tc>
        <w:tc>
          <w:tcPr>
            <w:tcW w:w="372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High Point, NC 27265</w:t>
            </w:r>
          </w:p>
        </w:tc>
        <w:tc>
          <w:tcPr>
            <w:tcW w:w="1680" w:type="dxa"/>
            <w:vAlign w:val="bottom"/>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8"/>
              </w:rPr>
              <w:t>47-3916571</w:t>
            </w:r>
          </w:p>
        </w:tc>
      </w:tr>
      <w:tr>
        <w:trPr>
          <w:trHeight w:val="147"/>
        </w:trPr>
        <w:tc>
          <w:tcPr>
            <w:tcW w:w="2240" w:type="dxa"/>
            <w:vAlign w:val="bottom"/>
          </w:tcPr>
          <w:p>
            <w:pPr>
              <w:jc w:val="center"/>
              <w:ind w:right="243"/>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80" w:type="dxa"/>
            <w:vAlign w:val="bottom"/>
          </w:tcPr>
          <w:p>
            <w:pPr>
              <w:spacing w:after="0"/>
              <w:rPr>
                <w:sz w:val="12"/>
                <w:szCs w:val="12"/>
                <w:color w:val="auto"/>
              </w:rPr>
            </w:pPr>
          </w:p>
        </w:tc>
        <w:tc>
          <w:tcPr>
            <w:tcW w:w="3720" w:type="dxa"/>
            <w:vAlign w:val="bottom"/>
            <w:gridSpan w:val="2"/>
          </w:tcPr>
          <w:p>
            <w:pPr>
              <w:jc w:val="center"/>
              <w:ind w:right="1200"/>
              <w:spacing w:after="0" w:line="147"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80" w:type="dxa"/>
            <w:vAlign w:val="bottom"/>
          </w:tcPr>
          <w:p>
            <w:pPr>
              <w:jc w:val="center"/>
              <w:ind w:left="503"/>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24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80" w:type="dxa"/>
            <w:vAlign w:val="bottom"/>
          </w:tcPr>
          <w:p>
            <w:pPr>
              <w:spacing w:after="0"/>
              <w:rPr>
                <w:sz w:val="16"/>
                <w:szCs w:val="16"/>
                <w:color w:val="auto"/>
              </w:rPr>
            </w:pPr>
          </w:p>
        </w:tc>
        <w:tc>
          <w:tcPr>
            <w:tcW w:w="372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1680" w:type="dxa"/>
            <w:vAlign w:val="bottom"/>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2240" w:type="dxa"/>
            <w:vAlign w:val="bottom"/>
          </w:tcPr>
          <w:p>
            <w:pPr>
              <w:spacing w:after="0"/>
              <w:rPr>
                <w:sz w:val="24"/>
                <w:szCs w:val="24"/>
                <w:color w:val="auto"/>
              </w:rPr>
            </w:pPr>
          </w:p>
        </w:tc>
        <w:tc>
          <w:tcPr>
            <w:tcW w:w="4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vTv Therapeutics Inc. 2024 Equity Incentive Plan</w:t>
            </w:r>
          </w:p>
        </w:tc>
        <w:tc>
          <w:tcPr>
            <w:tcW w:w="1680" w:type="dxa"/>
            <w:vAlign w:val="bottom"/>
          </w:tcPr>
          <w:p>
            <w:pPr>
              <w:spacing w:after="0"/>
              <w:rPr>
                <w:sz w:val="24"/>
                <w:szCs w:val="24"/>
                <w:color w:val="auto"/>
              </w:rPr>
            </w:pPr>
          </w:p>
        </w:tc>
      </w:tr>
      <w:tr>
        <w:trPr>
          <w:trHeight w:val="214"/>
        </w:trPr>
        <w:tc>
          <w:tcPr>
            <w:tcW w:w="2240" w:type="dxa"/>
            <w:vAlign w:val="bottom"/>
          </w:tcPr>
          <w:p>
            <w:pPr>
              <w:spacing w:after="0"/>
              <w:rPr>
                <w:sz w:val="18"/>
                <w:szCs w:val="18"/>
                <w:color w:val="auto"/>
              </w:rPr>
            </w:pPr>
          </w:p>
        </w:tc>
        <w:tc>
          <w:tcPr>
            <w:tcW w:w="4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vTv Therapeutics Inc. 2026 Equity Inducement Plan</w:t>
            </w:r>
          </w:p>
        </w:tc>
        <w:tc>
          <w:tcPr>
            <w:tcW w:w="1680" w:type="dxa"/>
            <w:vAlign w:val="bottom"/>
          </w:tcPr>
          <w:p>
            <w:pPr>
              <w:spacing w:after="0"/>
              <w:rPr>
                <w:sz w:val="18"/>
                <w:szCs w:val="18"/>
                <w:color w:val="auto"/>
              </w:rPr>
            </w:pPr>
          </w:p>
        </w:tc>
      </w:tr>
      <w:tr>
        <w:trPr>
          <w:trHeight w:val="214"/>
        </w:trPr>
        <w:tc>
          <w:tcPr>
            <w:tcW w:w="2240" w:type="dxa"/>
            <w:vAlign w:val="bottom"/>
          </w:tcPr>
          <w:p>
            <w:pPr>
              <w:spacing w:after="0"/>
              <w:rPr>
                <w:sz w:val="18"/>
                <w:szCs w:val="18"/>
                <w:color w:val="auto"/>
              </w:rPr>
            </w:pPr>
          </w:p>
        </w:tc>
        <w:tc>
          <w:tcPr>
            <w:tcW w:w="4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Inducement Award Grant to Deepa Prasad</w:t>
            </w:r>
          </w:p>
        </w:tc>
        <w:tc>
          <w:tcPr>
            <w:tcW w:w="1680" w:type="dxa"/>
            <w:vAlign w:val="bottom"/>
          </w:tcPr>
          <w:p>
            <w:pPr>
              <w:spacing w:after="0"/>
              <w:rPr>
                <w:sz w:val="18"/>
                <w:szCs w:val="18"/>
                <w:color w:val="auto"/>
              </w:rPr>
            </w:pPr>
          </w:p>
        </w:tc>
      </w:tr>
      <w:tr>
        <w:trPr>
          <w:trHeight w:val="214"/>
        </w:trPr>
        <w:tc>
          <w:tcPr>
            <w:tcW w:w="2240" w:type="dxa"/>
            <w:vAlign w:val="bottom"/>
          </w:tcPr>
          <w:p>
            <w:pPr>
              <w:spacing w:after="0"/>
              <w:rPr>
                <w:sz w:val="18"/>
                <w:szCs w:val="18"/>
                <w:color w:val="auto"/>
              </w:rPr>
            </w:pPr>
          </w:p>
        </w:tc>
        <w:tc>
          <w:tcPr>
            <w:tcW w:w="4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Inducement Award Grant to Paul Sekhri</w:t>
            </w:r>
          </w:p>
        </w:tc>
        <w:tc>
          <w:tcPr>
            <w:tcW w:w="1680" w:type="dxa"/>
            <w:vAlign w:val="bottom"/>
          </w:tcPr>
          <w:p>
            <w:pPr>
              <w:spacing w:after="0"/>
              <w:rPr>
                <w:sz w:val="18"/>
                <w:szCs w:val="18"/>
                <w:color w:val="auto"/>
              </w:rPr>
            </w:pPr>
          </w:p>
        </w:tc>
      </w:tr>
      <w:tr>
        <w:trPr>
          <w:trHeight w:val="211"/>
        </w:trPr>
        <w:tc>
          <w:tcPr>
            <w:tcW w:w="2240" w:type="dxa"/>
            <w:vAlign w:val="bottom"/>
          </w:tcPr>
          <w:p>
            <w:pPr>
              <w:spacing w:after="0"/>
              <w:rPr>
                <w:sz w:val="18"/>
                <w:szCs w:val="18"/>
                <w:color w:val="auto"/>
              </w:rPr>
            </w:pPr>
          </w:p>
        </w:tc>
        <w:tc>
          <w:tcPr>
            <w:tcW w:w="4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Inducement Award Grant to Thomas Strack</w:t>
            </w:r>
          </w:p>
        </w:tc>
        <w:tc>
          <w:tcPr>
            <w:tcW w:w="1680" w:type="dxa"/>
            <w:vAlign w:val="bottom"/>
          </w:tcPr>
          <w:p>
            <w:pPr>
              <w:spacing w:after="0"/>
              <w:rPr>
                <w:sz w:val="18"/>
                <w:szCs w:val="18"/>
                <w:color w:val="auto"/>
              </w:rPr>
            </w:pPr>
          </w:p>
        </w:tc>
      </w:tr>
      <w:tr>
        <w:trPr>
          <w:trHeight w:val="187"/>
        </w:trPr>
        <w:tc>
          <w:tcPr>
            <w:tcW w:w="2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72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(Full title of the plans)</w:t>
            </w:r>
          </w:p>
        </w:tc>
        <w:tc>
          <w:tcPr>
            <w:tcW w:w="1680" w:type="dxa"/>
            <w:vAlign w:val="bottom"/>
          </w:tcPr>
          <w:p>
            <w:pPr>
              <w:spacing w:after="0"/>
              <w:rPr>
                <w:sz w:val="16"/>
                <w:szCs w:val="16"/>
                <w:color w:val="auto"/>
              </w:rPr>
            </w:pPr>
          </w:p>
        </w:tc>
      </w:tr>
      <w:tr>
        <w:trPr>
          <w:trHeight w:val="390"/>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2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6"/>
              </w:rPr>
              <w:t>Michael Tung</w:t>
            </w:r>
          </w:p>
        </w:tc>
        <w:tc>
          <w:tcPr>
            <w:tcW w:w="1680" w:type="dxa"/>
            <w:vAlign w:val="bottom"/>
          </w:tcPr>
          <w:p>
            <w:pPr>
              <w:spacing w:after="0"/>
              <w:rPr>
                <w:sz w:val="24"/>
                <w:szCs w:val="24"/>
                <w:color w:val="auto"/>
              </w:rPr>
            </w:pPr>
          </w:p>
        </w:tc>
      </w:tr>
      <w:tr>
        <w:trPr>
          <w:trHeight w:val="214"/>
        </w:trPr>
        <w:tc>
          <w:tcPr>
            <w:tcW w:w="2240" w:type="dxa"/>
            <w:vAlign w:val="bottom"/>
          </w:tcPr>
          <w:p>
            <w:pPr>
              <w:spacing w:after="0"/>
              <w:rPr>
                <w:sz w:val="18"/>
                <w:szCs w:val="18"/>
                <w:color w:val="auto"/>
              </w:rPr>
            </w:pPr>
          </w:p>
        </w:tc>
        <w:tc>
          <w:tcPr>
            <w:tcW w:w="4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Executive Vice President and Chief Financial Officer</w:t>
            </w:r>
          </w:p>
        </w:tc>
        <w:tc>
          <w:tcPr>
            <w:tcW w:w="1680" w:type="dxa"/>
            <w:vAlign w:val="bottom"/>
          </w:tcPr>
          <w:p>
            <w:pPr>
              <w:spacing w:after="0"/>
              <w:rPr>
                <w:sz w:val="18"/>
                <w:szCs w:val="18"/>
                <w:color w:val="auto"/>
              </w:rPr>
            </w:pPr>
          </w:p>
        </w:tc>
      </w:tr>
      <w:tr>
        <w:trPr>
          <w:trHeight w:val="214"/>
        </w:trPr>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2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vTv Therapeutics Inc.</w:t>
            </w:r>
          </w:p>
        </w:tc>
        <w:tc>
          <w:tcPr>
            <w:tcW w:w="1680" w:type="dxa"/>
            <w:vAlign w:val="bottom"/>
          </w:tcPr>
          <w:p>
            <w:pPr>
              <w:spacing w:after="0"/>
              <w:rPr>
                <w:sz w:val="18"/>
                <w:szCs w:val="18"/>
                <w:color w:val="auto"/>
              </w:rPr>
            </w:pPr>
          </w:p>
        </w:tc>
      </w:tr>
      <w:tr>
        <w:trPr>
          <w:trHeight w:val="214"/>
        </w:trPr>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3980 Premier Drive, Suite 110</w:t>
            </w:r>
          </w:p>
        </w:tc>
        <w:tc>
          <w:tcPr>
            <w:tcW w:w="1680" w:type="dxa"/>
            <w:vAlign w:val="bottom"/>
          </w:tcPr>
          <w:p>
            <w:pPr>
              <w:spacing w:after="0"/>
              <w:rPr>
                <w:sz w:val="18"/>
                <w:szCs w:val="18"/>
                <w:color w:val="auto"/>
              </w:rPr>
            </w:pPr>
          </w:p>
        </w:tc>
      </w:tr>
      <w:tr>
        <w:trPr>
          <w:trHeight w:val="211"/>
        </w:trPr>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High Point, NC 27265</w:t>
            </w:r>
          </w:p>
        </w:tc>
        <w:tc>
          <w:tcPr>
            <w:tcW w:w="1680" w:type="dxa"/>
            <w:vAlign w:val="bottom"/>
          </w:tcPr>
          <w:p>
            <w:pPr>
              <w:spacing w:after="0"/>
              <w:rPr>
                <w:sz w:val="18"/>
                <w:szCs w:val="18"/>
                <w:color w:val="auto"/>
              </w:rPr>
            </w:pPr>
          </w:p>
        </w:tc>
      </w:tr>
      <w:tr>
        <w:trPr>
          <w:trHeight w:val="187"/>
        </w:trPr>
        <w:tc>
          <w:tcPr>
            <w:tcW w:w="2240" w:type="dxa"/>
            <w:vAlign w:val="bottom"/>
          </w:tcPr>
          <w:p>
            <w:pPr>
              <w:spacing w:after="0"/>
              <w:rPr>
                <w:sz w:val="16"/>
                <w:szCs w:val="16"/>
                <w:color w:val="auto"/>
              </w:rPr>
            </w:pPr>
          </w:p>
        </w:tc>
        <w:tc>
          <w:tcPr>
            <w:tcW w:w="4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680" w:type="dxa"/>
            <w:vAlign w:val="bottom"/>
          </w:tcPr>
          <w:p>
            <w:pPr>
              <w:spacing w:after="0"/>
              <w:rPr>
                <w:sz w:val="16"/>
                <w:szCs w:val="16"/>
                <w:color w:val="auto"/>
              </w:rPr>
            </w:pPr>
          </w:p>
        </w:tc>
      </w:tr>
      <w:tr>
        <w:trPr>
          <w:trHeight w:val="388"/>
        </w:trPr>
        <w:tc>
          <w:tcPr>
            <w:tcW w:w="2240" w:type="dxa"/>
            <w:vAlign w:val="bottom"/>
          </w:tcPr>
          <w:p>
            <w:pPr>
              <w:spacing w:after="0"/>
              <w:rPr>
                <w:sz w:val="24"/>
                <w:szCs w:val="24"/>
                <w:color w:val="auto"/>
              </w:rPr>
            </w:pPr>
          </w:p>
        </w:tc>
        <w:tc>
          <w:tcPr>
            <w:tcW w:w="3460" w:type="dxa"/>
            <w:vAlign w:val="bottom"/>
            <w:gridSpan w:val="2"/>
          </w:tcPr>
          <w:p>
            <w:pPr>
              <w:jc w:val="center"/>
              <w:ind w:left="1094"/>
              <w:spacing w:after="0"/>
              <w:rPr>
                <w:sz w:val="20"/>
                <w:szCs w:val="20"/>
                <w:color w:val="auto"/>
              </w:rPr>
            </w:pPr>
            <w:r>
              <w:rPr>
                <w:rFonts w:ascii="Times New Roman" w:cs="Times New Roman" w:eastAsia="Times New Roman" w:hAnsi="Times New Roman"/>
                <w:sz w:val="18"/>
                <w:szCs w:val="18"/>
                <w:b w:val="1"/>
                <w:bCs w:val="1"/>
                <w:color w:val="auto"/>
                <w:w w:val="99"/>
              </w:rPr>
              <w:t>(336) 841-0300</w:t>
            </w: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7"/>
        </w:trPr>
        <w:tc>
          <w:tcPr>
            <w:tcW w:w="2240" w:type="dxa"/>
            <w:vAlign w:val="bottom"/>
          </w:tcPr>
          <w:p>
            <w:pPr>
              <w:spacing w:after="0"/>
              <w:rPr>
                <w:sz w:val="16"/>
                <w:szCs w:val="16"/>
                <w:color w:val="auto"/>
              </w:rPr>
            </w:pPr>
          </w:p>
        </w:tc>
        <w:tc>
          <w:tcPr>
            <w:tcW w:w="4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680" w:type="dxa"/>
            <w:vAlign w:val="bottom"/>
          </w:tcPr>
          <w:p>
            <w:pPr>
              <w:spacing w:after="0"/>
              <w:rPr>
                <w:sz w:val="16"/>
                <w:szCs w:val="16"/>
                <w:color w:val="auto"/>
              </w:rPr>
            </w:pPr>
          </w:p>
        </w:tc>
      </w:tr>
      <w:tr>
        <w:trPr>
          <w:trHeight w:val="345"/>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21"/>
        </w:trPr>
        <w:tc>
          <w:tcPr>
            <w:tcW w:w="2240" w:type="dxa"/>
            <w:vAlign w:val="bottom"/>
          </w:tcPr>
          <w:p>
            <w:pPr>
              <w:spacing w:after="0"/>
              <w:rPr>
                <w:sz w:val="24"/>
                <w:szCs w:val="24"/>
                <w:color w:val="auto"/>
              </w:rPr>
            </w:pPr>
          </w:p>
        </w:tc>
        <w:tc>
          <w:tcPr>
            <w:tcW w:w="4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Copies of all communications to:</w:t>
            </w:r>
          </w:p>
        </w:tc>
        <w:tc>
          <w:tcPr>
            <w:tcW w:w="1680" w:type="dxa"/>
            <w:vAlign w:val="bottom"/>
          </w:tcPr>
          <w:p>
            <w:pPr>
              <w:spacing w:after="0"/>
              <w:rPr>
                <w:sz w:val="24"/>
                <w:szCs w:val="24"/>
                <w:color w:val="auto"/>
              </w:rPr>
            </w:pPr>
          </w:p>
        </w:tc>
      </w:tr>
      <w:tr>
        <w:trPr>
          <w:trHeight w:val="298"/>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2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Elizabeth M. Keiley</w:t>
            </w:r>
          </w:p>
        </w:tc>
        <w:tc>
          <w:tcPr>
            <w:tcW w:w="1680" w:type="dxa"/>
            <w:vAlign w:val="bottom"/>
          </w:tcPr>
          <w:p>
            <w:pPr>
              <w:spacing w:after="0"/>
              <w:rPr>
                <w:sz w:val="24"/>
                <w:szCs w:val="24"/>
                <w:color w:val="auto"/>
              </w:rPr>
            </w:pPr>
          </w:p>
        </w:tc>
      </w:tr>
      <w:tr>
        <w:trPr>
          <w:trHeight w:val="214"/>
        </w:trPr>
        <w:tc>
          <w:tcPr>
            <w:tcW w:w="2240" w:type="dxa"/>
            <w:vAlign w:val="bottom"/>
          </w:tcPr>
          <w:p>
            <w:pPr>
              <w:spacing w:after="0"/>
              <w:rPr>
                <w:sz w:val="18"/>
                <w:szCs w:val="18"/>
                <w:color w:val="auto"/>
              </w:rPr>
            </w:pPr>
          </w:p>
        </w:tc>
        <w:tc>
          <w:tcPr>
            <w:tcW w:w="4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Executive Vice President and General Counsel</w:t>
            </w:r>
          </w:p>
        </w:tc>
        <w:tc>
          <w:tcPr>
            <w:tcW w:w="1680" w:type="dxa"/>
            <w:vAlign w:val="bottom"/>
          </w:tcPr>
          <w:p>
            <w:pPr>
              <w:spacing w:after="0"/>
              <w:rPr>
                <w:sz w:val="18"/>
                <w:szCs w:val="18"/>
                <w:color w:val="auto"/>
              </w:rPr>
            </w:pPr>
          </w:p>
        </w:tc>
      </w:tr>
      <w:tr>
        <w:trPr>
          <w:trHeight w:val="214"/>
        </w:trPr>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2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vTv Therapeutics Inc.</w:t>
            </w:r>
          </w:p>
        </w:tc>
        <w:tc>
          <w:tcPr>
            <w:tcW w:w="1680" w:type="dxa"/>
            <w:vAlign w:val="bottom"/>
          </w:tcPr>
          <w:p>
            <w:pPr>
              <w:spacing w:after="0"/>
              <w:rPr>
                <w:sz w:val="18"/>
                <w:szCs w:val="18"/>
                <w:color w:val="auto"/>
              </w:rPr>
            </w:pPr>
          </w:p>
        </w:tc>
      </w:tr>
      <w:tr>
        <w:trPr>
          <w:trHeight w:val="214"/>
        </w:trPr>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3980 Premier Drive, Suite 110</w:t>
            </w:r>
          </w:p>
        </w:tc>
        <w:tc>
          <w:tcPr>
            <w:tcW w:w="1680" w:type="dxa"/>
            <w:vAlign w:val="bottom"/>
          </w:tcPr>
          <w:p>
            <w:pPr>
              <w:spacing w:after="0"/>
              <w:rPr>
                <w:sz w:val="18"/>
                <w:szCs w:val="18"/>
                <w:color w:val="auto"/>
              </w:rPr>
            </w:pPr>
          </w:p>
        </w:tc>
      </w:tr>
      <w:tr>
        <w:trPr>
          <w:trHeight w:val="214"/>
        </w:trPr>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High Point, NC 27265</w:t>
            </w:r>
          </w:p>
        </w:tc>
        <w:tc>
          <w:tcPr>
            <w:tcW w:w="1680" w:type="dxa"/>
            <w:vAlign w:val="bottom"/>
          </w:tcPr>
          <w:p>
            <w:pPr>
              <w:spacing w:after="0"/>
              <w:rPr>
                <w:sz w:val="18"/>
                <w:szCs w:val="18"/>
                <w:color w:val="auto"/>
              </w:rPr>
            </w:pPr>
          </w:p>
        </w:tc>
      </w:tr>
      <w:tr>
        <w:trPr>
          <w:trHeight w:val="237"/>
        </w:trPr>
        <w:tc>
          <w:tcPr>
            <w:tcW w:w="2240" w:type="dxa"/>
            <w:vAlign w:val="bottom"/>
          </w:tcPr>
          <w:p>
            <w:pPr>
              <w:spacing w:after="0"/>
              <w:rPr>
                <w:sz w:val="20"/>
                <w:szCs w:val="20"/>
                <w:color w:val="auto"/>
              </w:rPr>
            </w:pPr>
          </w:p>
        </w:tc>
        <w:tc>
          <w:tcPr>
            <w:tcW w:w="3460" w:type="dxa"/>
            <w:vAlign w:val="bottom"/>
            <w:gridSpan w:val="2"/>
          </w:tcPr>
          <w:p>
            <w:pPr>
              <w:jc w:val="center"/>
              <w:ind w:left="1094"/>
              <w:spacing w:after="0"/>
              <w:rPr>
                <w:sz w:val="20"/>
                <w:szCs w:val="20"/>
                <w:color w:val="auto"/>
              </w:rPr>
            </w:pPr>
            <w:r>
              <w:rPr>
                <w:rFonts w:ascii="Times New Roman" w:cs="Times New Roman" w:eastAsia="Times New Roman" w:hAnsi="Times New Roman"/>
                <w:sz w:val="18"/>
                <w:szCs w:val="18"/>
                <w:b w:val="1"/>
                <w:bCs w:val="1"/>
                <w:color w:val="auto"/>
                <w:w w:val="99"/>
              </w:rPr>
              <w:t>(336) 841-0300</w:t>
            </w: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220345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30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900"/>
          </w:cols>
          <w:pgMar w:left="500" w:top="224"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60" w:firstLine="436"/>
        <w:spacing w:after="0" w:line="251" w:lineRule="auto"/>
        <w:rPr>
          <w:sz w:val="20"/>
          <w:szCs w:val="20"/>
          <w:color w:val="auto"/>
        </w:rPr>
      </w:pPr>
      <w:r>
        <w:rPr>
          <w:rFonts w:ascii="Times New Roman" w:cs="Times New Roman" w:eastAsia="Times New Roman" w:hAnsi="Times New Roman"/>
          <w:sz w:val="18"/>
          <w:szCs w:val="18"/>
          <w:color w:val="auto"/>
        </w:rPr>
        <w:t>This Registration Statement is being filed by vTv Therapeutics Inc. (the “Registrant”) for the purposes of registering (i) an additional 782,789 shares of its Class A common stock, par value $0.01 per share (the “Common Stock”), that may be issued pursuant to the vTv Therapeutics Inc. 2024 Equity Incentive Plan, as amended (the “2024 Plan”), (ii) 15,616 shares of Common Stock issuable upon exercise of outstanding stock options granted pursuant to the Inducement Award Nonqualified Option Award Agreement, dated as of October 19, 2021, by and between the Registrant and Deepa Prasad, (iii) 55,000 shares of Common Stock issuable upon exercise of outstanding stock options granted pursuant to the Inducement Award Nonqualified Option Award Agreement, dated as of July 26, 2022, by and between the Registrant and Paul Sekhri, (iv) 12,500 shares of Common Stock issuable upon exercise of outstanding stock options granted pursuant to the Inducement Award Nonqualified Option Award Agreement, dated as of November 10, 2023, by and between the Registrant and Thomas Strack, and (v) 250,000 shares of Common Stock that may be issued pursuant to the vTv Therapeutics Inc. 2026 Equity Inducement Plan (the “Inducement Plan”), including 43,500 shares of Common Stock issuable pursuant to outstanding stock options previously granted under the Inducement Plan.</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2024 Plan Evergreen Increase</w:t>
      </w:r>
    </w:p>
    <w:p>
      <w:pPr>
        <w:spacing w:after="0" w:line="118"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The number of shares of Common Stock reserved and available for issuance under the 2024 Plan is subject to an automatic annual increase on each January 1 by an amount equal to four percent (4%) of the aggregate of (x) the total number of shares of Common Stock outstanding on the immediately preceding December 31 and (y) the total number of shares of Common Stock issuable or issued upon exercise of any outstanding warrants with an exercise price equal to or less than $0.01 per share, as of the immediately preceding December 31. Accordingly, on January 1, 2025, the number of shares of Common Stock reserved and available for issuance under the 2024 Plan increased by 286,408, and on January 1, 2026, the number of shares of Common Stock reserved and available for issuance under the 2024 Plan increased by 496,381. This Registration Statement registers these additional aggregate 782,789 shares of Common Stock. The additional shares are of the same class as other securities relating to the 2024 Plan for which the Registrant’s registration statement on Form S-8, File No. 333-282290, filed by the Registrant with the Securities and Exchange Commission (the “SEC”) on September 23, 2024, is effective.</w:t>
      </w:r>
    </w:p>
    <w:p>
      <w:pPr>
        <w:spacing w:after="0" w:line="189"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The information contained in the Registrant’s registration statement on Form S-8, File No. 333-282290, filed by the Registrant with the SEC on September 23, 2024, is hereby incorporated by reference pursuant to General Instruction E, except for “</w:t>
      </w:r>
      <w:r>
        <w:rPr>
          <w:rFonts w:ascii="Times New Roman" w:cs="Times New Roman" w:eastAsia="Times New Roman" w:hAnsi="Times New Roman"/>
          <w:sz w:val="18"/>
          <w:szCs w:val="18"/>
          <w:i w:val="1"/>
          <w:iCs w:val="1"/>
          <w:color w:val="auto"/>
        </w:rPr>
        <w:t>Item 8. Exhibits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Inducement Awards</w:t>
      </w:r>
    </w:p>
    <w:p>
      <w:pPr>
        <w:spacing w:after="0" w:line="118" w:lineRule="exact"/>
        <w:rPr>
          <w:sz w:val="20"/>
          <w:szCs w:val="20"/>
          <w:color w:val="auto"/>
        </w:rPr>
      </w:pPr>
    </w:p>
    <w:p>
      <w:pPr>
        <w:jc w:val="both"/>
        <w:ind w:right="180" w:firstLine="436"/>
        <w:spacing w:after="0" w:line="285" w:lineRule="auto"/>
        <w:rPr>
          <w:sz w:val="20"/>
          <w:szCs w:val="20"/>
          <w:color w:val="auto"/>
        </w:rPr>
      </w:pPr>
      <w:r>
        <w:rPr>
          <w:rFonts w:ascii="Times New Roman" w:cs="Times New Roman" w:eastAsia="Times New Roman" w:hAnsi="Times New Roman"/>
          <w:sz w:val="17"/>
          <w:szCs w:val="17"/>
          <w:color w:val="auto"/>
        </w:rPr>
        <w:t>This Registration Statement is also being filed for the purpose of registering shares of Common Stock issuable upon the exercise of stock option awards granted to employees of the Registrant to induce each such employee to accept employment with the Registrant (collectively, the “Inducement Awards”). The Inducement Awards were granted as employment inducement awards pursuant to Rule 5635(c)(4) and are detailed below:</w:t>
      </w:r>
    </w:p>
    <w:p>
      <w:pPr>
        <w:spacing w:after="0" w:line="65" w:lineRule="exact"/>
        <w:rPr>
          <w:sz w:val="20"/>
          <w:szCs w:val="20"/>
          <w:color w:val="auto"/>
        </w:rPr>
      </w:pPr>
    </w:p>
    <w:p>
      <w:pPr>
        <w:ind w:left="960" w:right="60" w:hanging="432"/>
        <w:spacing w:after="0" w:line="308"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 option award to purchase 15,616 shares of Common Stock granted on October 19, 2021 to Deepa Prasad, our former President and Chief Executive Officer, a copy of which is attached to this Registration Statement as Exhibit 4.5 and is incorporated by reference herein;</w:t>
      </w:r>
    </w:p>
    <w:p>
      <w:pPr>
        <w:spacing w:after="0" w:line="45" w:lineRule="exact"/>
        <w:rPr>
          <w:rFonts w:ascii="Times New Roman" w:cs="Times New Roman" w:eastAsia="Times New Roman" w:hAnsi="Times New Roman"/>
          <w:sz w:val="17"/>
          <w:szCs w:val="17"/>
          <w:color w:val="auto"/>
        </w:rPr>
      </w:pPr>
    </w:p>
    <w:p>
      <w:pPr>
        <w:ind w:left="960" w:right="80" w:hanging="432"/>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option award to purchase 55,000 shares of Common Stock granted on July 26, 2022 to Paul Sekhri, our President, Chief Executive Officer and Executive Chairperson, a copy of which is attached to this Registration Statement as Exhibit 4.6 and is incorporated by reference herein; and</w:t>
      </w:r>
    </w:p>
    <w:p>
      <w:pPr>
        <w:spacing w:after="0" w:line="83" w:lineRule="exact"/>
        <w:rPr>
          <w:rFonts w:ascii="Times New Roman" w:cs="Times New Roman" w:eastAsia="Times New Roman" w:hAnsi="Times New Roman"/>
          <w:sz w:val="18"/>
          <w:szCs w:val="18"/>
          <w:color w:val="auto"/>
        </w:rPr>
      </w:pPr>
    </w:p>
    <w:p>
      <w:pPr>
        <w:ind w:left="960" w:right="60" w:hanging="432"/>
        <w:spacing w:after="0" w:line="25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option award to purchase 12,500 shares of Common Stock granted on November 10, 2023 to Thomas Strack, our Chief Medical Officer and Executive Vice President. Twenty-five percent (25%) of Dr. Strack’s stock option award vested on November 10, 2024, with the remainder vesting in equal quarterly installments over the next three years. The options have an exercise price of $14.16 per share, and will expire on November 10, 2033.</w:t>
      </w:r>
    </w:p>
    <w:p>
      <w:pPr>
        <w:spacing w:after="0" w:line="2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18"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On March 5, 2026, the Board of Directors of the Registrant (the “Board”) adopted the Inducement Plan, effective as of March 5, 2026, pursuant to which the Registrant reserved 250,000 shares of Common Stock to be issued exclusively for grants of equity-based awards to individuals who were not previously employees or directors of the Registrant, as an inducement material to the individual’s entry into employment with the Registrant within the meaning of Rule 5635(c)(4) of the Marketplace Rules of the Nasdaq Stock Market (“Rule 5635(c)(4)”). The Inducement Plan provides for the grant of equity-based awards in the form of non-qualified stock options, stock appreciation rights, restricted stock awards, restricted stock unit awards and performance stock awards. The Inducement Plan was adopted by the Board without stockholder approval pursuant to Rule 5635(c)(4). This Registration Statement registers 250,000 shares of Common Stock issuable pursuant to the Inducement Plan, including 43,500 shares of Common Stock issuable pursuant to outstanding stock options previously granted thereunder.</w:t>
      </w:r>
    </w:p>
    <w:p>
      <w:pPr>
        <w:sectPr>
          <w:pgSz w:w="11900" w:h="16838" w:orient="portrait"/>
          <w:cols w:equalWidth="0" w:num="1">
            <w:col w:w="10880"/>
          </w:cols>
          <w:pgMar w:left="500" w:top="264" w:right="519" w:bottom="1440" w:gutter="0" w:footer="0" w:header="0"/>
        </w:sectPr>
      </w:pPr>
    </w:p>
    <w:bookmarkStart w:id="2" w:name="page3"/>
    <w:bookmarkEnd w:id="2"/>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11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Item 1. Plan Information.</w:t>
      </w:r>
    </w:p>
    <w:p>
      <w:pPr>
        <w:spacing w:after="0" w:line="114" w:lineRule="exact"/>
        <w:rPr>
          <w:sz w:val="20"/>
          <w:szCs w:val="20"/>
          <w:color w:val="auto"/>
        </w:rPr>
      </w:pPr>
    </w:p>
    <w:p>
      <w:pPr>
        <w:ind w:left="6" w:right="160" w:firstLine="436"/>
        <w:spacing w:after="0" w:line="257"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sent or given to participants as specified by Rule 428(b)(1) under the Securities Act of 1933, as amended (the “Securities Act”). In accordance with the rules and regulations of the SEC and the instructions to Form S-8, such documents are not being filed with the SEC either as part of this Registration Statement or as prospectuses or prospectus supplements pursuant to Rule 424 under the Securities Act.</w:t>
      </w:r>
    </w:p>
    <w:p>
      <w:pPr>
        <w:spacing w:after="0" w:line="289"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Item 2. Registrant Information and Employee Plan Annual Information.</w:t>
      </w:r>
    </w:p>
    <w:p>
      <w:pPr>
        <w:spacing w:after="0" w:line="114" w:lineRule="exact"/>
        <w:rPr>
          <w:sz w:val="20"/>
          <w:szCs w:val="20"/>
          <w:color w:val="auto"/>
        </w:rPr>
      </w:pPr>
    </w:p>
    <w:p>
      <w:pPr>
        <w:ind w:left="6" w:right="20" w:firstLine="436"/>
        <w:spacing w:after="0" w:line="267" w:lineRule="auto"/>
        <w:rPr>
          <w:sz w:val="20"/>
          <w:szCs w:val="20"/>
          <w:color w:val="auto"/>
        </w:rPr>
      </w:pPr>
      <w:r>
        <w:rPr>
          <w:rFonts w:ascii="Times New Roman" w:cs="Times New Roman" w:eastAsia="Times New Roman" w:hAnsi="Times New Roman"/>
          <w:sz w:val="17"/>
          <w:szCs w:val="17"/>
          <w:color w:val="auto"/>
        </w:rPr>
        <w:t>The Registrant will furnish without charge to each person to whom the prospectus is delivered, upon the written or oral request of such person, a copy of any and all of the documents incorporated by reference in Item 3 of Part II of this Registration Statement, other than exhibits to such documents (unless such exhibits are specifically incorporated by reference to the information that is incorporated) and any other documents required to be delivered pursuant to Rule 428 under the Securities Act. Those documents are incorporated by reference in the Section 10(a) prospectus. Requests should be directed to vTv Therapeutics Inc., 3980 Premier Drive, Suite 110, High Point, NC 27265, Attention: Corporate Secretary, telephone number</w:t>
      </w:r>
    </w:p>
    <w:p>
      <w:pPr>
        <w:ind w:left="6"/>
        <w:spacing w:after="0"/>
        <w:rPr>
          <w:sz w:val="20"/>
          <w:szCs w:val="20"/>
          <w:color w:val="auto"/>
        </w:rPr>
      </w:pPr>
      <w:r>
        <w:rPr>
          <w:rFonts w:ascii="Times New Roman" w:cs="Times New Roman" w:eastAsia="Times New Roman" w:hAnsi="Times New Roman"/>
          <w:sz w:val="18"/>
          <w:szCs w:val="18"/>
          <w:color w:val="auto"/>
        </w:rPr>
        <w:t>(336) 841-0300.</w:t>
      </w:r>
    </w:p>
    <w:p>
      <w:pPr>
        <w:spacing w:after="0" w:line="200" w:lineRule="exact"/>
        <w:rPr>
          <w:sz w:val="20"/>
          <w:szCs w:val="20"/>
          <w:color w:val="auto"/>
        </w:rPr>
      </w:pPr>
    </w:p>
    <w:p>
      <w:pPr>
        <w:spacing w:after="0" w:line="211" w:lineRule="exact"/>
        <w:rPr>
          <w:sz w:val="20"/>
          <w:szCs w:val="20"/>
          <w:color w:val="auto"/>
        </w:rPr>
      </w:pPr>
    </w:p>
    <w:p>
      <w:pPr>
        <w:ind w:left="5126"/>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4" w:lineRule="exact"/>
        <w:rPr>
          <w:sz w:val="20"/>
          <w:szCs w:val="20"/>
          <w:color w:val="auto"/>
        </w:rPr>
      </w:pPr>
    </w:p>
    <w:p>
      <w:pPr>
        <w:ind w:left="2686"/>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left="6" w:firstLine="436"/>
        <w:spacing w:after="0" w:line="262" w:lineRule="auto"/>
        <w:rPr>
          <w:sz w:val="20"/>
          <w:szCs w:val="20"/>
          <w:color w:val="auto"/>
        </w:rPr>
      </w:pPr>
      <w:r>
        <w:rPr>
          <w:rFonts w:ascii="Times New Roman" w:cs="Times New Roman" w:eastAsia="Times New Roman" w:hAnsi="Times New Roman"/>
          <w:sz w:val="18"/>
          <w:szCs w:val="18"/>
          <w:color w:val="auto"/>
        </w:rPr>
        <w:t>The following documents, as originally filed with the Commission by the Registrant, are incorporated herein by reference; provided, however, that any reports or portions thereof that are furnished, including under Item 2.02 or Item 7.01 of a Current Report on Form 8-K and any exhibits included with such items, shall not be deemed incorporated by reference in this Registration Statement:</w:t>
      </w:r>
    </w:p>
    <w:p>
      <w:pPr>
        <w:spacing w:after="0" w:line="84" w:lineRule="exact"/>
        <w:rPr>
          <w:sz w:val="20"/>
          <w:szCs w:val="20"/>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2025, filed with the Commission on </w:t>
      </w:r>
      <w:hyperlink r:id="rId18">
        <w:r>
          <w:rPr>
            <w:rFonts w:ascii="Times New Roman" w:cs="Times New Roman" w:eastAsia="Times New Roman" w:hAnsi="Times New Roman"/>
            <w:sz w:val="18"/>
            <w:szCs w:val="18"/>
            <w:u w:val="single" w:color="auto"/>
            <w:color w:val="0000EE"/>
          </w:rPr>
          <w:t>March 10, 2026;</w:t>
        </w:r>
      </w:hyperlink>
    </w:p>
    <w:p>
      <w:pPr>
        <w:spacing w:after="0" w:line="12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19">
        <w:r>
          <w:rPr>
            <w:rFonts w:ascii="Times New Roman" w:cs="Times New Roman" w:eastAsia="Times New Roman" w:hAnsi="Times New Roman"/>
            <w:sz w:val="18"/>
            <w:szCs w:val="18"/>
            <w:u w:val="single" w:color="auto"/>
            <w:color w:val="0000EE"/>
          </w:rPr>
          <w:t>February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May 13, 2026</w:t>
        </w:r>
      </w:hyperlink>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426" w:right="280" w:hanging="426"/>
        <w:spacing w:after="0" w:line="277" w:lineRule="auto"/>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quarterly period ended March 31, 2026, filed with the Commission on </w:t>
      </w:r>
      <w:hyperlink r:id="rId21">
        <w:r>
          <w:rPr>
            <w:rFonts w:ascii="Times New Roman" w:cs="Times New Roman" w:eastAsia="Times New Roman" w:hAnsi="Times New Roman"/>
            <w:sz w:val="18"/>
            <w:szCs w:val="18"/>
            <w:u w:val="single" w:color="auto"/>
            <w:color w:val="0000EE"/>
          </w:rPr>
          <w:t>May 13, 2026</w:t>
        </w:r>
      </w:hyperlink>
      <w:r>
        <w:rPr>
          <w:rFonts w:ascii="Times New Roman" w:cs="Times New Roman" w:eastAsia="Times New Roman" w:hAnsi="Times New Roman"/>
          <w:sz w:val="18"/>
          <w:szCs w:val="18"/>
          <w:color w:val="auto"/>
        </w:rPr>
        <w:t>; and</w:t>
      </w:r>
    </w:p>
    <w:p>
      <w:pPr>
        <w:spacing w:after="0" w:line="69" w:lineRule="exact"/>
        <w:rPr>
          <w:rFonts w:ascii="Times New Roman" w:cs="Times New Roman" w:eastAsia="Times New Roman" w:hAnsi="Times New Roman"/>
          <w:sz w:val="18"/>
          <w:szCs w:val="18"/>
          <w:color w:val="auto"/>
        </w:rPr>
      </w:pPr>
    </w:p>
    <w:p>
      <w:pPr>
        <w:ind w:left="426" w:right="120" w:hanging="426"/>
        <w:spacing w:after="0" w:line="255" w:lineRule="auto"/>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Class A Common Stock contained in the Registrant’s Registration Statement on Form 8-A (File No. 001-37524) filed with the Commission on July 30, 2015, pursuant to Section 12(b) of the Securities Exchange Act of 1934, as amended (the “Exchange Act”), as updated by the description of the Class A Common Stock contained in Exhibit 4.5 to the Registrant’s Annual Report on Form 10-K for the fiscal year ended December 31, 2025, filed with the Commission on March 10, 2026, including any amendment or report filed for the purpose of updating such description.</w:t>
      </w:r>
    </w:p>
    <w:p>
      <w:pPr>
        <w:sectPr>
          <w:pgSz w:w="11900" w:h="16838" w:orient="portrait"/>
          <w:cols w:equalWidth="0" w:num="1">
            <w:col w:w="10886"/>
          </w:cols>
          <w:pgMar w:left="494" w:top="264" w:right="519" w:bottom="1440" w:gutter="0" w:footer="0" w:header="0"/>
        </w:sectPr>
      </w:pPr>
    </w:p>
    <w:bookmarkStart w:id="3" w:name="page4"/>
    <w:bookmarkEnd w:id="3"/>
    <w:p>
      <w:pPr>
        <w:ind w:firstLine="436"/>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 documents subsequently filed by the Registrant pursuant to Sections 13(a), 13(c), 14 and 15(d) of the Exchange Act, prior to the filing of a post-effective amendment to this Registration Statement that indicates that all securities offered have been sold or which deregisters all securities then remaining unsold, shall be deemed to be incorporated herein by reference from the date of filing of such documents; provided, however, that any reports or portions thereof that are furnished, including under Item 2.02 or Item 7.01 of a Current Report on Form 8-K and any exhibits included with such items, shall not be deemed incorporated by reference in this Registration Statement. Any statement contained herein or in a document incorporated by reference in this Registration Statement shall be deemed to be modified or superseded for all purposes to the extent that a statement contained in this Registration Statement or in any other subsequently filed document which is incorporated by reference herein modifies or replaces such statement. Any such statement so modified or superseded shall not be deemed, except as so modified or amended, to constitute a part of this Registration Statement.</w:t>
      </w:r>
    </w:p>
    <w:p>
      <w:pPr>
        <w:sectPr>
          <w:pgSz w:w="11900" w:h="16838" w:orient="portrait"/>
          <w:cols w:equalWidth="0" w:num="1">
            <w:col w:w="10840"/>
          </w:cols>
          <w:pgMar w:left="500" w:top="268"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4. Description of Securities.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Officers and Directors.</w:t>
      </w:r>
    </w:p>
    <w:p>
      <w:pPr>
        <w:spacing w:after="0" w:line="118" w:lineRule="exact"/>
        <w:rPr>
          <w:sz w:val="20"/>
          <w:szCs w:val="20"/>
          <w:color w:val="auto"/>
        </w:rPr>
      </w:pPr>
    </w:p>
    <w:p>
      <w:pPr>
        <w:ind w:right="60" w:firstLine="436"/>
        <w:spacing w:after="0" w:line="252"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amended and restated certificate of incorporation provides for indemnification by the Registrant of its directors, officers and employees to the fullest extent permitted by the Delaware General Corporation Law.</w:t>
      </w:r>
    </w:p>
    <w:p>
      <w:pPr>
        <w:spacing w:after="0" w:line="189"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amended and restated certificate of incorporation provides for such limitation of liability.</w:t>
      </w:r>
    </w:p>
    <w:p>
      <w:pPr>
        <w:spacing w:after="0" w:line="187"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77" w:lineRule="exact"/>
        <w:rPr>
          <w:sz w:val="20"/>
          <w:szCs w:val="20"/>
          <w:color w:val="auto"/>
        </w:rPr>
      </w:pPr>
    </w:p>
    <w:p>
      <w:pPr>
        <w:ind w:right="640" w:firstLine="436"/>
        <w:spacing w:after="0" w:line="277" w:lineRule="auto"/>
        <w:rPr>
          <w:sz w:val="20"/>
          <w:szCs w:val="20"/>
          <w:color w:val="auto"/>
        </w:rPr>
      </w:pPr>
      <w:r>
        <w:rPr>
          <w:rFonts w:ascii="Times New Roman" w:cs="Times New Roman" w:eastAsia="Times New Roman" w:hAnsi="Times New Roman"/>
          <w:sz w:val="18"/>
          <w:szCs w:val="18"/>
          <w:color w:val="auto"/>
        </w:rPr>
        <w:t>We have entered into customary indemnification agreements with our executive officers and directors that provide them, in general, with customary indemnification in connection with their service to us or on our behalf.</w:t>
      </w:r>
    </w:p>
    <w:p>
      <w:pPr>
        <w:sectPr>
          <w:pgSz w:w="11900" w:h="16838" w:orient="portrait"/>
          <w:cols w:equalWidth="0" w:num="1">
            <w:col w:w="10820"/>
          </w:cols>
          <w:pgMar w:left="500" w:top="264" w:right="579" w:bottom="1440" w:gutter="0" w:footer="0" w:header="0"/>
        </w:sectPr>
      </w:pPr>
    </w:p>
    <w:bookmarkStart w:id="5" w:name="page6"/>
    <w:bookmarkEnd w:id="5"/>
    <w:p>
      <w:pPr>
        <w:ind w:left="6" w:right="40"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Registrant has an insurance policy covering our officers and directors with respect to certain liabilities, including liabilities arising under the Securities Act of 1933, as amended, or the Securities Act, or otherwise.</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1"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400" w:type="dxa"/>
            <w:vAlign w:val="bottom"/>
            <w:gridSpan w:val="14"/>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 w:type="dxa"/>
            <w:vAlign w:val="bottom"/>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840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20" w:type="dxa"/>
            <w:vAlign w:val="bottom"/>
          </w:tcPr>
          <w:p>
            <w:pPr>
              <w:spacing w:after="0"/>
              <w:rPr>
                <w:sz w:val="23"/>
                <w:szCs w:val="23"/>
                <w:color w:val="auto"/>
              </w:rPr>
            </w:pPr>
          </w:p>
        </w:tc>
        <w:tc>
          <w:tcPr>
            <w:tcW w:w="9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vTv Therapeutics Inc. 2024 Equity Incentive Plan (Incorporated by reference to Exhibit 4.5 to the Company’s Registration Statement on</w:t>
              </w:r>
            </w:hyperlink>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760" w:type="dxa"/>
            <w:vAlign w:val="bottom"/>
            <w:gridSpan w:val="16"/>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S-8 (File No. 333-282290) filed with the Commission on September 23, 2024).</w:t>
              </w:r>
            </w:hyperlink>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2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Form of Award Agreement under the 2024 Equity Incentive Plan.</w:t>
            </w:r>
          </w:p>
        </w:tc>
        <w:tc>
          <w:tcPr>
            <w:tcW w:w="1380" w:type="dxa"/>
            <w:vAlign w:val="bottom"/>
            <w:tcBorders>
              <w:top w:val="single" w:sz="8" w:color="0000EE"/>
            </w:tcBorders>
            <w:gridSpan w:val="3"/>
          </w:tcPr>
          <w:p>
            <w:pPr>
              <w:spacing w:after="0"/>
              <w:rPr>
                <w:sz w:val="24"/>
                <w:szCs w:val="24"/>
                <w:color w:val="auto"/>
              </w:rPr>
            </w:pPr>
          </w:p>
        </w:tc>
        <w:tc>
          <w:tcPr>
            <w:tcW w:w="37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20" w:type="dxa"/>
            <w:vAlign w:val="bottom"/>
          </w:tcPr>
          <w:p>
            <w:pPr>
              <w:spacing w:after="0"/>
              <w:rPr>
                <w:sz w:val="24"/>
                <w:szCs w:val="24"/>
                <w:color w:val="auto"/>
              </w:rPr>
            </w:pPr>
          </w:p>
        </w:tc>
        <w:tc>
          <w:tcPr>
            <w:tcW w:w="3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vTv Therapeutics Inc. 2026 Equity Inducement Plan.</w:t>
            </w:r>
          </w:p>
        </w:tc>
        <w:tc>
          <w:tcPr>
            <w:tcW w:w="5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520" w:type="dxa"/>
            <w:vAlign w:val="bottom"/>
          </w:tcPr>
          <w:p>
            <w:pPr>
              <w:spacing w:after="0"/>
              <w:rPr>
                <w:sz w:val="24"/>
                <w:szCs w:val="24"/>
                <w:color w:val="auto"/>
              </w:rPr>
            </w:pPr>
          </w:p>
        </w:tc>
        <w:tc>
          <w:tcPr>
            <w:tcW w:w="48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Form of Award Agreement under the 2026 Equity Inducement Plan.</w:t>
            </w:r>
          </w:p>
        </w:tc>
        <w:tc>
          <w:tcPr>
            <w:tcW w:w="49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52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Inducement Award Nonqualified Option Award Agreement, dated as of October 19, 2021, by and between vTv Therapeutics Inc. and</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760" w:type="dxa"/>
            <w:vAlign w:val="bottom"/>
            <w:tcBorders>
              <w:bottom w:val="single" w:sz="8" w:color="0000EE"/>
            </w:tcBorders>
            <w:gridSpan w:val="16"/>
          </w:tcPr>
          <w:p>
            <w:pPr>
              <w:spacing w:after="0" w:line="194"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Deepa Prasad (Incorporated by reference to Exhibit 10.3 to the Company’s Current Report on Form 8-K (File No. 001-37524) filed with</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the Commission on October 20, 2021).</w:t>
              </w:r>
            </w:hyperlink>
          </w:p>
        </w:tc>
        <w:tc>
          <w:tcPr>
            <w:tcW w:w="698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520" w:type="dxa"/>
            <w:vAlign w:val="bottom"/>
          </w:tcPr>
          <w:p>
            <w:pPr>
              <w:spacing w:after="0"/>
              <w:rPr>
                <w:sz w:val="24"/>
                <w:szCs w:val="24"/>
                <w:color w:val="auto"/>
              </w:rPr>
            </w:pPr>
          </w:p>
        </w:tc>
        <w:tc>
          <w:tcPr>
            <w:tcW w:w="9760" w:type="dxa"/>
            <w:vAlign w:val="bottom"/>
            <w:gridSpan w:val="16"/>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Inducement Award Nonqualified Option Award Agreement, dated as of July 26, 2022, by and between vTv Therapeutics Inc. and Paul</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520" w:type="dxa"/>
            <w:vAlign w:val="bottom"/>
            <w:tcBorders>
              <w:top w:val="single" w:sz="8" w:color="0000EE"/>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Sekhri (Incorporated by reference to Exhibit 10.2 to the Company’s Current Report on Form 8-K (File No. 001-37524) filed with the</w:t>
              </w:r>
            </w:hyperlink>
          </w:p>
        </w:tc>
        <w:tc>
          <w:tcPr>
            <w:tcW w:w="100" w:type="dxa"/>
            <w:vAlign w:val="bottom"/>
            <w:tcBorders>
              <w:top w:val="single" w:sz="8" w:color="0000EE"/>
            </w:tcBorders>
            <w:gridSpan w:val="2"/>
          </w:tcPr>
          <w:p>
            <w:pPr>
              <w:spacing w:after="0"/>
              <w:rPr>
                <w:sz w:val="16"/>
                <w:szCs w:val="16"/>
                <w:color w:val="auto"/>
              </w:rPr>
            </w:pP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Commission on July 27, 2022).</w:t>
              </w:r>
            </w:hyperlink>
          </w:p>
        </w:tc>
        <w:tc>
          <w:tcPr>
            <w:tcW w:w="752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20" w:type="dxa"/>
            <w:vAlign w:val="bottom"/>
          </w:tcPr>
          <w:p>
            <w:pPr>
              <w:spacing w:after="0"/>
              <w:rPr>
                <w:sz w:val="24"/>
                <w:szCs w:val="24"/>
                <w:color w:val="auto"/>
              </w:rPr>
            </w:pPr>
          </w:p>
        </w:tc>
        <w:tc>
          <w:tcPr>
            <w:tcW w:w="2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Legal Opinion of Dechert LLP</w:t>
            </w:r>
          </w:p>
        </w:tc>
        <w:tc>
          <w:tcPr>
            <w:tcW w:w="7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5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w:t>
            </w:r>
          </w:p>
        </w:tc>
        <w:tc>
          <w:tcPr>
            <w:tcW w:w="3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4"/>
                <w:szCs w:val="24"/>
                <w:color w:val="auto"/>
              </w:rPr>
            </w:pPr>
          </w:p>
        </w:tc>
        <w:tc>
          <w:tcPr>
            <w:tcW w:w="87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Powers of Attorney (included on the signature page of this Registration Statement under the caption “Power of Attorney”).</w:t>
            </w:r>
          </w:p>
        </w:tc>
        <w:tc>
          <w:tcPr>
            <w:tcW w:w="1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206" w:hanging="206"/>
        <w:spacing w:after="0"/>
        <w:tabs>
          <w:tab w:leader="none" w:pos="20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18" w:lineRule="exact"/>
        <w:rPr>
          <w:sz w:val="20"/>
          <w:szCs w:val="20"/>
          <w:color w:val="auto"/>
        </w:rPr>
      </w:pPr>
    </w:p>
    <w:p>
      <w:pPr>
        <w:ind w:left="246" w:hanging="246"/>
        <w:spacing w:after="0"/>
        <w:tabs>
          <w:tab w:leader="none" w:pos="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686" w:hanging="250"/>
        <w:spacing w:after="0"/>
        <w:tabs>
          <w:tab w:leader="none" w:pos="68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1066" w:hanging="212"/>
        <w:spacing w:after="0"/>
        <w:tabs>
          <w:tab w:leader="none" w:pos="1066"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ectPr>
          <w:pgSz w:w="11900" w:h="16838" w:orient="portrait"/>
          <w:cols w:equalWidth="0" w:num="1">
            <w:col w:w="10786"/>
          </w:cols>
          <w:pgMar w:left="494" w:top="268" w:right="619" w:bottom="1440" w:gutter="0" w:footer="0" w:header="0"/>
        </w:sectPr>
      </w:pPr>
    </w:p>
    <w:bookmarkStart w:id="6" w:name="page7"/>
    <w:bookmarkEnd w:id="6"/>
    <w:p>
      <w:pPr>
        <w:ind w:right="180" w:firstLine="428"/>
        <w:spacing w:after="0" w:line="252" w:lineRule="auto"/>
        <w:tabs>
          <w:tab w:leader="none" w:pos="6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1" w:lineRule="exact"/>
        <w:rPr>
          <w:rFonts w:ascii="Times New Roman" w:cs="Times New Roman" w:eastAsia="Times New Roman" w:hAnsi="Times New Roman"/>
          <w:sz w:val="18"/>
          <w:szCs w:val="18"/>
          <w:color w:val="auto"/>
        </w:rPr>
      </w:pPr>
    </w:p>
    <w:p>
      <w:pPr>
        <w:jc w:val="both"/>
        <w:ind w:firstLine="428"/>
        <w:spacing w:after="0" w:line="274" w:lineRule="auto"/>
        <w:tabs>
          <w:tab w:leader="none" w:pos="73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undertakings set forth in paragraphs (a)(1)(i) and (a)</w:t>
      </w:r>
    </w:p>
    <w:p>
      <w:pPr>
        <w:ind w:right="2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w:t>
      </w:r>
    </w:p>
    <w:p>
      <w:pPr>
        <w:sectPr>
          <w:pgSz w:w="11900" w:h="16838" w:orient="portrait"/>
          <w:cols w:equalWidth="0" w:num="1">
            <w:col w:w="10400"/>
          </w:cols>
          <w:pgMar w:left="920" w:top="268" w:right="579" w:bottom="1440" w:gutter="0" w:footer="0" w:header="0"/>
        </w:sectPr>
      </w:pPr>
    </w:p>
    <w:bookmarkStart w:id="7" w:name="page8"/>
    <w:bookmarkEnd w:id="7"/>
    <w:p>
      <w:pPr>
        <w:ind w:left="6" w:right="60" w:firstLine="430"/>
        <w:spacing w:after="0" w:line="262" w:lineRule="auto"/>
        <w:tabs>
          <w:tab w:leader="none" w:pos="69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6" w:right="540" w:firstLine="430"/>
        <w:spacing w:after="0" w:line="277" w:lineRule="auto"/>
        <w:tabs>
          <w:tab w:leader="none" w:pos="69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left="6" w:hanging="6"/>
        <w:spacing w:after="0" w:line="255"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ind w:left="6" w:right="20" w:hanging="6"/>
        <w:spacing w:after="0" w:line="252" w:lineRule="auto"/>
        <w:tabs>
          <w:tab w:leader="none" w:pos="2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806"/>
          </w:cols>
          <w:pgMar w:left="494" w:top="268" w:right="599" w:bottom="1440" w:gutter="0" w:footer="0" w:header="0"/>
        </w:sectPr>
      </w:pPr>
    </w:p>
    <w:bookmarkStart w:id="8" w:name="page9"/>
    <w:bookmarkEnd w:id="8"/>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High Point, State of North Carolina, on this 13th day of May,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VTV THERAPEUTICS INC.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Paul J. Sekhri</w:t>
            </w:r>
          </w:p>
        </w:tc>
      </w:tr>
      <w:tr>
        <w:trPr>
          <w:trHeight w:val="189"/>
        </w:trPr>
        <w:tc>
          <w:tcPr>
            <w:tcW w:w="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Paul J. Sekhri</w:t>
            </w: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0560"/>
          </w:cols>
          <w:pgMar w:left="500" w:top="264" w:right="839" w:bottom="1440" w:gutter="0" w:footer="0" w:header="0"/>
        </w:sectPr>
      </w:pPr>
    </w:p>
    <w:bookmarkStart w:id="9" w:name="page10"/>
    <w:bookmarkEnd w:id="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KNOW TO ALL PERSONS BY THESE PRESENTS, that each person whose signature appears below constitutes and appoints Elizabeth M. Keiley and Michael Tung, and each or any one of them, as such person’s true and lawful attorney-in-fact and agent, with full power of substitution and resubstitution, for such person and in such person’s name, place and stead, in any and all capacities, to sign any and all amendments (including post-effective amendments) to this Registration Statement and to file the same, with all exhibits thereto, with the Commission, granting unto such attorneys-in-fact and agents, and each of them, full power and authority to do and perform each and every act and thing requisite and necessary in connection with such matters and hereby ratifying and confirming all that each such attorney-in-fact, or his agent or substitutes, may do or cause to be done by virtue hereof.</w:t>
      </w:r>
    </w:p>
    <w:p>
      <w:pPr>
        <w:spacing w:after="0" w:line="189"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300" w:type="dxa"/>
            <w:vAlign w:val="bottom"/>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J. Sekhri</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 Chief Executive Officer and Executive Chairperson</w:t>
            </w:r>
          </w:p>
        </w:tc>
        <w:tc>
          <w:tcPr>
            <w:tcW w:w="13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Paul J. Sekhri</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30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Michael Tung</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 (Principal</w:t>
            </w:r>
          </w:p>
        </w:tc>
        <w:tc>
          <w:tcPr>
            <w:tcW w:w="13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Tung</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Financial Officer and Principal Accounting Officer)</w:t>
            </w:r>
          </w:p>
        </w:tc>
        <w:tc>
          <w:tcPr>
            <w:tcW w:w="130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Srinivas Akkaraju</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3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Srinivas Akkaraju</w:t>
            </w:r>
          </w:p>
        </w:tc>
        <w:tc>
          <w:tcPr>
            <w:tcW w:w="50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Raymond Cheong</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3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Raymond Cheong</w:t>
            </w:r>
          </w:p>
        </w:tc>
        <w:tc>
          <w:tcPr>
            <w:tcW w:w="50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Fahed Al Marzooqi</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3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Fahed Al Marzooqi</w:t>
            </w:r>
          </w:p>
        </w:tc>
        <w:tc>
          <w:tcPr>
            <w:tcW w:w="50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Nelson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3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Nelson</w:t>
            </w:r>
          </w:p>
        </w:tc>
        <w:tc>
          <w:tcPr>
            <w:tcW w:w="50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Anne M. Phillips</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3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Anne M. Phillips</w:t>
            </w:r>
          </w:p>
        </w:tc>
        <w:tc>
          <w:tcPr>
            <w:tcW w:w="50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K. Spiegelman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30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Daniel K. Spiegelman</w:t>
            </w:r>
          </w:p>
        </w:tc>
        <w:tc>
          <w:tcPr>
            <w:tcW w:w="508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ectPr>
          <w:pgSz w:w="11900" w:h="16838" w:orient="portrait"/>
          <w:cols w:equalWidth="0" w:num="1">
            <w:col w:w="10720"/>
          </w:cols>
          <w:pgMar w:left="500" w:top="264" w:right="6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([1-year vest][3-year monthly vest][4-year vest])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OPTION AWARD AGREEMENT</w:t>
      </w:r>
    </w:p>
    <w:p>
      <w:pPr>
        <w:spacing w:after="0" w:line="220" w:lineRule="exact"/>
        <w:rPr>
          <w:sz w:val="20"/>
          <w:szCs w:val="20"/>
          <w:color w:val="auto"/>
        </w:rPr>
      </w:pPr>
    </w:p>
    <w:p>
      <w:pPr>
        <w:ind w:right="60" w:firstLine="98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NONQUALIFIED OPTION AWARD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###GRANT_DATE###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of Grant</w:t>
      </w:r>
      <w:r>
        <w:rPr>
          <w:rFonts w:ascii="Times New Roman" w:cs="Times New Roman" w:eastAsia="Times New Roman" w:hAnsi="Times New Roman"/>
          <w:sz w:val="18"/>
          <w:szCs w:val="18"/>
          <w:color w:val="auto"/>
        </w:rPr>
        <w:t>”) by and between vTv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###PARTICIPANT_NAME###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Capitalized terms used but not otherwise defined herein will have the meaning assigned to such terms in the vTv Therapeutics Inc. 2024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4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Plan, pursuant to which Options may be granted, was approved by the stockholders of the Company on June 11,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Company’s annual meeting of the stockholders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right="66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has determined that it is in the best interests of the Company and its stockholders to grant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herein to the Participant subject to the terms set forth herein.</w:t>
      </w:r>
    </w:p>
    <w:p>
      <w:pPr>
        <w:spacing w:after="0" w:line="155" w:lineRule="exact"/>
        <w:rPr>
          <w:sz w:val="20"/>
          <w:szCs w:val="20"/>
          <w:color w:val="auto"/>
        </w:rPr>
      </w:pPr>
    </w:p>
    <w:p>
      <w:pPr>
        <w:jc w:val="both"/>
        <w:ind w:right="36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for and in consideration of the premises and the covenants of the parties contained in this Agreement,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of which is hereby acknowledged, the parties hereto, for themselves, their successors and assigns, hereby agree as follows:</w:t>
      </w:r>
    </w:p>
    <w:p>
      <w:pPr>
        <w:spacing w:after="0" w:line="173" w:lineRule="exact"/>
        <w:rPr>
          <w:sz w:val="20"/>
          <w:szCs w:val="20"/>
          <w:color w:val="auto"/>
        </w:rPr>
      </w:pPr>
    </w:p>
    <w:p>
      <w:pPr>
        <w:ind w:left="1160" w:hanging="185"/>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120" w:firstLine="1411"/>
        <w:spacing w:after="0" w:line="285" w:lineRule="auto"/>
        <w:tabs>
          <w:tab w:leader="none" w:pos="165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The Company hereby grants to the Participant an Option (the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xml:space="preserve">”) to purchase </w:t>
      </w:r>
      <w:r>
        <w:rPr>
          <w:rFonts w:ascii="Times New Roman" w:cs="Times New Roman" w:eastAsia="Times New Roman" w:hAnsi="Times New Roman"/>
          <w:sz w:val="17"/>
          <w:szCs w:val="17"/>
          <w:u w:val="single" w:color="auto"/>
          <w:color w:val="auto"/>
        </w:rPr>
        <w:t>###TOTAL_AWARDS###</w:t>
      </w:r>
      <w:r>
        <w:rPr>
          <w:rFonts w:ascii="Times New Roman" w:cs="Times New Roman" w:eastAsia="Times New Roman" w:hAnsi="Times New Roman"/>
          <w:sz w:val="17"/>
          <w:szCs w:val="17"/>
          <w:color w:val="auto"/>
        </w:rPr>
        <w:t xml:space="preserve"> shares of Common Stock (such shares, the “</w:t>
      </w:r>
      <w:r>
        <w:rPr>
          <w:rFonts w:ascii="Times New Roman" w:cs="Times New Roman" w:eastAsia="Times New Roman" w:hAnsi="Times New Roman"/>
          <w:sz w:val="17"/>
          <w:szCs w:val="17"/>
          <w:u w:val="single" w:color="auto"/>
          <w:color w:val="auto"/>
        </w:rPr>
        <w:t>Option Shares</w:t>
      </w:r>
      <w:r>
        <w:rPr>
          <w:rFonts w:ascii="Times New Roman" w:cs="Times New Roman" w:eastAsia="Times New Roman" w:hAnsi="Times New Roman"/>
          <w:sz w:val="17"/>
          <w:szCs w:val="17"/>
          <w:color w:val="auto"/>
        </w:rPr>
        <w:t>”), on the terms and conditions set forth in this Agreement and as otherwise provided in the Plan. The Options shall vest in accordance with Section 2 herein. The exercise price shall be $</w:t>
      </w:r>
      <w:r>
        <w:rPr>
          <w:rFonts w:ascii="Times New Roman" w:cs="Times New Roman" w:eastAsia="Times New Roman" w:hAnsi="Times New Roman"/>
          <w:sz w:val="17"/>
          <w:szCs w:val="17"/>
          <w:u w:val="single" w:color="auto"/>
          <w:color w:val="auto"/>
        </w:rPr>
        <w:t>###GRANT_PRICE###</w:t>
      </w:r>
      <w:r>
        <w:rPr>
          <w:rFonts w:ascii="Times New Roman" w:cs="Times New Roman" w:eastAsia="Times New Roman" w:hAnsi="Times New Roman"/>
          <w:sz w:val="17"/>
          <w:szCs w:val="17"/>
          <w:color w:val="auto"/>
        </w:rPr>
        <w:t xml:space="preserve"> per Option Share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right="60" w:firstLine="1411"/>
        <w:spacing w:after="0" w:line="271" w:lineRule="auto"/>
        <w:tabs>
          <w:tab w:leader="none" w:pos="166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by Reference</w:t>
      </w:r>
      <w:r>
        <w:rPr>
          <w:rFonts w:ascii="Times New Roman" w:cs="Times New Roman" w:eastAsia="Times New Roman" w:hAnsi="Times New Roman"/>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legal representative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ectPr>
          <w:pgSz w:w="11900" w:h="16838" w:orient="portrait"/>
          <w:cols w:equalWidth="0" w:num="1">
            <w:col w:w="10900"/>
          </w:cols>
          <w:pgMar w:left="500" w:top="117" w:right="499" w:bottom="1440" w:gutter="0" w:footer="0" w:header="0"/>
        </w:sectPr>
      </w:pPr>
    </w:p>
    <w:bookmarkStart w:id="11" w:name="page12"/>
    <w:bookmarkEnd w:id="11"/>
    <w:p>
      <w:pPr>
        <w:ind w:left="6" w:right="240" w:firstLine="975"/>
        <w:spacing w:after="0" w:line="251" w:lineRule="auto"/>
        <w:tabs>
          <w:tab w:leader="none" w:pos="11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Forfeiture; Vesting</w:t>
      </w:r>
      <w:r>
        <w:rPr>
          <w:rFonts w:ascii="Times New Roman" w:cs="Times New Roman" w:eastAsia="Times New Roman" w:hAnsi="Times New Roman"/>
          <w:sz w:val="18"/>
          <w:szCs w:val="18"/>
          <w:color w:val="auto"/>
        </w:rPr>
        <w:t>. Except as may otherwise be provided herein or as otherwise provided in an employment agreement, consulting agreement or other written agreement between the Participant and the Company or any of its Affiliates, [the Options shall become vested and exercisable in full on the earlier of the 12-month anniversary of the Date of Grant and the first annual general meeting of the Company’s stockholders following the Date of Grant] [one-third (1/3) of the Options shall become vested and exercisable on the one (1) year anniversary of the Date of Grant with the remainder of the Options vesting monthly over the successive two-year period] [the Options shall become vested and exercisable as follows: 25% of the Options shall vest on the 12-month anniversary of the Date of Grant with the remaining Options vesting thereafter in twelve (12) equal installments on a quarterly basis over the following three years, with the final tranche vesting on the fourth (4th) anniversary of the Date of Grant], subject to the Participant’s continued employment or service with the Company or an Affiliate through each vesting date. For the avoidance of doubt, there will be no proportionate or partial vesting prior to any such vesting date and all vesting will occur only on such vesting date, subject to the Participant’s continued employment or service with the Company or an Affiliate through such vesting date.</w:t>
      </w:r>
    </w:p>
    <w:p>
      <w:pPr>
        <w:spacing w:after="0" w:line="186" w:lineRule="exact"/>
        <w:rPr>
          <w:rFonts w:ascii="Times New Roman" w:cs="Times New Roman" w:eastAsia="Times New Roman" w:hAnsi="Times New Roman"/>
          <w:sz w:val="18"/>
          <w:szCs w:val="18"/>
          <w:color w:val="auto"/>
        </w:rPr>
      </w:pPr>
    </w:p>
    <w:p>
      <w:pPr>
        <w:ind w:left="6" w:right="580" w:firstLine="975"/>
        <w:spacing w:after="0" w:line="277" w:lineRule="auto"/>
        <w:tabs>
          <w:tab w:leader="none" w:pos="116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or Other Service</w:t>
      </w:r>
      <w:r>
        <w:rPr>
          <w:rFonts w:ascii="Times New Roman" w:cs="Times New Roman" w:eastAsia="Times New Roman" w:hAnsi="Times New Roman"/>
          <w:sz w:val="17"/>
          <w:szCs w:val="17"/>
          <w:color w:val="auto"/>
        </w:rPr>
        <w:t>. Except as otherwise provided herein or as otherwise provided in an employment agreement, consulting agreement or other written agreement between the Participant and the Company or any of its Affiliates, if the Participant’s employment or other service with the Company and its Affiliates terminates for any reason, the unvested portion of the Option shall be cancelled immediately, and the Participant shall immediately forfeit any rights to the Option Shares subject to such unvested portion of the Option.</w:t>
      </w:r>
    </w:p>
    <w:p>
      <w:pPr>
        <w:spacing w:after="0" w:line="166" w:lineRule="exact"/>
        <w:rPr>
          <w:rFonts w:ascii="Times New Roman" w:cs="Times New Roman" w:eastAsia="Times New Roman" w:hAnsi="Times New Roman"/>
          <w:sz w:val="17"/>
          <w:szCs w:val="17"/>
          <w:color w:val="auto"/>
        </w:rPr>
      </w:pPr>
    </w:p>
    <w:p>
      <w:pPr>
        <w:ind w:left="1166" w:hanging="185"/>
        <w:spacing w:after="0"/>
        <w:tabs>
          <w:tab w:leader="none" w:pos="116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6" w:right="300" w:firstLine="1411"/>
        <w:spacing w:after="0" w:line="277" w:lineRule="auto"/>
        <w:tabs>
          <w:tab w:leader="none" w:pos="166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all or any portion of the Option be exercisable after the tenth anniversary of the Date of Grant (such ten-year period, the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6" w:firstLine="1411"/>
        <w:spacing w:after="0" w:line="253" w:lineRule="auto"/>
        <w:tabs>
          <w:tab w:leader="none" w:pos="167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employment agreement, consulting agreement or other written agreement between the Participant and the Company or any of its Affiliates, if, prior to the end of the Option Period, the Participant’s employment or other service with the Company and all Affiliates is terminated by the Company without Cause or by the Participant for any reason, the Option shall expire on the earlier of the last day of the Option Period or the date that is ninety (90) days after the date of such termination of employment or other service. In the event of a termination of employment or other service described in this subsection (b), the Option shall remain exercisable by the Participant as described above only to the extent the Option was vested and exercisable at the time of such termination.</w:t>
      </w:r>
    </w:p>
    <w:p>
      <w:pPr>
        <w:spacing w:after="0" w:line="186" w:lineRule="exact"/>
        <w:rPr>
          <w:rFonts w:ascii="Times New Roman" w:cs="Times New Roman" w:eastAsia="Times New Roman" w:hAnsi="Times New Roman"/>
          <w:sz w:val="18"/>
          <w:szCs w:val="18"/>
          <w:color w:val="auto"/>
        </w:rPr>
      </w:pPr>
    </w:p>
    <w:p>
      <w:pPr>
        <w:ind w:left="6" w:right="160" w:firstLine="1411"/>
        <w:spacing w:after="0" w:line="267" w:lineRule="auto"/>
        <w:tabs>
          <w:tab w:leader="none" w:pos="1665"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an employment agreement, consulting agreement or other written agreement between the Participant and the Company or any of its Affiliates, if (x) the Participant’s employment or other service is terminated prior to the end of the Option Period on account of the Participant’s Disability, (y) the Participant dies while still in the employ of, or while providing services to, the Company or an Affiliate or (z) the Participant dies following a termination described in subsection (b) above but prior to the expiration of an Option, the Option shall expire on the earlier of the last day of the Option Period or the date that is eighteen (18) months after the date of death of the Participant or twelve</w:t>
      </w:r>
    </w:p>
    <w:p>
      <w:pPr>
        <w:ind w:left="6" w:hanging="6"/>
        <w:spacing w:after="0" w:line="251" w:lineRule="auto"/>
        <w:tabs>
          <w:tab w:leader="none" w:pos="3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a termination of employment or other service on account of the Disability of the Participant, as applicable. In such event, the Option shall remain exercisable by the Participant or the Participant’s beneficiary, as applicable, as described above only to the extent the Option was vested and exercisable by the Participant at the time of such event.</w:t>
      </w:r>
    </w:p>
    <w:p>
      <w:pPr>
        <w:spacing w:after="0" w:line="1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6"/>
          </w:cols>
          <w:pgMar w:left="494" w:top="268" w:right="499" w:bottom="1440" w:gutter="0" w:footer="0" w:header="0"/>
        </w:sectPr>
      </w:pPr>
    </w:p>
    <w:bookmarkStart w:id="12" w:name="page13"/>
    <w:bookmarkEnd w:id="12"/>
    <w:p>
      <w:pPr>
        <w:ind w:right="80" w:firstLine="1411"/>
        <w:spacing w:after="0" w:line="262" w:lineRule="auto"/>
        <w:tabs>
          <w:tab w:leader="none" w:pos="166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Participant ceases employment or other service with the Company or any Affiliates due to a termination for Cause or a termination for any reason at a time when grounds to terminate the Participant’s employment or other service for Cause exist, the Option (including any vested portion of the Option) shall expire immediately.</w:t>
      </w:r>
    </w:p>
    <w:p>
      <w:pPr>
        <w:spacing w:after="0" w:line="177" w:lineRule="exact"/>
        <w:rPr>
          <w:rFonts w:ascii="Times New Roman" w:cs="Times New Roman" w:eastAsia="Times New Roman" w:hAnsi="Times New Roman"/>
          <w:sz w:val="18"/>
          <w:szCs w:val="18"/>
          <w:color w:val="auto"/>
        </w:rPr>
      </w:pPr>
    </w:p>
    <w:p>
      <w:pPr>
        <w:ind w:firstLine="975"/>
        <w:spacing w:after="0" w:line="249" w:lineRule="auto"/>
        <w:tabs>
          <w:tab w:leader="none" w:pos="11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 and Form of Payment</w:t>
      </w:r>
      <w:r>
        <w:rPr>
          <w:rFonts w:ascii="Times New Roman" w:cs="Times New Roman" w:eastAsia="Times New Roman" w:hAnsi="Times New Roman"/>
          <w:sz w:val="18"/>
          <w:szCs w:val="18"/>
          <w:color w:val="auto"/>
        </w:rPr>
        <w:t xml:space="preserve">. No Option Share shall be delivered pursuant to any exercise of the Option until payment in full is made to the Company of the Exercise Price and an amount equal to any U.S. federal, state, local and, to the extent applicable, non-U.S. income and employment taxes required to be withheld is withheld. The Option may be exercised by delivery of written or electronic notice of exercise to the Company or its designee (including a third-party administrator) in accordance with the terms hereof. The Exercise Price and all applicable required withholding taxes shall be payable (i) in cash, check, cash equivalent (including bank or certified check or wire transfer) and/or in shares of Common Stock (or any combination of the foregoing) valued at the Fair Market Value at the time the Option is exercised (including, pursuant to procedures approved by the Committee, by means of attestation of ownership of a sufficient number of shares of Common Stock in lieu of actual delivery of such shares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shares of Common Stock are not subject to any pledge or other security interest; (ii) 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 or (iii) by such other method as the Committee may permit, including without limitation: (A) in other property having a fair market value equal to the Exercise Price and all applicable required withholding taxes or (B) if there is a public market for the shares of Common Stock at such time, by means of a broker-assisted “cashless exercise” pursuant to which the Company is delivered a copy of irrevocable instructions to a stockbroker to sell the Option Shares otherwise deliverable upon the exercise of the Option and to deliver promptly to the Company an amount equal to the Exercise Price and all applicable required withholding taxes; or (C) if an Option is a Nonstatutory Stock Option, by means of a “net exercise” procedure effected by withholding the minimum number of shares of Common Stock otherwise deliverable in respect of an Option that are needed to pay for the Exercise Price and all applicable required withholding taxes.</w:t>
      </w:r>
    </w:p>
    <w:p>
      <w:pPr>
        <w:spacing w:after="0" w:line="196" w:lineRule="exact"/>
        <w:rPr>
          <w:rFonts w:ascii="Times New Roman" w:cs="Times New Roman" w:eastAsia="Times New Roman" w:hAnsi="Times New Roman"/>
          <w:sz w:val="18"/>
          <w:szCs w:val="18"/>
          <w:color w:val="auto"/>
        </w:rPr>
      </w:pPr>
    </w:p>
    <w:p>
      <w:pPr>
        <w:ind w:right="20" w:firstLine="975"/>
        <w:spacing w:after="0" w:line="255" w:lineRule="auto"/>
        <w:tabs>
          <w:tab w:leader="none" w:pos="11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The Participant shall not be deemed for any purpose to be the owner of any shares of Common Stock subject to this Option unless, until and to the extent that (i) this Option shall have been exercised pursuant to its terms, (ii) the Company shall have issued and delivered to the Participant the Option Shares and (iii) the Participant’s name shall have been entered as a stockholder of record with respect to such Option Shares on the books of the Company. The Company shall cause the actions described in clauses (ii) and (iii) of the preceding sentence to occur promptly following settlement as contemplated by this Agreement, subject to compliance with applicable laws.</w:t>
      </w:r>
    </w:p>
    <w:p>
      <w:pPr>
        <w:spacing w:after="0" w:line="182"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Legal Requirements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140" w:firstLine="1411"/>
        <w:spacing w:after="0" w:line="255" w:lineRule="auto"/>
        <w:tabs>
          <w:tab w:leader="none" w:pos="16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granting and exercising of the Option,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to the extent applicable, non-U.S. securities law in exercising the Participant’s rights under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13" w:name="page14"/>
    <w:bookmarkEnd w:id="13"/>
    <w:p>
      <w:pPr>
        <w:ind w:left="-20" w:right="40" w:firstLine="1411"/>
        <w:spacing w:after="0" w:line="252" w:lineRule="auto"/>
        <w:tabs>
          <w:tab w:leader="none" w:pos="16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Tax Withholding</w:t>
      </w:r>
      <w:r>
        <w:rPr>
          <w:rFonts w:ascii="Times New Roman" w:cs="Times New Roman" w:eastAsia="Times New Roman" w:hAnsi="Times New Roman"/>
          <w:sz w:val="18"/>
          <w:szCs w:val="18"/>
          <w:color w:val="auto"/>
        </w:rPr>
        <w:t>. Any exercise of the Option shall be subject to the Participant satisfying any applicable U.S. federal, state and local tax withholding obligations and, to the extent applicable, non-U.S. tax withholding obligations. The Company shall have the right and is hereby authorized to withhold from any amounts payable to the Participant in connection with the Option or otherwise the amount of any required withholding taxes in respect of the Option, its exercise or any payment or transfer of the Option or under the Plan and to take any such other action as the Committee or the Company deem necessary to satisfy all obligations for the payment of such withholding taxes. The Committee may in its sole discretion permit the Participant to satisfy, in whole or in part, the tax obligations by withholding shares of Common Stock that would otherwise be received upon exercise of the Option with a Fair Market Value equal to such withholding liability (but no more than the minimum required statutory withholding liability).</w:t>
      </w:r>
    </w:p>
    <w:p>
      <w:pPr>
        <w:spacing w:after="0" w:line="184" w:lineRule="exact"/>
        <w:rPr>
          <w:rFonts w:ascii="Times New Roman" w:cs="Times New Roman" w:eastAsia="Times New Roman" w:hAnsi="Times New Roman"/>
          <w:sz w:val="18"/>
          <w:szCs w:val="18"/>
          <w:color w:val="auto"/>
        </w:rPr>
      </w:pPr>
    </w:p>
    <w:p>
      <w:pPr>
        <w:ind w:left="-20" w:right="20" w:firstLine="975"/>
        <w:spacing w:after="0" w:line="265" w:lineRule="auto"/>
        <w:tabs>
          <w:tab w:leader="none" w:pos="113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Notwithstanding anything to the contrary contained herein, the Committee may cancel the Option award if the 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as determined by the Committee. In such event, the Participant will forfeit any compensation, gain or other value realized thereafter on the vesting or exercise of the Option, the sale or other transfer of the Option, or the sale of shares of Common Stock acquired in respect of the Option and must promptly repay such amounts to the Company. If the Participant receives any amount in excess of what the Participant should have received under the terms of the Option for any reason (including without limitation by reason of a financial restatement, mistake in calculations or other administrative error), all as determined by the Committee, then the Participant shall be required to promptly repay any such excess amount to the Company. In addition to the foregoing, to the extent required by applicable law and/or the rules and regulations of Nasdaq or any other securities exchange or inter-dealer quotation system on which the Common Stock is listed or quoted, or if so required pursuant to a written policy adopted by the Company, the Option shall be subject (including on a retroactive basis) to clawback, forfeiture or similar requirements (and such requirements shall be deemed incorporated by reference into this Agreement). The Participant acknowledges and agrees that no recovery of compensation under any such clawback policy will be an event giving rise to a right of the Participant to voluntarily terminate the Participant’s employment or other service upon a “resignation for good reason,” or for a “constructive termination” or any similar term under any plan of or agreement with the Company or any of its Affiliates.</w:t>
      </w:r>
    </w:p>
    <w:p>
      <w:pPr>
        <w:spacing w:after="0" w:line="182" w:lineRule="exact"/>
        <w:rPr>
          <w:rFonts w:ascii="Times New Roman" w:cs="Times New Roman" w:eastAsia="Times New Roman" w:hAnsi="Times New Roman"/>
          <w:sz w:val="17"/>
          <w:szCs w:val="17"/>
          <w:color w:val="auto"/>
        </w:rPr>
      </w:pPr>
    </w:p>
    <w:p>
      <w:pPr>
        <w:ind w:left="-20" w:firstLine="975"/>
        <w:spacing w:after="0" w:line="255" w:lineRule="auto"/>
        <w:tabs>
          <w:tab w:leader="none" w:pos="11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In the event that the Participant violates any restrictive covenants applicable to the Participant, in addition to any other remedy which may be available at law or in equity, the Option shall be forfeited effective as of the date on which such violation first occurs, unless otherwise determined by the Committee.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520" w:top="268" w:right="519" w:bottom="1440" w:gutter="0" w:footer="0" w:header="0"/>
        </w:sectPr>
      </w:pPr>
    </w:p>
    <w:bookmarkStart w:id="14" w:name="page15"/>
    <w:bookmarkEnd w:id="14"/>
    <w:p>
      <w:pPr>
        <w:ind w:left="1240" w:hanging="26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300" w:firstLine="1411"/>
        <w:spacing w:after="0" w:line="257" w:lineRule="auto"/>
        <w:tabs>
          <w:tab w:leader="none" w:pos="16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Option may not be assigned, alienated, pledged, attached, sold or otherwise transferred or encumbered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by the Participant other than by will or by the laws of descent and distribution, pursuant to a qualified domestic relations order or as otherwise permitted under Section 5(e) of the Plan. Any attempted Transfer of the Option contrary to the provisions hereof, and the levy of any execution, attachment or similar process upon the Option, shall be null and void and without effect.</w:t>
      </w:r>
    </w:p>
    <w:p>
      <w:pPr>
        <w:spacing w:after="0" w:line="182" w:lineRule="exact"/>
        <w:rPr>
          <w:rFonts w:ascii="Times New Roman" w:cs="Times New Roman" w:eastAsia="Times New Roman" w:hAnsi="Times New Roman"/>
          <w:sz w:val="18"/>
          <w:szCs w:val="18"/>
          <w:color w:val="auto"/>
        </w:rPr>
      </w:pPr>
    </w:p>
    <w:p>
      <w:pPr>
        <w:ind w:right="80" w:firstLine="1411"/>
        <w:spacing w:after="0" w:line="257" w:lineRule="auto"/>
        <w:tabs>
          <w:tab w:leader="none" w:pos="16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2" w:lineRule="exact"/>
        <w:rPr>
          <w:rFonts w:ascii="Times New Roman" w:cs="Times New Roman" w:eastAsia="Times New Roman" w:hAnsi="Times New Roman"/>
          <w:sz w:val="18"/>
          <w:szCs w:val="18"/>
          <w:color w:val="auto"/>
        </w:rPr>
      </w:pPr>
    </w:p>
    <w:p>
      <w:pPr>
        <w:ind w:firstLine="1411"/>
        <w:spacing w:after="0" w:line="264" w:lineRule="auto"/>
        <w:tabs>
          <w:tab w:leader="none" w:pos="165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Option is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10(c) does not create an obligation on the part of the Company to modify the Plan or this Agreement and does not guarantee that the Option or the Option Shares will not be subject to interest and penalties under Section 409A. In no event whatsoever shall the Company be liable for any additional tax, interest or penalty that may be imposed on the Participant by Section 409A of the Code or damages for failing to comply with</w:t>
      </w:r>
    </w:p>
    <w:p>
      <w:pPr>
        <w:spacing w:after="0" w:line="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409A of the Code.</w:t>
      </w:r>
    </w:p>
    <w:p>
      <w:pPr>
        <w:spacing w:after="0" w:line="201" w:lineRule="exact"/>
        <w:rPr>
          <w:rFonts w:ascii="Times New Roman" w:cs="Times New Roman" w:eastAsia="Times New Roman" w:hAnsi="Times New Roman"/>
          <w:sz w:val="17"/>
          <w:szCs w:val="17"/>
          <w:color w:val="auto"/>
        </w:rPr>
      </w:pPr>
    </w:p>
    <w:p>
      <w:pPr>
        <w:ind w:right="20" w:firstLine="1411"/>
        <w:spacing w:after="0" w:line="255" w:lineRule="auto"/>
        <w:tabs>
          <w:tab w:leader="none" w:pos="16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(3) business days after mailing but in no event later than the date of actual receipt. Notices shall be directed, if to the Participant, at the Participant’s address indicated by the Company’s records, or if to the Company, to the attention of the Chief Financial Officer of the Company at the Company’s principal executive office.</w:t>
      </w:r>
    </w:p>
    <w:p>
      <w:pPr>
        <w:spacing w:after="0" w:line="182" w:lineRule="exact"/>
        <w:rPr>
          <w:rFonts w:ascii="Times New Roman" w:cs="Times New Roman" w:eastAsia="Times New Roman" w:hAnsi="Times New Roman"/>
          <w:sz w:val="18"/>
          <w:szCs w:val="18"/>
          <w:color w:val="auto"/>
        </w:rPr>
      </w:pPr>
    </w:p>
    <w:p>
      <w:pPr>
        <w:jc w:val="both"/>
        <w:ind w:right="100" w:firstLine="1411"/>
        <w:spacing w:after="0" w:line="308" w:lineRule="auto"/>
        <w:tabs>
          <w:tab w:leader="none" w:pos="165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68" w:right="519" w:bottom="1440" w:gutter="0" w:footer="0" w:header="0"/>
        </w:sectPr>
      </w:pPr>
    </w:p>
    <w:bookmarkStart w:id="15" w:name="page16"/>
    <w:bookmarkEnd w:id="15"/>
    <w:p>
      <w:pPr>
        <w:ind w:left="-20" w:firstLine="1411"/>
        <w:spacing w:after="0" w:line="257" w:lineRule="auto"/>
        <w:tabs>
          <w:tab w:leader="none" w:pos="16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 Rights to Employment or Service</w:t>
      </w:r>
      <w:r>
        <w:rPr>
          <w:rFonts w:ascii="Times New Roman" w:cs="Times New Roman" w:eastAsia="Times New Roman" w:hAnsi="Times New Roman"/>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(or no) reason whatsoever.</w:t>
      </w:r>
    </w:p>
    <w:p>
      <w:pPr>
        <w:spacing w:after="0" w:line="182" w:lineRule="exact"/>
        <w:rPr>
          <w:rFonts w:ascii="Times New Roman" w:cs="Times New Roman" w:eastAsia="Times New Roman" w:hAnsi="Times New Roman"/>
          <w:sz w:val="18"/>
          <w:szCs w:val="18"/>
          <w:color w:val="auto"/>
        </w:rPr>
      </w:pPr>
    </w:p>
    <w:p>
      <w:pPr>
        <w:ind w:left="-20" w:right="680" w:firstLine="1411"/>
        <w:spacing w:after="0" w:line="277" w:lineRule="auto"/>
        <w:tabs>
          <w:tab w:leader="none" w:pos="1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163" w:lineRule="exact"/>
        <w:rPr>
          <w:rFonts w:ascii="Times New Roman" w:cs="Times New Roman" w:eastAsia="Times New Roman" w:hAnsi="Times New Roman"/>
          <w:sz w:val="18"/>
          <w:szCs w:val="18"/>
          <w:color w:val="auto"/>
        </w:rPr>
      </w:pPr>
    </w:p>
    <w:p>
      <w:pPr>
        <w:ind w:left="-20" w:right="220" w:firstLine="1411"/>
        <w:spacing w:after="0" w:line="277" w:lineRule="auto"/>
        <w:tabs>
          <w:tab w:leader="none" w:pos="1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63" w:lineRule="exact"/>
        <w:rPr>
          <w:rFonts w:ascii="Times New Roman" w:cs="Times New Roman" w:eastAsia="Times New Roman" w:hAnsi="Times New Roman"/>
          <w:sz w:val="18"/>
          <w:szCs w:val="18"/>
          <w:color w:val="auto"/>
        </w:rPr>
      </w:pPr>
    </w:p>
    <w:p>
      <w:pPr>
        <w:ind w:left="-20" w:right="40" w:firstLine="1411"/>
        <w:spacing w:after="0" w:line="257" w:lineRule="auto"/>
        <w:tabs>
          <w:tab w:leader="none" w:pos="16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Sections 9 or 10 of the Plan.</w:t>
      </w:r>
    </w:p>
    <w:p>
      <w:pPr>
        <w:spacing w:after="0" w:line="182" w:lineRule="exact"/>
        <w:rPr>
          <w:rFonts w:ascii="Times New Roman" w:cs="Times New Roman" w:eastAsia="Times New Roman" w:hAnsi="Times New Roman"/>
          <w:sz w:val="18"/>
          <w:szCs w:val="18"/>
          <w:color w:val="auto"/>
        </w:rPr>
      </w:pPr>
    </w:p>
    <w:p>
      <w:pPr>
        <w:ind w:left="-20" w:right="400" w:firstLine="1411"/>
        <w:spacing w:after="0" w:line="262" w:lineRule="auto"/>
        <w:tabs>
          <w:tab w:leader="none" w:pos="16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7" w:lineRule="exact"/>
        <w:rPr>
          <w:rFonts w:ascii="Times New Roman" w:cs="Times New Roman" w:eastAsia="Times New Roman" w:hAnsi="Times New Roman"/>
          <w:sz w:val="18"/>
          <w:szCs w:val="18"/>
          <w:color w:val="auto"/>
        </w:rPr>
      </w:pPr>
    </w:p>
    <w:p>
      <w:pPr>
        <w:ind w:left="-20" w:right="80" w:firstLine="1956"/>
        <w:spacing w:after="0" w:line="252" w:lineRule="auto"/>
        <w:tabs>
          <w:tab w:leader="none" w:pos="21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Consent to Jurisdiction</w:t>
      </w:r>
      <w:r>
        <w:rPr>
          <w:rFonts w:ascii="Times New Roman" w:cs="Times New Roman" w:eastAsia="Times New Roman" w:hAnsi="Times New Roman"/>
          <w:sz w:val="18"/>
          <w:szCs w:val="18"/>
          <w:color w:val="auto"/>
        </w:rPr>
        <w:t>. All disputes between or among any Persons arising out of or in any way connected with the Plan, this Agreement or the Option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4" w:lineRule="exact"/>
        <w:rPr>
          <w:rFonts w:ascii="Times New Roman" w:cs="Times New Roman" w:eastAsia="Times New Roman" w:hAnsi="Times New Roman"/>
          <w:sz w:val="18"/>
          <w:szCs w:val="18"/>
          <w:color w:val="auto"/>
        </w:rPr>
      </w:pPr>
    </w:p>
    <w:p>
      <w:pPr>
        <w:ind w:left="-20" w:right="20" w:firstLine="1956"/>
        <w:spacing w:after="0" w:line="273" w:lineRule="auto"/>
        <w:tabs>
          <w:tab w:leader="none" w:pos="2204"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520" w:top="268" w:right="519" w:bottom="1440" w:gutter="0" w:footer="0" w:header="0"/>
        </w:sectPr>
      </w:pPr>
    </w:p>
    <w:bookmarkStart w:id="16" w:name="page17"/>
    <w:bookmarkEnd w:id="16"/>
    <w:p>
      <w:pPr>
        <w:ind w:left="6" w:firstLine="1411"/>
        <w:spacing w:after="0" w:line="277" w:lineRule="auto"/>
        <w:tabs>
          <w:tab w:leader="none" w:pos="16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Headings</w:t>
      </w:r>
      <w:r>
        <w:rPr>
          <w:rFonts w:ascii="Times New Roman" w:cs="Times New Roman" w:eastAsia="Times New Roman" w:hAnsi="Times New Roman"/>
          <w:sz w:val="18"/>
          <w:szCs w:val="18"/>
          <w:color w:val="auto"/>
        </w:rPr>
        <w:t>. The headings of the Sections hereof are provided for convenience only and are not to serve as a basis for interpretation or construction, and shall not constitute a part, of this Agreement.</w:t>
      </w:r>
    </w:p>
    <w:p>
      <w:pPr>
        <w:spacing w:after="0" w:line="163" w:lineRule="exact"/>
        <w:rPr>
          <w:rFonts w:ascii="Times New Roman" w:cs="Times New Roman" w:eastAsia="Times New Roman" w:hAnsi="Times New Roman"/>
          <w:sz w:val="18"/>
          <w:szCs w:val="18"/>
          <w:color w:val="auto"/>
        </w:rPr>
      </w:pPr>
    </w:p>
    <w:p>
      <w:pPr>
        <w:ind w:left="6" w:right="220" w:firstLine="1411"/>
        <w:spacing w:after="0" w:line="262" w:lineRule="auto"/>
        <w:tabs>
          <w:tab w:leader="none" w:pos="16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7" w:lineRule="exact"/>
        <w:rPr>
          <w:rFonts w:ascii="Times New Roman" w:cs="Times New Roman" w:eastAsia="Times New Roman" w:hAnsi="Times New Roman"/>
          <w:sz w:val="18"/>
          <w:szCs w:val="18"/>
          <w:color w:val="auto"/>
        </w:rPr>
      </w:pPr>
    </w:p>
    <w:p>
      <w:pPr>
        <w:ind w:left="6" w:right="460" w:firstLine="1411"/>
        <w:spacing w:after="0" w:line="270" w:lineRule="auto"/>
        <w:tabs>
          <w:tab w:leader="none" w:pos="1725"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Signature and Delivery</w:t>
      </w:r>
      <w:r>
        <w:rPr>
          <w:rFonts w:ascii="Times New Roman" w:cs="Times New Roman" w:eastAsia="Times New Roman" w:hAnsi="Times New Roman"/>
          <w:sz w:val="17"/>
          <w:szCs w:val="17"/>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w:t>
      </w:r>
    </w:p>
    <w:p>
      <w:pPr>
        <w:ind w:left="6" w:right="40" w:hanging="6"/>
        <w:spacing w:after="0" w:line="255"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notice to the Company, in which case subsequent prospectuses, annual reports and other information will be delivered in hard copy to the Participant).</w:t>
      </w:r>
    </w:p>
    <w:p>
      <w:pPr>
        <w:spacing w:after="0" w:line="182" w:lineRule="exact"/>
        <w:rPr>
          <w:rFonts w:ascii="Times New Roman" w:cs="Times New Roman" w:eastAsia="Times New Roman" w:hAnsi="Times New Roman"/>
          <w:sz w:val="18"/>
          <w:szCs w:val="18"/>
          <w:color w:val="auto"/>
        </w:rPr>
      </w:pPr>
    </w:p>
    <w:p>
      <w:pPr>
        <w:ind w:left="6" w:right="120" w:firstLine="1411"/>
        <w:spacing w:after="0" w:line="285" w:lineRule="auto"/>
        <w:tabs>
          <w:tab w:leader="none" w:pos="167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Participation in Plan</w:t>
      </w:r>
      <w:r>
        <w:rPr>
          <w:rFonts w:ascii="Times New Roman" w:cs="Times New Roman" w:eastAsia="Times New Roman" w:hAnsi="Times New Roman"/>
          <w:sz w:val="17"/>
          <w:szCs w:val="17"/>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9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6"/>
          </w:cols>
          <w:pgMar w:left="494" w:top="268" w:right="519"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this Agreement has been executed by the Company and the Participant as of the day first written above.</w:t>
      </w:r>
    </w:p>
    <w:p>
      <w:pPr>
        <w:spacing w:after="0" w:line="2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15875</wp:posOffset>
            </wp:positionV>
            <wp:extent cx="2434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1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3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###PARTICIPANT_NAME###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-127635</wp:posOffset>
            </wp:positionV>
            <wp:extent cx="27654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ectPr>
          <w:pgSz w:w="11900" w:h="16838" w:orient="portrait"/>
          <w:cols w:equalWidth="0" w:num="1">
            <w:col w:w="9520"/>
          </w:cols>
          <w:pgMar w:left="1440" w:top="264" w:right="9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2026 EQUITY INDUCEMENT PLAN</w:t>
      </w:r>
    </w:p>
    <w:p>
      <w:pPr>
        <w:spacing w:after="0" w:line="11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ADOPTED BY THE BOARD OF DIRECTORS: March 5, 2026 (“Adoption Date”)</w:t>
      </w:r>
    </w:p>
    <w:p>
      <w:pPr>
        <w:spacing w:after="0" w:line="220" w:lineRule="exact"/>
        <w:rPr>
          <w:sz w:val="20"/>
          <w:szCs w:val="20"/>
          <w:color w:val="auto"/>
        </w:rPr>
      </w:pPr>
    </w:p>
    <w:p>
      <w:pPr>
        <w:ind w:left="186" w:hanging="186"/>
        <w:spacing w:after="0"/>
        <w:tabs>
          <w:tab w:leader="none" w:pos="18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0" w:lineRule="exact"/>
        <w:rPr>
          <w:rFonts w:ascii="Times New Roman" w:cs="Times New Roman" w:eastAsia="Times New Roman" w:hAnsi="Times New Roman"/>
          <w:sz w:val="18"/>
          <w:szCs w:val="18"/>
          <w:b w:val="1"/>
          <w:bCs w:val="1"/>
          <w:color w:val="auto"/>
        </w:rPr>
      </w:pPr>
    </w:p>
    <w:p>
      <w:pPr>
        <w:ind w:left="6" w:right="20" w:firstLine="430"/>
        <w:spacing w:after="0" w:line="252" w:lineRule="auto"/>
        <w:tabs>
          <w:tab w:leader="none" w:pos="694"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of the Plan. </w:t>
      </w:r>
      <w:r>
        <w:rPr>
          <w:rFonts w:ascii="Times New Roman" w:cs="Times New Roman" w:eastAsia="Times New Roman" w:hAnsi="Times New Roman"/>
          <w:sz w:val="18"/>
          <w:szCs w:val="18"/>
          <w:color w:val="auto"/>
        </w:rPr>
        <w:t>The purpose of this Plan is to attract the best available personnel for positions of substantial responsibility by providing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inducement to key individuals’ entering into employment with vTv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any Subsidiary of the Company and to encourage stock ownership by such individuals, thereby aligning their interests with those of the stockholders of the Company. This Plan is intended to comply with Rule 5635(c)(4) of the Nasdaq Stock Market Listing Rules (the “</w:t>
      </w:r>
      <w:r>
        <w:rPr>
          <w:rFonts w:ascii="Times New Roman" w:cs="Times New Roman" w:eastAsia="Times New Roman" w:hAnsi="Times New Roman"/>
          <w:sz w:val="18"/>
          <w:szCs w:val="18"/>
          <w:b w:val="1"/>
          <w:bCs w:val="1"/>
          <w:i w:val="1"/>
          <w:iCs w:val="1"/>
          <w:color w:val="auto"/>
        </w:rPr>
        <w:t>Listing Rule</w:t>
      </w:r>
      <w:r>
        <w:rPr>
          <w:rFonts w:ascii="Times New Roman" w:cs="Times New Roman" w:eastAsia="Times New Roman" w:hAnsi="Times New Roman"/>
          <w:sz w:val="18"/>
          <w:szCs w:val="18"/>
          <w:color w:val="auto"/>
        </w:rPr>
        <w:t>”), which provides an exception to the Nasdaq Stock Market Listing Rules’ shareholder approval requirement for the issuance of securities with regards to grants to employees of the Company or its Subsidiaries as an inducement material to such individuals entering into employment with the Company or its Subsidiaries, and shall be administered and interpreted consistent with such intent. The Plan permits the grant of Options, Restricted Stock, Restricted Stock Units, Stock Appreciation Rights, Performance Stock Units and Performance Shares.</w:t>
      </w:r>
    </w:p>
    <w:p>
      <w:pPr>
        <w:spacing w:after="0" w:line="184" w:lineRule="exact"/>
        <w:rPr>
          <w:rFonts w:ascii="Times New Roman" w:cs="Times New Roman" w:eastAsia="Times New Roman" w:hAnsi="Times New Roman"/>
          <w:sz w:val="18"/>
          <w:szCs w:val="18"/>
          <w:b w:val="1"/>
          <w:bCs w:val="1"/>
          <w:color w:val="auto"/>
        </w:rPr>
      </w:pPr>
    </w:p>
    <w:p>
      <w:pPr>
        <w:ind w:left="6" w:right="260" w:firstLine="430"/>
        <w:spacing w:after="0" w:line="282" w:lineRule="auto"/>
        <w:tabs>
          <w:tab w:leader="none" w:pos="704"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Options, Stock Appreciation Rights, Restricted Stock Awards, Restricted Stock Unit Awards, and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Awards may be granted to Employees so long as the following requirements are met:</w:t>
      </w:r>
    </w:p>
    <w:p>
      <w:pPr>
        <w:spacing w:after="0" w:line="51" w:lineRule="exact"/>
        <w:rPr>
          <w:rFonts w:ascii="Times New Roman" w:cs="Times New Roman" w:eastAsia="Times New Roman" w:hAnsi="Times New Roman"/>
          <w:sz w:val="18"/>
          <w:szCs w:val="18"/>
          <w:b w:val="1"/>
          <w:bCs w:val="1"/>
          <w:color w:val="auto"/>
        </w:rPr>
      </w:pPr>
    </w:p>
    <w:p>
      <w:pPr>
        <w:ind w:left="6" w:right="760" w:firstLine="975"/>
        <w:spacing w:after="0" w:line="277" w:lineRule="auto"/>
        <w:tabs>
          <w:tab w:leader="none" w:pos="119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was not previously an Employee or Director, or the Employee became employed by the Company or any of its Subsidiaries following a bona-fide period of non-employment or non-service; and</w:t>
      </w:r>
    </w:p>
    <w:p>
      <w:pPr>
        <w:spacing w:after="0" w:line="163" w:lineRule="exact"/>
        <w:rPr>
          <w:rFonts w:ascii="Times New Roman" w:cs="Times New Roman" w:eastAsia="Times New Roman" w:hAnsi="Times New Roman"/>
          <w:sz w:val="18"/>
          <w:szCs w:val="18"/>
          <w:color w:val="auto"/>
        </w:rPr>
      </w:pPr>
    </w:p>
    <w:p>
      <w:pPr>
        <w:ind w:left="6" w:right="800" w:firstLine="975"/>
        <w:spacing w:after="0" w:line="277" w:lineRule="auto"/>
        <w:tabs>
          <w:tab w:leader="none" w:pos="124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Stock Award or Stock Awards to the Employee was an inducement material to the Employee’s entering into employment with the Company (or any of its Subsidiaries, as applicable) in accordance with the Listing Rule.</w:t>
      </w:r>
    </w:p>
    <w:p>
      <w:pPr>
        <w:spacing w:after="0" w:line="163" w:lineRule="exact"/>
        <w:rPr>
          <w:sz w:val="20"/>
          <w:szCs w:val="20"/>
          <w:color w:val="auto"/>
        </w:rPr>
      </w:pPr>
    </w:p>
    <w:p>
      <w:pPr>
        <w:ind w:left="6" w:right="100" w:firstLine="436"/>
        <w:spacing w:after="0" w:line="277" w:lineRule="auto"/>
        <w:rPr>
          <w:sz w:val="20"/>
          <w:szCs w:val="20"/>
          <w:color w:val="auto"/>
        </w:rPr>
      </w:pPr>
      <w:r>
        <w:rPr>
          <w:rFonts w:ascii="Times New Roman" w:cs="Times New Roman" w:eastAsia="Times New Roman" w:hAnsi="Times New Roman"/>
          <w:sz w:val="18"/>
          <w:szCs w:val="18"/>
          <w:color w:val="auto"/>
        </w:rPr>
        <w:t>Notwithstanding the foregoing, an Employee may be granted a Stock Award in connection with a merger or acquisition to the extent permitted by Listing Rule 5636(c).</w:t>
      </w:r>
    </w:p>
    <w:p>
      <w:pPr>
        <w:spacing w:after="0" w:line="159" w:lineRule="exact"/>
        <w:rPr>
          <w:sz w:val="20"/>
          <w:szCs w:val="20"/>
          <w:color w:val="auto"/>
        </w:rPr>
      </w:pPr>
    </w:p>
    <w:p>
      <w:pPr>
        <w:ind w:left="686" w:hanging="250"/>
        <w:spacing w:after="0"/>
        <w:tabs>
          <w:tab w:leader="none" w:pos="686" w:val="left"/>
        </w:tabs>
        <w:numPr>
          <w:ilvl w:val="1"/>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Available Stock Awards. </w:t>
      </w:r>
      <w:r>
        <w:rPr>
          <w:rFonts w:ascii="Times New Roman" w:cs="Times New Roman" w:eastAsia="Times New Roman" w:hAnsi="Times New Roman"/>
          <w:sz w:val="17"/>
          <w:szCs w:val="17"/>
          <w:color w:val="auto"/>
        </w:rPr>
        <w:t>The Plan provides for the grant of the following types of Stock Awards: (i) Options, (ii) Stock Appreciation Rights,</w:t>
      </w:r>
    </w:p>
    <w:p>
      <w:pPr>
        <w:spacing w:after="0" w:line="41" w:lineRule="exact"/>
        <w:rPr>
          <w:rFonts w:ascii="Times New Roman" w:cs="Times New Roman" w:eastAsia="Times New Roman" w:hAnsi="Times New Roman"/>
          <w:sz w:val="17"/>
          <w:szCs w:val="17"/>
          <w:b w:val="1"/>
          <w:bCs w:val="1"/>
          <w:color w:val="auto"/>
        </w:rPr>
      </w:pPr>
    </w:p>
    <w:p>
      <w:pPr>
        <w:ind w:left="306" w:hanging="306"/>
        <w:spacing w:after="0"/>
        <w:tabs>
          <w:tab w:leader="none" w:pos="3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(iv) Restricted Stock Unit Awards, and (v) Performance Stock Awards.</w:t>
      </w:r>
    </w:p>
    <w:p>
      <w:pPr>
        <w:spacing w:after="0" w:line="198" w:lineRule="exact"/>
        <w:rPr>
          <w:sz w:val="20"/>
          <w:szCs w:val="20"/>
          <w:color w:val="auto"/>
        </w:rPr>
      </w:pPr>
    </w:p>
    <w:p>
      <w:pPr>
        <w:ind w:left="186" w:hanging="186"/>
        <w:spacing w:after="0"/>
        <w:tabs>
          <w:tab w:leader="none" w:pos="18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0" w:lineRule="exact"/>
        <w:rPr>
          <w:rFonts w:ascii="Times New Roman" w:cs="Times New Roman" w:eastAsia="Times New Roman" w:hAnsi="Times New Roman"/>
          <w:sz w:val="18"/>
          <w:szCs w:val="18"/>
          <w:b w:val="1"/>
          <w:bCs w:val="1"/>
          <w:color w:val="auto"/>
        </w:rPr>
      </w:pPr>
    </w:p>
    <w:p>
      <w:pPr>
        <w:ind w:left="6" w:right="660" w:firstLine="430"/>
        <w:spacing w:after="0" w:line="282" w:lineRule="auto"/>
        <w:tabs>
          <w:tab w:leader="none" w:pos="69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Committees, as provided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ectPr>
          <w:pgSz w:w="11900" w:h="16838" w:orient="portrait"/>
          <w:cols w:equalWidth="0" w:num="1">
            <w:col w:w="10906"/>
          </w:cols>
          <w:pgMar w:left="494" w:top="117" w:right="499" w:bottom="1440" w:gutter="0" w:footer="0" w:header="0"/>
        </w:sectPr>
      </w:pPr>
    </w:p>
    <w:bookmarkStart w:id="19" w:name="page20"/>
    <w:bookmarkEnd w:id="19"/>
    <w:p>
      <w:pPr>
        <w:ind w:left="620" w:hanging="270"/>
        <w:spacing w:after="0"/>
        <w:tabs>
          <w:tab w:leader="none" w:pos="6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17" w:lineRule="exact"/>
        <w:rPr>
          <w:rFonts w:ascii="Times New Roman" w:cs="Times New Roman" w:eastAsia="Times New Roman" w:hAnsi="Times New Roman"/>
          <w:sz w:val="18"/>
          <w:szCs w:val="18"/>
          <w:b w:val="1"/>
          <w:bCs w:val="1"/>
          <w:color w:val="auto"/>
        </w:rPr>
      </w:pPr>
    </w:p>
    <w:p>
      <w:pPr>
        <w:ind w:left="-80" w:firstLine="975"/>
        <w:spacing w:after="0" w:line="253" w:lineRule="auto"/>
        <w:tabs>
          <w:tab w:leader="none" w:pos="11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 prospective Employees who will be granted Stock Awards in accordance with the Listing Rule;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 In accordance with the Listing Rule, any exercise of the Board’s authority under this Section 2(b)(i) must be exercised solely by the Board’s independent Directors within the meaning of Rule 5605(a)(2) of the Nasdaq Listing Rules.</w:t>
      </w:r>
    </w:p>
    <w:p>
      <w:pPr>
        <w:spacing w:after="0" w:line="186" w:lineRule="exact"/>
        <w:rPr>
          <w:rFonts w:ascii="Times New Roman" w:cs="Times New Roman" w:eastAsia="Times New Roman" w:hAnsi="Times New Roman"/>
          <w:sz w:val="18"/>
          <w:szCs w:val="18"/>
          <w:color w:val="auto"/>
        </w:rPr>
      </w:pPr>
    </w:p>
    <w:p>
      <w:pPr>
        <w:ind w:left="-80" w:right="60" w:firstLine="975"/>
        <w:spacing w:after="0" w:line="285" w:lineRule="auto"/>
        <w:tabs>
          <w:tab w:leader="none" w:pos="116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158" w:lineRule="exact"/>
        <w:rPr>
          <w:rFonts w:ascii="Times New Roman" w:cs="Times New Roman" w:eastAsia="Times New Roman" w:hAnsi="Times New Roman"/>
          <w:sz w:val="17"/>
          <w:szCs w:val="17"/>
          <w:color w:val="auto"/>
        </w:rPr>
      </w:pPr>
    </w:p>
    <w:p>
      <w:pPr>
        <w:ind w:left="1200" w:hanging="305"/>
        <w:spacing w:after="0"/>
        <w:tabs>
          <w:tab w:leader="none" w:pos="12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Stock Awards granted under it.</w:t>
      </w:r>
    </w:p>
    <w:p>
      <w:pPr>
        <w:spacing w:after="0" w:line="220" w:lineRule="exact"/>
        <w:rPr>
          <w:rFonts w:ascii="Times New Roman" w:cs="Times New Roman" w:eastAsia="Times New Roman" w:hAnsi="Times New Roman"/>
          <w:sz w:val="18"/>
          <w:szCs w:val="18"/>
          <w:color w:val="auto"/>
        </w:rPr>
      </w:pPr>
    </w:p>
    <w:p>
      <w:pPr>
        <w:ind w:left="-80" w:right="220" w:firstLine="975"/>
        <w:spacing w:after="0" w:line="277" w:lineRule="auto"/>
        <w:tabs>
          <w:tab w:leader="none" w:pos="12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in whole or in part, the time at which a Stock Award may be exercised or vest (or the time at which cash or shares of Common Stock may be issued in settlement thereof).</w:t>
      </w:r>
    </w:p>
    <w:p>
      <w:pPr>
        <w:spacing w:after="0" w:line="163" w:lineRule="exact"/>
        <w:rPr>
          <w:rFonts w:ascii="Times New Roman" w:cs="Times New Roman" w:eastAsia="Times New Roman" w:hAnsi="Times New Roman"/>
          <w:sz w:val="18"/>
          <w:szCs w:val="18"/>
          <w:color w:val="auto"/>
        </w:rPr>
      </w:pPr>
    </w:p>
    <w:p>
      <w:pPr>
        <w:ind w:left="1140" w:hanging="245"/>
        <w:spacing w:after="0"/>
        <w:tabs>
          <w:tab w:leader="none" w:pos="11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or terminate the Plan at any time.</w:t>
      </w:r>
    </w:p>
    <w:p>
      <w:pPr>
        <w:spacing w:after="0" w:line="220" w:lineRule="exact"/>
        <w:rPr>
          <w:rFonts w:ascii="Times New Roman" w:cs="Times New Roman" w:eastAsia="Times New Roman" w:hAnsi="Times New Roman"/>
          <w:sz w:val="18"/>
          <w:szCs w:val="18"/>
          <w:color w:val="auto"/>
        </w:rPr>
      </w:pPr>
    </w:p>
    <w:p>
      <w:pPr>
        <w:ind w:left="-80" w:right="20" w:firstLine="975"/>
        <w:spacing w:after="0" w:line="257" w:lineRule="auto"/>
        <w:tabs>
          <w:tab w:leader="none" w:pos="12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Plan in any respect the Board deems necessary or advisable, including, without limitation, by adopting amendments relating to certain nonqualified deferred compensation under Section 409A of the Code and/or ensuring that the Plan or Stock Awards are exempt from or compliant with the requirements for nonqualified deferred compensation under Section 409A of the Code, subject to limitations, if any, of applicable law.</w:t>
      </w:r>
    </w:p>
    <w:p>
      <w:pPr>
        <w:spacing w:after="0" w:line="182" w:lineRule="exact"/>
        <w:rPr>
          <w:rFonts w:ascii="Times New Roman" w:cs="Times New Roman" w:eastAsia="Times New Roman" w:hAnsi="Times New Roman"/>
          <w:sz w:val="18"/>
          <w:szCs w:val="18"/>
          <w:color w:val="auto"/>
        </w:rPr>
      </w:pPr>
    </w:p>
    <w:p>
      <w:pPr>
        <w:ind w:left="-80" w:right="280" w:firstLine="975"/>
        <w:spacing w:after="0" w:line="277" w:lineRule="auto"/>
        <w:tabs>
          <w:tab w:leader="none" w:pos="12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 requirements of Rule 16b-3.</w:t>
      </w:r>
    </w:p>
    <w:p>
      <w:pPr>
        <w:spacing w:after="0" w:line="163" w:lineRule="exact"/>
        <w:rPr>
          <w:rFonts w:ascii="Times New Roman" w:cs="Times New Roman" w:eastAsia="Times New Roman" w:hAnsi="Times New Roman"/>
          <w:sz w:val="18"/>
          <w:szCs w:val="18"/>
          <w:color w:val="auto"/>
        </w:rPr>
      </w:pPr>
    </w:p>
    <w:p>
      <w:pPr>
        <w:ind w:left="-80" w:right="20" w:firstLine="975"/>
        <w:spacing w:after="0" w:line="251" w:lineRule="auto"/>
        <w:tabs>
          <w:tab w:leader="none" w:pos="130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Stock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clarify the manner of exemption from, or to bring the Stock Award into compliance with, Section 409A of the Code or (B) to comply with other applicable laws or listing requirements.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40"/>
          </w:cols>
          <w:pgMar w:left="580" w:top="264" w:right="579" w:bottom="1440" w:gutter="0" w:footer="0" w:header="0"/>
        </w:sectPr>
      </w:pPr>
    </w:p>
    <w:bookmarkStart w:id="20" w:name="page21"/>
    <w:bookmarkEnd w:id="20"/>
    <w:p>
      <w:pPr>
        <w:ind w:left="6" w:firstLine="975"/>
        <w:spacing w:after="0" w:line="277" w:lineRule="auto"/>
        <w:tabs>
          <w:tab w:leader="none" w:pos="128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Stock Awards.</w:t>
      </w:r>
    </w:p>
    <w:p>
      <w:pPr>
        <w:spacing w:after="0" w:line="163" w:lineRule="exact"/>
        <w:rPr>
          <w:rFonts w:ascii="Times New Roman" w:cs="Times New Roman" w:eastAsia="Times New Roman" w:hAnsi="Times New Roman"/>
          <w:sz w:val="18"/>
          <w:szCs w:val="18"/>
          <w:color w:val="auto"/>
        </w:rPr>
      </w:pPr>
    </w:p>
    <w:p>
      <w:pPr>
        <w:ind w:left="6" w:right="120" w:firstLine="975"/>
        <w:spacing w:after="0" w:line="262" w:lineRule="auto"/>
        <w:tabs>
          <w:tab w:leader="none" w:pos="123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177" w:lineRule="exact"/>
        <w:rPr>
          <w:rFonts w:ascii="Times New Roman" w:cs="Times New Roman" w:eastAsia="Times New Roman" w:hAnsi="Times New Roman"/>
          <w:sz w:val="18"/>
          <w:szCs w:val="18"/>
          <w:color w:val="auto"/>
        </w:rPr>
      </w:pPr>
    </w:p>
    <w:p>
      <w:pPr>
        <w:ind w:left="6" w:right="220" w:firstLine="975"/>
        <w:spacing w:after="0" w:line="270" w:lineRule="auto"/>
        <w:tabs>
          <w:tab w:leader="none" w:pos="1289"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by applicable law or listing requirements, and except as provided in Section 8 relating to Capitalization Adjustments, the Company will seek stockholder approval of any amendment of this Plan, to effect, (A) the reduction of the exercise, purchase or strike price of any outstanding Stock Award, (B) the cancellation of any outstanding Stock Award and the grant in substitution therefor of a new (1) Option or SAR,</w:t>
      </w:r>
    </w:p>
    <w:p>
      <w:pPr>
        <w:ind w:left="6" w:right="220" w:hanging="6"/>
        <w:spacing w:after="0" w:line="262" w:lineRule="auto"/>
        <w:tabs>
          <w:tab w:leader="none" w:pos="25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 (3) Restricted Stock Unit Award, (4) cash and/or (5) other valuable consideration determined by the Board, in its sole discretion, with any such substituted award (x) covering the same or a different number of shares of Common Stock as the cancelled Stock Award and</w:t>
      </w:r>
    </w:p>
    <w:p>
      <w:pPr>
        <w:ind w:left="6" w:right="2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granted under the Plan or another equity or compensatory plan of the Company; or (C) any other action that is treated as repricing under generally accepted accounting principles.</w:t>
      </w:r>
    </w:p>
    <w:p>
      <w:pPr>
        <w:spacing w:after="0" w:line="178" w:lineRule="exact"/>
        <w:rPr>
          <w:rFonts w:ascii="Times New Roman" w:cs="Times New Roman" w:eastAsia="Times New Roman" w:hAnsi="Times New Roman"/>
          <w:sz w:val="17"/>
          <w:szCs w:val="17"/>
          <w:color w:val="auto"/>
        </w:rPr>
      </w:pPr>
    </w:p>
    <w:p>
      <w:pPr>
        <w:ind w:left="686" w:hanging="250"/>
        <w:spacing w:after="0"/>
        <w:tabs>
          <w:tab w:leader="none" w:pos="68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0" w:lineRule="exact"/>
        <w:rPr>
          <w:rFonts w:ascii="Times New Roman" w:cs="Times New Roman" w:eastAsia="Times New Roman" w:hAnsi="Times New Roman"/>
          <w:sz w:val="18"/>
          <w:szCs w:val="18"/>
          <w:b w:val="1"/>
          <w:bCs w:val="1"/>
          <w:color w:val="auto"/>
        </w:rPr>
      </w:pPr>
    </w:p>
    <w:p>
      <w:pPr>
        <w:ind w:left="6" w:right="20" w:firstLine="975"/>
        <w:spacing w:after="0" w:line="252" w:lineRule="auto"/>
        <w:tabs>
          <w:tab w:leader="none" w:pos="12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except that the Board’s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under Section 2(b)(i) above may only be delegated to the Compensation Committee of the Board.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color w:val="auto"/>
        </w:rPr>
      </w:pPr>
    </w:p>
    <w:p>
      <w:pPr>
        <w:jc w:val="both"/>
        <w:ind w:left="6" w:right="360" w:firstLine="975"/>
        <w:spacing w:after="0" w:line="265" w:lineRule="auto"/>
        <w:tabs>
          <w:tab w:leader="none" w:pos="124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The Committee may consist solely of two or more Directors, in accordance with Rule 16b-3. If it is later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that one or more members of the Committee do not so qualify, actions taken by the Committee prior to such determination shall be valid despite such failure to qualify.</w:t>
      </w:r>
    </w:p>
    <w:p>
      <w:pPr>
        <w:spacing w:after="0" w:line="169" w:lineRule="exact"/>
        <w:rPr>
          <w:rFonts w:ascii="Times New Roman" w:cs="Times New Roman" w:eastAsia="Times New Roman" w:hAnsi="Times New Roman"/>
          <w:sz w:val="18"/>
          <w:szCs w:val="18"/>
          <w:color w:val="auto"/>
        </w:rPr>
      </w:pPr>
    </w:p>
    <w:p>
      <w:pPr>
        <w:ind w:left="6" w:right="120" w:firstLine="430"/>
        <w:spacing w:after="0" w:line="254" w:lineRule="auto"/>
        <w:tabs>
          <w:tab w:leader="none" w:pos="704"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an Officer</w:t>
      </w:r>
      <w:r>
        <w:rPr>
          <w:rFonts w:ascii="Times New Roman" w:cs="Times New Roman" w:eastAsia="Times New Roman" w:hAnsi="Times New Roman"/>
          <w:sz w:val="18"/>
          <w:szCs w:val="18"/>
          <w:color w:val="auto"/>
        </w:rPr>
        <w:t>. The Board, or Committee if applicable, may delegate to one or more Officers the authority to do one or both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following (i) designate 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or Committee resolutions regarding such delegation will specify the total number of shares of Common Stock that may be subject to the Stock Awards granted by such Officer and that such Officer may not grant a Stock Award to himself or herself.</w:t>
      </w:r>
    </w:p>
    <w:p>
      <w:pPr>
        <w:spacing w:after="0" w:line="11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6"/>
          </w:cols>
          <w:pgMar w:left="494" w:top="268" w:right="499" w:bottom="1440" w:gutter="0" w:footer="0" w:header="0"/>
        </w:sectPr>
      </w:pPr>
    </w:p>
    <w:bookmarkStart w:id="21" w:name="page22"/>
    <w:bookmarkEnd w:id="21"/>
    <w:p>
      <w:pPr>
        <w:ind w:left="6" w:right="500" w:firstLine="430"/>
        <w:spacing w:after="0" w:line="282" w:lineRule="auto"/>
        <w:tabs>
          <w:tab w:leader="none" w:pos="684"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Effect of Board’s Decision. </w:t>
      </w:r>
      <w:r>
        <w:rPr>
          <w:rFonts w:ascii="Times New Roman" w:cs="Times New Roman" w:eastAsia="Times New Roman" w:hAnsi="Times New Roman"/>
          <w:sz w:val="18"/>
          <w:szCs w:val="18"/>
          <w:color w:val="auto"/>
        </w:rPr>
        <w:t>All determinations, interpretations and constructions made by the Board in good faith will not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6" w:right="40" w:firstLine="430"/>
        <w:spacing w:after="0" w:line="252" w:lineRule="auto"/>
        <w:tabs>
          <w:tab w:leader="none" w:pos="664"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To the maximum extent permitted by applicable law and the Certificate of Incorporation and By-Laws of the Company,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employee of the Company or any Affiliate and member or former member of the Committee or the Board shall be indemnified and held harmless by the Company against any cost or expense (including reasonable fees of counsel reasonably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the Plan, except to the extent arising out of such officer’s, employee’s, member’s or former member’s own fraud or bad faith. Such indemnification shall be in addition to any right of indemnification the employees, officers, directors or members or former officers, directors or members may have under applicable law or under the Certificate of Incorporation or bylaws of the Company or any Affiliate. Notwithstanding anything else herein, this indemnification will not apply to the actions or determinations made by an individual with regard to Stock Awards granted to such individual under the Plan.</w:t>
      </w:r>
    </w:p>
    <w:p>
      <w:pPr>
        <w:spacing w:after="0" w:line="181" w:lineRule="exact"/>
        <w:rPr>
          <w:rFonts w:ascii="Times New Roman" w:cs="Times New Roman" w:eastAsia="Times New Roman" w:hAnsi="Times New Roman"/>
          <w:sz w:val="18"/>
          <w:szCs w:val="18"/>
          <w:b w:val="1"/>
          <w:bCs w:val="1"/>
          <w:color w:val="auto"/>
        </w:rPr>
      </w:pPr>
    </w:p>
    <w:p>
      <w:pPr>
        <w:ind w:left="186" w:hanging="186"/>
        <w:spacing w:after="0"/>
        <w:tabs>
          <w:tab w:leader="none" w:pos="18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220" w:lineRule="exact"/>
        <w:rPr>
          <w:rFonts w:ascii="Times New Roman" w:cs="Times New Roman" w:eastAsia="Times New Roman" w:hAnsi="Times New Roman"/>
          <w:sz w:val="18"/>
          <w:szCs w:val="18"/>
          <w:b w:val="1"/>
          <w:bCs w:val="1"/>
          <w:color w:val="auto"/>
        </w:rPr>
      </w:pPr>
    </w:p>
    <w:p>
      <w:pPr>
        <w:ind w:left="6" w:right="100" w:firstLine="430"/>
        <w:spacing w:after="0" w:line="282" w:lineRule="auto"/>
        <w:tabs>
          <w:tab w:leader="none" w:pos="69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Capitalization Adjustments, the aggregate number of shares of Common Stock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issued under the Plan pursuant to Stock Awards will not exceed </w:t>
      </w:r>
      <w:r>
        <w:rPr>
          <w:rFonts w:ascii="Times New Roman" w:cs="Times New Roman" w:eastAsia="Times New Roman" w:hAnsi="Times New Roman"/>
          <w:sz w:val="18"/>
          <w:szCs w:val="18"/>
          <w:b w:val="1"/>
          <w:bCs w:val="1"/>
          <w:color w:val="auto"/>
        </w:rPr>
        <w:t>250,000</w:t>
      </w:r>
      <w:r>
        <w:rPr>
          <w:rFonts w:ascii="Times New Roman" w:cs="Times New Roman" w:eastAsia="Times New Roman" w:hAnsi="Times New Roman"/>
          <w:sz w:val="18"/>
          <w:szCs w:val="18"/>
          <w:color w:val="auto"/>
        </w:rPr>
        <w:t xml:space="preserve">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 w:firstLine="436"/>
        <w:spacing w:after="0" w:line="257" w:lineRule="auto"/>
        <w:rPr>
          <w:sz w:val="20"/>
          <w:szCs w:val="20"/>
          <w:color w:val="auto"/>
        </w:rPr>
      </w:pPr>
      <w:r>
        <w:rPr>
          <w:rFonts w:ascii="Times New Roman" w:cs="Times New Roman" w:eastAsia="Times New Roman" w:hAnsi="Times New Roman"/>
          <w:sz w:val="18"/>
          <w:szCs w:val="18"/>
          <w:color w:val="auto"/>
        </w:rPr>
        <w:t xml:space="preserve">For clarity, the Share Reserve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is a limitation on the number of shares of Common Stock that may be issued pursuant to the Plan. Accordingly,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does not limit the granting of Stock Awards.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78" w:lineRule="exact"/>
        <w:rPr>
          <w:sz w:val="20"/>
          <w:szCs w:val="20"/>
          <w:color w:val="auto"/>
        </w:rPr>
      </w:pPr>
    </w:p>
    <w:p>
      <w:pPr>
        <w:ind w:left="706" w:hanging="270"/>
        <w:spacing w:after="0"/>
        <w:tabs>
          <w:tab w:leader="none" w:pos="706"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Shares to the Share Reserve. </w:t>
      </w:r>
      <w:r>
        <w:rPr>
          <w:rFonts w:ascii="Times New Roman" w:cs="Times New Roman" w:eastAsia="Times New Roman" w:hAnsi="Times New Roman"/>
          <w:sz w:val="18"/>
          <w:szCs w:val="18"/>
          <w:color w:val="auto"/>
        </w:rPr>
        <w:t>If a Stock Award or any portion thereof</w:t>
      </w:r>
    </w:p>
    <w:p>
      <w:pPr>
        <w:spacing w:after="0" w:line="224" w:lineRule="exact"/>
        <w:rPr>
          <w:rFonts w:ascii="Times New Roman" w:cs="Times New Roman" w:eastAsia="Times New Roman" w:hAnsi="Times New Roman"/>
          <w:sz w:val="18"/>
          <w:szCs w:val="18"/>
          <w:b w:val="1"/>
          <w:bCs w:val="1"/>
          <w:color w:val="auto"/>
        </w:rPr>
      </w:pPr>
    </w:p>
    <w:p>
      <w:pPr>
        <w:ind w:left="6" w:right="40" w:hanging="6"/>
        <w:spacing w:after="0" w:line="252"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expires or otherwise terminates or is cancelled for any reason without all of the shares covered by such Stock Award having been issued or (ii)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stock), such expiration, cancellation,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4"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 PROVISIONS RELATING TO OPTIONS AND STOCK APPRECIATION RIGHTS.</w:t>
      </w:r>
    </w:p>
    <w:p>
      <w:pPr>
        <w:spacing w:after="0" w:line="224"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 xml:space="preserve">Each Option or SAR will be in such form and will contain such terms and conditions as the Board deems appropriate. No Option will be an “incentive stock option” under Section 422 of the Code.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Award Agreement will conform to (through incorporation of provisions hereof by reference in the applicable Award Agreement or otherwise) the substance of each of the following provisions:</w:t>
      </w:r>
    </w:p>
    <w:p>
      <w:pPr>
        <w:spacing w:after="0" w:line="71" w:lineRule="exact"/>
        <w:rPr>
          <w:sz w:val="20"/>
          <w:szCs w:val="20"/>
          <w:color w:val="auto"/>
        </w:rPr>
      </w:pPr>
    </w:p>
    <w:p>
      <w:pPr>
        <w:ind w:right="100" w:firstLine="430"/>
        <w:spacing w:after="0" w:line="282" w:lineRule="auto"/>
        <w:tabs>
          <w:tab w:leader="none" w:pos="68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No Option or SAR will be exercisable after the expiration of ten (10) years from the date of its grant or such shorter period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Agreement.</w:t>
      </w:r>
    </w:p>
    <w:p>
      <w:pPr>
        <w:spacing w:after="0" w:line="154" w:lineRule="exact"/>
        <w:rPr>
          <w:rFonts w:ascii="Times New Roman" w:cs="Times New Roman" w:eastAsia="Times New Roman" w:hAnsi="Times New Roman"/>
          <w:sz w:val="18"/>
          <w:szCs w:val="18"/>
          <w:b w:val="1"/>
          <w:bCs w:val="1"/>
          <w:color w:val="auto"/>
        </w:rPr>
      </w:pPr>
    </w:p>
    <w:p>
      <w:pPr>
        <w:ind w:right="80" w:firstLine="430"/>
        <w:spacing w:after="0" w:line="282" w:lineRule="auto"/>
        <w:tabs>
          <w:tab w:leader="none" w:pos="69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Unless otherwise determined by the Committee, the exercise or strike price of each Option or SAR will be not less than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Fair Market Value of the Common Stock subject to the Option or SAR on the date the Stock Award is granted.</w:t>
      </w:r>
    </w:p>
    <w:p>
      <w:pPr>
        <w:spacing w:after="0" w:line="154" w:lineRule="exact"/>
        <w:rPr>
          <w:rFonts w:ascii="Times New Roman" w:cs="Times New Roman" w:eastAsia="Times New Roman" w:hAnsi="Times New Roman"/>
          <w:sz w:val="18"/>
          <w:szCs w:val="18"/>
          <w:b w:val="1"/>
          <w:bCs w:val="1"/>
          <w:color w:val="auto"/>
        </w:rPr>
      </w:pPr>
    </w:p>
    <w:p>
      <w:pPr>
        <w:jc w:val="both"/>
        <w:ind w:right="40" w:firstLine="430"/>
        <w:spacing w:after="0" w:line="256" w:lineRule="auto"/>
        <w:tabs>
          <w:tab w:leader="none" w:pos="67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Common Stock acquired pursuant to the exercise of an Option may be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75" w:lineRule="exact"/>
        <w:rPr>
          <w:rFonts w:ascii="Times New Roman" w:cs="Times New Roman" w:eastAsia="Times New Roman" w:hAnsi="Times New Roman"/>
          <w:sz w:val="18"/>
          <w:szCs w:val="18"/>
          <w:b w:val="1"/>
          <w:bCs w:val="1"/>
          <w:color w:val="auto"/>
        </w:rPr>
      </w:pPr>
    </w:p>
    <w:p>
      <w:pPr>
        <w:ind w:left="1180" w:hanging="205"/>
        <w:spacing w:after="0"/>
        <w:tabs>
          <w:tab w:leader="none" w:pos="11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0" w:lineRule="exact"/>
        <w:rPr>
          <w:rFonts w:ascii="Times New Roman" w:cs="Times New Roman" w:eastAsia="Times New Roman" w:hAnsi="Times New Roman"/>
          <w:sz w:val="18"/>
          <w:szCs w:val="18"/>
          <w:color w:val="auto"/>
        </w:rPr>
      </w:pPr>
    </w:p>
    <w:p>
      <w:pPr>
        <w:ind w:left="1240" w:hanging="265"/>
        <w:spacing w:after="0"/>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to the Company (either by actual delivery or attestation) of shares of Common Stock;</w:t>
      </w:r>
    </w:p>
    <w:p>
      <w:pPr>
        <w:spacing w:after="0" w:line="220" w:lineRule="exact"/>
        <w:rPr>
          <w:rFonts w:ascii="Times New Roman" w:cs="Times New Roman" w:eastAsia="Times New Roman" w:hAnsi="Times New Roman"/>
          <w:sz w:val="18"/>
          <w:szCs w:val="18"/>
          <w:color w:val="auto"/>
        </w:rPr>
      </w:pPr>
    </w:p>
    <w:p>
      <w:pPr>
        <w:ind w:right="20" w:firstLine="975"/>
        <w:spacing w:after="0" w:line="253" w:lineRule="auto"/>
        <w:tabs>
          <w:tab w:leader="none" w:pos="129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Options,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accept a cash or other payment from the Participant to the extent of any remaining balance of the aggregate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86"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form of legal consideration that may be acceptable to the Board and specified in the applicable Award Agreement.</w:t>
      </w:r>
    </w:p>
    <w:p>
      <w:pPr>
        <w:spacing w:after="0" w:line="216" w:lineRule="exact"/>
        <w:rPr>
          <w:rFonts w:ascii="Times New Roman" w:cs="Times New Roman" w:eastAsia="Times New Roman" w:hAnsi="Times New Roman"/>
          <w:sz w:val="18"/>
          <w:szCs w:val="18"/>
          <w:color w:val="auto"/>
        </w:rPr>
      </w:pPr>
    </w:p>
    <w:p>
      <w:pPr>
        <w:jc w:val="both"/>
        <w:ind w:firstLine="430"/>
        <w:spacing w:after="0" w:line="265" w:lineRule="auto"/>
        <w:tabs>
          <w:tab w:leader="none" w:pos="69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the provisions of the Stock Appreciation Right Agreement evidencing such SAR. The appreciation distribution payable on the exercise of a SAR will be not greater than an amount equal to the excess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4" w:right="499" w:bottom="1440" w:gutter="0" w:footer="0" w:header="0"/>
        </w:sectPr>
      </w:pPr>
    </w:p>
    <w:bookmarkStart w:id="23" w:name="page24"/>
    <w:bookmarkEnd w:id="23"/>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79" w:lineRule="exact"/>
        <w:rPr>
          <w:sz w:val="20"/>
          <w:szCs w:val="20"/>
          <w:color w:val="auto"/>
        </w:rPr>
      </w:pPr>
    </w:p>
    <w:p>
      <w:pPr>
        <w:ind w:firstLine="430"/>
        <w:spacing w:after="0" w:line="265" w:lineRule="auto"/>
        <w:tabs>
          <w:tab w:leader="none" w:pos="67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as the Board will determine. In the absence of such a determination by the Board to the contrary, the following restrictions on the transferability of Options and SARs will apply:</w:t>
      </w:r>
    </w:p>
    <w:p>
      <w:pPr>
        <w:spacing w:after="0" w:line="62" w:lineRule="exact"/>
        <w:rPr>
          <w:rFonts w:ascii="Times New Roman" w:cs="Times New Roman" w:eastAsia="Times New Roman" w:hAnsi="Times New Roman"/>
          <w:sz w:val="18"/>
          <w:szCs w:val="18"/>
          <w:b w:val="1"/>
          <w:bCs w:val="1"/>
          <w:color w:val="auto"/>
        </w:rPr>
      </w:pPr>
    </w:p>
    <w:p>
      <w:pPr>
        <w:ind w:right="440" w:firstLine="975"/>
        <w:spacing w:after="0" w:line="282" w:lineRule="auto"/>
        <w:tabs>
          <w:tab w:leader="none" w:pos="11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An Option or SAR will not be transferable except by will or by the laws of descent and distribution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subsections (ii) and</w:t>
      </w:r>
    </w:p>
    <w:p>
      <w:pPr>
        <w:spacing w:after="0" w:line="159" w:lineRule="exact"/>
        <w:rPr>
          <w:sz w:val="20"/>
          <w:szCs w:val="20"/>
          <w:color w:val="auto"/>
        </w:rPr>
      </w:pPr>
    </w:p>
    <w:p>
      <w:pPr>
        <w:jc w:val="both"/>
        <w:ind w:right="320" w:firstLine="975"/>
        <w:spacing w:after="0" w:line="262" w:lineRule="auto"/>
        <w:tabs>
          <w:tab w:leader="none" w:pos="12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73" w:lineRule="exact"/>
        <w:rPr>
          <w:sz w:val="20"/>
          <w:szCs w:val="20"/>
          <w:color w:val="auto"/>
        </w:rPr>
      </w:pPr>
    </w:p>
    <w:p>
      <w:pPr>
        <w:ind w:right="140" w:firstLine="975"/>
        <w:spacing w:after="0" w:line="265" w:lineRule="auto"/>
        <w:tabs>
          <w:tab w:leader="none" w:pos="124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Domestic Relations Orders</w:t>
      </w:r>
      <w:r>
        <w:rPr>
          <w:rFonts w:ascii="Times New Roman" w:cs="Times New Roman" w:eastAsia="Times New Roman" w:hAnsi="Times New Roman"/>
          <w:sz w:val="18"/>
          <w:szCs w:val="18"/>
          <w:color w:val="auto"/>
        </w:rPr>
        <w:t>. Subject to the approval of the Board or a duly authorized Officer, an Option or SAR may be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a domestic relations order, official marital settlement agreement or other divorce or separation instrument as permitted by Treasury Regulation Section 1.421-1(b)(2).</w:t>
      </w:r>
    </w:p>
    <w:p>
      <w:pPr>
        <w:spacing w:after="0" w:line="169" w:lineRule="exact"/>
        <w:rPr>
          <w:rFonts w:ascii="Times New Roman" w:cs="Times New Roman" w:eastAsia="Times New Roman" w:hAnsi="Times New Roman"/>
          <w:sz w:val="18"/>
          <w:szCs w:val="18"/>
          <w:color w:val="auto"/>
        </w:rPr>
      </w:pPr>
    </w:p>
    <w:p>
      <w:pPr>
        <w:ind w:right="60" w:firstLine="975"/>
        <w:spacing w:after="0" w:line="253" w:lineRule="auto"/>
        <w:tabs>
          <w:tab w:leader="none" w:pos="12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Subject to the approval of the Board or a duly authorized Officer, a Participant may, by delivering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2" w:lineRule="exact"/>
        <w:rPr>
          <w:rFonts w:ascii="Times New Roman" w:cs="Times New Roman" w:eastAsia="Times New Roman" w:hAnsi="Times New Roman"/>
          <w:sz w:val="18"/>
          <w:szCs w:val="18"/>
          <w:color w:val="auto"/>
        </w:rPr>
      </w:pPr>
    </w:p>
    <w:p>
      <w:pPr>
        <w:ind w:right="180" w:firstLine="430"/>
        <w:spacing w:after="0" w:line="256" w:lineRule="auto"/>
        <w:tabs>
          <w:tab w:leader="none" w:pos="65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shares of Common Stock subject to an Option or SAR may vest and become exercisable in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are subject to any Option or SAR provisions governing the minimum number of shares of Common Stock as to which an Option or SAR may be exercised.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8" w:right="519" w:bottom="1440" w:gutter="0" w:footer="0" w:header="0"/>
        </w:sectPr>
      </w:pPr>
    </w:p>
    <w:bookmarkStart w:id="24" w:name="page25"/>
    <w:bookmarkEnd w:id="24"/>
    <w:p>
      <w:pPr>
        <w:ind w:left="-40" w:right="100" w:firstLine="430"/>
        <w:spacing w:after="0" w:line="252" w:lineRule="auto"/>
        <w:tabs>
          <w:tab w:leader="none" w:pos="64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Termination of Continuous Service. </w:t>
      </w:r>
      <w:r>
        <w:rPr>
          <w:rFonts w:ascii="Times New Roman" w:cs="Times New Roman" w:eastAsia="Times New Roman" w:hAnsi="Times New Roman"/>
          <w:sz w:val="18"/>
          <w:szCs w:val="18"/>
          <w:color w:val="auto"/>
        </w:rPr>
        <w:t>Except as otherwise provided in the applicable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that is three (3)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 without any further action of the Company whatsoever.</w:t>
      </w:r>
    </w:p>
    <w:p>
      <w:pPr>
        <w:spacing w:after="0" w:line="184" w:lineRule="exact"/>
        <w:rPr>
          <w:rFonts w:ascii="Times New Roman" w:cs="Times New Roman" w:eastAsia="Times New Roman" w:hAnsi="Times New Roman"/>
          <w:sz w:val="18"/>
          <w:szCs w:val="18"/>
          <w:b w:val="1"/>
          <w:bCs w:val="1"/>
          <w:color w:val="auto"/>
        </w:rPr>
      </w:pPr>
    </w:p>
    <w:p>
      <w:pPr>
        <w:ind w:left="-40" w:firstLine="430"/>
        <w:spacing w:after="0" w:line="250" w:lineRule="auto"/>
        <w:tabs>
          <w:tab w:leader="none" w:pos="65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Except as otherwise provided in the applicable Award Agreement or other written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91" w:lineRule="exact"/>
        <w:rPr>
          <w:rFonts w:ascii="Times New Roman" w:cs="Times New Roman" w:eastAsia="Times New Roman" w:hAnsi="Times New Roman"/>
          <w:sz w:val="18"/>
          <w:szCs w:val="18"/>
          <w:b w:val="1"/>
          <w:bCs w:val="1"/>
          <w:color w:val="auto"/>
        </w:rPr>
      </w:pPr>
    </w:p>
    <w:p>
      <w:pPr>
        <w:ind w:left="-40" w:firstLine="430"/>
        <w:spacing w:after="0" w:line="253" w:lineRule="auto"/>
        <w:tabs>
          <w:tab w:leader="none" w:pos="60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 without any further action of the Company whatsoever.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20"/>
          </w:cols>
          <w:pgMar w:left="540" w:top="264" w:right="539" w:bottom="1440" w:gutter="0" w:footer="0" w:header="0"/>
        </w:sectPr>
      </w:pPr>
    </w:p>
    <w:bookmarkStart w:id="25" w:name="page26"/>
    <w:bookmarkEnd w:id="25"/>
    <w:p>
      <w:pPr>
        <w:ind w:left="6" w:firstLine="430"/>
        <w:spacing w:after="0" w:line="252" w:lineRule="auto"/>
        <w:tabs>
          <w:tab w:leader="none" w:pos="66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Death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 without any further action of the Company whatsoever.</w:t>
      </w:r>
    </w:p>
    <w:p>
      <w:pPr>
        <w:spacing w:after="0" w:line="181" w:lineRule="exact"/>
        <w:rPr>
          <w:rFonts w:ascii="Times New Roman" w:cs="Times New Roman" w:eastAsia="Times New Roman" w:hAnsi="Times New Roman"/>
          <w:sz w:val="18"/>
          <w:szCs w:val="18"/>
          <w:b w:val="1"/>
          <w:bCs w:val="1"/>
          <w:color w:val="auto"/>
        </w:rPr>
      </w:pPr>
    </w:p>
    <w:p>
      <w:pPr>
        <w:ind w:left="6" w:right="60" w:firstLine="430"/>
        <w:spacing w:after="0" w:line="259" w:lineRule="auto"/>
        <w:tabs>
          <w:tab w:leader="none" w:pos="70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Award Agreement or other individual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Company or any Affiliate and the Participant, if a Participant’s Continuous Service is terminated for Cause, the entire Option or SAR will terminate immediately upon such Participant’s termination of Continuous Service, and the Participant will be prohibited from exercising any portion of his or her Option or SAR from and after the time of such termination of Continuous Service.</w:t>
      </w:r>
    </w:p>
    <w:p>
      <w:pPr>
        <w:spacing w:after="0" w:line="175" w:lineRule="exact"/>
        <w:rPr>
          <w:rFonts w:ascii="Times New Roman" w:cs="Times New Roman" w:eastAsia="Times New Roman" w:hAnsi="Times New Roman"/>
          <w:sz w:val="18"/>
          <w:szCs w:val="18"/>
          <w:b w:val="1"/>
          <w:bCs w:val="1"/>
          <w:color w:val="auto"/>
        </w:rPr>
      </w:pPr>
    </w:p>
    <w:p>
      <w:pPr>
        <w:ind w:left="186" w:hanging="186"/>
        <w:spacing w:after="0"/>
        <w:tabs>
          <w:tab w:leader="none" w:pos="186"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OF STOCK AWARDS OTHER THAN OPTIONS AND SARS.</w:t>
      </w:r>
    </w:p>
    <w:p>
      <w:pPr>
        <w:spacing w:after="0" w:line="220" w:lineRule="exact"/>
        <w:rPr>
          <w:rFonts w:ascii="Times New Roman" w:cs="Times New Roman" w:eastAsia="Times New Roman" w:hAnsi="Times New Roman"/>
          <w:sz w:val="18"/>
          <w:szCs w:val="18"/>
          <w:b w:val="1"/>
          <w:bCs w:val="1"/>
          <w:color w:val="auto"/>
        </w:rPr>
      </w:pPr>
    </w:p>
    <w:p>
      <w:pPr>
        <w:ind w:left="6" w:right="220" w:firstLine="430"/>
        <w:spacing w:after="0" w:line="253" w:lineRule="auto"/>
        <w:tabs>
          <w:tab w:leader="none" w:pos="694"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will be in such form and will contain such terms and conditions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deems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75" w:lineRule="exact"/>
        <w:rPr>
          <w:rFonts w:ascii="Times New Roman" w:cs="Times New Roman" w:eastAsia="Times New Roman" w:hAnsi="Times New Roman"/>
          <w:sz w:val="18"/>
          <w:szCs w:val="18"/>
          <w:b w:val="1"/>
          <w:bCs w:val="1"/>
          <w:color w:val="auto"/>
        </w:rPr>
      </w:pPr>
    </w:p>
    <w:p>
      <w:pPr>
        <w:ind w:left="6" w:firstLine="975"/>
        <w:spacing w:after="0" w:line="265" w:lineRule="auto"/>
        <w:tabs>
          <w:tab w:leader="none" w:pos="12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 bank draft or money order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(B) future services to the Company or an Affiliate, or (C) any other form of legal consideration that may be acceptable to the Board, in its sole discretion, and permissible under applicable law.</w:t>
      </w:r>
    </w:p>
    <w:p>
      <w:pPr>
        <w:spacing w:after="0" w:line="169" w:lineRule="exact"/>
        <w:rPr>
          <w:rFonts w:ascii="Times New Roman" w:cs="Times New Roman" w:eastAsia="Times New Roman" w:hAnsi="Times New Roman"/>
          <w:sz w:val="18"/>
          <w:szCs w:val="18"/>
          <w:color w:val="auto"/>
        </w:rPr>
      </w:pPr>
    </w:p>
    <w:p>
      <w:pPr>
        <w:ind w:left="6" w:firstLine="975"/>
        <w:spacing w:after="0" w:line="282" w:lineRule="auto"/>
        <w:tabs>
          <w:tab w:leader="none" w:pos="1249"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Shares of Common Stock awarded under the Restricted Stock Award Agreement may be subject to forfeiture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a vesting schedule to be determined by the Board.</w:t>
      </w:r>
    </w:p>
    <w:p>
      <w:pPr>
        <w:spacing w:after="0" w:line="154" w:lineRule="exact"/>
        <w:rPr>
          <w:rFonts w:ascii="Times New Roman" w:cs="Times New Roman" w:eastAsia="Times New Roman" w:hAnsi="Times New Roman"/>
          <w:sz w:val="18"/>
          <w:szCs w:val="18"/>
          <w:color w:val="auto"/>
        </w:rPr>
      </w:pPr>
    </w:p>
    <w:p>
      <w:pPr>
        <w:ind w:left="6" w:right="80" w:firstLine="975"/>
        <w:spacing w:after="0" w:line="265" w:lineRule="auto"/>
        <w:tabs>
          <w:tab w:leader="none" w:pos="1299"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If a Participant’s Continuous Service terminates, the Company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07"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6"/>
          </w:cols>
          <w:pgMar w:left="494" w:top="264" w:right="579" w:bottom="1440" w:gutter="0" w:footer="0" w:header="0"/>
        </w:sectPr>
      </w:pPr>
    </w:p>
    <w:bookmarkStart w:id="26" w:name="page27"/>
    <w:bookmarkEnd w:id="26"/>
    <w:p>
      <w:pPr>
        <w:ind w:left="-20" w:right="80" w:firstLine="975"/>
        <w:spacing w:after="0" w:line="259" w:lineRule="auto"/>
        <w:tabs>
          <w:tab w:leader="none" w:pos="12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Transferability. </w:t>
      </w:r>
      <w:r>
        <w:rPr>
          <w:rFonts w:ascii="Times New Roman" w:cs="Times New Roman" w:eastAsia="Times New Roman" w:hAnsi="Times New Roman"/>
          <w:sz w:val="18"/>
          <w:szCs w:val="18"/>
          <w:color w:val="auto"/>
        </w:rPr>
        <w:t>Rights to acquire shares of Common Stock under the Restricted Stock Award Agreement will be transferable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5" w:lineRule="exact"/>
        <w:rPr>
          <w:rFonts w:ascii="Times New Roman" w:cs="Times New Roman" w:eastAsia="Times New Roman" w:hAnsi="Times New Roman"/>
          <w:sz w:val="18"/>
          <w:szCs w:val="18"/>
          <w:color w:val="auto"/>
        </w:rPr>
      </w:pPr>
    </w:p>
    <w:p>
      <w:pPr>
        <w:ind w:left="-20" w:right="100" w:firstLine="975"/>
        <w:spacing w:after="0" w:line="282" w:lineRule="auto"/>
        <w:tabs>
          <w:tab w:leader="none" w:pos="121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A Restricted Stock Award Agreement may provide that any dividends paid on Restricted Stock will be subject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and forfeiture restrictions as apply to the shares subject to the Restricted Stock Award to which they relate.</w:t>
      </w:r>
    </w:p>
    <w:p>
      <w:pPr>
        <w:spacing w:after="0" w:line="154" w:lineRule="exact"/>
        <w:rPr>
          <w:rFonts w:ascii="Times New Roman" w:cs="Times New Roman" w:eastAsia="Times New Roman" w:hAnsi="Times New Roman"/>
          <w:sz w:val="18"/>
          <w:szCs w:val="18"/>
          <w:color w:val="auto"/>
        </w:rPr>
      </w:pPr>
    </w:p>
    <w:p>
      <w:pPr>
        <w:jc w:val="both"/>
        <w:ind w:left="-20" w:firstLine="430"/>
        <w:spacing w:after="0" w:line="279" w:lineRule="auto"/>
        <w:tabs>
          <w:tab w:leader="none" w:pos="678"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Restricted Stock Unit Awards. </w:t>
      </w:r>
      <w:r>
        <w:rPr>
          <w:rFonts w:ascii="Times New Roman" w:cs="Times New Roman" w:eastAsia="Times New Roman" w:hAnsi="Times New Roman"/>
          <w:sz w:val="17"/>
          <w:szCs w:val="17"/>
          <w:color w:val="auto"/>
        </w:rPr>
        <w:t>Each Restricted Stock Unit Award Agreement will be in such form and will contain such terms and conditions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52" w:lineRule="exact"/>
        <w:rPr>
          <w:rFonts w:ascii="Times New Roman" w:cs="Times New Roman" w:eastAsia="Times New Roman" w:hAnsi="Times New Roman"/>
          <w:sz w:val="17"/>
          <w:szCs w:val="17"/>
          <w:b w:val="1"/>
          <w:bCs w:val="1"/>
          <w:color w:val="auto"/>
        </w:rPr>
      </w:pPr>
    </w:p>
    <w:p>
      <w:pPr>
        <w:ind w:left="-20" w:right="80" w:firstLine="975"/>
        <w:spacing w:after="0" w:line="259" w:lineRule="auto"/>
        <w:tabs>
          <w:tab w:leader="none" w:pos="11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 paid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5" w:lineRule="exact"/>
        <w:rPr>
          <w:rFonts w:ascii="Times New Roman" w:cs="Times New Roman" w:eastAsia="Times New Roman" w:hAnsi="Times New Roman"/>
          <w:sz w:val="18"/>
          <w:szCs w:val="18"/>
          <w:color w:val="auto"/>
        </w:rPr>
      </w:pPr>
    </w:p>
    <w:p>
      <w:pPr>
        <w:ind w:left="-20" w:right="380" w:firstLine="975"/>
        <w:spacing w:after="0" w:line="282" w:lineRule="auto"/>
        <w:tabs>
          <w:tab w:leader="none" w:pos="122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the Restricted Stock Unit Award as it, in its sole discretion, deems appropriate.</w:t>
      </w:r>
    </w:p>
    <w:p>
      <w:pPr>
        <w:spacing w:after="0" w:line="154" w:lineRule="exact"/>
        <w:rPr>
          <w:rFonts w:ascii="Times New Roman" w:cs="Times New Roman" w:eastAsia="Times New Roman" w:hAnsi="Times New Roman"/>
          <w:sz w:val="18"/>
          <w:szCs w:val="18"/>
          <w:color w:val="auto"/>
        </w:rPr>
      </w:pPr>
    </w:p>
    <w:p>
      <w:pPr>
        <w:ind w:left="-20" w:right="280" w:firstLine="975"/>
        <w:spacing w:after="0" w:line="312" w:lineRule="auto"/>
        <w:tabs>
          <w:tab w:leader="none" w:pos="1272"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A Restricted Stock Unit Award may be settled by the delivery of shares of Common Stock, their cash equivalent,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thereof or in any other form of consideration, as determined by the Board and contained in the Restricted Stock Unit Award Agreement.</w:t>
      </w:r>
    </w:p>
    <w:p>
      <w:pPr>
        <w:spacing w:after="0" w:line="132" w:lineRule="exact"/>
        <w:rPr>
          <w:rFonts w:ascii="Times New Roman" w:cs="Times New Roman" w:eastAsia="Times New Roman" w:hAnsi="Times New Roman"/>
          <w:sz w:val="17"/>
          <w:szCs w:val="17"/>
          <w:color w:val="auto"/>
        </w:rPr>
      </w:pPr>
    </w:p>
    <w:p>
      <w:pPr>
        <w:ind w:left="-20" w:right="40" w:firstLine="975"/>
        <w:spacing w:after="0" w:line="265" w:lineRule="auto"/>
        <w:tabs>
          <w:tab w:leader="none" w:pos="12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 impose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69" w:lineRule="exact"/>
        <w:rPr>
          <w:rFonts w:ascii="Times New Roman" w:cs="Times New Roman" w:eastAsia="Times New Roman" w:hAnsi="Times New Roman"/>
          <w:sz w:val="18"/>
          <w:szCs w:val="18"/>
          <w:color w:val="auto"/>
        </w:rPr>
      </w:pPr>
    </w:p>
    <w:p>
      <w:pPr>
        <w:ind w:left="-20" w:right="300" w:firstLine="975"/>
        <w:spacing w:after="0" w:line="256" w:lineRule="auto"/>
        <w:tabs>
          <w:tab w:leader="none" w:pos="121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Dividend equivalents may be credited in respect of shares of Common Stock covered by a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520" w:top="264" w:right="519" w:bottom="1440" w:gutter="0" w:footer="0" w:header="0"/>
        </w:sectPr>
      </w:pPr>
    </w:p>
    <w:bookmarkStart w:id="27" w:name="page28"/>
    <w:bookmarkEnd w:id="27"/>
    <w:p>
      <w:pPr>
        <w:ind w:left="6" w:right="120" w:firstLine="975"/>
        <w:spacing w:after="0" w:line="265" w:lineRule="auto"/>
        <w:tabs>
          <w:tab w:leader="none" w:pos="1289"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Termination of Participant’s Continuous Service. </w:t>
      </w:r>
      <w:r>
        <w:rPr>
          <w:rFonts w:ascii="Times New Roman" w:cs="Times New Roman" w:eastAsia="Times New Roman" w:hAnsi="Times New Roman"/>
          <w:sz w:val="18"/>
          <w:szCs w:val="18"/>
          <w:color w:val="auto"/>
        </w:rPr>
        <w:t>Except as otherwise provided in the applicable Restricted Stock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other written agreement between a Participant and the Company or an Affiliate, such portion of the Restricted Stock Unit Award that has not vested will be forfeited upon the Participant’s termination of Continuous Service without any further action of the Company whatsoever.</w:t>
      </w:r>
    </w:p>
    <w:p>
      <w:pPr>
        <w:spacing w:after="0" w:line="169" w:lineRule="exact"/>
        <w:rPr>
          <w:rFonts w:ascii="Times New Roman" w:cs="Times New Roman" w:eastAsia="Times New Roman" w:hAnsi="Times New Roman"/>
          <w:sz w:val="18"/>
          <w:szCs w:val="18"/>
          <w:color w:val="auto"/>
        </w:rPr>
      </w:pPr>
    </w:p>
    <w:p>
      <w:pPr>
        <w:ind w:left="686" w:hanging="250"/>
        <w:spacing w:after="0"/>
        <w:tabs>
          <w:tab w:leader="none" w:pos="686"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p>
    <w:p>
      <w:pPr>
        <w:spacing w:after="0" w:line="220" w:lineRule="exact"/>
        <w:rPr>
          <w:rFonts w:ascii="Times New Roman" w:cs="Times New Roman" w:eastAsia="Times New Roman" w:hAnsi="Times New Roman"/>
          <w:sz w:val="18"/>
          <w:szCs w:val="18"/>
          <w:b w:val="1"/>
          <w:bCs w:val="1"/>
          <w:color w:val="auto"/>
        </w:rPr>
      </w:pPr>
    </w:p>
    <w:p>
      <w:pPr>
        <w:ind w:left="6" w:firstLine="975"/>
        <w:spacing w:after="0" w:line="254" w:lineRule="auto"/>
        <w:tabs>
          <w:tab w:leader="none" w:pos="12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Stock Awards</w:t>
      </w:r>
      <w:r>
        <w:rPr>
          <w:rFonts w:ascii="Times New Roman" w:cs="Times New Roman" w:eastAsia="Times New Roman" w:hAnsi="Times New Roman"/>
          <w:sz w:val="18"/>
          <w:szCs w:val="18"/>
          <w:color w:val="auto"/>
        </w:rPr>
        <w:t>. A Performance Stock Award is a Stock Award that is payable (including that may be granted, may vest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the Committee may determine that cash may be used in payment of Performance Stock Awards.</w:t>
      </w:r>
    </w:p>
    <w:p>
      <w:pPr>
        <w:spacing w:after="0" w:line="181" w:lineRule="exact"/>
        <w:rPr>
          <w:rFonts w:ascii="Times New Roman" w:cs="Times New Roman" w:eastAsia="Times New Roman" w:hAnsi="Times New Roman"/>
          <w:sz w:val="18"/>
          <w:szCs w:val="18"/>
          <w:color w:val="auto"/>
        </w:rPr>
      </w:pPr>
    </w:p>
    <w:p>
      <w:pPr>
        <w:ind w:left="6" w:right="20" w:firstLine="975"/>
        <w:spacing w:after="0" w:line="265" w:lineRule="auto"/>
        <w:tabs>
          <w:tab w:leader="none" w:pos="1249"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Discretion</w:t>
      </w:r>
      <w:r>
        <w:rPr>
          <w:rFonts w:ascii="Times New Roman" w:cs="Times New Roman" w:eastAsia="Times New Roman" w:hAnsi="Times New Roman"/>
          <w:sz w:val="18"/>
          <w:szCs w:val="18"/>
          <w:color w:val="auto"/>
        </w:rPr>
        <w:t>. The Board retains the discretion to adjust or eliminate the compensation or economic benefit due upon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w:t>
      </w:r>
    </w:p>
    <w:p>
      <w:pPr>
        <w:spacing w:after="0" w:line="169" w:lineRule="exact"/>
        <w:rPr>
          <w:rFonts w:ascii="Times New Roman" w:cs="Times New Roman" w:eastAsia="Times New Roman" w:hAnsi="Times New Roman"/>
          <w:sz w:val="18"/>
          <w:szCs w:val="18"/>
          <w:color w:val="auto"/>
        </w:rPr>
      </w:pPr>
    </w:p>
    <w:p>
      <w:pPr>
        <w:ind w:left="186" w:hanging="186"/>
        <w:spacing w:after="0"/>
        <w:tabs>
          <w:tab w:leader="none" w:pos="186"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220" w:lineRule="exact"/>
        <w:rPr>
          <w:rFonts w:ascii="Times New Roman" w:cs="Times New Roman" w:eastAsia="Times New Roman" w:hAnsi="Times New Roman"/>
          <w:sz w:val="18"/>
          <w:szCs w:val="18"/>
          <w:b w:val="1"/>
          <w:bCs w:val="1"/>
          <w:color w:val="auto"/>
        </w:rPr>
      </w:pPr>
    </w:p>
    <w:p>
      <w:pPr>
        <w:ind w:left="6" w:right="20" w:firstLine="430"/>
        <w:spacing w:after="0" w:line="252" w:lineRule="auto"/>
        <w:tabs>
          <w:tab w:leader="none" w:pos="694"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will seek to obtain from each regulatory commission or agency having jurisdiction over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necessary, such authority as may be required to grant Stock Awards and to issue and sell shares of Common Stock upon exercise or vesting of the Stock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181" w:lineRule="exact"/>
        <w:rPr>
          <w:rFonts w:ascii="Times New Roman" w:cs="Times New Roman" w:eastAsia="Times New Roman" w:hAnsi="Times New Roman"/>
          <w:sz w:val="18"/>
          <w:szCs w:val="18"/>
          <w:b w:val="1"/>
          <w:bCs w:val="1"/>
          <w:color w:val="auto"/>
        </w:rPr>
      </w:pPr>
    </w:p>
    <w:p>
      <w:pPr>
        <w:ind w:left="6" w:right="40" w:firstLine="430"/>
        <w:spacing w:after="0" w:line="259" w:lineRule="auto"/>
        <w:tabs>
          <w:tab w:leader="none" w:pos="704"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treatment or time or manner of exercising such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1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6"/>
          </w:cols>
          <w:pgMar w:left="494" w:top="264" w:right="519" w:bottom="1440" w:gutter="0" w:footer="0" w:header="0"/>
        </w:sectPr>
      </w:pPr>
    </w:p>
    <w:bookmarkStart w:id="28" w:name="page29"/>
    <w:bookmarkEnd w:id="28"/>
    <w:p>
      <w:pPr>
        <w:ind w:left="186" w:hanging="186"/>
        <w:spacing w:after="0"/>
        <w:tabs>
          <w:tab w:leader="none" w:pos="18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MISCELLANEOUS.</w:t>
      </w:r>
    </w:p>
    <w:p>
      <w:pPr>
        <w:spacing w:after="0" w:line="220" w:lineRule="exact"/>
        <w:rPr>
          <w:rFonts w:ascii="Times New Roman" w:cs="Times New Roman" w:eastAsia="Times New Roman" w:hAnsi="Times New Roman"/>
          <w:sz w:val="18"/>
          <w:szCs w:val="18"/>
          <w:b w:val="1"/>
          <w:bCs w:val="1"/>
          <w:color w:val="auto"/>
        </w:rPr>
      </w:pPr>
    </w:p>
    <w:p>
      <w:pPr>
        <w:ind w:left="6" w:right="40" w:firstLine="430"/>
        <w:spacing w:after="0" w:line="253" w:lineRule="auto"/>
        <w:tabs>
          <w:tab w:leader="none" w:pos="69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 Stock Award to any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left="6" w:right="140" w:firstLine="430"/>
        <w:spacing w:after="0" w:line="259" w:lineRule="auto"/>
        <w:tabs>
          <w:tab w:leader="none" w:pos="70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spacing w:after="0" w:line="175" w:lineRule="exact"/>
        <w:rPr>
          <w:rFonts w:ascii="Times New Roman" w:cs="Times New Roman" w:eastAsia="Times New Roman" w:hAnsi="Times New Roman"/>
          <w:sz w:val="18"/>
          <w:szCs w:val="18"/>
          <w:b w:val="1"/>
          <w:bCs w:val="1"/>
          <w:color w:val="auto"/>
        </w:rPr>
      </w:pPr>
    </w:p>
    <w:p>
      <w:pPr>
        <w:ind w:left="6" w:right="80" w:firstLine="430"/>
        <w:spacing w:after="0" w:line="259" w:lineRule="auto"/>
        <w:tabs>
          <w:tab w:leader="none" w:pos="68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Notwithstanding anything to the contrary, none of the Plan, any Stock Award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any Option or other Stock Award hereunder shall give any Employee any right with respect to the continuance of employment by the Company or any Affiliate, nor shall there be a limitation in any way on the right of the Company or any Affiliate to terminate an Employee’s employment at any time and for any or no reason.</w:t>
      </w:r>
    </w:p>
    <w:p>
      <w:pPr>
        <w:spacing w:after="0" w:line="175" w:lineRule="exact"/>
        <w:rPr>
          <w:rFonts w:ascii="Times New Roman" w:cs="Times New Roman" w:eastAsia="Times New Roman" w:hAnsi="Times New Roman"/>
          <w:sz w:val="18"/>
          <w:szCs w:val="18"/>
          <w:b w:val="1"/>
          <w:bCs w:val="1"/>
          <w:color w:val="auto"/>
        </w:rPr>
      </w:pPr>
    </w:p>
    <w:p>
      <w:pPr>
        <w:ind w:left="6" w:firstLine="430"/>
        <w:spacing w:after="0" w:line="253" w:lineRule="auto"/>
        <w:tabs>
          <w:tab w:leader="none" w:pos="70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Unless prohibited by the terms of an Award Agreement, the Company may, in its sole discretion, satisfy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shares of Common Stock are withheld with a value exceeding the maximum amount of tax required to be withheld by law (or such lesser amount as may be necessary to avoid classification of the Stock Award as a liability for financial accounting purposes); (iii) withholding cash from a Stock Award settled in cash; (iv) withholding payment from any amounts otherwise payable to the Participant; or (v) by such other method as may be set forth in the Award Agreement.</w:t>
      </w:r>
    </w:p>
    <w:p>
      <w:pPr>
        <w:spacing w:after="0" w:line="182" w:lineRule="exact"/>
        <w:rPr>
          <w:rFonts w:ascii="Times New Roman" w:cs="Times New Roman" w:eastAsia="Times New Roman" w:hAnsi="Times New Roman"/>
          <w:sz w:val="18"/>
          <w:szCs w:val="18"/>
          <w:b w:val="1"/>
          <w:bCs w:val="1"/>
          <w:color w:val="auto"/>
        </w:rPr>
      </w:pPr>
    </w:p>
    <w:p>
      <w:pPr>
        <w:ind w:left="6" w:right="60" w:firstLine="430"/>
        <w:spacing w:after="0" w:line="265" w:lineRule="auto"/>
        <w:tabs>
          <w:tab w:leader="none" w:pos="68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6"/>
          </w:cols>
          <w:pgMar w:left="494" w:top="264" w:right="519" w:bottom="1440" w:gutter="0" w:footer="0" w:header="0"/>
        </w:sectPr>
      </w:pPr>
    </w:p>
    <w:bookmarkStart w:id="29" w:name="page30"/>
    <w:bookmarkEnd w:id="29"/>
    <w:p>
      <w:pPr>
        <w:ind w:right="20" w:firstLine="430"/>
        <w:spacing w:after="0" w:line="253" w:lineRule="auto"/>
        <w:tabs>
          <w:tab w:leader="none" w:pos="65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2" w:lineRule="exact"/>
        <w:rPr>
          <w:rFonts w:ascii="Times New Roman" w:cs="Times New Roman" w:eastAsia="Times New Roman" w:hAnsi="Times New Roman"/>
          <w:sz w:val="18"/>
          <w:szCs w:val="18"/>
          <w:b w:val="1"/>
          <w:bCs w:val="1"/>
          <w:color w:val="auto"/>
        </w:rPr>
      </w:pPr>
    </w:p>
    <w:p>
      <w:pPr>
        <w:ind w:right="60" w:firstLine="430"/>
        <w:spacing w:after="0" w:line="252" w:lineRule="auto"/>
        <w:tabs>
          <w:tab w:leader="none" w:pos="68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Stock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ind w:firstLine="430"/>
        <w:spacing w:after="0" w:line="265" w:lineRule="auto"/>
        <w:tabs>
          <w:tab w:leader="none" w:pos="698"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Compliance with Section 409A of the Code. </w:t>
      </w:r>
      <w:r>
        <w:rPr>
          <w:rFonts w:ascii="Times New Roman" w:cs="Times New Roman" w:eastAsia="Times New Roman" w:hAnsi="Times New Roman"/>
          <w:sz w:val="17"/>
          <w:szCs w:val="17"/>
          <w:color w:val="auto"/>
        </w:rPr>
        <w:t>Unless otherwise expressly provided for in an Award Agreement, the Plan and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Agreements will be interpreted to the greatest extent possible in a manner that makes the Plan and the Stock Awards granted hereunder exempt from Section 409A of the Code, and, to the extent not so exempt, in compliance with Section 409A of the Code. If the Board determines that any Stock Award granted hereunder is not exempt from and is therefore subject to Section 409A of the Code, the Award Agreement evidencing such Stock Award will incorporate the terms and conditions necessary to avoid the consequences specified in Section 409A(a)(1) of the Code, and to the extent an Award Agreement is silent on terms necessary for compliance, such terms are hereby incorporated by reference into the Award Agreement. The Company shall have no liability to a Participant, or any other party, if a Stock Award that is intended to be exempt from, or compliant with, Section 409A of the Code is not so exempt or compliant or for any action taken by the Board or the Company and, in the event that any amount or benefit under the Plan becomes subject to penalties under Section 409A of the Code, responsibility for payment of such penalties shall rest solely with the affected Participants and not with the Company. Notwithstanding anything to the contrary in this Plan (and unless the Award Agreement specifically provides otherwise), if the shares of Common Stock are publicly traded, and if a Participant holding a Stock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(6) month period elapses, with the balance paid thereafter on the original schedule.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264" w:right="519" w:bottom="1440" w:gutter="0" w:footer="0" w:header="0"/>
        </w:sectPr>
      </w:pPr>
    </w:p>
    <w:bookmarkStart w:id="30" w:name="page31"/>
    <w:bookmarkEnd w:id="30"/>
    <w:p>
      <w:pPr>
        <w:ind w:left="186" w:hanging="186"/>
        <w:spacing w:after="0"/>
        <w:tabs>
          <w:tab w:leader="none" w:pos="18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ADJUSTMENTS UPON CHANGES IN COMMON STOCK; OTHER CORPORATE EVENTS.</w:t>
      </w:r>
    </w:p>
    <w:p>
      <w:pPr>
        <w:spacing w:after="0" w:line="220" w:lineRule="exact"/>
        <w:rPr>
          <w:rFonts w:ascii="Times New Roman" w:cs="Times New Roman" w:eastAsia="Times New Roman" w:hAnsi="Times New Roman"/>
          <w:sz w:val="18"/>
          <w:szCs w:val="18"/>
          <w:b w:val="1"/>
          <w:bCs w:val="1"/>
          <w:color w:val="auto"/>
        </w:rPr>
      </w:pPr>
    </w:p>
    <w:p>
      <w:pPr>
        <w:ind w:left="6" w:firstLine="430"/>
        <w:spacing w:after="0" w:line="256" w:lineRule="auto"/>
        <w:tabs>
          <w:tab w:leader="none" w:pos="69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will, in its sole discretion, as it determines is equitably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to prevent dilution or enlargement of the rights granted to, or available for, Participants under the Plan, appropriately and proportionately adjust: (i) the class(es) and maximum number of securities subject to the Plan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and (ii) the class(es) and number of securities and price per share of stock subject to outstanding Stock Awards. The Board will make such adjustments, and its determination will be final, binding and conclusive.</w:t>
      </w:r>
    </w:p>
    <w:p>
      <w:pPr>
        <w:spacing w:after="0" w:line="178" w:lineRule="exact"/>
        <w:rPr>
          <w:rFonts w:ascii="Times New Roman" w:cs="Times New Roman" w:eastAsia="Times New Roman" w:hAnsi="Times New Roman"/>
          <w:sz w:val="18"/>
          <w:szCs w:val="18"/>
          <w:b w:val="1"/>
          <w:bCs w:val="1"/>
          <w:color w:val="auto"/>
        </w:rPr>
      </w:pPr>
    </w:p>
    <w:p>
      <w:pPr>
        <w:ind w:left="6" w:right="40" w:firstLine="430"/>
        <w:spacing w:after="0" w:line="253" w:lineRule="auto"/>
        <w:tabs>
          <w:tab w:leader="none" w:pos="70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w:t>
      </w:r>
      <w:r>
        <w:rPr>
          <w:rFonts w:ascii="Times New Roman" w:cs="Times New Roman" w:eastAsia="Times New Roman" w:hAnsi="Times New Roman"/>
          <w:sz w:val="18"/>
          <w:szCs w:val="18"/>
          <w:color w:val="auto"/>
        </w:rPr>
        <w:t>. Except as otherwise provided in the Stock Award Agreement, in the event of a Dissolution of the Company, all outstanding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left="6" w:right="60" w:firstLine="430"/>
        <w:spacing w:after="0" w:line="256" w:lineRule="auto"/>
        <w:tabs>
          <w:tab w:leader="none" w:pos="68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The following provisions will apply to Stock Awards in the event of a Change in Control unless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evidencing the Stock Award or any other written agreement between the Company or any Affiliate and the Participant or unless otherwise expressly provided by the Board at the time of grant of a Stock Award. In the event of a Change in Control, then, notwithstanding any other provision of the Plan, the Board may take one or more of the following actions with respect to Stock Awards, contingent upon the closing or completion of the Change in Control:</w:t>
      </w:r>
    </w:p>
    <w:p>
      <w:pPr>
        <w:spacing w:after="0" w:line="75" w:lineRule="exact"/>
        <w:rPr>
          <w:rFonts w:ascii="Times New Roman" w:cs="Times New Roman" w:eastAsia="Times New Roman" w:hAnsi="Times New Roman"/>
          <w:sz w:val="18"/>
          <w:szCs w:val="18"/>
          <w:b w:val="1"/>
          <w:bCs w:val="1"/>
          <w:color w:val="auto"/>
        </w:rPr>
      </w:pPr>
    </w:p>
    <w:p>
      <w:pPr>
        <w:ind w:left="6" w:right="180" w:firstLine="975"/>
        <w:spacing w:after="0" w:line="262" w:lineRule="auto"/>
        <w:tabs>
          <w:tab w:leader="none" w:pos="120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or cash award for the Stock Award (including, but not limited to, an award to acquire the same consideration or value paid to the stockholders of the Company pursuant to the Change in Control);</w:t>
      </w:r>
    </w:p>
    <w:p>
      <w:pPr>
        <w:spacing w:after="0" w:line="177" w:lineRule="exact"/>
        <w:rPr>
          <w:rFonts w:ascii="Times New Roman" w:cs="Times New Roman" w:eastAsia="Times New Roman" w:hAnsi="Times New Roman"/>
          <w:sz w:val="18"/>
          <w:szCs w:val="18"/>
          <w:color w:val="auto"/>
        </w:rPr>
      </w:pPr>
    </w:p>
    <w:p>
      <w:pPr>
        <w:ind w:left="6" w:right="60" w:firstLine="975"/>
        <w:spacing w:after="0" w:line="277" w:lineRule="auto"/>
        <w:tabs>
          <w:tab w:leader="none" w:pos="1249"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6"/>
          </w:cols>
          <w:pgMar w:left="494" w:top="264" w:right="499" w:bottom="1440" w:gutter="0" w:footer="0" w:header="0"/>
        </w:sectPr>
      </w:pPr>
    </w:p>
    <w:bookmarkStart w:id="31" w:name="page32"/>
    <w:bookmarkEnd w:id="31"/>
    <w:p>
      <w:pPr>
        <w:ind w:left="6" w:right="40" w:firstLine="975"/>
        <w:spacing w:after="0" w:line="273" w:lineRule="auto"/>
        <w:tabs>
          <w:tab w:leader="none" w:pos="129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accelerate the vesting, in whole or in part, of the Stock Award (and, if applicable, the time at which the Stock Award may be exercised) to a date prior to the effective time of such Change in Control as the Board determines (or, if the Board does not determine such a date, to the date that is five days prior to the effective date of the Change in Control), with such Stock Award terminating if not exercised (if applicable) at or prior to the effective time of the Change in Control;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Board may require Participants to complete and deliver to the Company a notice of exercise before the effective date of a Change in Control, which exercise is contingent upon the effectiveness of such Transaction;</w:t>
      </w:r>
    </w:p>
    <w:p>
      <w:pPr>
        <w:spacing w:after="0" w:line="170" w:lineRule="exact"/>
        <w:rPr>
          <w:rFonts w:ascii="Times New Roman" w:cs="Times New Roman" w:eastAsia="Times New Roman" w:hAnsi="Times New Roman"/>
          <w:sz w:val="17"/>
          <w:szCs w:val="17"/>
          <w:color w:val="auto"/>
        </w:rPr>
      </w:pPr>
    </w:p>
    <w:p>
      <w:pPr>
        <w:ind w:left="1286" w:hanging="305"/>
        <w:spacing w:after="0"/>
        <w:tabs>
          <w:tab w:leader="none" w:pos="12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Stock</w:t>
      </w:r>
    </w:p>
    <w:p>
      <w:pPr>
        <w:spacing w:after="0" w:line="25"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w:t>
      </w:r>
    </w:p>
    <w:p>
      <w:pPr>
        <w:spacing w:after="0" w:line="201" w:lineRule="exact"/>
        <w:rPr>
          <w:rFonts w:ascii="Times New Roman" w:cs="Times New Roman" w:eastAsia="Times New Roman" w:hAnsi="Times New Roman"/>
          <w:sz w:val="18"/>
          <w:szCs w:val="18"/>
          <w:color w:val="auto"/>
        </w:rPr>
      </w:pPr>
    </w:p>
    <w:p>
      <w:pPr>
        <w:ind w:left="6" w:firstLine="975"/>
        <w:spacing w:after="0" w:line="253" w:lineRule="auto"/>
        <w:tabs>
          <w:tab w:leader="none" w:pos="123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in exchange for such cash consideration, if any, as the Board, in its sole discretion, may consider appropriate; provided, however, that in the discretion of the Board, any cash or other consideration payable upon the purchase of any Stock Award may be subjected to (x) vesting terms substantially identical to those that applied to the Stock Award immediately prior to the Change in Control or (y) earn-out, escrow, indemnification, holdback or similar arrangements, to the extent such arrangements are applicable to consideration paid to other equity holders of the Company in connection with the Change in Control; and</w:t>
      </w:r>
    </w:p>
    <w:p>
      <w:pPr>
        <w:spacing w:after="0" w:line="186" w:lineRule="exact"/>
        <w:rPr>
          <w:rFonts w:ascii="Times New Roman" w:cs="Times New Roman" w:eastAsia="Times New Roman" w:hAnsi="Times New Roman"/>
          <w:sz w:val="18"/>
          <w:szCs w:val="18"/>
          <w:color w:val="auto"/>
        </w:rPr>
      </w:pPr>
    </w:p>
    <w:p>
      <w:pPr>
        <w:ind w:left="6" w:right="40" w:firstLine="975"/>
        <w:spacing w:after="0" w:line="253" w:lineRule="auto"/>
        <w:tabs>
          <w:tab w:leader="none" w:pos="12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Change in Control, over (B) any exercise price payable by such holder in connection with such exercise; provided that, this payment may be $0 if the value of the property is equal to or less than the exercise price, and in any such event, cancel the applicable Stock Award. Payments under this provision may be delayed to the same extent that payment of consideration to the holders of the Company’s Common Stock in connection with the Change in Control is delayed as a result of escrows, earn outs, holdbacks or any other contingencies.</w:t>
      </w:r>
    </w:p>
    <w:p>
      <w:pPr>
        <w:spacing w:after="0" w:line="187" w:lineRule="exact"/>
        <w:rPr>
          <w:sz w:val="20"/>
          <w:szCs w:val="20"/>
          <w:color w:val="auto"/>
        </w:rPr>
      </w:pPr>
    </w:p>
    <w:p>
      <w:pPr>
        <w:ind w:left="6" w:right="320" w:firstLine="436"/>
        <w:spacing w:after="0" w:line="277"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3" w:lineRule="exact"/>
        <w:rPr>
          <w:sz w:val="20"/>
          <w:szCs w:val="20"/>
          <w:color w:val="auto"/>
        </w:rPr>
      </w:pPr>
    </w:p>
    <w:p>
      <w:pPr>
        <w:ind w:left="6" w:firstLine="430"/>
        <w:spacing w:after="0" w:line="262" w:lineRule="auto"/>
        <w:tabs>
          <w:tab w:leader="none" w:pos="704"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w:t>
      </w:r>
    </w:p>
    <w:p>
      <w:pPr>
        <w:spacing w:after="0" w:line="173" w:lineRule="exact"/>
        <w:rPr>
          <w:rFonts w:ascii="Times New Roman" w:cs="Times New Roman" w:eastAsia="Times New Roman" w:hAnsi="Times New Roman"/>
          <w:sz w:val="18"/>
          <w:szCs w:val="18"/>
          <w:b w:val="1"/>
          <w:bCs w:val="1"/>
          <w:color w:val="auto"/>
        </w:rPr>
      </w:pPr>
    </w:p>
    <w:p>
      <w:pPr>
        <w:ind w:left="186" w:hanging="186"/>
        <w:spacing w:after="0"/>
        <w:tabs>
          <w:tab w:leader="none" w:pos="18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 EARLIER TERMINATION OR SUSPENSION OF THE PLAN.</w:t>
      </w:r>
    </w:p>
    <w:p>
      <w:pPr>
        <w:spacing w:after="0" w:line="224" w:lineRule="exact"/>
        <w:rPr>
          <w:sz w:val="20"/>
          <w:szCs w:val="20"/>
          <w:color w:val="auto"/>
        </w:rPr>
      </w:pPr>
    </w:p>
    <w:p>
      <w:pPr>
        <w:ind w:left="6" w:right="140" w:firstLine="436"/>
        <w:spacing w:after="0" w:line="277" w:lineRule="auto"/>
        <w:rPr>
          <w:sz w:val="20"/>
          <w:szCs w:val="20"/>
          <w:color w:val="auto"/>
        </w:rPr>
      </w:pPr>
      <w:r>
        <w:rPr>
          <w:rFonts w:ascii="Times New Roman" w:cs="Times New Roman" w:eastAsia="Times New Roman" w:hAnsi="Times New Roman"/>
          <w:sz w:val="18"/>
          <w:szCs w:val="18"/>
          <w:color w:val="auto"/>
        </w:rPr>
        <w:t>No Stock Awards under the Plan may be made after the tenth anniversary of the Adoption Date. The Board may suspend or terminate the Plan at any time. No Awards may be granted under the Plan while the Plan is suspended or after it is terminated.</w:t>
      </w:r>
    </w:p>
    <w:p>
      <w:pPr>
        <w:spacing w:after="0" w:line="1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10. CHOICE OF LAW.</w:t>
      </w:r>
    </w:p>
    <w:p>
      <w:pPr>
        <w:spacing w:after="0" w:line="224" w:lineRule="exact"/>
        <w:rPr>
          <w:sz w:val="20"/>
          <w:szCs w:val="20"/>
          <w:color w:val="auto"/>
        </w:rPr>
      </w:pPr>
    </w:p>
    <w:p>
      <w:pPr>
        <w:ind w:left="6" w:right="80" w:firstLine="436"/>
        <w:spacing w:after="0" w:line="277" w:lineRule="auto"/>
        <w:rPr>
          <w:sz w:val="20"/>
          <w:szCs w:val="20"/>
          <w:color w:val="auto"/>
        </w:rPr>
      </w:pPr>
      <w:r>
        <w:rPr>
          <w:rFonts w:ascii="Times New Roman" w:cs="Times New Roman" w:eastAsia="Times New Roman" w:hAnsi="Times New Roman"/>
          <w:sz w:val="18"/>
          <w:szCs w:val="18"/>
          <w:color w:val="auto"/>
        </w:rPr>
        <w:t>The laws of the State of Delaware will govern all questions concerning the construction, validity and interpretation of this Plan, without regard to that state’s conflict of laws rules.</w:t>
      </w:r>
    </w:p>
    <w:p>
      <w:pPr>
        <w:spacing w:after="0" w:line="9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66"/>
          </w:cols>
          <w:pgMar w:left="494" w:top="268" w:right="539" w:bottom="1440" w:gutter="0" w:footer="0" w:header="0"/>
        </w:sectPr>
      </w:pPr>
    </w:p>
    <w:bookmarkStart w:id="32" w:name="page33"/>
    <w:bookmarkEnd w:id="32"/>
    <w:p>
      <w:pPr>
        <w:ind w:left="266" w:hanging="266"/>
        <w:spacing w:after="0"/>
        <w:tabs>
          <w:tab w:leader="none" w:pos="26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DEFINITIONS. As used in the Plan, the following definitions will apply to the capitalized terms indicated below:</w:t>
      </w:r>
    </w:p>
    <w:p>
      <w:pPr>
        <w:spacing w:after="0" w:line="113" w:lineRule="exact"/>
        <w:rPr>
          <w:rFonts w:ascii="Times New Roman" w:cs="Times New Roman" w:eastAsia="Times New Roman" w:hAnsi="Times New Roman"/>
          <w:sz w:val="18"/>
          <w:szCs w:val="18"/>
          <w:b w:val="1"/>
          <w:bCs w:val="1"/>
          <w:color w:val="auto"/>
        </w:rPr>
      </w:pPr>
    </w:p>
    <w:p>
      <w:pPr>
        <w:ind w:left="6" w:right="320" w:firstLine="430"/>
        <w:spacing w:after="0" w:line="265" w:lineRule="auto"/>
        <w:tabs>
          <w:tab w:leader="none" w:pos="694"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The Board will have the authority to determine the time or times at which “parent” or “subsidiary” status is determined within the foregoing definition.</w:t>
      </w:r>
    </w:p>
    <w:p>
      <w:pPr>
        <w:spacing w:after="0" w:line="169" w:lineRule="exact"/>
        <w:rPr>
          <w:rFonts w:ascii="Times New Roman" w:cs="Times New Roman" w:eastAsia="Times New Roman" w:hAnsi="Times New Roman"/>
          <w:sz w:val="18"/>
          <w:szCs w:val="18"/>
          <w:b w:val="1"/>
          <w:bCs w:val="1"/>
          <w:color w:val="auto"/>
        </w:rPr>
      </w:pPr>
    </w:p>
    <w:p>
      <w:pPr>
        <w:ind w:left="706" w:hanging="270"/>
        <w:spacing w:after="0"/>
        <w:tabs>
          <w:tab w:leader="none" w:pos="70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w:t>
      </w:r>
    </w:p>
    <w:p>
      <w:pPr>
        <w:spacing w:after="0" w:line="29" w:lineRule="exact"/>
        <w:rPr>
          <w:rFonts w:ascii="Times New Roman" w:cs="Times New Roman" w:eastAsia="Times New Roman" w:hAnsi="Times New Roman"/>
          <w:sz w:val="18"/>
          <w:szCs w:val="18"/>
          <w:b w:val="1"/>
          <w:bCs w:val="1"/>
          <w:color w:val="auto"/>
        </w:rPr>
      </w:pPr>
    </w:p>
    <w:p>
      <w:pPr>
        <w:ind w:left="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w:t>
      </w:r>
    </w:p>
    <w:p>
      <w:pPr>
        <w:spacing w:after="0" w:line="197" w:lineRule="exact"/>
        <w:rPr>
          <w:rFonts w:ascii="Times New Roman" w:cs="Times New Roman" w:eastAsia="Times New Roman" w:hAnsi="Times New Roman"/>
          <w:sz w:val="18"/>
          <w:szCs w:val="18"/>
          <w:b w:val="1"/>
          <w:bCs w:val="1"/>
          <w:color w:val="auto"/>
        </w:rPr>
      </w:pPr>
    </w:p>
    <w:p>
      <w:pPr>
        <w:ind w:left="686" w:hanging="250"/>
        <w:spacing w:after="0"/>
        <w:tabs>
          <w:tab w:leader="none" w:pos="68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0" w:lineRule="exact"/>
        <w:rPr>
          <w:rFonts w:ascii="Times New Roman" w:cs="Times New Roman" w:eastAsia="Times New Roman" w:hAnsi="Times New Roman"/>
          <w:sz w:val="18"/>
          <w:szCs w:val="18"/>
          <w:b w:val="1"/>
          <w:bCs w:val="1"/>
          <w:color w:val="auto"/>
        </w:rPr>
      </w:pPr>
    </w:p>
    <w:p>
      <w:pPr>
        <w:ind w:left="706" w:hanging="270"/>
        <w:spacing w:after="0"/>
        <w:tabs>
          <w:tab w:leader="none" w:pos="70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0" w:lineRule="exact"/>
        <w:rPr>
          <w:rFonts w:ascii="Times New Roman" w:cs="Times New Roman" w:eastAsia="Times New Roman" w:hAnsi="Times New Roman"/>
          <w:sz w:val="18"/>
          <w:szCs w:val="18"/>
          <w:b w:val="1"/>
          <w:bCs w:val="1"/>
          <w:color w:val="auto"/>
        </w:rPr>
      </w:pPr>
    </w:p>
    <w:p>
      <w:pPr>
        <w:ind w:left="6" w:firstLine="430"/>
        <w:spacing w:after="0" w:line="272" w:lineRule="auto"/>
        <w:tabs>
          <w:tab w:leader="none" w:pos="684" w:val="left"/>
        </w:tabs>
        <w:numPr>
          <w:ilvl w:val="1"/>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6" w:lineRule="exact"/>
        <w:rPr>
          <w:rFonts w:ascii="Times New Roman" w:cs="Times New Roman" w:eastAsia="Times New Roman" w:hAnsi="Times New Roman"/>
          <w:sz w:val="17"/>
          <w:szCs w:val="17"/>
          <w:b w:val="1"/>
          <w:bCs w:val="1"/>
          <w:color w:val="auto"/>
        </w:rPr>
      </w:pPr>
    </w:p>
    <w:p>
      <w:pPr>
        <w:ind w:left="6" w:right="20" w:firstLine="430"/>
        <w:spacing w:after="0" w:line="276" w:lineRule="auto"/>
        <w:tabs>
          <w:tab w:leader="none" w:pos="664" w:val="left"/>
        </w:tabs>
        <w:numPr>
          <w:ilvl w:val="1"/>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have the meaning ascribed to such term in any written agreement between the Participant and the Company or its Affiliate defining such term and, in the absence of such agreement, such term means, with respect to a Participant, the occurrence of any of the following events:</w:t>
      </w:r>
    </w:p>
    <w:p>
      <w:pPr>
        <w:ind w:left="6"/>
        <w:spacing w:after="0" w:line="24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any of its Affiliates or of any statutory duty owed to the Company or any of its Affiliates; (iv) such Participant’s unauthorized use or disclosure of the Company’s or any of its Affiliates’ confidential information or trade secrets; or (v) such Participant’s willful misconduct or gross negligence.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Stock Awards held by such Participant shall have no effect upon any determination of the rights or obligations of the Company or such Participant for any other purpose.</w:t>
      </w:r>
    </w:p>
    <w:p>
      <w:pPr>
        <w:spacing w:after="0" w:line="127"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26"/>
          </w:cols>
          <w:pgMar w:left="494" w:top="264" w:right="579" w:bottom="1440" w:gutter="0" w:footer="0" w:header="0"/>
        </w:sectPr>
      </w:pPr>
    </w:p>
    <w:bookmarkStart w:id="33" w:name="page34"/>
    <w:bookmarkEnd w:id="33"/>
    <w:p>
      <w:pPr>
        <w:ind w:left="680" w:hanging="250"/>
        <w:spacing w:after="0"/>
        <w:tabs>
          <w:tab w:leader="none" w:pos="6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w:t>
      </w:r>
    </w:p>
    <w:p>
      <w:pPr>
        <w:spacing w:after="0" w:line="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events:</w:t>
      </w:r>
    </w:p>
    <w:p>
      <w:pPr>
        <w:spacing w:after="0" w:line="94" w:lineRule="exact"/>
        <w:rPr>
          <w:rFonts w:ascii="Times New Roman" w:cs="Times New Roman" w:eastAsia="Times New Roman" w:hAnsi="Times New Roman"/>
          <w:sz w:val="18"/>
          <w:szCs w:val="18"/>
          <w:b w:val="1"/>
          <w:bCs w:val="1"/>
          <w:color w:val="auto"/>
        </w:rPr>
      </w:pPr>
    </w:p>
    <w:p>
      <w:pPr>
        <w:ind w:firstLine="975"/>
        <w:spacing w:after="0" w:line="266" w:lineRule="auto"/>
        <w:tabs>
          <w:tab w:leader="none" w:pos="119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7"/>
          <w:szCs w:val="17"/>
          <w:b w:val="1"/>
          <w:bCs w:val="1"/>
          <w:i w:val="1"/>
          <w:iCs w:val="1"/>
          <w:color w:val="auto"/>
        </w:rPr>
        <w:t>Subject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1" w:lineRule="exact"/>
        <w:rPr>
          <w:rFonts w:ascii="Times New Roman" w:cs="Times New Roman" w:eastAsia="Times New Roman" w:hAnsi="Times New Roman"/>
          <w:sz w:val="17"/>
          <w:szCs w:val="17"/>
          <w:color w:val="auto"/>
        </w:rPr>
      </w:pPr>
    </w:p>
    <w:p>
      <w:pPr>
        <w:ind w:firstLine="975"/>
        <w:spacing w:after="0" w:line="251" w:lineRule="auto"/>
        <w:tabs>
          <w:tab w:leader="none" w:pos="12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merger, consolidation or similar transaction will not constitute a Change in Control under this prong of the definition if the outstanding voting securities representing more than 50% of the combined voting power of the surviving entity or its parent are owned by an executive officer or a Director (either, an “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and/or any entity in which an Investor has a direct or indirect interest (whether in the form of voting rights or participation in profits or capital contributions) of more than 50% (collectively, the “</w:t>
      </w:r>
      <w:r>
        <w:rPr>
          <w:rFonts w:ascii="Times New Roman" w:cs="Times New Roman" w:eastAsia="Times New Roman" w:hAnsi="Times New Roman"/>
          <w:sz w:val="18"/>
          <w:szCs w:val="18"/>
          <w:b w:val="1"/>
          <w:bCs w:val="1"/>
          <w:i w:val="1"/>
          <w:iCs w:val="1"/>
          <w:color w:val="auto"/>
        </w:rPr>
        <w:t>Entities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right="160" w:firstLine="975"/>
        <w:spacing w:after="0" w:line="270" w:lineRule="auto"/>
        <w:tabs>
          <w:tab w:leader="none" w:pos="1293"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Entities;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500" w:top="264" w:right="519" w:bottom="1440" w:gutter="0" w:footer="0" w:header="0"/>
        </w:sectPr>
      </w:pPr>
    </w:p>
    <w:bookmarkStart w:id="34" w:name="page35"/>
    <w:bookmarkEnd w:id="34"/>
    <w:p>
      <w:pPr>
        <w:ind w:right="280" w:firstLine="975"/>
        <w:spacing w:after="0" w:line="277"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59" w:lineRule="exact"/>
        <w:rPr>
          <w:rFonts w:ascii="Times New Roman" w:cs="Times New Roman" w:eastAsia="Times New Roman" w:hAnsi="Times New Roman"/>
          <w:sz w:val="18"/>
          <w:szCs w:val="18"/>
          <w:color w:val="auto"/>
        </w:rPr>
      </w:pPr>
    </w:p>
    <w:p>
      <w:pPr>
        <w:ind w:right="20" w:firstLine="975"/>
        <w:spacing w:after="0" w:line="259" w:lineRule="auto"/>
        <w:tabs>
          <w:tab w:leader="none" w:pos="12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date hereof,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cease for any reason to constitute at least a majority of the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79"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Stock Awards subject to such agreement;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no definition of Change in Control or any analogous term is set forth in such an individual written agreement, the foregoing definition will apply. Notwithstanding the foregoing, with respect to any Stock Award that is characterized as “nonqualified deferred compensation” within the meaning of Section 409A of the Code, an event shall not be considered to be a Change in Control under the Plan for purposes of payment of such Stock Award unless such event is also a “change in ownership,” a “change in effective control” or a “change in the ownership of a substantial portion of the assets” of the Company within the meaning of Section 409A of the Code.</w:t>
      </w:r>
    </w:p>
    <w:p>
      <w:pPr>
        <w:spacing w:after="0" w:line="173" w:lineRule="exact"/>
        <w:rPr>
          <w:sz w:val="20"/>
          <w:szCs w:val="20"/>
          <w:color w:val="auto"/>
        </w:rPr>
      </w:pPr>
    </w:p>
    <w:p>
      <w:pPr>
        <w:ind w:left="700" w:hanging="270"/>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0" w:lineRule="exact"/>
        <w:rPr>
          <w:rFonts w:ascii="Times New Roman" w:cs="Times New Roman" w:eastAsia="Times New Roman" w:hAnsi="Times New Roman"/>
          <w:sz w:val="18"/>
          <w:szCs w:val="18"/>
          <w:b w:val="1"/>
          <w:bCs w:val="1"/>
          <w:color w:val="auto"/>
        </w:rPr>
      </w:pPr>
    </w:p>
    <w:p>
      <w:pPr>
        <w:ind w:left="640" w:hanging="210"/>
        <w:spacing w:after="0"/>
        <w:tabs>
          <w:tab w:leader="none" w:pos="64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xml:space="preserve">” means a committee of one or more Directors to whom authority has been delegated by the Board in accordance with </w:t>
      </w:r>
      <w:r>
        <w:rPr>
          <w:rFonts w:ascii="Times New Roman" w:cs="Times New Roman" w:eastAsia="Times New Roman" w:hAnsi="Times New Roman"/>
          <w:sz w:val="17"/>
          <w:szCs w:val="17"/>
          <w:u w:val="single" w:color="auto"/>
          <w:color w:val="auto"/>
        </w:rPr>
        <w:t>Section 2(c)</w:t>
      </w:r>
      <w:r>
        <w:rPr>
          <w:rFonts w:ascii="Times New Roman" w:cs="Times New Roman" w:eastAsia="Times New Roman" w:hAnsi="Times New Roman"/>
          <w:sz w:val="17"/>
          <w:szCs w:val="17"/>
          <w:color w:val="auto"/>
        </w:rPr>
        <w:t>.</w:t>
      </w:r>
    </w:p>
    <w:p>
      <w:pPr>
        <w:spacing w:after="0" w:line="231" w:lineRule="exact"/>
        <w:rPr>
          <w:rFonts w:ascii="Times New Roman" w:cs="Times New Roman" w:eastAsia="Times New Roman" w:hAnsi="Times New Roman"/>
          <w:sz w:val="17"/>
          <w:szCs w:val="17"/>
          <w:b w:val="1"/>
          <w:bCs w:val="1"/>
          <w:color w:val="auto"/>
        </w:rPr>
      </w:pPr>
    </w:p>
    <w:p>
      <w:pPr>
        <w:ind w:left="660" w:hanging="230"/>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 having one vote per share.</w:t>
      </w:r>
    </w:p>
    <w:p>
      <w:pPr>
        <w:spacing w:after="0" w:line="220" w:lineRule="exact"/>
        <w:rPr>
          <w:rFonts w:ascii="Times New Roman" w:cs="Times New Roman" w:eastAsia="Times New Roman" w:hAnsi="Times New Roman"/>
          <w:sz w:val="18"/>
          <w:szCs w:val="18"/>
          <w:b w:val="1"/>
          <w:bCs w:val="1"/>
          <w:color w:val="auto"/>
        </w:rPr>
      </w:pPr>
    </w:p>
    <w:p>
      <w:pPr>
        <w:ind w:right="80" w:firstLine="430"/>
        <w:spacing w:after="0" w:line="256" w:lineRule="auto"/>
        <w:tabs>
          <w:tab w:leader="none" w:pos="69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500" w:top="268" w:right="499" w:bottom="1440" w:gutter="0" w:footer="0" w:header="0"/>
        </w:sectPr>
      </w:pPr>
    </w:p>
    <w:bookmarkStart w:id="35" w:name="page36"/>
    <w:bookmarkEnd w:id="35"/>
    <w:p>
      <w:pPr>
        <w:ind w:left="-20" w:firstLine="430"/>
        <w:spacing w:after="0" w:line="251" w:lineRule="auto"/>
        <w:tabs>
          <w:tab w:leader="none" w:pos="62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83" w:lineRule="exact"/>
        <w:rPr>
          <w:rFonts w:ascii="Times New Roman" w:cs="Times New Roman" w:eastAsia="Times New Roman" w:hAnsi="Times New Roman"/>
          <w:sz w:val="18"/>
          <w:szCs w:val="18"/>
          <w:b w:val="1"/>
          <w:bCs w:val="1"/>
          <w:color w:val="auto"/>
        </w:rPr>
      </w:pPr>
    </w:p>
    <w:p>
      <w:pPr>
        <w:ind w:left="720" w:hanging="310"/>
        <w:spacing w:after="0"/>
        <w:tabs>
          <w:tab w:leader="none" w:pos="7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0" w:lineRule="exact"/>
        <w:rPr>
          <w:rFonts w:ascii="Times New Roman" w:cs="Times New Roman" w:eastAsia="Times New Roman" w:hAnsi="Times New Roman"/>
          <w:sz w:val="18"/>
          <w:szCs w:val="18"/>
          <w:b w:val="1"/>
          <w:bCs w:val="1"/>
          <w:color w:val="auto"/>
        </w:rPr>
      </w:pPr>
    </w:p>
    <w:p>
      <w:pPr>
        <w:ind w:left="-20" w:right="20" w:firstLine="430"/>
        <w:spacing w:after="0" w:line="259" w:lineRule="auto"/>
        <w:tabs>
          <w:tab w:leader="none" w:pos="67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5" w:lineRule="exact"/>
        <w:rPr>
          <w:rFonts w:ascii="Times New Roman" w:cs="Times New Roman" w:eastAsia="Times New Roman" w:hAnsi="Times New Roman"/>
          <w:sz w:val="18"/>
          <w:szCs w:val="18"/>
          <w:b w:val="1"/>
          <w:bCs w:val="1"/>
          <w:color w:val="auto"/>
        </w:rPr>
      </w:pPr>
    </w:p>
    <w:p>
      <w:pPr>
        <w:ind w:left="-20" w:right="80" w:firstLine="430"/>
        <w:spacing w:after="0" w:line="265" w:lineRule="auto"/>
        <w:tabs>
          <w:tab w:leader="none" w:pos="66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Dissolution</w:t>
      </w:r>
      <w:r>
        <w:rPr>
          <w:rFonts w:ascii="Times New Roman" w:cs="Times New Roman" w:eastAsia="Times New Roman" w:hAnsi="Times New Roman"/>
          <w:sz w:val="18"/>
          <w:szCs w:val="18"/>
          <w:color w:val="auto"/>
        </w:rPr>
        <w:t>”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spacing w:after="0" w:line="169" w:lineRule="exact"/>
        <w:rPr>
          <w:rFonts w:ascii="Times New Roman" w:cs="Times New Roman" w:eastAsia="Times New Roman" w:hAnsi="Times New Roman"/>
          <w:sz w:val="18"/>
          <w:szCs w:val="18"/>
          <w:b w:val="1"/>
          <w:bCs w:val="1"/>
          <w:color w:val="auto"/>
        </w:rPr>
      </w:pPr>
    </w:p>
    <w:p>
      <w:pPr>
        <w:ind w:left="-20" w:right="220" w:firstLine="430"/>
        <w:spacing w:after="0" w:line="265" w:lineRule="auto"/>
        <w:tabs>
          <w:tab w:leader="none" w:pos="67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(provided that any such employee also meets the eligibility requirements for employees specified in the instructions to Form S-8 under the Securities Act). However, service solely as a Director, or payment of a fee for such services, will not cause a Director to be considered an “Employee” for purposes of the Plan.</w:t>
      </w:r>
    </w:p>
    <w:p>
      <w:pPr>
        <w:spacing w:after="0" w:line="169" w:lineRule="exact"/>
        <w:rPr>
          <w:rFonts w:ascii="Times New Roman" w:cs="Times New Roman" w:eastAsia="Times New Roman" w:hAnsi="Times New Roman"/>
          <w:sz w:val="18"/>
          <w:szCs w:val="18"/>
          <w:b w:val="1"/>
          <w:bCs w:val="1"/>
          <w:color w:val="auto"/>
        </w:rPr>
      </w:pPr>
    </w:p>
    <w:p>
      <w:pPr>
        <w:ind w:left="680" w:hanging="270"/>
        <w:spacing w:after="0"/>
        <w:tabs>
          <w:tab w:leader="none" w:pos="6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0" w:lineRule="exact"/>
        <w:rPr>
          <w:rFonts w:ascii="Times New Roman" w:cs="Times New Roman" w:eastAsia="Times New Roman" w:hAnsi="Times New Roman"/>
          <w:sz w:val="18"/>
          <w:szCs w:val="18"/>
          <w:b w:val="1"/>
          <w:bCs w:val="1"/>
          <w:color w:val="auto"/>
        </w:rPr>
      </w:pPr>
    </w:p>
    <w:p>
      <w:pPr>
        <w:ind w:left="-20" w:right="20" w:firstLine="430"/>
        <w:spacing w:after="0" w:line="270" w:lineRule="auto"/>
        <w:tabs>
          <w:tab w:leader="none" w:pos="658"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Exchange Act Person</w:t>
      </w:r>
      <w:r>
        <w:rPr>
          <w:rFonts w:ascii="Times New Roman" w:cs="Times New Roman" w:eastAsia="Times New Roman" w:hAnsi="Times New Roman"/>
          <w:sz w:val="17"/>
          <w:szCs w:val="17"/>
          <w:color w:val="auto"/>
        </w:rPr>
        <w:t>” means any natural person, Entity or “group” (within the meaning of Section 13(d) or 14(d) of the Exchange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date hereof, is the Owner, directly or indirectly, of securities of the Company representing more than 20% of the combined voting power of the Company’s then outstanding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0"/>
          </w:cols>
          <w:pgMar w:left="520" w:top="264" w:right="519" w:bottom="1440" w:gutter="0" w:footer="0" w:header="0"/>
        </w:sectPr>
      </w:pPr>
    </w:p>
    <w:bookmarkStart w:id="36" w:name="page37"/>
    <w:bookmarkEnd w:id="36"/>
    <w:p>
      <w:pPr>
        <w:ind w:left="660" w:hanging="230"/>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17" w:lineRule="exact"/>
        <w:rPr>
          <w:rFonts w:ascii="Times New Roman" w:cs="Times New Roman" w:eastAsia="Times New Roman" w:hAnsi="Times New Roman"/>
          <w:sz w:val="18"/>
          <w:szCs w:val="18"/>
          <w:b w:val="1"/>
          <w:bCs w:val="1"/>
          <w:color w:val="auto"/>
        </w:rPr>
      </w:pPr>
    </w:p>
    <w:p>
      <w:pPr>
        <w:ind w:firstLine="975"/>
        <w:spacing w:after="0" w:line="257" w:lineRule="auto"/>
        <w:tabs>
          <w:tab w:leader="none" w:pos="11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82" w:lineRule="exact"/>
        <w:rPr>
          <w:rFonts w:ascii="Times New Roman" w:cs="Times New Roman" w:eastAsia="Times New Roman" w:hAnsi="Times New Roman"/>
          <w:sz w:val="18"/>
          <w:szCs w:val="18"/>
          <w:color w:val="auto"/>
        </w:rPr>
      </w:pPr>
    </w:p>
    <w:p>
      <w:pPr>
        <w:ind w:right="80" w:firstLine="975"/>
        <w:spacing w:after="0" w:line="277" w:lineRule="auto"/>
        <w:tabs>
          <w:tab w:leader="none" w:pos="124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63" w:lineRule="exact"/>
        <w:rPr>
          <w:rFonts w:ascii="Times New Roman" w:cs="Times New Roman" w:eastAsia="Times New Roman" w:hAnsi="Times New Roman"/>
          <w:sz w:val="18"/>
          <w:szCs w:val="18"/>
          <w:color w:val="auto"/>
        </w:rPr>
      </w:pPr>
    </w:p>
    <w:p>
      <w:pPr>
        <w:ind w:right="200" w:firstLine="975"/>
        <w:spacing w:after="0" w:line="277" w:lineRule="auto"/>
        <w:tabs>
          <w:tab w:leader="none" w:pos="129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and in a manner that complies with Sections 409A of the Code.</w:t>
      </w:r>
    </w:p>
    <w:p>
      <w:pPr>
        <w:spacing w:after="0" w:line="159" w:lineRule="exact"/>
        <w:rPr>
          <w:rFonts w:ascii="Times New Roman" w:cs="Times New Roman" w:eastAsia="Times New Roman" w:hAnsi="Times New Roman"/>
          <w:sz w:val="18"/>
          <w:szCs w:val="18"/>
          <w:color w:val="auto"/>
        </w:rPr>
      </w:pPr>
    </w:p>
    <w:p>
      <w:pPr>
        <w:ind w:left="660" w:hanging="230"/>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0" w:lineRule="exact"/>
        <w:rPr>
          <w:rFonts w:ascii="Times New Roman" w:cs="Times New Roman" w:eastAsia="Times New Roman" w:hAnsi="Times New Roman"/>
          <w:sz w:val="18"/>
          <w:szCs w:val="18"/>
          <w:b w:val="1"/>
          <w:bCs w:val="1"/>
          <w:color w:val="auto"/>
        </w:rPr>
      </w:pPr>
    </w:p>
    <w:p>
      <w:pPr>
        <w:ind w:left="700" w:hanging="270"/>
        <w:spacing w:after="0"/>
        <w:tabs>
          <w:tab w:leader="none" w:pos="7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xml:space="preserve">” means any option to purchase shares of Common Stock granted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Plan.</w:t>
      </w:r>
    </w:p>
    <w:p>
      <w:pPr>
        <w:spacing w:after="0" w:line="220" w:lineRule="exact"/>
        <w:rPr>
          <w:rFonts w:ascii="Times New Roman" w:cs="Times New Roman" w:eastAsia="Times New Roman" w:hAnsi="Times New Roman"/>
          <w:sz w:val="18"/>
          <w:szCs w:val="18"/>
          <w:b w:val="1"/>
          <w:bCs w:val="1"/>
          <w:color w:val="auto"/>
        </w:rPr>
      </w:pPr>
    </w:p>
    <w:p>
      <w:pPr>
        <w:ind w:right="60" w:firstLine="430"/>
        <w:spacing w:after="0" w:line="282" w:lineRule="auto"/>
        <w:tabs>
          <w:tab w:leader="none" w:pos="68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right="780" w:firstLine="430"/>
        <w:spacing w:after="0" w:line="282" w:lineRule="auto"/>
        <w:tabs>
          <w:tab w:leader="none" w:pos="72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right="20" w:firstLine="430"/>
        <w:spacing w:after="0" w:line="265" w:lineRule="auto"/>
        <w:tabs>
          <w:tab w:leader="none" w:pos="68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9" w:lineRule="exact"/>
        <w:rPr>
          <w:rFonts w:ascii="Times New Roman" w:cs="Times New Roman" w:eastAsia="Times New Roman" w:hAnsi="Times New Roman"/>
          <w:sz w:val="18"/>
          <w:szCs w:val="18"/>
          <w:b w:val="1"/>
          <w:bCs w:val="1"/>
          <w:color w:val="auto"/>
        </w:rPr>
      </w:pPr>
    </w:p>
    <w:p>
      <w:pPr>
        <w:ind w:right="640" w:firstLine="430"/>
        <w:spacing w:after="0" w:line="282" w:lineRule="auto"/>
        <w:tabs>
          <w:tab w:leader="none" w:pos="68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 Stock Award is granted pursuant to the Plan or, if applicable, such other person who holds an outstanding Stock Award.</w:t>
      </w:r>
    </w:p>
    <w:p>
      <w:pPr>
        <w:spacing w:after="0" w:line="154" w:lineRule="exact"/>
        <w:rPr>
          <w:rFonts w:ascii="Times New Roman" w:cs="Times New Roman" w:eastAsia="Times New Roman" w:hAnsi="Times New Roman"/>
          <w:sz w:val="18"/>
          <w:szCs w:val="18"/>
          <w:b w:val="1"/>
          <w:bCs w:val="1"/>
          <w:color w:val="auto"/>
        </w:rPr>
      </w:pPr>
    </w:p>
    <w:p>
      <w:pPr>
        <w:ind w:right="760" w:firstLine="430"/>
        <w:spacing w:after="0" w:line="282" w:lineRule="auto"/>
        <w:tabs>
          <w:tab w:leader="none" w:pos="67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in its sole discretion, for the Performance Period as contingencies for Performance Stock Awards to vest and/or become exercisable or distributable.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500" w:top="264" w:right="499" w:bottom="1440" w:gutter="0" w:footer="0" w:header="0"/>
        </w:sectPr>
      </w:pPr>
    </w:p>
    <w:bookmarkStart w:id="37" w:name="page38"/>
    <w:bookmarkEnd w:id="37"/>
    <w:p>
      <w:pPr>
        <w:ind w:left="-20" w:right="100" w:firstLine="430"/>
        <w:spacing w:after="0" w:line="265" w:lineRule="auto"/>
        <w:tabs>
          <w:tab w:leader="none" w:pos="75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and the payment of a Stock Award. Performance Periods may be of varying and overlapping duration, at the sole discretion of the Board.</w:t>
      </w:r>
    </w:p>
    <w:p>
      <w:pPr>
        <w:spacing w:after="0" w:line="169" w:lineRule="exact"/>
        <w:rPr>
          <w:rFonts w:ascii="Times New Roman" w:cs="Times New Roman" w:eastAsia="Times New Roman" w:hAnsi="Times New Roman"/>
          <w:sz w:val="18"/>
          <w:szCs w:val="18"/>
          <w:b w:val="1"/>
          <w:bCs w:val="1"/>
          <w:color w:val="auto"/>
        </w:rPr>
      </w:pPr>
    </w:p>
    <w:p>
      <w:pPr>
        <w:ind w:left="780" w:hanging="370"/>
        <w:spacing w:after="0"/>
        <w:tabs>
          <w:tab w:leader="none" w:pos="7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Stock Award</w:t>
      </w:r>
      <w:r>
        <w:rPr>
          <w:rFonts w:ascii="Times New Roman" w:cs="Times New Roman" w:eastAsia="Times New Roman" w:hAnsi="Times New Roman"/>
          <w:sz w:val="18"/>
          <w:szCs w:val="18"/>
          <w:color w:val="auto"/>
        </w:rPr>
        <w:t xml:space="preserve">” means a Stock Award granted under the terms and conditions of </w:t>
      </w:r>
      <w:r>
        <w:rPr>
          <w:rFonts w:ascii="Times New Roman" w:cs="Times New Roman" w:eastAsia="Times New Roman" w:hAnsi="Times New Roman"/>
          <w:sz w:val="18"/>
          <w:szCs w:val="18"/>
          <w:u w:val="single" w:color="auto"/>
          <w:color w:val="auto"/>
        </w:rPr>
        <w:t>Section 5(c)(i)</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b w:val="1"/>
          <w:bCs w:val="1"/>
          <w:color w:val="auto"/>
        </w:rPr>
      </w:pPr>
    </w:p>
    <w:p>
      <w:pPr>
        <w:ind w:left="740" w:hanging="330"/>
        <w:spacing w:after="0"/>
        <w:tabs>
          <w:tab w:leader="none" w:pos="7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vTv Therapeutics Inc. 2026 Equity Inducement Plan.</w:t>
      </w:r>
    </w:p>
    <w:p>
      <w:pPr>
        <w:spacing w:after="0" w:line="220" w:lineRule="exact"/>
        <w:rPr>
          <w:rFonts w:ascii="Times New Roman" w:cs="Times New Roman" w:eastAsia="Times New Roman" w:hAnsi="Times New Roman"/>
          <w:sz w:val="18"/>
          <w:szCs w:val="18"/>
          <w:b w:val="1"/>
          <w:bCs w:val="1"/>
          <w:color w:val="auto"/>
        </w:rPr>
      </w:pPr>
    </w:p>
    <w:p>
      <w:pPr>
        <w:ind w:left="780" w:hanging="370"/>
        <w:spacing w:after="0"/>
        <w:tabs>
          <w:tab w:leader="none" w:pos="78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w:t>
      </w:r>
      <w:r>
        <w:rPr>
          <w:rFonts w:ascii="Times New Roman" w:cs="Times New Roman" w:eastAsia="Times New Roman" w:hAnsi="Times New Roman"/>
          <w:sz w:val="17"/>
          <w:szCs w:val="17"/>
          <w:color w:val="auto"/>
        </w:rPr>
        <w:t xml:space="preserve">” means an award of shares of Common Stock which is granted pursuant to the terms and conditions of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w:t>
      </w:r>
    </w:p>
    <w:p>
      <w:pPr>
        <w:spacing w:after="0" w:line="231" w:lineRule="exact"/>
        <w:rPr>
          <w:rFonts w:ascii="Times New Roman" w:cs="Times New Roman" w:eastAsia="Times New Roman" w:hAnsi="Times New Roman"/>
          <w:sz w:val="17"/>
          <w:szCs w:val="17"/>
          <w:b w:val="1"/>
          <w:bCs w:val="1"/>
          <w:color w:val="auto"/>
        </w:rPr>
      </w:pPr>
    </w:p>
    <w:p>
      <w:pPr>
        <w:ind w:left="-20" w:right="20" w:firstLine="430"/>
        <w:spacing w:after="0" w:line="265" w:lineRule="auto"/>
        <w:tabs>
          <w:tab w:leader="none" w:pos="73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69" w:lineRule="exact"/>
        <w:rPr>
          <w:rFonts w:ascii="Times New Roman" w:cs="Times New Roman" w:eastAsia="Times New Roman" w:hAnsi="Times New Roman"/>
          <w:sz w:val="18"/>
          <w:szCs w:val="18"/>
          <w:b w:val="1"/>
          <w:bCs w:val="1"/>
          <w:color w:val="auto"/>
        </w:rPr>
      </w:pPr>
    </w:p>
    <w:p>
      <w:pPr>
        <w:ind w:left="-20" w:right="300" w:firstLine="430"/>
        <w:spacing w:after="0" w:line="282" w:lineRule="auto"/>
        <w:tabs>
          <w:tab w:leader="none" w:pos="69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xml:space="preserve">” means a right to receive shares of Common Stock which is granted pursuant to the terms and conditions of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20" w:right="100" w:firstLine="430"/>
        <w:spacing w:after="0" w:line="265" w:lineRule="auto"/>
        <w:tabs>
          <w:tab w:leader="none" w:pos="75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69" w:lineRule="exact"/>
        <w:rPr>
          <w:rFonts w:ascii="Times New Roman" w:cs="Times New Roman" w:eastAsia="Times New Roman" w:hAnsi="Times New Roman"/>
          <w:sz w:val="18"/>
          <w:szCs w:val="18"/>
          <w:b w:val="1"/>
          <w:bCs w:val="1"/>
          <w:color w:val="auto"/>
        </w:rPr>
      </w:pPr>
    </w:p>
    <w:p>
      <w:pPr>
        <w:ind w:left="780" w:hanging="370"/>
        <w:spacing w:after="0"/>
        <w:tabs>
          <w:tab w:leader="none" w:pos="7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13" w:lineRule="exact"/>
        <w:rPr>
          <w:rFonts w:ascii="Times New Roman" w:cs="Times New Roman" w:eastAsia="Times New Roman" w:hAnsi="Times New Roman"/>
          <w:sz w:val="18"/>
          <w:szCs w:val="18"/>
          <w:b w:val="1"/>
          <w:bCs w:val="1"/>
          <w:color w:val="auto"/>
        </w:rPr>
      </w:pPr>
    </w:p>
    <w:p>
      <w:pPr>
        <w:ind w:left="680" w:hanging="270"/>
        <w:spacing w:after="0"/>
        <w:tabs>
          <w:tab w:leader="none" w:pos="6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0" w:lineRule="exact"/>
        <w:rPr>
          <w:rFonts w:ascii="Times New Roman" w:cs="Times New Roman" w:eastAsia="Times New Roman" w:hAnsi="Times New Roman"/>
          <w:sz w:val="18"/>
          <w:szCs w:val="18"/>
          <w:b w:val="1"/>
          <w:bCs w:val="1"/>
          <w:color w:val="auto"/>
        </w:rPr>
      </w:pPr>
    </w:p>
    <w:p>
      <w:pPr>
        <w:ind w:left="-20" w:right="200" w:firstLine="430"/>
        <w:spacing w:after="0" w:line="282" w:lineRule="auto"/>
        <w:tabs>
          <w:tab w:leader="none" w:pos="69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xml:space="preserve">” means a right to receive the appreciation on Common Stock that is granted pursuant to the terms and conditions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20" w:right="300" w:firstLine="430"/>
        <w:spacing w:after="0" w:line="265" w:lineRule="auto"/>
        <w:tabs>
          <w:tab w:leader="none" w:pos="77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69" w:lineRule="exact"/>
        <w:rPr>
          <w:rFonts w:ascii="Times New Roman" w:cs="Times New Roman" w:eastAsia="Times New Roman" w:hAnsi="Times New Roman"/>
          <w:sz w:val="18"/>
          <w:szCs w:val="18"/>
          <w:b w:val="1"/>
          <w:bCs w:val="1"/>
          <w:color w:val="auto"/>
        </w:rPr>
      </w:pPr>
    </w:p>
    <w:p>
      <w:pPr>
        <w:ind w:left="-20" w:right="20" w:firstLine="430"/>
        <w:spacing w:after="0" w:line="282" w:lineRule="auto"/>
        <w:tabs>
          <w:tab w:leader="none" w:pos="67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means any right to receive Common Stock granted under the Plan, including an Option, a Restricted Stock Award, a Restricted Stock Unit Award, a Stock Appreciation Right or a Performance Stock Award.</w:t>
      </w:r>
    </w:p>
    <w:p>
      <w:pPr>
        <w:spacing w:after="0" w:line="154" w:lineRule="exact"/>
        <w:rPr>
          <w:rFonts w:ascii="Times New Roman" w:cs="Times New Roman" w:eastAsia="Times New Roman" w:hAnsi="Times New Roman"/>
          <w:sz w:val="18"/>
          <w:szCs w:val="18"/>
          <w:b w:val="1"/>
          <w:bCs w:val="1"/>
          <w:color w:val="auto"/>
        </w:rPr>
      </w:pPr>
    </w:p>
    <w:p>
      <w:pPr>
        <w:ind w:left="-20" w:right="280" w:firstLine="430"/>
        <w:spacing w:after="0" w:line="282" w:lineRule="auto"/>
        <w:tabs>
          <w:tab w:leader="none" w:pos="8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40"/>
          </w:cols>
          <w:pgMar w:left="520" w:top="264" w:right="539" w:bottom="1440" w:gutter="0" w:footer="0" w:header="0"/>
        </w:sectPr>
      </w:pPr>
    </w:p>
    <w:bookmarkStart w:id="38" w:name="page39"/>
    <w:bookmarkEnd w:id="38"/>
    <w:p>
      <w:pPr>
        <w:ind w:left="-240" w:firstLine="430"/>
        <w:spacing w:after="0" w:line="256" w:lineRule="auto"/>
        <w:tabs>
          <w:tab w:leader="none" w:pos="55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00"/>
          </w:cols>
          <w:pgMar w:left="740" w:top="264" w:right="7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2026 EQUITY INDUCEMENT PLAN</w:t>
      </w:r>
    </w:p>
    <w:p>
      <w:pPr>
        <w:spacing w:after="0" w:line="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(4-year vest)</w:t>
      </w:r>
    </w:p>
    <w:p>
      <w:pPr>
        <w:spacing w:after="0" w:line="9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OPTION AWARD AGREEMENT</w:t>
      </w:r>
    </w:p>
    <w:p>
      <w:pPr>
        <w:spacing w:after="0" w:line="220" w:lineRule="exact"/>
        <w:rPr>
          <w:sz w:val="20"/>
          <w:szCs w:val="20"/>
          <w:color w:val="auto"/>
        </w:rPr>
      </w:pPr>
    </w:p>
    <w:p>
      <w:pPr>
        <w:ind w:left="6" w:right="4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NONQUALIFIED OPTION AWARD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###GRANT_DATE###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by and between vTv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###PARTICIPANT_NAME###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Capitalized terms used but not otherwise defined herein will have the meaning assigned to such terms in the vTv Therapeutics Inc. 2026 Equity Inducement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 w:right="2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Plan, pursuant to which Options may be granted, was approved by the Board or Directors of the Company (the “Board”)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March 5, 2026; and</w:t>
      </w:r>
    </w:p>
    <w:p>
      <w:pPr>
        <w:spacing w:after="0" w:line="155" w:lineRule="exact"/>
        <w:rPr>
          <w:sz w:val="20"/>
          <w:szCs w:val="20"/>
          <w:color w:val="auto"/>
        </w:rPr>
      </w:pPr>
    </w:p>
    <w:p>
      <w:pPr>
        <w:ind w:left="6" w:right="2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has determined that it is in the best interests of the Company and its stockholders to grant the Option provided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to the Participant in consideration of their acceptance of a position as an employee of the Company subject to the terms set forth herein.</w:t>
      </w:r>
    </w:p>
    <w:p>
      <w:pPr>
        <w:spacing w:after="0" w:line="155" w:lineRule="exact"/>
        <w:rPr>
          <w:sz w:val="20"/>
          <w:szCs w:val="20"/>
          <w:color w:val="auto"/>
        </w:rPr>
      </w:pPr>
    </w:p>
    <w:p>
      <w:pPr>
        <w:ind w:left="6"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for and in consideration of the premises and the covenants of the parties contained in this Agreement, and for other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valuable consideration, the receipt of which is hereby acknowledged, the parties hereto, for themselves, their successors and assigns, hereby agree as follows:</w:t>
      </w:r>
    </w:p>
    <w:p>
      <w:pPr>
        <w:spacing w:after="0" w:line="169" w:lineRule="exact"/>
        <w:rPr>
          <w:sz w:val="20"/>
          <w:szCs w:val="20"/>
          <w:color w:val="auto"/>
        </w:rPr>
      </w:pPr>
    </w:p>
    <w:p>
      <w:pPr>
        <w:ind w:left="186" w:hanging="186"/>
        <w:spacing w:after="0"/>
        <w:tabs>
          <w:tab w:leader="none" w:pos="18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w:t>
      </w:r>
    </w:p>
    <w:p>
      <w:pPr>
        <w:spacing w:after="0" w:line="224" w:lineRule="exact"/>
        <w:rPr>
          <w:rFonts w:ascii="Times New Roman" w:cs="Times New Roman" w:eastAsia="Times New Roman" w:hAnsi="Times New Roman"/>
          <w:sz w:val="18"/>
          <w:szCs w:val="18"/>
          <w:b w:val="1"/>
          <w:bCs w:val="1"/>
          <w:color w:val="auto"/>
        </w:rPr>
      </w:pPr>
    </w:p>
    <w:p>
      <w:pPr>
        <w:ind w:left="6" w:right="300" w:firstLine="430"/>
        <w:spacing w:after="0" w:line="285" w:lineRule="auto"/>
        <w:tabs>
          <w:tab w:leader="none" w:pos="684"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The Company hereby grants to the Participant an Option (the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xml:space="preserve">”) to purchase </w:t>
      </w:r>
      <w:r>
        <w:rPr>
          <w:rFonts w:ascii="Times New Roman" w:cs="Times New Roman" w:eastAsia="Times New Roman" w:hAnsi="Times New Roman"/>
          <w:sz w:val="17"/>
          <w:szCs w:val="17"/>
          <w:u w:val="single" w:color="auto"/>
          <w:color w:val="auto"/>
        </w:rPr>
        <w:t>###TOTAL_AWARDS###</w:t>
      </w:r>
      <w:r>
        <w:rPr>
          <w:rFonts w:ascii="Times New Roman" w:cs="Times New Roman" w:eastAsia="Times New Roman" w:hAnsi="Times New Roman"/>
          <w:sz w:val="17"/>
          <w:szCs w:val="17"/>
          <w:color w:val="auto"/>
        </w:rPr>
        <w:t xml:space="preserve"> shares of Common Stock (such shares, the “</w:t>
      </w:r>
      <w:r>
        <w:rPr>
          <w:rFonts w:ascii="Times New Roman" w:cs="Times New Roman" w:eastAsia="Times New Roman" w:hAnsi="Times New Roman"/>
          <w:sz w:val="17"/>
          <w:szCs w:val="17"/>
          <w:u w:val="single" w:color="auto"/>
          <w:color w:val="auto"/>
        </w:rPr>
        <w:t>Option Shares</w:t>
      </w:r>
      <w:r>
        <w:rPr>
          <w:rFonts w:ascii="Times New Roman" w:cs="Times New Roman" w:eastAsia="Times New Roman" w:hAnsi="Times New Roman"/>
          <w:sz w:val="17"/>
          <w:szCs w:val="17"/>
          <w:color w:val="auto"/>
        </w:rPr>
        <w:t>”), on the terms and conditions set forth in this Agreement and as otherwise provided in the Plan. The Options shall vest in accordance with Section 2 herein. The exercise price shall be $</w:t>
      </w:r>
      <w:r>
        <w:rPr>
          <w:rFonts w:ascii="Times New Roman" w:cs="Times New Roman" w:eastAsia="Times New Roman" w:hAnsi="Times New Roman"/>
          <w:sz w:val="17"/>
          <w:szCs w:val="17"/>
          <w:u w:val="single" w:color="auto"/>
          <w:color w:val="auto"/>
        </w:rPr>
        <w:t>###GRANT_PRICE###</w:t>
      </w:r>
      <w:r>
        <w:rPr>
          <w:rFonts w:ascii="Times New Roman" w:cs="Times New Roman" w:eastAsia="Times New Roman" w:hAnsi="Times New Roman"/>
          <w:sz w:val="17"/>
          <w:szCs w:val="17"/>
          <w:color w:val="auto"/>
        </w:rPr>
        <w:t xml:space="preserve"> per Option Share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6" w:firstLine="430"/>
        <w:spacing w:after="0" w:line="271" w:lineRule="auto"/>
        <w:tabs>
          <w:tab w:leader="none" w:pos="694"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by Reference</w:t>
      </w:r>
      <w:r>
        <w:rPr>
          <w:rFonts w:ascii="Times New Roman" w:cs="Times New Roman" w:eastAsia="Times New Roman" w:hAnsi="Times New Roman"/>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legal representative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67" w:lineRule="exact"/>
        <w:rPr>
          <w:rFonts w:ascii="Times New Roman" w:cs="Times New Roman" w:eastAsia="Times New Roman" w:hAnsi="Times New Roman"/>
          <w:sz w:val="17"/>
          <w:szCs w:val="17"/>
          <w:color w:val="auto"/>
        </w:rPr>
      </w:pPr>
    </w:p>
    <w:p>
      <w:pPr>
        <w:ind w:left="6" w:right="40" w:hanging="6"/>
        <w:spacing w:after="0" w:line="236" w:lineRule="auto"/>
        <w:tabs>
          <w:tab w:leader="none" w:pos="18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Vesting</w:t>
      </w:r>
      <w:r>
        <w:rPr>
          <w:rFonts w:ascii="Times New Roman" w:cs="Times New Roman" w:eastAsia="Times New Roman" w:hAnsi="Times New Roman"/>
          <w:sz w:val="18"/>
          <w:szCs w:val="18"/>
          <w:color w:val="auto"/>
        </w:rPr>
        <w:t>. Except as may otherwise be provided herein or as otherwise provided in an employment agreement, consulting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written agreement between the Participant and the Company or any of its Affiliates, the Options shall become vested and exercisable as follows: 25% of the Options shall vest on the 12-month anniversary of the Date of Grant with the remaining Options vesting thereafter in twelve (12) equal installments on a quarterly basis over the following three years, with the final tranche vesting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of Grant subject to the Participant’s continued employment or service with the Company or an Affiliate through each vesting date. For the avoidance of doubt, there will be no proportionate or partial vesting prior to any such vesting date and all vesting will occur only on such vesting date, subject to the Participant’s continued employment or service with the Company or an Affiliate through such vesting date.</w:t>
      </w:r>
    </w:p>
    <w:p>
      <w:pPr>
        <w:sectPr>
          <w:pgSz w:w="11900" w:h="16838" w:orient="portrait"/>
          <w:cols w:equalWidth="0" w:num="1">
            <w:col w:w="10906"/>
          </w:cols>
          <w:pgMar w:left="494" w:top="117" w:right="499" w:bottom="1440" w:gutter="0" w:footer="0" w:header="0"/>
        </w:sectPr>
      </w:pPr>
    </w:p>
    <w:bookmarkStart w:id="40" w:name="page41"/>
    <w:bookmarkEnd w:id="40"/>
    <w:p>
      <w:pPr>
        <w:ind w:left="6" w:right="160" w:hanging="6"/>
        <w:spacing w:after="0" w:line="259" w:lineRule="auto"/>
        <w:tabs>
          <w:tab w:leader="none" w:pos="18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Termination of Employment or Other Service</w:t>
      </w:r>
      <w:r>
        <w:rPr>
          <w:rFonts w:ascii="Times New Roman" w:cs="Times New Roman" w:eastAsia="Times New Roman" w:hAnsi="Times New Roman"/>
          <w:sz w:val="18"/>
          <w:szCs w:val="18"/>
          <w:color w:val="auto"/>
        </w:rPr>
        <w:t>. Except as otherwise provided herein or as otherwise provided in an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agreement or other written agreement between the Participant and the Company or any of its Affiliates, if the Participant’s employment or other service with the Company and its Affiliates terminates for any reason, the unvested portion of the Option shall be cancelled immediately, and the Participant shall immediately forfeit any rights to the Option Shares subject to such unvested portion of the Option.</w:t>
      </w:r>
    </w:p>
    <w:p>
      <w:pPr>
        <w:spacing w:after="0" w:line="175" w:lineRule="exact"/>
        <w:rPr>
          <w:rFonts w:ascii="Times New Roman" w:cs="Times New Roman" w:eastAsia="Times New Roman" w:hAnsi="Times New Roman"/>
          <w:sz w:val="18"/>
          <w:szCs w:val="18"/>
          <w:b w:val="1"/>
          <w:bCs w:val="1"/>
          <w:color w:val="auto"/>
        </w:rPr>
      </w:pPr>
    </w:p>
    <w:p>
      <w:pPr>
        <w:ind w:left="186" w:hanging="186"/>
        <w:spacing w:after="0"/>
        <w:tabs>
          <w:tab w:leader="none" w:pos="18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w:t>
      </w:r>
    </w:p>
    <w:p>
      <w:pPr>
        <w:spacing w:after="0" w:line="224" w:lineRule="exact"/>
        <w:rPr>
          <w:sz w:val="20"/>
          <w:szCs w:val="20"/>
          <w:color w:val="auto"/>
        </w:rPr>
      </w:pPr>
    </w:p>
    <w:p>
      <w:pPr>
        <w:ind w:left="6" w:right="440" w:firstLine="430"/>
        <w:spacing w:after="0" w:line="277" w:lineRule="auto"/>
        <w:tabs>
          <w:tab w:leader="none" w:pos="68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all or any portion of the Option be exercisable after the tenth anniversary of the Date of Grant (such ten-year period, the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6" w:firstLine="430"/>
        <w:spacing w:after="0" w:line="253" w:lineRule="auto"/>
        <w:tabs>
          <w:tab w:leader="none" w:pos="69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employment agreement, consulting agreement or other written agreement between the Participant and the Company or any of its Affiliates, if, prior to the end of the Option Period, the Participant’s employment or other service with the Company and all Affiliates is terminated by the Company without Cause or by the Participant for any reason, the Option shall expire on the earlier of the last day of the Option Period or the date that is ninety (90) days after the date of such termination of employment or other service. In the event of a termination of employment or other service described in this subsection (b), the Option shall remain exercisable by the Participant as described above only to the extent the Option was vested and exercisable at the time of such termination.</w:t>
      </w:r>
    </w:p>
    <w:p>
      <w:pPr>
        <w:spacing w:after="0" w:line="186" w:lineRule="exact"/>
        <w:rPr>
          <w:rFonts w:ascii="Times New Roman" w:cs="Times New Roman" w:eastAsia="Times New Roman" w:hAnsi="Times New Roman"/>
          <w:sz w:val="18"/>
          <w:szCs w:val="18"/>
          <w:color w:val="auto"/>
        </w:rPr>
      </w:pPr>
    </w:p>
    <w:p>
      <w:pPr>
        <w:ind w:left="6" w:right="60" w:firstLine="430"/>
        <w:spacing w:after="0" w:line="252" w:lineRule="auto"/>
        <w:tabs>
          <w:tab w:leader="none" w:pos="68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employment agreement, consulting agreement or other written agreement between the Participant and the Company or any of its Affiliates, if (x) the Participant’s employment or other service is terminated prior to the end of the Option Period on account of the Participant’s Disability, (y) the Participant dies while still in the employ of, or while providing services to, the Company or an Affiliate or (z) the Participant dies following a termination described in subsection (b) above but prior to the expiration of an Option, the Option shall expire on the earlier of the last day of the Option Period or the date that is eighteen (18) months after the date of death of the Participant or twelve (12) months after a termination of employment or other service on account of the Disability of the Participant, as applicable. In such event, the Option shall remain exercisable by the Participant or the Participant’s beneficiary, as applicable, as described above only to the extent the Option was vested and exercisable by the Participant at the time of such event.</w:t>
      </w:r>
    </w:p>
    <w:p>
      <w:pPr>
        <w:spacing w:after="0" w:line="184" w:lineRule="exact"/>
        <w:rPr>
          <w:rFonts w:ascii="Times New Roman" w:cs="Times New Roman" w:eastAsia="Times New Roman" w:hAnsi="Times New Roman"/>
          <w:sz w:val="18"/>
          <w:szCs w:val="18"/>
          <w:color w:val="auto"/>
        </w:rPr>
      </w:pPr>
    </w:p>
    <w:p>
      <w:pPr>
        <w:ind w:left="6" w:right="140" w:firstLine="430"/>
        <w:spacing w:after="0" w:line="262" w:lineRule="auto"/>
        <w:tabs>
          <w:tab w:leader="none" w:pos="69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ceases employment or other service with the Company or any Affiliates due to a termination for Cause or a termination for any reason at a time when grounds to terminate the Participant’s employment or other service for Cause exist, the Option (including any vested portion of the Option) shall expire immediately.</w:t>
      </w:r>
    </w:p>
    <w:p>
      <w:pPr>
        <w:spacing w:after="0" w:line="173" w:lineRule="exact"/>
        <w:rPr>
          <w:rFonts w:ascii="Times New Roman" w:cs="Times New Roman" w:eastAsia="Times New Roman" w:hAnsi="Times New Roman"/>
          <w:sz w:val="18"/>
          <w:szCs w:val="18"/>
          <w:color w:val="auto"/>
        </w:rPr>
      </w:pPr>
    </w:p>
    <w:p>
      <w:pPr>
        <w:ind w:left="6" w:hanging="6"/>
        <w:spacing w:after="0" w:line="251" w:lineRule="auto"/>
        <w:tabs>
          <w:tab w:leader="none" w:pos="18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Exercise and Form of Payment</w:t>
      </w:r>
      <w:r>
        <w:rPr>
          <w:rFonts w:ascii="Times New Roman" w:cs="Times New Roman" w:eastAsia="Times New Roman" w:hAnsi="Times New Roman"/>
          <w:sz w:val="18"/>
          <w:szCs w:val="18"/>
          <w:color w:val="auto"/>
        </w:rPr>
        <w:t>. No Option Share shall be delivered pursuant to any exercise of the Option until payment in full is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Company of the Exercise Price and an amount equal to any U.S. federal, state, local and, to the extent applicable, non-U.S. income and employment taxes required to be withheld is withheld. The Option may be exercised by delivery of written or electronic notice of exercise to the Company or its designee (including a third-party administrator) in accordance with the terms hereof. The Exercise Price and all applicable required withholding taxes shall be payable (i) in cash, check, cash equivalent (including bank or certified check or wire transfer) and/or in shares of Common Stock (or any combination of the foregoing) valued at the Fair Market Value at the time the Option is exercised (including, pursuant to procedures approved by the Committee, by means of attestation of ownership of a sufficient number of shares of Common Stock in lieu of actual delivery of such shares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shares of Common Stock are not subject to any pledge or other security interest; (ii) pursuant to a program developed under Regulation T as promulgated by the Federal Reserve Board that, prior to the issuance of the stock subject to the Option, results in either the receipt of cash (or</w:t>
      </w:r>
    </w:p>
    <w:p>
      <w:pPr>
        <w:sectPr>
          <w:pgSz w:w="11900" w:h="16838" w:orient="portrait"/>
          <w:cols w:equalWidth="0" w:num="1">
            <w:col w:w="10886"/>
          </w:cols>
          <w:pgMar w:left="494" w:top="264" w:right="519" w:bottom="1440" w:gutter="0" w:footer="0" w:header="0"/>
        </w:sectPr>
      </w:pPr>
    </w:p>
    <w:bookmarkStart w:id="41" w:name="page42"/>
    <w:bookmarkEnd w:id="41"/>
    <w:p>
      <w:pPr>
        <w:ind w:left="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check) by the Company or the receipt of irrevocable instructions to pay the aggregate Exercise Price to the Company from the sales proceeds; or (iii) by such other method as the Committee may permit, including without limitation: (A) in other property having a fair market value equal to the Exercise Price and all applicable required withholding taxes or (B) if there is a public market for the shares of Common Stock at such time, by means of a broker-assisted “cashless exercise” pursuant to which the Company is delivered a copy of irrevocable instructions to a stockbroker to sell the Option Shares otherwise deliverable upon the exercise of the Option and to deliver promptly to the Company an amount equal to the Exercise Price and all applicable required withholding taxes; or (C) if an Option is a Nonstatutory Stock Option, by means of a “net exercise” procedure effected by withholding the minimum number of shares of Common Stock otherwise deliverable in respect of an Option that are needed to pay for the Exercise Price and all applicable required withholding taxes.</w:t>
      </w:r>
    </w:p>
    <w:p>
      <w:pPr>
        <w:spacing w:after="0" w:line="181" w:lineRule="exact"/>
        <w:rPr>
          <w:sz w:val="20"/>
          <w:szCs w:val="20"/>
          <w:color w:val="auto"/>
        </w:rPr>
      </w:pPr>
    </w:p>
    <w:p>
      <w:pPr>
        <w:ind w:left="6" w:hanging="6"/>
        <w:spacing w:after="0" w:line="256" w:lineRule="auto"/>
        <w:tabs>
          <w:tab w:leader="none" w:pos="18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The Participant shall not be deemed for any purpose to be the owner of any shares of Common Stock subject to this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until and to the extent that (i) this Option shall have been exercised pursuant to its terms, (ii) the Company shall have issued and delivered to the Participant the Option Shares and (iii) the Participant’s name shall have been entered as a stockholder of record with respect to such Option Shares on the books of the Company. The Company shall cause the actions described in clauses (ii) and (iii) of the preceding sentence to occur promptly following settlement as contemplated by this Agreement, subject to compliance with applicable laws.</w:t>
      </w:r>
    </w:p>
    <w:p>
      <w:pPr>
        <w:spacing w:after="0" w:line="178" w:lineRule="exact"/>
        <w:rPr>
          <w:rFonts w:ascii="Times New Roman" w:cs="Times New Roman" w:eastAsia="Times New Roman" w:hAnsi="Times New Roman"/>
          <w:sz w:val="18"/>
          <w:szCs w:val="18"/>
          <w:b w:val="1"/>
          <w:bCs w:val="1"/>
          <w:color w:val="auto"/>
        </w:rPr>
      </w:pPr>
    </w:p>
    <w:p>
      <w:pPr>
        <w:ind w:left="186" w:hanging="186"/>
        <w:spacing w:after="0"/>
        <w:tabs>
          <w:tab w:leader="none" w:pos="186"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Legal Requirements.</w:t>
      </w:r>
    </w:p>
    <w:p>
      <w:pPr>
        <w:spacing w:after="0" w:line="224" w:lineRule="exact"/>
        <w:rPr>
          <w:rFonts w:ascii="Times New Roman" w:cs="Times New Roman" w:eastAsia="Times New Roman" w:hAnsi="Times New Roman"/>
          <w:sz w:val="18"/>
          <w:szCs w:val="18"/>
          <w:b w:val="1"/>
          <w:bCs w:val="1"/>
          <w:color w:val="auto"/>
        </w:rPr>
      </w:pPr>
    </w:p>
    <w:p>
      <w:pPr>
        <w:ind w:left="6" w:right="140" w:firstLine="430"/>
        <w:spacing w:after="0" w:line="255" w:lineRule="auto"/>
        <w:tabs>
          <w:tab w:leader="none" w:pos="68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granting and exercising of the Option,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to the extent applicable, non-U.S. securities law in exercising the Participant’s rights under this Agreement.</w:t>
      </w:r>
    </w:p>
    <w:p>
      <w:pPr>
        <w:spacing w:after="0" w:line="182" w:lineRule="exact"/>
        <w:rPr>
          <w:rFonts w:ascii="Times New Roman" w:cs="Times New Roman" w:eastAsia="Times New Roman" w:hAnsi="Times New Roman"/>
          <w:sz w:val="18"/>
          <w:szCs w:val="18"/>
          <w:color w:val="auto"/>
        </w:rPr>
      </w:pPr>
    </w:p>
    <w:p>
      <w:pPr>
        <w:ind w:left="6" w:right="20" w:firstLine="430"/>
        <w:spacing w:after="0" w:line="270" w:lineRule="auto"/>
        <w:tabs>
          <w:tab w:leader="none" w:pos="69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Any exercise of the Option shall be subject to the Participant satisfying any applicable U.S. federal, state and local tax withholding obligations and, to the extent applicable, non- U.S. tax withholding obligations. The Company shall have the right and is hereby authorized to withhold from any amounts payable to the Participant in connection with the Option or otherwise the amount of any required withholding taxes in respect of the Option, its exercise or any payment or transfer of the Option or under the Plan and to take any such other action as the Committee or the Company deem necessary to satisfy all obligations for the payment of such withholding taxes. The Committee may in its sole discretion permit the Participant to satisfy, in whole or in part, the tax obligations by withholding shares of Common Stock that would otherwise be received upon exercise of the Option with a Fair Market Value equal to such withholding liability (but no more than the minimum required statutory withholding liability).</w:t>
      </w:r>
    </w:p>
    <w:p>
      <w:pPr>
        <w:spacing w:after="0" w:line="166" w:lineRule="exact"/>
        <w:rPr>
          <w:rFonts w:ascii="Times New Roman" w:cs="Times New Roman" w:eastAsia="Times New Roman" w:hAnsi="Times New Roman"/>
          <w:sz w:val="17"/>
          <w:szCs w:val="17"/>
          <w:color w:val="auto"/>
        </w:rPr>
      </w:pPr>
    </w:p>
    <w:p>
      <w:pPr>
        <w:ind w:left="6" w:right="180" w:hanging="6"/>
        <w:spacing w:after="0" w:line="270" w:lineRule="auto"/>
        <w:tabs>
          <w:tab w:leader="none" w:pos="184"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Clawback</w:t>
      </w:r>
      <w:r>
        <w:rPr>
          <w:rFonts w:ascii="Times New Roman" w:cs="Times New Roman" w:eastAsia="Times New Roman" w:hAnsi="Times New Roman"/>
          <w:sz w:val="17"/>
          <w:szCs w:val="17"/>
          <w:color w:val="auto"/>
        </w:rPr>
        <w:t>. Notwithstanding anything to the contrary contained herein, the Committee may cancel the Option award if the Participant, without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as determined by the Committee. In such event, the Participant will forfeit any compensation, gain or other value realized thereafter on the vesting or exercise of the Option, the sale or other transfer of the Option, or the sale of shares of Common Stock acquired in respect of the Option and must promptly repay such amounts to the Company. If the Participant receives any amount in excess of what the Participant should have received</w:t>
      </w:r>
    </w:p>
    <w:p>
      <w:pPr>
        <w:sectPr>
          <w:pgSz w:w="11900" w:h="16838" w:orient="portrait"/>
          <w:cols w:equalWidth="0" w:num="1">
            <w:col w:w="10866"/>
          </w:cols>
          <w:pgMar w:left="494" w:top="268" w:right="539" w:bottom="1440" w:gutter="0" w:footer="0" w:header="0"/>
        </w:sectPr>
      </w:pPr>
    </w:p>
    <w:bookmarkStart w:id="42" w:name="page43"/>
    <w:bookmarkEnd w:id="42"/>
    <w:p>
      <w:pPr>
        <w:ind w:left="6" w:right="1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under the terms of the Option for any reason (including without limitation by reason of a financial restatement, mistake in calculations or other administrative error), all as determined by the Committee, then the Participant shall be required to promptly repay any such excess amount to the Company. In addition to the foregoing, to the extent required by applicable law and/or the rules and regulations of Nasdaq or any other securities exchange or inter-dealer quotation system on which the Common Stock is listed or quoted, or if so required pursuant to a written policy adopted by the Company, the Option shall be subject (including on a retroactive basis) to clawback, forfeiture or similar requirements (and such requirements shall be deemed incorporated by reference into this Agreement). The Participant acknowledges and agrees that no recovery of compensation under any such clawback policy will be an event giving rise to a right of the Participant to voluntarily terminate the Participant’s employment or other service upon a “resignation for good reason,” or for a “constructive termination” or any similar term under any plan of or agreement with the Company or any of its Affiliates.</w:t>
      </w:r>
    </w:p>
    <w:p>
      <w:pPr>
        <w:spacing w:after="0" w:line="185" w:lineRule="exact"/>
        <w:rPr>
          <w:sz w:val="20"/>
          <w:szCs w:val="20"/>
          <w:color w:val="auto"/>
        </w:rPr>
      </w:pPr>
    </w:p>
    <w:p>
      <w:pPr>
        <w:ind w:left="6" w:right="60" w:hanging="6"/>
        <w:spacing w:after="0" w:line="256" w:lineRule="auto"/>
        <w:tabs>
          <w:tab w:leader="none" w:pos="18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w:t>
      </w:r>
      <w:r>
        <w:rPr>
          <w:rFonts w:ascii="Times New Roman" w:cs="Times New Roman" w:eastAsia="Times New Roman" w:hAnsi="Times New Roman"/>
          <w:sz w:val="18"/>
          <w:szCs w:val="18"/>
          <w:color w:val="auto"/>
        </w:rPr>
        <w:t>. In the event that the Participant violates any restrictive covenants applicable to the Participant, in addition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remedy which may be available at law or in equity, the Option shall be forfeited effective as of the date on which such violation first occurs, unless otherwise determined by the Committee.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8" w:lineRule="exact"/>
        <w:rPr>
          <w:rFonts w:ascii="Times New Roman" w:cs="Times New Roman" w:eastAsia="Times New Roman" w:hAnsi="Times New Roman"/>
          <w:sz w:val="18"/>
          <w:szCs w:val="18"/>
          <w:b w:val="1"/>
          <w:bCs w:val="1"/>
          <w:color w:val="auto"/>
        </w:rPr>
      </w:pPr>
    </w:p>
    <w:p>
      <w:pPr>
        <w:ind w:left="266" w:hanging="266"/>
        <w:spacing w:after="0"/>
        <w:tabs>
          <w:tab w:leader="none" w:pos="266"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4" w:lineRule="exact"/>
        <w:rPr>
          <w:rFonts w:ascii="Times New Roman" w:cs="Times New Roman" w:eastAsia="Times New Roman" w:hAnsi="Times New Roman"/>
          <w:sz w:val="18"/>
          <w:szCs w:val="18"/>
          <w:b w:val="1"/>
          <w:bCs w:val="1"/>
          <w:color w:val="auto"/>
        </w:rPr>
      </w:pPr>
    </w:p>
    <w:p>
      <w:pPr>
        <w:ind w:left="6" w:right="180" w:firstLine="430"/>
        <w:spacing w:after="0" w:line="257" w:lineRule="auto"/>
        <w:tabs>
          <w:tab w:leader="none" w:pos="68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Option may not be assigned, alienated, pledged, attached, sold or otherwise transferred or encumbered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by the Participant other than by will or by the laws of descent and distribution, pursuant to a qualified domestic relations order or as otherwise permitted under Section 5(e) of the Plan. Any attempted Transfer of the Option contrary to the provisions hereof, and the levy of any execution, attachment or similar process upon the Option, shall be null and void and without effect.</w:t>
      </w:r>
    </w:p>
    <w:p>
      <w:pPr>
        <w:spacing w:after="0" w:line="182" w:lineRule="exact"/>
        <w:rPr>
          <w:rFonts w:ascii="Times New Roman" w:cs="Times New Roman" w:eastAsia="Times New Roman" w:hAnsi="Times New Roman"/>
          <w:sz w:val="18"/>
          <w:szCs w:val="18"/>
          <w:color w:val="auto"/>
        </w:rPr>
      </w:pPr>
    </w:p>
    <w:p>
      <w:pPr>
        <w:jc w:val="both"/>
        <w:ind w:left="6" w:firstLine="430"/>
        <w:spacing w:after="0" w:line="257" w:lineRule="auto"/>
        <w:tabs>
          <w:tab w:leader="none" w:pos="69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2" w:lineRule="exact"/>
        <w:rPr>
          <w:rFonts w:ascii="Times New Roman" w:cs="Times New Roman" w:eastAsia="Times New Roman" w:hAnsi="Times New Roman"/>
          <w:sz w:val="18"/>
          <w:szCs w:val="18"/>
          <w:color w:val="auto"/>
        </w:rPr>
      </w:pPr>
    </w:p>
    <w:p>
      <w:pPr>
        <w:ind w:left="6" w:right="20" w:firstLine="430"/>
        <w:spacing w:after="0" w:line="250" w:lineRule="auto"/>
        <w:tabs>
          <w:tab w:leader="none" w:pos="68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Option is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10(c) does not create an obligation on the part of the Company to modify the Plan or this Agreement and does not guarantee that the Option or the Option Shares will not be subject to interest and penalties under Section 409A. In no event whatsoever shall the Company be liable for any additional tax, interest or penalty that may be imposed on the Participant by Section 409A of the Code or damages for failing to comply with</w:t>
      </w:r>
    </w:p>
    <w:p>
      <w:pPr>
        <w:spacing w:after="0" w:line="2"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w:t>
      </w:r>
    </w:p>
    <w:p>
      <w:pPr>
        <w:sectPr>
          <w:pgSz w:w="11900" w:h="16838" w:orient="portrait"/>
          <w:cols w:equalWidth="0" w:num="1">
            <w:col w:w="10866"/>
          </w:cols>
          <w:pgMar w:left="494" w:top="268" w:right="539" w:bottom="1440" w:gutter="0" w:footer="0" w:header="0"/>
        </w:sectPr>
      </w:pPr>
    </w:p>
    <w:bookmarkStart w:id="43" w:name="page44"/>
    <w:bookmarkEnd w:id="43"/>
    <w:p>
      <w:pPr>
        <w:ind w:left="6" w:right="460" w:firstLine="430"/>
        <w:spacing w:after="0" w:line="274" w:lineRule="auto"/>
        <w:tabs>
          <w:tab w:leader="none" w:pos="694"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Notices</w:t>
      </w:r>
      <w:r>
        <w:rPr>
          <w:rFonts w:ascii="Times New Roman" w:cs="Times New Roman" w:eastAsia="Times New Roman" w:hAnsi="Times New Roman"/>
          <w:sz w:val="17"/>
          <w:szCs w:val="17"/>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w:t>
      </w:r>
    </w:p>
    <w:p>
      <w:pPr>
        <w:jc w:val="both"/>
        <w:ind w:left="6" w:right="380" w:hanging="6"/>
        <w:spacing w:after="0" w:line="251" w:lineRule="auto"/>
        <w:tabs>
          <w:tab w:leader="none" w:pos="2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mailing but in no event later than the date of actual receipt. Notices shall be directed, if to the Participant, at the Participant’s address indicated by the Company’s records, or if to the Company, to the attention of the Chief Financial Officer of the Company at the Company’s principal executive office.</w:t>
      </w:r>
    </w:p>
    <w:p>
      <w:pPr>
        <w:spacing w:after="0" w:line="186" w:lineRule="exact"/>
        <w:rPr>
          <w:rFonts w:ascii="Times New Roman" w:cs="Times New Roman" w:eastAsia="Times New Roman" w:hAnsi="Times New Roman"/>
          <w:sz w:val="18"/>
          <w:szCs w:val="18"/>
          <w:color w:val="auto"/>
        </w:rPr>
      </w:pPr>
    </w:p>
    <w:p>
      <w:pPr>
        <w:ind w:left="6" w:right="220" w:firstLine="430"/>
        <w:spacing w:after="0" w:line="277" w:lineRule="auto"/>
        <w:tabs>
          <w:tab w:leader="none" w:pos="6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3" w:lineRule="exact"/>
        <w:rPr>
          <w:rFonts w:ascii="Times New Roman" w:cs="Times New Roman" w:eastAsia="Times New Roman" w:hAnsi="Times New Roman"/>
          <w:sz w:val="18"/>
          <w:szCs w:val="18"/>
          <w:color w:val="auto"/>
        </w:rPr>
      </w:pPr>
    </w:p>
    <w:p>
      <w:pPr>
        <w:ind w:left="6" w:right="20" w:firstLine="430"/>
        <w:spacing w:after="0" w:line="257" w:lineRule="auto"/>
        <w:tabs>
          <w:tab w:leader="none" w:pos="6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Employment or Service</w:t>
      </w:r>
      <w:r>
        <w:rPr>
          <w:rFonts w:ascii="Times New Roman" w:cs="Times New Roman" w:eastAsia="Times New Roman" w:hAnsi="Times New Roman"/>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(or no) reason whatsoever.</w:t>
      </w:r>
    </w:p>
    <w:p>
      <w:pPr>
        <w:spacing w:after="0" w:line="182" w:lineRule="exact"/>
        <w:rPr>
          <w:rFonts w:ascii="Times New Roman" w:cs="Times New Roman" w:eastAsia="Times New Roman" w:hAnsi="Times New Roman"/>
          <w:sz w:val="18"/>
          <w:szCs w:val="18"/>
          <w:color w:val="auto"/>
        </w:rPr>
      </w:pPr>
    </w:p>
    <w:p>
      <w:pPr>
        <w:ind w:left="6" w:right="380" w:firstLine="430"/>
        <w:spacing w:after="0" w:line="277" w:lineRule="auto"/>
        <w:tabs>
          <w:tab w:leader="none" w:pos="6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163" w:lineRule="exact"/>
        <w:rPr>
          <w:rFonts w:ascii="Times New Roman" w:cs="Times New Roman" w:eastAsia="Times New Roman" w:hAnsi="Times New Roman"/>
          <w:sz w:val="18"/>
          <w:szCs w:val="18"/>
          <w:color w:val="auto"/>
        </w:rPr>
      </w:pPr>
    </w:p>
    <w:p>
      <w:pPr>
        <w:ind w:left="6" w:right="100" w:firstLine="430"/>
        <w:spacing w:after="0" w:line="277" w:lineRule="auto"/>
        <w:tabs>
          <w:tab w:leader="none" w:pos="69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63" w:lineRule="exact"/>
        <w:rPr>
          <w:rFonts w:ascii="Times New Roman" w:cs="Times New Roman" w:eastAsia="Times New Roman" w:hAnsi="Times New Roman"/>
          <w:sz w:val="18"/>
          <w:szCs w:val="18"/>
          <w:color w:val="auto"/>
        </w:rPr>
      </w:pPr>
    </w:p>
    <w:p>
      <w:pPr>
        <w:ind w:left="6" w:right="20" w:firstLine="430"/>
        <w:spacing w:after="0" w:line="257" w:lineRule="auto"/>
        <w:tabs>
          <w:tab w:leader="none" w:pos="6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Sections 9 or 10 of the Plan.</w:t>
      </w:r>
    </w:p>
    <w:p>
      <w:pPr>
        <w:spacing w:after="0" w:line="182" w:lineRule="exact"/>
        <w:rPr>
          <w:rFonts w:ascii="Times New Roman" w:cs="Times New Roman" w:eastAsia="Times New Roman" w:hAnsi="Times New Roman"/>
          <w:sz w:val="18"/>
          <w:szCs w:val="18"/>
          <w:color w:val="auto"/>
        </w:rPr>
      </w:pPr>
    </w:p>
    <w:p>
      <w:pPr>
        <w:ind w:left="6" w:right="100" w:firstLine="430"/>
        <w:spacing w:after="0" w:line="262" w:lineRule="auto"/>
        <w:tabs>
          <w:tab w:leader="none" w:pos="6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70" w:lineRule="exact"/>
        <w:rPr>
          <w:rFonts w:ascii="Times New Roman" w:cs="Times New Roman" w:eastAsia="Times New Roman" w:hAnsi="Times New Roman"/>
          <w:sz w:val="18"/>
          <w:szCs w:val="18"/>
          <w:color w:val="auto"/>
        </w:rPr>
      </w:pPr>
    </w:p>
    <w:p>
      <w:pPr>
        <w:ind w:left="426" w:firstLine="428"/>
        <w:spacing w:after="0" w:line="252" w:lineRule="auto"/>
        <w:tabs>
          <w:tab w:leader="none" w:pos="1057"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Consent to Jurisdiction</w:t>
      </w:r>
      <w:r>
        <w:rPr>
          <w:rFonts w:ascii="Times New Roman" w:cs="Times New Roman" w:eastAsia="Times New Roman" w:hAnsi="Times New Roman"/>
          <w:sz w:val="18"/>
          <w:szCs w:val="18"/>
          <w:color w:val="auto"/>
        </w:rPr>
        <w:t>. All disputes between or among any Persons arising out of or in any way connected with the Plan, this Agreement or the Option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ectPr>
          <w:pgSz w:w="11900" w:h="16838" w:orient="portrait"/>
          <w:cols w:equalWidth="0" w:num="1">
            <w:col w:w="10886"/>
          </w:cols>
          <w:pgMar w:left="494" w:top="268" w:right="519" w:bottom="1440" w:gutter="0" w:footer="0" w:header="0"/>
        </w:sectPr>
      </w:pPr>
    </w:p>
    <w:bookmarkStart w:id="44" w:name="page45"/>
    <w:bookmarkEnd w:id="44"/>
    <w:p>
      <w:pPr>
        <w:ind w:left="420" w:right="80" w:firstLine="428"/>
        <w:spacing w:after="0" w:line="253" w:lineRule="auto"/>
        <w:tabs>
          <w:tab w:leader="none" w:pos="11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6" w:lineRule="exact"/>
        <w:rPr>
          <w:rFonts w:ascii="Times New Roman" w:cs="Times New Roman" w:eastAsia="Times New Roman" w:hAnsi="Times New Roman"/>
          <w:sz w:val="18"/>
          <w:szCs w:val="18"/>
          <w:color w:val="auto"/>
        </w:rPr>
      </w:pPr>
    </w:p>
    <w:p>
      <w:pPr>
        <w:ind w:right="800" w:firstLine="430"/>
        <w:spacing w:after="0" w:line="277" w:lineRule="auto"/>
        <w:tabs>
          <w:tab w:leader="none" w:pos="68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hereof are provided for convenience only and are not to serve as a basis for interpretation or construction, and shall not constitute a part, of this Agreement.</w:t>
      </w:r>
    </w:p>
    <w:p>
      <w:pPr>
        <w:spacing w:after="0" w:line="163" w:lineRule="exact"/>
        <w:rPr>
          <w:rFonts w:ascii="Times New Roman" w:cs="Times New Roman" w:eastAsia="Times New Roman" w:hAnsi="Times New Roman"/>
          <w:sz w:val="18"/>
          <w:szCs w:val="18"/>
          <w:color w:val="auto"/>
        </w:rPr>
      </w:pPr>
    </w:p>
    <w:p>
      <w:pPr>
        <w:ind w:right="40" w:firstLine="430"/>
        <w:spacing w:after="0" w:line="262" w:lineRule="auto"/>
        <w:tabs>
          <w:tab w:leader="none" w:pos="6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7" w:lineRule="exact"/>
        <w:rPr>
          <w:rFonts w:ascii="Times New Roman" w:cs="Times New Roman" w:eastAsia="Times New Roman" w:hAnsi="Times New Roman"/>
          <w:sz w:val="18"/>
          <w:szCs w:val="18"/>
          <w:color w:val="auto"/>
        </w:rPr>
      </w:pPr>
    </w:p>
    <w:p>
      <w:pPr>
        <w:ind w:firstLine="430"/>
        <w:spacing w:after="0" w:line="257" w:lineRule="auto"/>
        <w:tabs>
          <w:tab w:leader="none" w:pos="7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(3) business days’ notice to the Company, in which case subsequent prospectuses, annual reports and other information will be delivered in hard copy to the Participant).</w:t>
      </w:r>
    </w:p>
    <w:p>
      <w:pPr>
        <w:spacing w:after="0" w:line="182"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Participation in Plan</w:t>
      </w:r>
      <w:r>
        <w:rPr>
          <w:rFonts w:ascii="Times New Roman" w:cs="Times New Roman" w:eastAsia="Times New Roman" w:hAnsi="Times New Roman"/>
          <w:sz w:val="18"/>
          <w:szCs w:val="18"/>
          <w:color w:val="auto"/>
        </w:rPr>
        <w:t>. The Company may, in its sole discretion, decide to deliver any documents related to current or future</w:t>
      </w:r>
    </w:p>
    <w:p>
      <w:pPr>
        <w:spacing w:after="0" w:line="25" w:lineRule="exact"/>
        <w:rPr>
          <w:rFonts w:ascii="Times New Roman" w:cs="Times New Roman" w:eastAsia="Times New Roman" w:hAnsi="Times New Roman"/>
          <w:sz w:val="18"/>
          <w:szCs w:val="18"/>
          <w:color w:val="auto"/>
        </w:rPr>
      </w:pPr>
    </w:p>
    <w:p>
      <w:pPr>
        <w:ind w:right="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ectPr>
          <w:pgSz w:w="11900" w:h="16838" w:orient="portrait"/>
          <w:cols w:equalWidth="0" w:num="1">
            <w:col w:w="10880"/>
          </w:cols>
          <w:pgMar w:left="500" w:top="268"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this Agreement has been executed by the Company and the Participant as of the day first written above.</w:t>
      </w:r>
    </w:p>
    <w:p>
      <w:pPr>
        <w:spacing w:after="0" w:line="2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4487545</wp:posOffset>
            </wp:positionH>
            <wp:positionV relativeFrom="paragraph">
              <wp:posOffset>15875</wp:posOffset>
            </wp:positionV>
            <wp:extent cx="24345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3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###PARTICIPANT_NAME###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-127635</wp:posOffset>
            </wp:positionV>
            <wp:extent cx="27654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ectPr>
          <w:pgSz w:w="11900" w:h="16838" w:orient="portrait"/>
          <w:cols w:equalWidth="0" w:num="1">
            <w:col w:w="9959"/>
          </w:cols>
          <w:pgMar w:left="500" w:top="264"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vTv Therapeutics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3980 Premier Drive, Suite 110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 Point, North Carolina 27265</w:t>
      </w: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have acted as counsel to vTv Therapeutics Inc., a Delaware corporation (the “Company”), in connection with the filing with the Securities and Exchange Commission (the “Commission”) of a Registration Statement on Form S-8 (the “Registration Statement”) for the purpose of registering under the Securities Act of 1933, as amended (the “Securities Act”), an aggregate of 1,115,905 shares of its Class A common stock, par value $0.01 per share (the “Shares”), consisting of (i) 782,789 Shares issuable under the vTv Therapeutics Inc. 2024 Equity Incentive Plan, as amended (the “2024 Plan”), (ii) 15,616 Shares issuable upon exercise of outstanding stock options granted pursuant to the Inducement Award Nonqualified Option Award Agreement, dated as of October 19, 2021, by and between the Company and Deepa Prasad (the “Prasad Award Agreement”), (iii) 55,000 Shares issuable upon exercise of outstanding stock options granted pursuant to the Inducement Award Nonqualified Option Award Agreement, dated as of July 26, 2022, by and between the Company and Paul Sekhri (the “Sekhri Award Agreement”), (iv) 12,500 Shares issuable upon exercise of outstanding stock options granted pursuant to the Inducement Award Nonqualified Option Award Agreement, dated as of November 10, 2023, by and between the Company and Thomas Strack (the “Strack Award Agreement”, and, together with the Sekhri Award Agreement and Prasad Award Agreement, the “Inducement Award Agreements”), and (v) 250,000 Shares issuable under the vTv Therapeutics Inc. 2026 Equity Inducement Plan (the “Inducement Plan” and, together with the 2024 Plan, the “Plans”).</w:t>
      </w:r>
    </w:p>
    <w:p>
      <w:pPr>
        <w:spacing w:after="0" w:line="19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This opinion (the “Opinion”) is being furnished to the Company in connection with the requirements of Item 601(b)(5) of Regulation S-K under the Securities Act, and no opinion is expressed herein as to any matter pertaining to the contents of the Registration Statement other than as expressly stated herein with respect to the Shares.</w:t>
      </w:r>
    </w:p>
    <w:p>
      <w:pPr>
        <w:spacing w:after="0" w:line="1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your counsel, we have examined such documents and such matters of fact and law that we have deemed necessary for the purpose of rendering the Opinion expressed herein. In connection with this Opinion, we have examined originals or copies (in each case signed, certified or otherwise proven to our satisfaction to be genuine) of: (i) the Plans, (ii) the Inducement Award Agreements, (iii) the Company’s Amended and Restated Certificate of Incorporation, as currently in effect (the “Charter”), (iv) the Company’s Bylaws, as currently in effect, and (v) resolutions approving the corporate action of the Company authorizing the issuance and sale of the Shares.</w:t>
      </w:r>
    </w:p>
    <w:p>
      <w:pPr>
        <w:spacing w:after="0" w:line="183"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authenticity of all documents submitted to us as original documents, and the conformity to original documents of all documents submitted to us as copies, the legal capacity of natural persons who are signatories to the documents examined by us, and the legal power and authority of all persons signing on behalf of parties (other than the Company) to all documents.</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rendering the Opinion expressed below, we have assumed that prior to the issuance of any of the Shares, there will exist under the Charter the requisite number of authorized but unissued shares of Class A common stock. In addition, we have assumed (i) the resolutions authorizing the Company to issue the Shares in accordance with the terms and conditions of the Plans and the Inducement Award Agreements will remain in effect and unchanged at all times during which the Shares are issued by the Company and (ii) the Registration Statement, and any amendments thereto, at the time of issuance of the Shares, will continue to be effective under the Securities Act.</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Based on the foregoing, we advise you that, in our opinion, as of the date hereof, when the Shares shall have been duly registered on the books of the transfer agent and registrar therefor in the name or on behalf of the holder and have been issued by the Company against payment therefor (not less than par value) in the circumstances contemplated by the Plans and the Inducement Award Agreements, assuming in each case that the individual issuances, grants or awards under the Plans and the Inducement Award Agreements are duly issued and granted or awarded and exercised in accordance with the requirements of law and the Plans and the Inducement Award Agreements (and the agreements and awards duly adopted thereunder and in accordance therewith), the issue and sale of the Shares will have been duly authorized by all necessary corporate action of the Company, and the Shares will be validly issued, fully paid and non-assessable.</w:t>
      </w:r>
    </w:p>
    <w:p>
      <w:pPr>
        <w:sectPr>
          <w:pgSz w:w="11900" w:h="16838" w:orient="portrait"/>
          <w:cols w:equalWidth="0" w:num="1">
            <w:col w:w="10900"/>
          </w:cols>
          <w:pgMar w:left="500" w:top="117"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We are members of the Bar of the State of New York and the foregoing Opinion is limited to the General Corporation Law of the State of Delaware.</w:t>
      </w:r>
    </w:p>
    <w:p>
      <w:pPr>
        <w:spacing w:after="0" w:line="232"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In giving this consent, we do not admit that we are in the category of persons whose consent is required under Section 7 of the Securities Act or the rules and regulations of the Commission thereunder.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Dechert LLP</w:t>
      </w:r>
    </w:p>
    <w:p>
      <w:pPr>
        <w:sectPr>
          <w:pgSz w:w="11900" w:h="16838" w:orient="portrait"/>
          <w:cols w:equalWidth="0" w:num="1">
            <w:col w:w="10540"/>
          </w:cols>
          <w:pgMar w:left="500" w:top="268" w:right="8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2024 Equity Incentive Plan and 2026 Equity Inducement Plan, of our report dated March 10, 2026, with respect to the consolidated financial statements of vTv Therapeutics Inc. included in its Annual Report (Form 10-K) for the year ended December 31, 2025,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2026</w:t>
      </w:r>
    </w:p>
    <w:p>
      <w:pPr>
        <w:sectPr>
          <w:pgSz w:w="11900" w:h="16838" w:orient="portrait"/>
          <w:cols w:equalWidth="0" w:num="1">
            <w:col w:w="10900"/>
          </w:cols>
          <w:pgMar w:left="500" w:top="117" w:right="499" w:bottom="1440" w:gutter="0" w:footer="0" w:header="0"/>
        </w:sectPr>
      </w:pPr>
    </w:p>
    <w:bookmarkStart w:id="49" w:name="page50"/>
    <w:bookmarkEnd w:id="49"/>
    <w:p>
      <w:pPr>
        <w:ind w:left="2260"/>
        <w:spacing w:after="0"/>
        <w:rPr>
          <w:sz w:val="20"/>
          <w:szCs w:val="20"/>
          <w:color w:val="auto"/>
        </w:rPr>
      </w:pPr>
      <w:r>
        <w:rPr>
          <w:rFonts w:ascii="Arial" w:cs="Arial" w:eastAsia="Arial" w:hAnsi="Arial"/>
          <w:sz w:val="35"/>
          <w:szCs w:val="35"/>
          <w:b w:val="1"/>
          <w:bCs w:val="1"/>
          <w:color w:val="auto"/>
        </w:rPr>
        <w:t>Calculation of Filing Fee Tables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80"/>
        <w:spacing w:after="0"/>
        <w:rPr>
          <w:sz w:val="20"/>
          <w:szCs w:val="20"/>
          <w:color w:val="auto"/>
        </w:rPr>
      </w:pPr>
      <w:r>
        <w:rPr>
          <w:rFonts w:ascii="Arial" w:cs="Arial" w:eastAsia="Arial" w:hAnsi="Arial"/>
          <w:sz w:val="36"/>
          <w:szCs w:val="36"/>
          <w:b w:val="1"/>
          <w:bCs w:val="1"/>
          <w:color w:val="auto"/>
        </w:rPr>
        <w:t>vTv Therapeutics Inc.</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40640</wp:posOffset>
            </wp:positionV>
            <wp:extent cx="6416675" cy="9220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416675" cy="9220200"/>
                    </a:xfrm>
                    <a:prstGeom prst="rect">
                      <a:avLst/>
                    </a:prstGeom>
                    <a:noFill/>
                  </pic:spPr>
                </pic:pic>
              </a:graphicData>
            </a:graphic>
          </wp:anchor>
        </w:drawing>
      </w:r>
    </w:p>
    <w:p>
      <w:pPr>
        <w:sectPr>
          <w:pgSz w:w="11900" w:h="16838" w:orient="portrait"/>
          <w:cols w:equalWidth="0" w:num="1">
            <w:col w:w="10000"/>
          </w:cols>
          <w:pgMar w:left="960" w:top="142" w:right="939" w:bottom="0" w:gutter="0" w:footer="0" w:header="0"/>
        </w:sectPr>
      </w:pPr>
    </w:p>
    <w:p>
      <w:pPr>
        <w:spacing w:after="0" w:line="108" w:lineRule="exact"/>
        <w:rPr>
          <w:sz w:val="20"/>
          <w:szCs w:val="20"/>
          <w:color w:val="auto"/>
        </w:rPr>
      </w:pPr>
    </w:p>
    <w:tbl>
      <w:tblPr>
        <w:tblLayout w:type="fixed"/>
        <w:tblInd w:w="160" w:type="dxa"/>
        <w:tblCellMar>
          <w:top w:w="0" w:type="dxa"/>
          <w:left w:w="0" w:type="dxa"/>
          <w:bottom w:w="0" w:type="dxa"/>
          <w:right w:w="0" w:type="dxa"/>
        </w:tblCellMar>
      </w:tblPr>
      <w:tr>
        <w:trPr>
          <w:trHeight w:val="466"/>
        </w:trPr>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0" w:type="dxa"/>
            <w:vAlign w:val="bottom"/>
          </w:tcPr>
          <w:p>
            <w:pPr>
              <w:spacing w:after="0"/>
              <w:rPr>
                <w:sz w:val="1"/>
                <w:szCs w:val="1"/>
                <w:color w:val="auto"/>
              </w:rPr>
            </w:pPr>
          </w:p>
        </w:tc>
      </w:tr>
      <w:tr>
        <w:trPr>
          <w:trHeight w:val="120"/>
        </w:trPr>
        <w:tc>
          <w:tcPr>
            <w:tcW w:w="94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0"/>
                <w:szCs w:val="10"/>
                <w:color w:val="auto"/>
              </w:rPr>
            </w:pPr>
          </w:p>
        </w:tc>
        <w:tc>
          <w:tcPr>
            <w:tcW w:w="1140" w:type="dxa"/>
            <w:vAlign w:val="bottom"/>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9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18"/>
                <w:szCs w:val="18"/>
                <w:color w:val="auto"/>
              </w:rPr>
            </w:pPr>
          </w:p>
        </w:tc>
        <w:tc>
          <w:tcPr>
            <w:tcW w:w="12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Registered</w:t>
            </w:r>
          </w:p>
        </w:tc>
        <w:tc>
          <w:tcPr>
            <w:tcW w:w="0" w:type="dxa"/>
            <w:vAlign w:val="bottom"/>
          </w:tcPr>
          <w:p>
            <w:pPr>
              <w:spacing w:after="0"/>
              <w:rPr>
                <w:sz w:val="1"/>
                <w:szCs w:val="1"/>
                <w:color w:val="auto"/>
              </w:rPr>
            </w:pPr>
          </w:p>
        </w:tc>
      </w:tr>
      <w:tr>
        <w:trPr>
          <w:trHeight w:val="295"/>
        </w:trPr>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shd w:val="clear" w:color="auto" w:fill="9ADAF6"/>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2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21"/>
                <w:szCs w:val="21"/>
                <w:color w:val="auto"/>
              </w:rPr>
            </w:pPr>
          </w:p>
        </w:tc>
        <w:tc>
          <w:tcPr>
            <w:tcW w:w="15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9ADAF6"/>
          </w:tcPr>
          <w:p>
            <w:pPr>
              <w:spacing w:after="0"/>
              <w:rPr>
                <w:sz w:val="21"/>
                <w:szCs w:val="21"/>
                <w:color w:val="auto"/>
              </w:rPr>
            </w:pPr>
          </w:p>
        </w:tc>
      </w:tr>
      <w:tr>
        <w:trPr>
          <w:trHeight w:val="240"/>
        </w:trPr>
        <w:tc>
          <w:tcPr>
            <w:tcW w:w="12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r>
      <w:tr>
        <w:trPr>
          <w:trHeight w:val="240"/>
        </w:trPr>
        <w:tc>
          <w:tcPr>
            <w:tcW w:w="12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ind w:left="80"/>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r>
      <w:tr>
        <w:trPr>
          <w:trHeight w:val="240"/>
        </w:trPr>
        <w:tc>
          <w:tcPr>
            <w:tcW w:w="12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r>
      <w:tr>
        <w:trPr>
          <w:trHeight w:val="282"/>
        </w:trPr>
        <w:tc>
          <w:tcPr>
            <w:tcW w:w="12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r>
    </w:tbl>
    <w:p>
      <w:pPr>
        <w:spacing w:after="0" w:line="14" w:lineRule="exact"/>
        <w:rPr>
          <w:sz w:val="20"/>
          <w:szCs w:val="20"/>
          <w:color w:val="auto"/>
        </w:rPr>
      </w:pPr>
    </w:p>
    <w:p>
      <w:pPr>
        <w:sectPr>
          <w:pgSz w:w="11900" w:h="16838" w:orient="portrait"/>
          <w:cols w:equalWidth="0" w:num="2">
            <w:col w:w="4660" w:space="20"/>
            <w:col w:w="5320"/>
          </w:cols>
          <w:pgMar w:left="960" w:top="142" w:right="9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color w:val="auto"/>
        </w:rPr>
        <w:t>1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color w:val="auto"/>
        </w:rPr>
        <w:t>2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color w:val="auto"/>
        </w:rPr>
        <w:t>3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Class A</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238" w:lineRule="auto"/>
        <w:rPr>
          <w:sz w:val="20"/>
          <w:szCs w:val="20"/>
          <w:color w:val="auto"/>
        </w:rPr>
      </w:pPr>
      <w:r>
        <w:rPr>
          <w:rFonts w:ascii="Arial" w:cs="Arial" w:eastAsia="Arial" w:hAnsi="Arial"/>
          <w:sz w:val="21"/>
          <w:szCs w:val="21"/>
          <w:color w:val="auto"/>
        </w:rPr>
        <w:t>Stock,</w:t>
      </w:r>
    </w:p>
    <w:p>
      <w:pPr>
        <w:spacing w:after="0"/>
        <w:rPr>
          <w:sz w:val="20"/>
          <w:szCs w:val="20"/>
          <w:color w:val="auto"/>
        </w:rPr>
      </w:pPr>
      <w:r>
        <w:rPr>
          <w:rFonts w:ascii="Arial" w:cs="Arial" w:eastAsia="Arial" w:hAnsi="Arial"/>
          <w:sz w:val="21"/>
          <w:szCs w:val="21"/>
          <w:color w:val="auto"/>
        </w:rPr>
        <w:t>$0.01 par</w:t>
      </w:r>
    </w:p>
    <w:p>
      <w:pPr>
        <w:spacing w:after="0" w:line="238" w:lineRule="auto"/>
        <w:rPr>
          <w:sz w:val="20"/>
          <w:szCs w:val="20"/>
          <w:color w:val="auto"/>
        </w:rPr>
      </w:pPr>
      <w:r>
        <w:rPr>
          <w:rFonts w:ascii="Arial" w:cs="Arial" w:eastAsia="Arial" w:hAnsi="Arial"/>
          <w:sz w:val="21"/>
          <w:szCs w:val="21"/>
          <w:color w:val="auto"/>
        </w:rPr>
        <w:t>value per</w:t>
      </w:r>
    </w:p>
    <w:p>
      <w:pPr>
        <w:spacing w:after="0"/>
        <w:rPr>
          <w:sz w:val="20"/>
          <w:szCs w:val="20"/>
          <w:color w:val="auto"/>
        </w:rPr>
      </w:pPr>
      <w:r>
        <w:rPr>
          <w:rFonts w:ascii="Arial" w:cs="Arial" w:eastAsia="Arial" w:hAnsi="Arial"/>
          <w:sz w:val="21"/>
          <w:szCs w:val="21"/>
          <w:color w:val="auto"/>
        </w:rPr>
        <w:t>share,</w:t>
      </w:r>
    </w:p>
    <w:p>
      <w:pPr>
        <w:spacing w:after="0" w:line="238" w:lineRule="auto"/>
        <w:rPr>
          <w:sz w:val="20"/>
          <w:szCs w:val="20"/>
          <w:color w:val="auto"/>
        </w:rPr>
      </w:pPr>
      <w:r>
        <w:rPr>
          <w:rFonts w:ascii="Arial" w:cs="Arial" w:eastAsia="Arial" w:hAnsi="Arial"/>
          <w:sz w:val="21"/>
          <w:szCs w:val="21"/>
          <w:color w:val="auto"/>
        </w:rPr>
        <w:t>reserved</w:t>
      </w:r>
    </w:p>
    <w:p>
      <w:pPr>
        <w:spacing w:after="0"/>
        <w:rPr>
          <w:sz w:val="20"/>
          <w:szCs w:val="20"/>
          <w:color w:val="auto"/>
        </w:rPr>
      </w:pPr>
      <w:r>
        <w:rPr>
          <w:rFonts w:ascii="Arial" w:cs="Arial" w:eastAsia="Arial" w:hAnsi="Arial"/>
          <w:sz w:val="21"/>
          <w:szCs w:val="21"/>
          <w:color w:val="auto"/>
        </w:rPr>
        <w:t>for future</w:t>
      </w:r>
    </w:p>
    <w:p>
      <w:pPr>
        <w:spacing w:after="0" w:line="238" w:lineRule="auto"/>
        <w:rPr>
          <w:sz w:val="20"/>
          <w:szCs w:val="20"/>
          <w:color w:val="auto"/>
        </w:rPr>
      </w:pPr>
      <w:r>
        <w:rPr>
          <w:rFonts w:ascii="Arial" w:cs="Arial" w:eastAsia="Arial" w:hAnsi="Arial"/>
          <w:sz w:val="21"/>
          <w:szCs w:val="21"/>
          <w:color w:val="auto"/>
        </w:rPr>
        <w:t>issuance</w:t>
      </w:r>
    </w:p>
    <w:p>
      <w:pPr>
        <w:spacing w:after="0"/>
        <w:rPr>
          <w:sz w:val="20"/>
          <w:szCs w:val="20"/>
          <w:color w:val="auto"/>
        </w:rPr>
      </w:pPr>
      <w:r>
        <w:rPr>
          <w:rFonts w:ascii="Arial" w:cs="Arial" w:eastAsia="Arial" w:hAnsi="Arial"/>
          <w:sz w:val="21"/>
          <w:szCs w:val="21"/>
          <w:color w:val="auto"/>
        </w:rPr>
        <w:t>under the</w:t>
      </w:r>
    </w:p>
    <w:p>
      <w:pPr>
        <w:spacing w:after="0" w:line="238" w:lineRule="auto"/>
        <w:rPr>
          <w:sz w:val="20"/>
          <w:szCs w:val="20"/>
          <w:color w:val="auto"/>
        </w:rPr>
      </w:pPr>
      <w:r>
        <w:rPr>
          <w:rFonts w:ascii="Arial" w:cs="Arial" w:eastAsia="Arial" w:hAnsi="Arial"/>
          <w:sz w:val="21"/>
          <w:szCs w:val="21"/>
          <w:color w:val="auto"/>
        </w:rPr>
        <w:t>2024</w:t>
      </w:r>
    </w:p>
    <w:p>
      <w:pPr>
        <w:spacing w:after="0"/>
        <w:rPr>
          <w:sz w:val="20"/>
          <w:szCs w:val="20"/>
          <w:color w:val="auto"/>
        </w:rPr>
      </w:pPr>
      <w:r>
        <w:rPr>
          <w:rFonts w:ascii="Arial" w:cs="Arial" w:eastAsia="Arial" w:hAnsi="Arial"/>
          <w:sz w:val="21"/>
          <w:szCs w:val="21"/>
          <w:color w:val="auto"/>
        </w:rPr>
        <w:t>Equity</w:t>
      </w:r>
    </w:p>
    <w:p>
      <w:pPr>
        <w:spacing w:after="0" w:line="238" w:lineRule="auto"/>
        <w:rPr>
          <w:sz w:val="20"/>
          <w:szCs w:val="20"/>
          <w:color w:val="auto"/>
        </w:rPr>
      </w:pPr>
      <w:r>
        <w:rPr>
          <w:rFonts w:ascii="Arial" w:cs="Arial" w:eastAsia="Arial" w:hAnsi="Arial"/>
          <w:sz w:val="21"/>
          <w:szCs w:val="21"/>
          <w:color w:val="auto"/>
        </w:rPr>
        <w:t>Incentive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Class A</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238" w:lineRule="auto"/>
        <w:rPr>
          <w:sz w:val="20"/>
          <w:szCs w:val="20"/>
          <w:color w:val="auto"/>
        </w:rPr>
      </w:pPr>
      <w:r>
        <w:rPr>
          <w:rFonts w:ascii="Arial" w:cs="Arial" w:eastAsia="Arial" w:hAnsi="Arial"/>
          <w:sz w:val="21"/>
          <w:szCs w:val="21"/>
          <w:color w:val="auto"/>
        </w:rPr>
        <w:t>Stock,</w:t>
      </w:r>
    </w:p>
    <w:p>
      <w:pPr>
        <w:spacing w:after="0"/>
        <w:rPr>
          <w:sz w:val="20"/>
          <w:szCs w:val="20"/>
          <w:color w:val="auto"/>
        </w:rPr>
      </w:pPr>
      <w:r>
        <w:rPr>
          <w:rFonts w:ascii="Arial" w:cs="Arial" w:eastAsia="Arial" w:hAnsi="Arial"/>
          <w:sz w:val="21"/>
          <w:szCs w:val="21"/>
          <w:color w:val="auto"/>
        </w:rPr>
        <w:t>$0.01 par</w:t>
      </w:r>
    </w:p>
    <w:p>
      <w:pPr>
        <w:spacing w:after="0" w:line="238" w:lineRule="auto"/>
        <w:rPr>
          <w:sz w:val="20"/>
          <w:szCs w:val="20"/>
          <w:color w:val="auto"/>
        </w:rPr>
      </w:pPr>
      <w:r>
        <w:rPr>
          <w:rFonts w:ascii="Arial" w:cs="Arial" w:eastAsia="Arial" w:hAnsi="Arial"/>
          <w:sz w:val="21"/>
          <w:szCs w:val="21"/>
          <w:color w:val="auto"/>
        </w:rPr>
        <w:t>value per</w:t>
      </w:r>
    </w:p>
    <w:p>
      <w:pPr>
        <w:spacing w:after="0"/>
        <w:rPr>
          <w:sz w:val="20"/>
          <w:szCs w:val="20"/>
          <w:color w:val="auto"/>
        </w:rPr>
      </w:pPr>
      <w:r>
        <w:rPr>
          <w:rFonts w:ascii="Arial" w:cs="Arial" w:eastAsia="Arial" w:hAnsi="Arial"/>
          <w:sz w:val="21"/>
          <w:szCs w:val="21"/>
          <w:color w:val="auto"/>
        </w:rPr>
        <w:t>share,</w:t>
      </w:r>
    </w:p>
    <w:p>
      <w:pPr>
        <w:spacing w:after="0" w:line="238" w:lineRule="auto"/>
        <w:rPr>
          <w:sz w:val="20"/>
          <w:szCs w:val="20"/>
          <w:color w:val="auto"/>
        </w:rPr>
      </w:pPr>
      <w:r>
        <w:rPr>
          <w:rFonts w:ascii="Arial" w:cs="Arial" w:eastAsia="Arial" w:hAnsi="Arial"/>
          <w:sz w:val="21"/>
          <w:szCs w:val="21"/>
          <w:color w:val="auto"/>
        </w:rPr>
        <w:t>issuable</w:t>
      </w:r>
    </w:p>
    <w:p>
      <w:pPr>
        <w:spacing w:after="0"/>
        <w:rPr>
          <w:sz w:val="20"/>
          <w:szCs w:val="20"/>
          <w:color w:val="auto"/>
        </w:rPr>
      </w:pPr>
      <w:r>
        <w:rPr>
          <w:rFonts w:ascii="Arial" w:cs="Arial" w:eastAsia="Arial" w:hAnsi="Arial"/>
          <w:sz w:val="21"/>
          <w:szCs w:val="21"/>
          <w:color w:val="auto"/>
        </w:rPr>
        <w:t>pursuant to</w:t>
      </w:r>
    </w:p>
    <w:p>
      <w:pPr>
        <w:spacing w:after="0" w:line="238" w:lineRule="auto"/>
        <w:rPr>
          <w:sz w:val="20"/>
          <w:szCs w:val="20"/>
          <w:color w:val="auto"/>
        </w:rPr>
      </w:pPr>
      <w:r>
        <w:rPr>
          <w:rFonts w:ascii="Arial" w:cs="Arial" w:eastAsia="Arial" w:hAnsi="Arial"/>
          <w:sz w:val="21"/>
          <w:szCs w:val="21"/>
          <w:color w:val="auto"/>
        </w:rPr>
        <w:t>outstanding</w:t>
      </w:r>
    </w:p>
    <w:p>
      <w:pPr>
        <w:spacing w:after="0"/>
        <w:rPr>
          <w:sz w:val="20"/>
          <w:szCs w:val="20"/>
          <w:color w:val="auto"/>
        </w:rPr>
      </w:pPr>
      <w:r>
        <w:rPr>
          <w:rFonts w:ascii="Arial" w:cs="Arial" w:eastAsia="Arial" w:hAnsi="Arial"/>
          <w:sz w:val="21"/>
          <w:szCs w:val="21"/>
          <w:color w:val="auto"/>
        </w:rPr>
        <w:t>awards</w:t>
      </w:r>
    </w:p>
    <w:p>
      <w:pPr>
        <w:spacing w:after="0" w:line="238" w:lineRule="auto"/>
        <w:rPr>
          <w:sz w:val="20"/>
          <w:szCs w:val="20"/>
          <w:color w:val="auto"/>
        </w:rPr>
      </w:pPr>
      <w:r>
        <w:rPr>
          <w:rFonts w:ascii="Arial" w:cs="Arial" w:eastAsia="Arial" w:hAnsi="Arial"/>
          <w:sz w:val="21"/>
          <w:szCs w:val="21"/>
          <w:color w:val="auto"/>
        </w:rPr>
        <w:t>under the</w:t>
      </w:r>
    </w:p>
    <w:p>
      <w:pPr>
        <w:spacing w:after="0"/>
        <w:rPr>
          <w:sz w:val="20"/>
          <w:szCs w:val="20"/>
          <w:color w:val="auto"/>
        </w:rPr>
      </w:pPr>
      <w:r>
        <w:rPr>
          <w:rFonts w:ascii="Arial" w:cs="Arial" w:eastAsia="Arial" w:hAnsi="Arial"/>
          <w:sz w:val="21"/>
          <w:szCs w:val="21"/>
          <w:color w:val="auto"/>
        </w:rPr>
        <w:t>2024</w:t>
      </w:r>
    </w:p>
    <w:p>
      <w:pPr>
        <w:spacing w:after="0" w:line="238" w:lineRule="auto"/>
        <w:rPr>
          <w:sz w:val="20"/>
          <w:szCs w:val="20"/>
          <w:color w:val="auto"/>
        </w:rPr>
      </w:pPr>
      <w:r>
        <w:rPr>
          <w:rFonts w:ascii="Arial" w:cs="Arial" w:eastAsia="Arial" w:hAnsi="Arial"/>
          <w:sz w:val="21"/>
          <w:szCs w:val="21"/>
          <w:color w:val="auto"/>
        </w:rPr>
        <w:t>Equity</w:t>
      </w:r>
    </w:p>
    <w:p>
      <w:pPr>
        <w:spacing w:after="0"/>
        <w:rPr>
          <w:sz w:val="20"/>
          <w:szCs w:val="20"/>
          <w:color w:val="auto"/>
        </w:rPr>
      </w:pPr>
      <w:r>
        <w:rPr>
          <w:rFonts w:ascii="Arial" w:cs="Arial" w:eastAsia="Arial" w:hAnsi="Arial"/>
          <w:sz w:val="21"/>
          <w:szCs w:val="21"/>
          <w:color w:val="auto"/>
        </w:rPr>
        <w:t>Incentive</w:t>
      </w:r>
    </w:p>
    <w:p>
      <w:pPr>
        <w:spacing w:after="0"/>
        <w:rPr>
          <w:sz w:val="20"/>
          <w:szCs w:val="20"/>
          <w:color w:val="auto"/>
        </w:rPr>
      </w:pPr>
      <w:r>
        <w:rPr>
          <w:rFonts w:ascii="Arial" w:cs="Arial" w:eastAsia="Arial" w:hAnsi="Arial"/>
          <w:sz w:val="21"/>
          <w:szCs w:val="21"/>
          <w:color w:val="auto"/>
        </w:rPr>
        <w:t>Plan</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Class A</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238" w:lineRule="auto"/>
        <w:rPr>
          <w:sz w:val="20"/>
          <w:szCs w:val="20"/>
          <w:color w:val="auto"/>
        </w:rPr>
      </w:pPr>
      <w:r>
        <w:rPr>
          <w:rFonts w:ascii="Arial" w:cs="Arial" w:eastAsia="Arial" w:hAnsi="Arial"/>
          <w:sz w:val="21"/>
          <w:szCs w:val="21"/>
          <w:color w:val="auto"/>
        </w:rPr>
        <w:t>Stock,</w:t>
      </w:r>
    </w:p>
    <w:p>
      <w:pPr>
        <w:spacing w:after="0"/>
        <w:rPr>
          <w:sz w:val="20"/>
          <w:szCs w:val="20"/>
          <w:color w:val="auto"/>
        </w:rPr>
      </w:pPr>
      <w:r>
        <w:rPr>
          <w:rFonts w:ascii="Arial" w:cs="Arial" w:eastAsia="Arial" w:hAnsi="Arial"/>
          <w:sz w:val="21"/>
          <w:szCs w:val="21"/>
          <w:color w:val="auto"/>
        </w:rPr>
        <w:t>$0.01 par</w:t>
      </w:r>
    </w:p>
    <w:p>
      <w:pPr>
        <w:spacing w:after="0" w:line="238" w:lineRule="auto"/>
        <w:rPr>
          <w:sz w:val="20"/>
          <w:szCs w:val="20"/>
          <w:color w:val="auto"/>
        </w:rPr>
      </w:pPr>
      <w:r>
        <w:rPr>
          <w:rFonts w:ascii="Arial" w:cs="Arial" w:eastAsia="Arial" w:hAnsi="Arial"/>
          <w:sz w:val="21"/>
          <w:szCs w:val="21"/>
          <w:color w:val="auto"/>
        </w:rPr>
        <w:t>value per</w:t>
      </w:r>
    </w:p>
    <w:p>
      <w:pPr>
        <w:spacing w:after="0"/>
        <w:rPr>
          <w:sz w:val="20"/>
          <w:szCs w:val="20"/>
          <w:color w:val="auto"/>
        </w:rPr>
      </w:pPr>
      <w:r>
        <w:rPr>
          <w:rFonts w:ascii="Arial" w:cs="Arial" w:eastAsia="Arial" w:hAnsi="Arial"/>
          <w:sz w:val="21"/>
          <w:szCs w:val="21"/>
          <w:color w:val="auto"/>
        </w:rPr>
        <w:t>share,</w:t>
      </w:r>
    </w:p>
    <w:p>
      <w:pPr>
        <w:spacing w:after="0" w:line="238" w:lineRule="auto"/>
        <w:rPr>
          <w:sz w:val="20"/>
          <w:szCs w:val="20"/>
          <w:color w:val="auto"/>
        </w:rPr>
      </w:pPr>
      <w:r>
        <w:rPr>
          <w:rFonts w:ascii="Arial" w:cs="Arial" w:eastAsia="Arial" w:hAnsi="Arial"/>
          <w:sz w:val="21"/>
          <w:szCs w:val="21"/>
          <w:color w:val="auto"/>
        </w:rPr>
        <w:t>reserved</w:t>
      </w:r>
    </w:p>
    <w:p>
      <w:pPr>
        <w:spacing w:after="0"/>
        <w:rPr>
          <w:sz w:val="20"/>
          <w:szCs w:val="20"/>
          <w:color w:val="auto"/>
        </w:rPr>
      </w:pPr>
      <w:r>
        <w:rPr>
          <w:rFonts w:ascii="Arial" w:cs="Arial" w:eastAsia="Arial" w:hAnsi="Arial"/>
          <w:sz w:val="21"/>
          <w:szCs w:val="21"/>
          <w:color w:val="auto"/>
        </w:rPr>
        <w:t>for future</w:t>
      </w:r>
    </w:p>
    <w:p>
      <w:pPr>
        <w:spacing w:after="0" w:line="238" w:lineRule="auto"/>
        <w:rPr>
          <w:sz w:val="20"/>
          <w:szCs w:val="20"/>
          <w:color w:val="auto"/>
        </w:rPr>
      </w:pPr>
      <w:r>
        <w:rPr>
          <w:rFonts w:ascii="Arial" w:cs="Arial" w:eastAsia="Arial" w:hAnsi="Arial"/>
          <w:sz w:val="21"/>
          <w:szCs w:val="21"/>
          <w:color w:val="auto"/>
        </w:rPr>
        <w:t>issuance</w:t>
      </w:r>
    </w:p>
    <w:p>
      <w:pPr>
        <w:spacing w:after="0"/>
        <w:rPr>
          <w:sz w:val="20"/>
          <w:szCs w:val="20"/>
          <w:color w:val="auto"/>
        </w:rPr>
      </w:pPr>
      <w:r>
        <w:rPr>
          <w:rFonts w:ascii="Arial" w:cs="Arial" w:eastAsia="Arial" w:hAnsi="Arial"/>
          <w:sz w:val="21"/>
          <w:szCs w:val="21"/>
          <w:color w:val="auto"/>
        </w:rPr>
        <w:t>under the</w:t>
      </w:r>
    </w:p>
    <w:p>
      <w:pPr>
        <w:spacing w:after="0" w:line="238" w:lineRule="auto"/>
        <w:rPr>
          <w:sz w:val="20"/>
          <w:szCs w:val="20"/>
          <w:color w:val="auto"/>
        </w:rPr>
      </w:pPr>
      <w:r>
        <w:rPr>
          <w:rFonts w:ascii="Arial" w:cs="Arial" w:eastAsia="Arial" w:hAnsi="Arial"/>
          <w:sz w:val="21"/>
          <w:szCs w:val="21"/>
          <w:color w:val="auto"/>
        </w:rPr>
        <w:t>2026</w:t>
      </w:r>
    </w:p>
    <w:p>
      <w:pPr>
        <w:spacing w:after="0"/>
        <w:rPr>
          <w:sz w:val="20"/>
          <w:szCs w:val="20"/>
          <w:color w:val="auto"/>
        </w:rPr>
      </w:pPr>
      <w:r>
        <w:rPr>
          <w:rFonts w:ascii="Arial" w:cs="Arial" w:eastAsia="Arial" w:hAnsi="Arial"/>
          <w:sz w:val="21"/>
          <w:szCs w:val="21"/>
          <w:color w:val="auto"/>
        </w:rPr>
        <w:t>Equity</w:t>
      </w:r>
    </w:p>
    <w:p>
      <w:pPr>
        <w:spacing w:after="0" w:line="238" w:lineRule="auto"/>
        <w:rPr>
          <w:sz w:val="20"/>
          <w:szCs w:val="20"/>
          <w:color w:val="auto"/>
        </w:rPr>
      </w:pPr>
      <w:r>
        <w:rPr>
          <w:rFonts w:ascii="Arial" w:cs="Arial" w:eastAsia="Arial" w:hAnsi="Arial"/>
          <w:sz w:val="21"/>
          <w:szCs w:val="21"/>
          <w:color w:val="auto"/>
        </w:rPr>
        <w:t>Inducement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286,408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488,969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206,500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760" w:val="left"/>
        </w:tabs>
        <w:rPr>
          <w:sz w:val="20"/>
          <w:szCs w:val="20"/>
          <w:color w:val="auto"/>
        </w:rPr>
      </w:pPr>
      <w:r>
        <w:rPr>
          <w:rFonts w:ascii="Arial" w:cs="Arial" w:eastAsia="Arial" w:hAnsi="Arial"/>
          <w:sz w:val="21"/>
          <w:szCs w:val="21"/>
          <w:color w:val="auto"/>
        </w:rPr>
        <w:t>$ 31.30 $ 8,964,570.40 0.0001381</w:t>
      </w:r>
      <w:r>
        <w:rPr>
          <w:sz w:val="20"/>
          <w:szCs w:val="20"/>
          <w:color w:val="auto"/>
        </w:rPr>
        <w:tab/>
      </w:r>
      <w:r>
        <w:rPr>
          <w:rFonts w:ascii="Arial" w:cs="Arial" w:eastAsia="Arial" w:hAnsi="Arial"/>
          <w:sz w:val="21"/>
          <w:szCs w:val="21"/>
          <w:color w:val="auto"/>
        </w:rPr>
        <w:t>$ 1,238.01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 w:type="dxa"/>
            <w:vAlign w:val="bottom"/>
            <w:vMerge w:val="restart"/>
          </w:tcPr>
          <w:p>
            <w:pPr>
              <w:jc w:val="right"/>
              <w:spacing w:after="0"/>
              <w:rPr>
                <w:sz w:val="20"/>
                <w:szCs w:val="20"/>
                <w:color w:val="auto"/>
              </w:rPr>
            </w:pPr>
            <w:r>
              <w:rPr>
                <w:rFonts w:ascii="Arial" w:cs="Arial" w:eastAsia="Arial" w:hAnsi="Arial"/>
                <w:sz w:val="21"/>
                <w:szCs w:val="21"/>
                <w:color w:val="auto"/>
                <w:w w:val="99"/>
              </w:rPr>
              <w:t>$ 36.47</w:t>
            </w:r>
          </w:p>
        </w:tc>
        <w:tc>
          <w:tcPr>
            <w:tcW w:w="1480" w:type="dxa"/>
            <w:vAlign w:val="bottom"/>
          </w:tcPr>
          <w:p>
            <w:pPr>
              <w:jc w:val="right"/>
              <w:spacing w:after="0"/>
              <w:rPr>
                <w:sz w:val="20"/>
                <w:szCs w:val="20"/>
                <w:color w:val="auto"/>
              </w:rPr>
            </w:pPr>
            <w:r>
              <w:rPr>
                <w:rFonts w:ascii="Arial" w:cs="Arial" w:eastAsia="Arial" w:hAnsi="Arial"/>
                <w:sz w:val="21"/>
                <w:szCs w:val="21"/>
                <w:color w:val="auto"/>
              </w:rPr>
              <w:t>$</w:t>
            </w:r>
          </w:p>
        </w:tc>
        <w:tc>
          <w:tcPr>
            <w:tcW w:w="1260" w:type="dxa"/>
            <w:vAlign w:val="bottom"/>
            <w:vMerge w:val="restart"/>
          </w:tcPr>
          <w:p>
            <w:pPr>
              <w:jc w:val="right"/>
              <w:ind w:right="113"/>
              <w:spacing w:after="0"/>
              <w:rPr>
                <w:sz w:val="20"/>
                <w:szCs w:val="20"/>
                <w:color w:val="auto"/>
              </w:rPr>
            </w:pPr>
            <w:r>
              <w:rPr>
                <w:rFonts w:ascii="Arial" w:cs="Arial" w:eastAsia="Arial" w:hAnsi="Arial"/>
                <w:sz w:val="21"/>
                <w:szCs w:val="21"/>
                <w:color w:val="auto"/>
              </w:rPr>
              <w:t>0.0001381</w:t>
            </w:r>
          </w:p>
        </w:tc>
        <w:tc>
          <w:tcPr>
            <w:tcW w:w="1240" w:type="dxa"/>
            <w:vAlign w:val="bottom"/>
            <w:vMerge w:val="restart"/>
          </w:tcPr>
          <w:p>
            <w:pPr>
              <w:jc w:val="right"/>
              <w:spacing w:after="0"/>
              <w:rPr>
                <w:sz w:val="20"/>
                <w:szCs w:val="20"/>
                <w:color w:val="auto"/>
              </w:rPr>
            </w:pPr>
            <w:r>
              <w:rPr>
                <w:rFonts w:ascii="Arial" w:cs="Arial" w:eastAsia="Arial" w:hAnsi="Arial"/>
                <w:sz w:val="21"/>
                <w:szCs w:val="21"/>
                <w:color w:val="auto"/>
              </w:rPr>
              <w:t>$ 2,462.70</w:t>
            </w:r>
          </w:p>
        </w:tc>
        <w:tc>
          <w:tcPr>
            <w:tcW w:w="0" w:type="dxa"/>
            <w:vAlign w:val="bottom"/>
          </w:tcPr>
          <w:p>
            <w:pPr>
              <w:spacing w:after="0"/>
              <w:rPr>
                <w:sz w:val="1"/>
                <w:szCs w:val="1"/>
                <w:color w:val="auto"/>
              </w:rPr>
            </w:pPr>
          </w:p>
        </w:tc>
      </w:tr>
      <w:tr>
        <w:trPr>
          <w:trHeight w:val="281"/>
        </w:trPr>
        <w:tc>
          <w:tcPr>
            <w:tcW w:w="800" w:type="dxa"/>
            <w:vAlign w:val="bottom"/>
            <w:vMerge w:val="continue"/>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1"/>
                <w:szCs w:val="21"/>
                <w:color w:val="auto"/>
              </w:rPr>
              <w:t>17,832,699.43</w:t>
            </w:r>
          </w:p>
        </w:tc>
        <w:tc>
          <w:tcPr>
            <w:tcW w:w="126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3920" w:val="left"/>
        </w:tabs>
        <w:rPr>
          <w:sz w:val="20"/>
          <w:szCs w:val="20"/>
          <w:color w:val="auto"/>
        </w:rPr>
      </w:pPr>
      <w:r>
        <w:rPr>
          <w:rFonts w:ascii="Arial" w:cs="Arial" w:eastAsia="Arial" w:hAnsi="Arial"/>
          <w:sz w:val="21"/>
          <w:szCs w:val="21"/>
          <w:color w:val="auto"/>
        </w:rPr>
        <w:t>$ 31.30 $ 6,463,450.00 0.0001381</w:t>
      </w:r>
      <w:r>
        <w:rPr>
          <w:sz w:val="20"/>
          <w:szCs w:val="20"/>
          <w:color w:val="auto"/>
        </w:rPr>
        <w:tab/>
      </w:r>
      <w:r>
        <w:rPr>
          <w:rFonts w:ascii="Arial" w:cs="Arial" w:eastAsia="Arial" w:hAnsi="Arial"/>
          <w:sz w:val="21"/>
          <w:szCs w:val="21"/>
          <w:color w:val="auto"/>
        </w:rPr>
        <w:t>$ 892.60</w:t>
      </w:r>
    </w:p>
    <w:p>
      <w:pPr>
        <w:spacing w:after="0" w:line="1614" w:lineRule="exact"/>
        <w:rPr>
          <w:sz w:val="20"/>
          <w:szCs w:val="20"/>
          <w:color w:val="auto"/>
        </w:rPr>
      </w:pPr>
    </w:p>
    <w:p>
      <w:pPr>
        <w:sectPr>
          <w:pgSz w:w="11900" w:h="16838" w:orient="portrait"/>
          <w:cols w:equalWidth="0" w:num="4">
            <w:col w:w="760" w:space="380"/>
            <w:col w:w="1120" w:space="360"/>
            <w:col w:w="2020" w:space="560"/>
            <w:col w:w="4800"/>
          </w:cols>
          <w:pgMar w:left="960" w:top="142" w:right="939" w:bottom="0" w:gutter="0" w:footer="0" w:header="0"/>
          <w:type w:val="continuous"/>
        </w:sectPr>
      </w:pPr>
    </w:p>
    <w:p>
      <w:pPr>
        <w:ind w:left="1140" w:right="20" w:hanging="1140"/>
        <w:spacing w:after="0" w:line="248" w:lineRule="auto"/>
        <w:tabs>
          <w:tab w:leader="none" w:pos="1120" w:val="left"/>
        </w:tabs>
        <w:rPr>
          <w:sz w:val="20"/>
          <w:szCs w:val="20"/>
          <w:color w:val="auto"/>
        </w:rPr>
      </w:pPr>
      <w:r>
        <w:rPr>
          <w:rFonts w:ascii="Arial" w:cs="Arial" w:eastAsia="Arial" w:hAnsi="Arial"/>
          <w:sz w:val="21"/>
          <w:szCs w:val="21"/>
          <w:color w:val="auto"/>
        </w:rPr>
        <w:t>4 Equity</w:t>
      </w:r>
      <w:r>
        <w:rPr>
          <w:sz w:val="20"/>
          <w:szCs w:val="20"/>
          <w:color w:val="auto"/>
        </w:rPr>
        <w:tab/>
      </w:r>
      <w:r>
        <w:rPr>
          <w:rFonts w:ascii="Arial" w:cs="Arial" w:eastAsia="Arial" w:hAnsi="Arial"/>
          <w:sz w:val="21"/>
          <w:szCs w:val="21"/>
          <w:color w:val="auto"/>
        </w:rPr>
        <w:t>Inducement Other 43,500 $ 32.69 $ 1,422,015.00 0.0001381 $ 196.38 Stock</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Option</w:t>
      </w:r>
    </w:p>
    <w:p>
      <w:pPr>
        <w:ind w:left="1140"/>
        <w:spacing w:after="0" w:line="238" w:lineRule="auto"/>
        <w:rPr>
          <w:sz w:val="20"/>
          <w:szCs w:val="20"/>
          <w:color w:val="auto"/>
        </w:rPr>
      </w:pPr>
      <w:r>
        <w:rPr>
          <w:rFonts w:ascii="Arial" w:cs="Arial" w:eastAsia="Arial" w:hAnsi="Arial"/>
          <w:sz w:val="21"/>
          <w:szCs w:val="21"/>
          <w:color w:val="auto"/>
        </w:rPr>
        <w:t>Awards -</w:t>
      </w:r>
    </w:p>
    <w:p>
      <w:pPr>
        <w:ind w:left="1140"/>
        <w:spacing w:after="0"/>
        <w:rPr>
          <w:sz w:val="20"/>
          <w:szCs w:val="20"/>
          <w:color w:val="auto"/>
        </w:rPr>
      </w:pPr>
      <w:r>
        <w:rPr>
          <w:rFonts w:ascii="Arial" w:cs="Arial" w:eastAsia="Arial" w:hAnsi="Arial"/>
          <w:sz w:val="21"/>
          <w:szCs w:val="21"/>
          <w:color w:val="auto"/>
        </w:rPr>
        <w:t>Class A</w:t>
      </w:r>
    </w:p>
    <w:p>
      <w:pPr>
        <w:ind w:left="1140"/>
        <w:spacing w:after="0" w:line="238" w:lineRule="auto"/>
        <w:rPr>
          <w:sz w:val="20"/>
          <w:szCs w:val="20"/>
          <w:color w:val="auto"/>
        </w:rPr>
      </w:pPr>
      <w:r>
        <w:rPr>
          <w:rFonts w:ascii="Arial" w:cs="Arial" w:eastAsia="Arial" w:hAnsi="Arial"/>
          <w:sz w:val="21"/>
          <w:szCs w:val="21"/>
          <w:color w:val="auto"/>
        </w:rPr>
        <w:t>Common</w:t>
      </w:r>
    </w:p>
    <w:p>
      <w:pPr>
        <w:ind w:left="1140"/>
        <w:spacing w:after="0"/>
        <w:rPr>
          <w:sz w:val="20"/>
          <w:szCs w:val="20"/>
          <w:color w:val="auto"/>
        </w:rPr>
      </w:pPr>
      <w:r>
        <w:rPr>
          <w:rFonts w:ascii="Arial" w:cs="Arial" w:eastAsia="Arial" w:hAnsi="Arial"/>
          <w:sz w:val="21"/>
          <w:szCs w:val="21"/>
          <w:color w:val="auto"/>
        </w:rPr>
        <w:t>Stock,</w:t>
      </w:r>
    </w:p>
    <w:p>
      <w:pPr>
        <w:ind w:left="1140"/>
        <w:spacing w:after="0" w:line="238" w:lineRule="auto"/>
        <w:rPr>
          <w:sz w:val="20"/>
          <w:szCs w:val="20"/>
          <w:color w:val="auto"/>
        </w:rPr>
      </w:pPr>
      <w:r>
        <w:rPr>
          <w:rFonts w:ascii="Arial" w:cs="Arial" w:eastAsia="Arial" w:hAnsi="Arial"/>
          <w:sz w:val="21"/>
          <w:szCs w:val="21"/>
          <w:color w:val="auto"/>
        </w:rPr>
        <w:t>$0.01 par</w:t>
      </w:r>
    </w:p>
    <w:p>
      <w:pPr>
        <w:ind w:left="1140"/>
        <w:spacing w:after="0"/>
        <w:rPr>
          <w:sz w:val="20"/>
          <w:szCs w:val="20"/>
          <w:color w:val="auto"/>
        </w:rPr>
      </w:pPr>
      <w:r>
        <w:rPr>
          <w:rFonts w:ascii="Arial" w:cs="Arial" w:eastAsia="Arial" w:hAnsi="Arial"/>
          <w:sz w:val="21"/>
          <w:szCs w:val="21"/>
          <w:color w:val="auto"/>
        </w:rPr>
        <w:t>value per</w:t>
      </w:r>
    </w:p>
    <w:p>
      <w:pPr>
        <w:ind w:left="1140"/>
        <w:spacing w:after="0" w:line="238" w:lineRule="auto"/>
        <w:rPr>
          <w:sz w:val="20"/>
          <w:szCs w:val="20"/>
          <w:color w:val="auto"/>
        </w:rPr>
      </w:pPr>
      <w:r>
        <w:rPr>
          <w:rFonts w:ascii="Arial" w:cs="Arial" w:eastAsia="Arial" w:hAnsi="Arial"/>
          <w:sz w:val="21"/>
          <w:szCs w:val="21"/>
          <w:color w:val="auto"/>
        </w:rPr>
        <w:t>share,</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issued</w:t>
      </w:r>
    </w:p>
    <w:p>
      <w:pPr>
        <w:sectPr>
          <w:pgSz w:w="11900" w:h="16838" w:orient="portrait"/>
          <w:cols w:equalWidth="0" w:num="1">
            <w:col w:w="10000"/>
          </w:cols>
          <w:pgMar w:left="960" w:top="142" w:right="939" w:bottom="0" w:gutter="0" w:footer="0" w:header="0"/>
          <w:type w:val="continuous"/>
        </w:sectPr>
      </w:pPr>
    </w:p>
    <w:bookmarkStart w:id="50" w:name="page51"/>
    <w:bookmarkEnd w:id="50"/>
    <w:p>
      <w:pPr>
        <w:ind w:left="1165"/>
        <w:spacing w:after="0"/>
        <w:rPr>
          <w:sz w:val="20"/>
          <w:szCs w:val="20"/>
          <w:color w:val="auto"/>
        </w:rPr>
      </w:pPr>
      <w:r>
        <w:rPr>
          <w:rFonts w:ascii="Arial" w:cs="Arial" w:eastAsia="Arial" w:hAnsi="Arial"/>
          <w:sz w:val="21"/>
          <w:szCs w:val="21"/>
          <w:color w:val="auto"/>
        </w:rPr>
        <w:t>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-134620</wp:posOffset>
            </wp:positionV>
            <wp:extent cx="6416675" cy="3072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416675" cy="3072765"/>
                    </a:xfrm>
                    <a:prstGeom prst="rect">
                      <a:avLst/>
                    </a:prstGeom>
                    <a:noFill/>
                  </pic:spPr>
                </pic:pic>
              </a:graphicData>
            </a:graphic>
          </wp:anchor>
        </w:drawing>
      </w:r>
    </w:p>
    <w:p>
      <w:pPr>
        <w:ind w:left="1165"/>
        <w:spacing w:after="0"/>
        <w:rPr>
          <w:sz w:val="20"/>
          <w:szCs w:val="20"/>
          <w:color w:val="auto"/>
        </w:rPr>
      </w:pPr>
      <w:r>
        <w:rPr>
          <w:rFonts w:ascii="Arial" w:cs="Arial" w:eastAsia="Arial" w:hAnsi="Arial"/>
          <w:sz w:val="21"/>
          <w:szCs w:val="21"/>
          <w:color w:val="auto"/>
        </w:rPr>
        <w:t>the 2026</w:t>
      </w:r>
    </w:p>
    <w:p>
      <w:pPr>
        <w:ind w:left="1165"/>
        <w:spacing w:after="0" w:line="238" w:lineRule="auto"/>
        <w:rPr>
          <w:sz w:val="20"/>
          <w:szCs w:val="20"/>
          <w:color w:val="auto"/>
        </w:rPr>
      </w:pPr>
      <w:r>
        <w:rPr>
          <w:rFonts w:ascii="Arial" w:cs="Arial" w:eastAsia="Arial" w:hAnsi="Arial"/>
          <w:sz w:val="21"/>
          <w:szCs w:val="21"/>
          <w:color w:val="auto"/>
        </w:rPr>
        <w:t>Equity</w:t>
      </w:r>
    </w:p>
    <w:p>
      <w:pPr>
        <w:ind w:left="1165"/>
        <w:spacing w:after="0"/>
        <w:rPr>
          <w:sz w:val="20"/>
          <w:szCs w:val="20"/>
          <w:color w:val="auto"/>
        </w:rPr>
      </w:pPr>
      <w:r>
        <w:rPr>
          <w:rFonts w:ascii="Arial" w:cs="Arial" w:eastAsia="Arial" w:hAnsi="Arial"/>
          <w:sz w:val="21"/>
          <w:szCs w:val="21"/>
          <w:color w:val="auto"/>
        </w:rPr>
        <w:t>Inducement</w:t>
      </w:r>
    </w:p>
    <w:p>
      <w:pPr>
        <w:ind w:left="1165"/>
        <w:spacing w:after="0"/>
        <w:rPr>
          <w:sz w:val="20"/>
          <w:szCs w:val="20"/>
          <w:color w:val="auto"/>
        </w:rPr>
      </w:pPr>
      <w:r>
        <w:rPr>
          <w:rFonts w:ascii="Arial" w:cs="Arial" w:eastAsia="Arial" w:hAnsi="Arial"/>
          <w:sz w:val="21"/>
          <w:szCs w:val="21"/>
          <w:color w:val="auto"/>
        </w:rPr>
        <w:t>Plan</w:t>
      </w:r>
    </w:p>
    <w:p>
      <w:pPr>
        <w:spacing w:after="0" w:line="31" w:lineRule="exact"/>
        <w:rPr>
          <w:sz w:val="20"/>
          <w:szCs w:val="20"/>
          <w:color w:val="auto"/>
        </w:rPr>
      </w:pPr>
    </w:p>
    <w:tbl>
      <w:tblPr>
        <w:tblLayout w:type="fixed"/>
        <w:tblInd w:w="5" w:type="dxa"/>
        <w:tblCellMar>
          <w:top w:w="0" w:type="dxa"/>
          <w:left w:w="0" w:type="dxa"/>
          <w:bottom w:w="0" w:type="dxa"/>
          <w:right w:w="0" w:type="dxa"/>
        </w:tblCellMar>
      </w:tblPr>
      <w:tr>
        <w:trPr>
          <w:trHeight w:val="241"/>
        </w:trPr>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0"/>
                <w:szCs w:val="20"/>
                <w:color w:val="auto"/>
              </w:rPr>
            </w:pPr>
            <w:r>
              <w:rPr>
                <w:rFonts w:ascii="Arial" w:cs="Arial" w:eastAsia="Arial" w:hAnsi="Arial"/>
                <w:sz w:val="21"/>
                <w:szCs w:val="21"/>
                <w:color w:val="auto"/>
              </w:rPr>
              <w:t>Inducement</w:t>
            </w: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E7E7E2"/>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Option</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Awards -</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320"/>
              <w:spacing w:after="0"/>
              <w:rPr>
                <w:sz w:val="20"/>
                <w:szCs w:val="20"/>
                <w:color w:val="auto"/>
              </w:rPr>
            </w:pPr>
            <w:r>
              <w:rPr>
                <w:rFonts w:ascii="Arial" w:cs="Arial" w:eastAsia="Arial" w:hAnsi="Arial"/>
                <w:sz w:val="21"/>
                <w:szCs w:val="21"/>
                <w:color w:val="auto"/>
              </w:rPr>
              <w:t>Other</w:t>
            </w: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83,116</w:t>
            </w:r>
          </w:p>
        </w:tc>
        <w:tc>
          <w:tcPr>
            <w:tcW w:w="20" w:type="dxa"/>
            <w:vAlign w:val="bottom"/>
          </w:tcPr>
          <w:p>
            <w:pPr>
              <w:spacing w:after="0"/>
              <w:rPr>
                <w:sz w:val="20"/>
                <w:szCs w:val="20"/>
                <w:color w:val="auto"/>
              </w:rPr>
            </w:pPr>
          </w:p>
        </w:tc>
        <w:tc>
          <w:tcPr>
            <w:tcW w:w="12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$ 34.09</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$ 2,833,424.44</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$ 391.30</w:t>
            </w:r>
          </w:p>
        </w:tc>
        <w:tc>
          <w:tcPr>
            <w:tcW w:w="0" w:type="dxa"/>
            <w:vAlign w:val="bottom"/>
          </w:tcPr>
          <w:p>
            <w:pPr>
              <w:spacing w:after="0"/>
              <w:rPr>
                <w:sz w:val="1"/>
                <w:szCs w:val="1"/>
                <w:color w:val="auto"/>
              </w:rPr>
            </w:pPr>
          </w:p>
        </w:tc>
      </w:tr>
      <w:tr>
        <w:trPr>
          <w:trHeight w:val="161"/>
        </w:trPr>
        <w:tc>
          <w:tcPr>
            <w:tcW w:w="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vMerge w:val="restart"/>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shd w:val="clear" w:color="auto" w:fill="E7E7E2"/>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$0.01 par</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4"/>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$ 5,180.99</w:t>
            </w:r>
          </w:p>
        </w:tc>
        <w:tc>
          <w:tcPr>
            <w:tcW w:w="0" w:type="dxa"/>
            <w:vAlign w:val="bottom"/>
          </w:tcPr>
          <w:p>
            <w:pPr>
              <w:spacing w:after="0"/>
              <w:rPr>
                <w:sz w:val="1"/>
                <w:szCs w:val="1"/>
                <w:color w:val="auto"/>
              </w:rPr>
            </w:pPr>
          </w:p>
        </w:tc>
      </w:tr>
      <w:tr>
        <w:trPr>
          <w:trHeight w:val="281"/>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37,516,159.27</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4"/>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$ 5,180.99</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5"/>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225" w:right="40" w:hanging="225"/>
        <w:spacing w:after="0"/>
        <w:tabs>
          <w:tab w:leader="none" w:pos="225" w:val="left"/>
        </w:tabs>
        <w:numPr>
          <w:ilvl w:val="0"/>
          <w:numId w:val="67"/>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under the Securities Act of 1933, as amended (the "Securities Act"), the registration statement on Form S-8 (the "Registration Statement") shall also cover any additional shares of the Class A common stock, par value $0.01 per share (the "Common Stock"), of vTv Therapeutics Inc.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 (2) Represents (i) 286,408 additional shares of Common Stock that were automatically added to the shares authorized for issuance under the Registrant's 2024 Equity Incentive Plan, as amended (the "2024 Plan"), on January 1, 2025, pursuant to an annual "evergreen" increase provision contained in the 2024 Plan and (ii) 496,381 additional shares of Common Stock that were automatically added to the shares authorized for issuance under the 2024 Plan on January 1, 2026, pursuant to such annual "evergreen" increase provision. (3) Estimated in accordance with Rules 457(c) and (h) of the Securities Act, solely for the purpose of calculating the registration fee. The proposed maximum offering price per share of $31.30 was computed by averaging the high and low prices of a share of the Registrant's Common Stock as reported on The Nasdaq Capital Market on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63874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25" w:right="40" w:hanging="225"/>
        <w:spacing w:after="0"/>
        <w:tabs>
          <w:tab w:leader="none" w:pos="225" w:val="left"/>
        </w:tabs>
        <w:numPr>
          <w:ilvl w:val="0"/>
          <w:numId w:val="68"/>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under the Securities Act of 1933, as amended (the "Securities Act"), the registration statement on Form S-8 (the "Registration Statement") shall also cover any additional shares of the Class A common stock, par value $0.01 per share (the "Common Stock"), of vTv Therapeutics Inc.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 (4) Calculated solely for purposes of determining the registration fee for this offering under Rule 457(h) of the Securities Act and based on the weighted average exercise price of the outstanding options issued under the 2024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208915</wp:posOffset>
            </wp:positionV>
            <wp:extent cx="63874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5" w:right="40" w:hanging="225"/>
        <w:spacing w:after="0" w:line="234" w:lineRule="auto"/>
        <w:tabs>
          <w:tab w:leader="none" w:pos="225" w:val="left"/>
        </w:tabs>
        <w:numPr>
          <w:ilvl w:val="0"/>
          <w:numId w:val="69"/>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under the Securities Act of 1933, as amended (the "Securities Act"), the registration statement on Form S-8 (the "Registration Statement") shall also cover any additional shares of the Class A common stock, par value $0.01 per share (the "Common Stock"), of vTv Therapeutics Inc.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 (3) Estimated in accordance with Rules 457(c) and (h) of the Securities Act, solely for the purpose of calculating the registration fee. The proposed maximum offering price per share of $31.30 was computed by averaging the high and low prices of a share of the Registrant's Common Stock as reported on The Nasdaq Capital Market on May 8, 2026.</w:t>
      </w:r>
    </w:p>
    <w:p>
      <w:pPr>
        <w:spacing w:after="0" w:line="2" w:lineRule="exact"/>
        <w:rPr>
          <w:rFonts w:ascii="Arial" w:cs="Arial" w:eastAsia="Arial" w:hAnsi="Arial"/>
          <w:sz w:val="27"/>
          <w:szCs w:val="27"/>
          <w:color w:val="auto"/>
          <w:vertAlign w:val="superscript"/>
        </w:rPr>
      </w:pPr>
    </w:p>
    <w:p>
      <w:pPr>
        <w:ind w:left="225" w:right="60"/>
        <w:spacing w:after="0" w:line="258" w:lineRule="auto"/>
        <w:rPr>
          <w:rFonts w:ascii="Arial" w:cs="Arial" w:eastAsia="Arial" w:hAnsi="Arial"/>
          <w:sz w:val="27"/>
          <w:szCs w:val="27"/>
          <w:color w:val="auto"/>
          <w:vertAlign w:val="superscript"/>
        </w:rPr>
      </w:pPr>
      <w:r>
        <w:rPr>
          <w:rFonts w:ascii="Arial" w:cs="Arial" w:eastAsia="Arial" w:hAnsi="Arial"/>
          <w:sz w:val="21"/>
          <w:szCs w:val="21"/>
          <w:color w:val="auto"/>
        </w:rPr>
        <w:t>(5) Represents 206,500 shares of Common Stock that may be issued pursuant to the vTv Therapeutics Inc. 2026 Equity Inducement Plan (the "2026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63874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69" w:lineRule="exact"/>
        <w:rPr>
          <w:sz w:val="20"/>
          <w:szCs w:val="20"/>
          <w:color w:val="auto"/>
        </w:rPr>
      </w:pPr>
    </w:p>
    <w:p>
      <w:pPr>
        <w:ind w:left="225" w:right="380" w:hanging="225"/>
        <w:spacing w:after="0" w:line="230" w:lineRule="auto"/>
        <w:tabs>
          <w:tab w:leader="none" w:pos="225" w:val="left"/>
        </w:tabs>
        <w:numPr>
          <w:ilvl w:val="0"/>
          <w:numId w:val="70"/>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under the Securities Act of 1933, as amended (the "Securities Act"), the registration statement on Form S-8 (the "Registration Statement") shall also cover any additional shares of the Class A common stock, par value $0.01 per share (the "Common Stock"), of vTv</w:t>
      </w:r>
    </w:p>
    <w:p>
      <w:pPr>
        <w:sectPr>
          <w:pgSz w:w="11900" w:h="16838" w:orient="portrait"/>
          <w:cols w:equalWidth="0" w:num="1">
            <w:col w:w="10025"/>
          </w:cols>
          <w:pgMar w:left="935" w:top="112" w:right="939" w:bottom="0" w:gutter="0" w:footer="0" w:header="0"/>
        </w:sectPr>
      </w:pPr>
    </w:p>
    <w:bookmarkStart w:id="51" w:name="page52"/>
    <w:bookmarkEnd w:id="51"/>
    <w:p>
      <w:pPr>
        <w:ind w:left="800" w:right="680"/>
        <w:spacing w:after="0" w:line="245" w:lineRule="auto"/>
        <w:rPr>
          <w:sz w:val="20"/>
          <w:szCs w:val="20"/>
          <w:color w:val="auto"/>
        </w:rPr>
      </w:pPr>
      <w:r>
        <w:rPr>
          <w:rFonts w:ascii="Arial" w:cs="Arial" w:eastAsia="Arial" w:hAnsi="Arial"/>
          <w:sz w:val="21"/>
          <w:szCs w:val="21"/>
          <w:color w:val="auto"/>
        </w:rPr>
        <w:t>Therapeutics Inc.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 (6) Represents 43,500 shares of Common Stock subject to awards outstanding under the 2026 Inducement Plan. (7) Calculated solely for purposes of determining the registration fee for this offering under Rule 457(h) of the Securities Act and based on the weighted average exercise price of the applicable outstanding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6" w:lineRule="exact"/>
        <w:rPr>
          <w:sz w:val="20"/>
          <w:szCs w:val="20"/>
          <w:color w:val="auto"/>
        </w:rPr>
      </w:pPr>
    </w:p>
    <w:p>
      <w:pPr>
        <w:ind w:left="800" w:right="660" w:hanging="225"/>
        <w:spacing w:after="0" w:line="237" w:lineRule="auto"/>
        <w:tabs>
          <w:tab w:leader="none" w:pos="800" w:val="left"/>
        </w:tabs>
        <w:numPr>
          <w:ilvl w:val="0"/>
          <w:numId w:val="71"/>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under the Securities Act of 1933, as amended (the "Securities Act"), the registration statement on Form S-8 (the "Registration Statement") shall also cover any additional shares of the Class A common stock, par value $0.01 per share (the "Common Stock"), of vTv Therapeutics Inc.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 (8) Represents (i) 15,616 shares of Common Stock issuable upon exercise of outstanding stock options granted pursuant to the Inducement Award Nonqualified Option Award Agreement, dated as of October 19, 2021, by and between the Registrant and Deepa Prasad, (ii) 55,000 shares of Common Stock issuable upon exercise of outstanding stock options granted pursuant to the Inducement Award Nonqualified Option Award Agreement, dated as of July 26, 2022, by and between the Registrant and Paul Sekhri, and (iii) 12,500 shares of Common Stock issuable upon exercise of outstanding stock options granted pursuant to the Inducement Award Nonqualified Option Award Agreement, dated as of November 10, 2023, by and between the Registrant and Thomas Strack (together, the "Inducement Awards"). (9) Calculated solely for purposes of determining the registration fee for this offering under Rule 457(h) of the Securities Act and based on the weighted average exercise price of the Inducement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83820</wp:posOffset>
            </wp:positionV>
            <wp:extent cx="63874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1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1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1)"/>
      <w:numFmt w:val="lowerLetter"/>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
    <w:nsid w:val="5C482A97"/>
    <w:multiLevelType w:val="hybridMultilevel"/>
    <w:lvl w:ilvl="0">
      <w:lvlJc w:val="left"/>
      <w:lvlText w:val="(%1)"/>
      <w:numFmt w:val="lowerRoman"/>
      <w:start w:val="2"/>
    </w:lvl>
  </w:abstractNum>
  <w:abstractNum w:abstractNumId="5">
    <w:nsid w:val="2463B9EA"/>
    <w:multiLevelType w:val="hybridMultilevel"/>
    <w:lvl w:ilvl="0">
      <w:lvlJc w:val="left"/>
      <w:lvlText w:val="%1"/>
      <w:numFmt w:val="lowerLetter"/>
      <w:start w:val="1"/>
    </w:lvl>
    <w:lvl w:ilvl="1">
      <w:lvlJc w:val="left"/>
      <w:lvlText w:val="(%2)"/>
      <w:numFmt w:val="decimal"/>
      <w:start w:val="2"/>
    </w:lvl>
  </w:abstractNum>
  <w:abstractNum w:abstractNumId="6">
    <w:nsid w:val="5E884ADC"/>
    <w:multiLevelType w:val="hybridMultilevel"/>
    <w:lvl w:ilvl="0">
      <w:lvlJc w:val="left"/>
      <w:lvlText w:val="(%1)"/>
      <w:numFmt w:val="lowerLetter"/>
      <w:start w:val="2"/>
    </w:lvl>
    <w:lvl w:ilvl="1">
      <w:lvlJc w:val="left"/>
      <w:lvlText w:val="%2"/>
      <w:numFmt w:val="decimal"/>
      <w:start w:val="1"/>
    </w:lvl>
  </w:abstractNum>
  <w:abstractNum w:abstractNumId="7">
    <w:nsid w:val="51EAD36B"/>
    <w:multiLevelType w:val="hybridMultilevel"/>
    <w:lvl w:ilvl="0">
      <w:lvlJc w:val="left"/>
      <w:lvlText w:val="%1."/>
      <w:numFmt w:val="decimal"/>
      <w:start w:val="1"/>
    </w:lvl>
    <w:lvl w:ilvl="1">
      <w:lvlJc w:val="left"/>
      <w:lvlText w:val="(%2)"/>
      <w:numFmt w:val="lowerLetter"/>
      <w:start w:val="1"/>
    </w:lvl>
  </w:abstractNum>
  <w:abstractNum w:abstractNumId="8">
    <w:nsid w:val="2D51779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
    <w:nsid w:val="580BD78F"/>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10">
    <w:nsid w:val="153EA438"/>
    <w:multiLevelType w:val="hybridMultilevel"/>
    <w:lvl w:ilvl="0">
      <w:lvlJc w:val="left"/>
      <w:lvlText w:val="%1"/>
      <w:numFmt w:val="decimal"/>
      <w:start w:val="1"/>
    </w:lvl>
    <w:lvl w:ilvl="1">
      <w:lvlJc w:val="left"/>
      <w:lvlText w:val="(%2)"/>
      <w:numFmt w:val="lowerLetter"/>
      <w:start w:val="4"/>
    </w:lvl>
  </w:abstractNum>
  <w:abstractNum w:abstractNumId="11">
    <w:nsid w:val="3855585C"/>
    <w:multiLevelType w:val="hybridMultilevel"/>
    <w:lvl w:ilvl="0">
      <w:lvlJc w:val="left"/>
      <w:lvlText w:val="%1."/>
      <w:numFmt w:val="decimal"/>
      <w:start w:val="5"/>
    </w:lvl>
    <w:lvl w:ilvl="1">
      <w:lvlJc w:val="left"/>
      <w:lvlText w:val="(%2)"/>
      <w:numFmt w:val="lowerLetter"/>
      <w:start w:val="1"/>
    </w:lvl>
  </w:abstractNum>
  <w:abstractNum w:abstractNumId="12">
    <w:nsid w:val="70A64E2A"/>
    <w:multiLevelType w:val="hybridMultilevel"/>
    <w:lvl w:ilvl="0">
      <w:lvlJc w:val="left"/>
      <w:lvlText w:val="%1"/>
      <w:numFmt w:val="decimal"/>
      <w:start w:val="1"/>
    </w:lvl>
    <w:lvl w:ilvl="1">
      <w:lvlJc w:val="left"/>
      <w:lvlText w:val="(%2)"/>
      <w:numFmt w:val="lowerLetter"/>
      <w:start w:val="2"/>
    </w:lvl>
  </w:abstractNum>
  <w:abstractNum w:abstractNumId="13">
    <w:nsid w:val="6A2342EC"/>
    <w:multiLevelType w:val="hybridMultilevel"/>
    <w:lvl w:ilvl="0">
      <w:lvlJc w:val="left"/>
      <w:lvlText w:val="%1."/>
      <w:numFmt w:val="decimal"/>
      <w:start w:val="8"/>
    </w:lvl>
    <w:lvl w:ilvl="1">
      <w:lvlJc w:val="left"/>
      <w:lvlText w:val="%2"/>
      <w:numFmt w:val="lowerLetter"/>
      <w:start w:val="1"/>
    </w:lvl>
  </w:abstractNum>
  <w:abstractNum w:abstractNumId="14">
    <w:nsid w:val="2A487CB0"/>
    <w:multiLevelType w:val="hybridMultilevel"/>
    <w:lvl w:ilvl="0">
      <w:lvlJc w:val="left"/>
      <w:lvlText w:val="%1."/>
      <w:numFmt w:val="decimal"/>
      <w:start w:val="10"/>
    </w:lvl>
    <w:lvl w:ilvl="1">
      <w:lvlJc w:val="left"/>
      <w:lvlText w:val="(%2)"/>
      <w:numFmt w:val="lowerLetter"/>
      <w:start w:val="1"/>
    </w:lvl>
  </w:abstractNum>
  <w:abstractNum w:abstractNumId="15">
    <w:nsid w:val="1D4ED43B"/>
    <w:multiLevelType w:val="hybridMultilevel"/>
    <w:lvl w:ilvl="0">
      <w:lvlJc w:val="left"/>
      <w:lvlText w:val="(%1)"/>
      <w:numFmt w:val="lowerLetter"/>
      <w:start w:val="6"/>
    </w:lvl>
    <w:lvl w:ilvl="1">
      <w:lvlJc w:val="left"/>
      <w:lvlText w:val="(%2)"/>
      <w:numFmt w:val="lowerRoman"/>
      <w:start w:val="1"/>
    </w:lvl>
  </w:abstractNum>
  <w:abstractNum w:abstractNumId="16">
    <w:nsid w:val="725A06FB"/>
    <w:multiLevelType w:val="hybridMultilevel"/>
    <w:lvl w:ilvl="0">
      <w:lvlJc w:val="left"/>
      <w:lvlText w:val="%1"/>
      <w:numFmt w:val="decimal"/>
      <w:start w:val="1"/>
    </w:lvl>
    <w:lvl w:ilvl="1">
      <w:lvlJc w:val="left"/>
      <w:lvlText w:val="(%2)"/>
      <w:numFmt w:val="lowerLetter"/>
      <w:start w:val="11"/>
    </w:lvl>
  </w:abstractNum>
  <w:abstractNum w:abstractNumId="17">
    <w:nsid w:val="2CD89A32"/>
    <w:multiLevelType w:val="hybridMultilevel"/>
    <w:lvl w:ilvl="0">
      <w:lvlJc w:val="left"/>
      <w:lvlText w:val="(%1)"/>
      <w:numFmt w:val="decimal"/>
      <w:start w:val="3"/>
    </w:lvl>
    <w:lvl w:ilvl="1">
      <w:lvlJc w:val="left"/>
      <w:lvlText w:val="(%2)"/>
      <w:numFmt w:val="lowerLetter"/>
      <w:start w:val="14"/>
    </w:lvl>
  </w:abstractNum>
  <w:abstractNum w:abstractNumId="18">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7A6D8D3C"/>
    <w:multiLevelType w:val="hybridMultilevel"/>
    <w:lvl w:ilvl="0">
      <w:lvlJc w:val="left"/>
      <w:lvlText w:val="%1"/>
      <w:numFmt w:val="lowerLetter"/>
      <w:start w:val="1"/>
    </w:lvl>
    <w:lvl w:ilvl="1">
      <w:lvlJc w:val="left"/>
      <w:lvlText w:val="(%2)"/>
      <w:numFmt w:val="lowerLetter"/>
      <w:start w:val="3"/>
    </w:lvl>
  </w:abstractNum>
  <w:abstractNum w:abstractNumId="20">
    <w:nsid w:val="4B588F54"/>
    <w:multiLevelType w:val="hybridMultilevel"/>
    <w:lvl w:ilvl="0">
      <w:lvlJc w:val="left"/>
      <w:lvlText w:val="(%1)"/>
      <w:numFmt w:val="lowerLetter"/>
      <w:start w:val="61"/>
    </w:lvl>
    <w:lvl w:ilvl="1">
      <w:lvlJc w:val="left"/>
      <w:lvlText w:val="%2"/>
      <w:numFmt w:val="lowerLetter"/>
      <w:start w:val="1"/>
    </w:lvl>
  </w:abstractNum>
  <w:abstractNum w:abstractNumId="21">
    <w:nsid w:val="542289EC"/>
    <w:multiLevelType w:val="hybridMultilevel"/>
    <w:lvl w:ilvl="0">
      <w:lvlJc w:val="left"/>
      <w:lvlText w:val="%1."/>
      <w:numFmt w:val="decimal"/>
      <w:start w:val="2"/>
    </w:lvl>
    <w:lvl w:ilvl="1">
      <w:lvlJc w:val="left"/>
      <w:lvlText w:val="(%2)"/>
      <w:numFmt w:val="lowerLetter"/>
      <w:start w:val="1"/>
    </w:lvl>
  </w:abstractNum>
  <w:abstractNum w:abstractNumId="22">
    <w:nsid w:val="6DE91B18"/>
    <w:multiLevelType w:val="hybridMultilevel"/>
    <w:lvl w:ilvl="0">
      <w:lvlJc w:val="left"/>
      <w:lvlText w:val="(%1)"/>
      <w:numFmt w:val="lowerLetter"/>
      <w:start w:val="2"/>
    </w:lvl>
    <w:lvl w:ilvl="1">
      <w:lvlJc w:val="left"/>
      <w:lvlText w:val="(%2)"/>
      <w:numFmt w:val="lowerRoman"/>
      <w:start w:val="1"/>
    </w:lvl>
  </w:abstractNum>
  <w:abstractNum w:abstractNumId="23">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4">
    <w:nsid w:val="7644A45C"/>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25">
    <w:nsid w:val="32FFF902"/>
    <w:multiLevelType w:val="hybridMultilevel"/>
    <w:lvl w:ilvl="0">
      <w:lvlJc w:val="left"/>
      <w:lvlText w:val="%1"/>
      <w:numFmt w:val="decimal"/>
      <w:start w:val="1"/>
    </w:lvl>
    <w:lvl w:ilvl="1">
      <w:lvlJc w:val="left"/>
      <w:lvlText w:val="(%2)"/>
      <w:numFmt w:val="lowerLetter"/>
      <w:start w:val="5"/>
    </w:lvl>
  </w:abstractNum>
  <w:abstractNum w:abstractNumId="26">
    <w:nsid w:val="684A481A"/>
    <w:multiLevelType w:val="hybridMultilevel"/>
    <w:lvl w:ilvl="0">
      <w:lvlJc w:val="left"/>
      <w:lvlText w:val="%1."/>
      <w:numFmt w:val="decimal"/>
      <w:start w:val="3"/>
    </w:lvl>
    <w:lvl w:ilvl="1">
      <w:lvlJc w:val="left"/>
      <w:lvlText w:val="(%2)"/>
      <w:numFmt w:val="lowerLetter"/>
      <w:start w:val="1"/>
    </w:lvl>
  </w:abstractNum>
  <w:abstractNum w:abstractNumId="27">
    <w:nsid w:val="579478FE"/>
    <w:multiLevelType w:val="hybridMultilevel"/>
    <w:lvl w:ilvl="0">
      <w:lvlJc w:val="left"/>
      <w:lvlText w:val="%1"/>
      <w:numFmt w:val="lowerLetter"/>
      <w:start w:val="1"/>
    </w:lvl>
    <w:lvl w:ilvl="1">
      <w:lvlJc w:val="left"/>
      <w:lvlText w:val="(%2)"/>
      <w:numFmt w:val="lowerLetter"/>
      <w:start w:val="2"/>
    </w:lvl>
  </w:abstractNum>
  <w:abstractNum w:abstractNumId="28">
    <w:nsid w:val="749ABB43"/>
    <w:multiLevelType w:val="hybridMultilevel"/>
    <w:lvl w:ilvl="0">
      <w:lvlJc w:val="left"/>
      <w:lvlText w:val="(%1)"/>
      <w:numFmt w:val="lowerLetter"/>
      <w:start w:val="9"/>
    </w:lvl>
    <w:lvl w:ilvl="1">
      <w:lvlJc w:val="left"/>
      <w:lvlText w:val="%2"/>
      <w:numFmt w:val="lowerLetter"/>
      <w:start w:val="1"/>
    </w:lvl>
  </w:abstractNum>
  <w:abstractNum w:abstractNumId="29">
    <w:nsid w:val="3DC240FB"/>
    <w:multiLevelType w:val="hybridMultilevel"/>
    <w:lvl w:ilvl="0">
      <w:lvlJc w:val="left"/>
      <w:lvlText w:val="(%1)"/>
      <w:numFmt w:val="lowerLetter"/>
      <w:start w:val="1"/>
    </w:lvl>
    <w:lvl w:ilvl="1">
      <w:lvlJc w:val="left"/>
      <w:lvlText w:val="(%2)"/>
      <w:numFmt w:val="lowerRoman"/>
      <w:start w:val="1"/>
    </w:lvl>
  </w:abstractNum>
  <w:abstractNum w:abstractNumId="30">
    <w:nsid w:val="1BA026FA"/>
    <w:multiLevelType w:val="hybridMultilevel"/>
    <w:lvl w:ilvl="0">
      <w:lvlJc w:val="left"/>
      <w:lvlText w:val="(%1)"/>
      <w:numFmt w:val="lowerLetter"/>
      <w:start w:val="5"/>
    </w:lvl>
    <w:lvl w:ilvl="1">
      <w:lvlJc w:val="left"/>
      <w:lvlText w:val="(%2)"/>
      <w:numFmt w:val="lowerLetter"/>
      <w:start w:val="9"/>
    </w:lvl>
  </w:abstractNum>
  <w:abstractNum w:abstractNumId="31">
    <w:nsid w:val="79A1DEAA"/>
    <w:multiLevelType w:val="hybridMultilevel"/>
    <w:lvl w:ilvl="0">
      <w:lvlJc w:val="left"/>
      <w:lvlText w:val="(%1)"/>
      <w:numFmt w:val="lowerRoman"/>
      <w:start w:val="3"/>
    </w:lvl>
  </w:abstractNum>
  <w:abstractNum w:abstractNumId="32">
    <w:nsid w:val="75C6C33A"/>
    <w:multiLevelType w:val="hybridMultilevel"/>
    <w:lvl w:ilvl="0">
      <w:lvlJc w:val="left"/>
      <w:lvlText w:val="%1"/>
      <w:numFmt w:val="lowerLetter"/>
      <w:start w:val="1"/>
    </w:lvl>
    <w:lvl w:ilvl="1">
      <w:lvlJc w:val="left"/>
      <w:lvlText w:val="(%2)"/>
      <w:numFmt w:val="lowerRoman"/>
      <w:start w:val="2"/>
    </w:lvl>
  </w:abstractNum>
  <w:abstractNum w:abstractNumId="33">
    <w:nsid w:val="12E685FB"/>
    <w:multiLevelType w:val="hybridMultilevel"/>
    <w:lvl w:ilvl="0">
      <w:lvlJc w:val="left"/>
      <w:lvlText w:val="(%1)"/>
      <w:numFmt w:val="lowerLetter"/>
      <w:start w:val="6"/>
    </w:lvl>
    <w:lvl w:ilvl="1">
      <w:lvlJc w:val="left"/>
      <w:lvlText w:val="%2"/>
      <w:numFmt w:val="lowerRoman"/>
      <w:start w:val="1"/>
    </w:lvl>
  </w:abstractNum>
  <w:abstractNum w:abstractNumId="34">
    <w:nsid w:val="70C6A529"/>
    <w:multiLevelType w:val="hybridMultilevel"/>
    <w:lvl w:ilvl="0">
      <w:lvlJc w:val="left"/>
      <w:lvlText w:val="(%1)"/>
      <w:numFmt w:val="lowerLetter"/>
      <w:start w:val="7"/>
    </w:lvl>
  </w:abstractNum>
  <w:abstractNum w:abstractNumId="35">
    <w:nsid w:val="520EEDD1"/>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6">
    <w:nsid w:val="374A3FE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
    <w:nsid w:val="4F4EF005"/>
    <w:multiLevelType w:val="hybridMultilevel"/>
    <w:lvl w:ilvl="0">
      <w:lvlJc w:val="left"/>
      <w:lvlText w:val="%1"/>
      <w:numFmt w:val="lowerLetter"/>
      <w:start w:val="1"/>
    </w:lvl>
    <w:lvl w:ilvl="1">
      <w:lvlJc w:val="left"/>
      <w:lvlText w:val="(%2)"/>
      <w:numFmt w:val="lowerRoman"/>
      <w:start w:val="4"/>
    </w:lvl>
  </w:abstractNum>
  <w:abstractNum w:abstractNumId="38">
    <w:nsid w:val="23F9C13C"/>
    <w:multiLevelType w:val="hybridMultilevel"/>
    <w:lvl w:ilvl="0">
      <w:lvlJc w:val="left"/>
      <w:lvlText w:val="(%1)"/>
      <w:numFmt w:val="lowerLetter"/>
      <w:start w:val="2"/>
    </w:lvl>
    <w:lvl w:ilvl="1">
      <w:lvlJc w:val="left"/>
      <w:lvlText w:val="(%2)"/>
      <w:numFmt w:val="lowerRoman"/>
      <w:start w:val="1"/>
    </w:lvl>
  </w:abstractNum>
  <w:abstractNum w:abstractNumId="39">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0">
    <w:nsid w:val="275AC79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
    <w:nsid w:val="3938657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2">
    <w:nsid w:val="1CF10FD8"/>
    <w:multiLevelType w:val="hybridMultilevel"/>
    <w:lvl w:ilvl="0">
      <w:lvlJc w:val="left"/>
      <w:lvlText w:val="%1."/>
      <w:numFmt w:val="decimal"/>
      <w:start w:val="7"/>
    </w:lvl>
    <w:lvl w:ilvl="1">
      <w:lvlJc w:val="left"/>
      <w:lvlText w:val="(%2)"/>
      <w:numFmt w:val="lowerLetter"/>
      <w:start w:val="1"/>
    </w:lvl>
  </w:abstractNum>
  <w:abstractNum w:abstractNumId="43">
    <w:nsid w:val="180115BE"/>
    <w:multiLevelType w:val="hybridMultilevel"/>
    <w:lvl w:ilvl="0">
      <w:lvlJc w:val="left"/>
      <w:lvlText w:val="(%1)"/>
      <w:numFmt w:val="lowerLetter"/>
      <w:start w:val="6"/>
    </w:lvl>
  </w:abstractNum>
  <w:abstractNum w:abstractNumId="44">
    <w:nsid w:val="235BA86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5">
    <w:nsid w:val="47398C89"/>
    <w:multiLevelType w:val="hybridMultilevel"/>
    <w:lvl w:ilvl="0">
      <w:lvlJc w:val="left"/>
      <w:lvlText w:val="(%1)"/>
      <w:numFmt w:val="lowerRoman"/>
      <w:start w:val="3"/>
    </w:lvl>
  </w:abstractNum>
  <w:abstractNum w:abstractNumId="46">
    <w:nsid w:val="354FE9F9"/>
    <w:multiLevelType w:val="hybridMultilevel"/>
    <w:lvl w:ilvl="0">
      <w:lvlJc w:val="left"/>
      <w:lvlText w:val="%1"/>
      <w:numFmt w:val="decimal"/>
      <w:start w:val="1"/>
    </w:lvl>
    <w:lvl w:ilvl="1">
      <w:lvlJc w:val="left"/>
      <w:lvlText w:val="(%2)"/>
      <w:numFmt w:val="lowerLetter"/>
      <w:start w:val="4"/>
    </w:lvl>
  </w:abstractNum>
  <w:abstractNum w:abstractNumId="47">
    <w:nsid w:val="15B5AF5C"/>
    <w:multiLevelType w:val="hybridMultilevel"/>
    <w:lvl w:ilvl="0">
      <w:lvlJc w:val="left"/>
      <w:lvlText w:val="%1."/>
      <w:numFmt w:val="decimal"/>
      <w:start w:val="9"/>
    </w:lvl>
    <w:lvl w:ilvl="1">
      <w:lvlJc w:val="left"/>
      <w:lvlText w:val="%2"/>
      <w:numFmt w:val="lowerLetter"/>
      <w:start w:val="1"/>
    </w:lvl>
  </w:abstractNum>
  <w:abstractNum w:abstractNumId="48">
    <w:nsid w:val="741226BB"/>
    <w:multiLevelType w:val="hybridMultilevel"/>
    <w:lvl w:ilvl="0">
      <w:lvlJc w:val="left"/>
      <w:lvlText w:val="%1."/>
      <w:numFmt w:val="decimal"/>
      <w:start w:val="11"/>
    </w:lvl>
    <w:lvl w:ilvl="1">
      <w:lvlJc w:val="left"/>
      <w:lvlText w:val="(%2)"/>
      <w:numFmt w:val="lowerLetter"/>
      <w:start w:val="1"/>
    </w:lvl>
  </w:abstractNum>
  <w:abstractNum w:abstractNumId="49">
    <w:nsid w:val="D34B6A8"/>
    <w:multiLevelType w:val="hybridMultilevel"/>
    <w:lvl w:ilvl="0">
      <w:lvlJc w:val="left"/>
      <w:lvlText w:val="(%1)"/>
      <w:numFmt w:val="lowerLetter"/>
      <w:start w:val="7"/>
    </w:lvl>
    <w:lvl w:ilvl="1">
      <w:lvlJc w:val="left"/>
      <w:lvlText w:val="(%2)"/>
      <w:numFmt w:val="lowerRoman"/>
      <w:start w:val="1"/>
    </w:lvl>
  </w:abstractNum>
  <w:abstractNum w:abstractNumId="50">
    <w:nsid w:val="10233C99"/>
    <w:multiLevelType w:val="hybridMultilevel"/>
    <w:lvl w:ilvl="0">
      <w:lvlJc w:val="left"/>
      <w:lvlText w:val="(%1)"/>
      <w:numFmt w:val="lowerRoman"/>
      <w:start w:val="4"/>
    </w:lvl>
  </w:abstractNum>
  <w:abstractNum w:abstractNumId="51">
    <w:nsid w:val="3F6AB60F"/>
    <w:multiLevelType w:val="hybridMultilevel"/>
    <w:lvl w:ilvl="0">
      <w:lvlJc w:val="left"/>
      <w:lvlText w:val="(%1)"/>
      <w:numFmt w:val="lowerLetter"/>
      <w:start w:val="8"/>
    </w:lvl>
  </w:abstractNum>
  <w:abstractNum w:abstractNumId="52">
    <w:nsid w:val="61574095"/>
    <w:multiLevelType w:val="hybridMultilevel"/>
    <w:lvl w:ilvl="0">
      <w:lvlJc w:val="left"/>
      <w:lvlText w:val="(%1)"/>
      <w:numFmt w:val="lowerLetter"/>
      <w:start w:val="12"/>
    </w:lvl>
  </w:abstractNum>
  <w:abstractNum w:abstractNumId="53">
    <w:nsid w:val="7E0C57B1"/>
    <w:multiLevelType w:val="hybridMultilevel"/>
    <w:lvl w:ilvl="0">
      <w:lvlJc w:val="left"/>
      <w:lvlText w:val="(%1)"/>
      <w:numFmt w:val="lowerLetter"/>
      <w:start w:val="19"/>
    </w:lvl>
    <w:lvl w:ilvl="1">
      <w:lvlJc w:val="left"/>
      <w:lvlText w:val="(%2)"/>
      <w:numFmt w:val="lowerRoman"/>
      <w:start w:val="1"/>
    </w:lvl>
  </w:abstractNum>
  <w:abstractNum w:abstractNumId="54">
    <w:nsid w:val="77AE35EB"/>
    <w:multiLevelType w:val="hybridMultilevel"/>
    <w:lvl w:ilvl="0">
      <w:lvlJc w:val="left"/>
      <w:lvlText w:val="(%1)"/>
      <w:numFmt w:val="lowerLetter"/>
      <w:start w:val="27"/>
    </w:lvl>
  </w:abstractNum>
  <w:abstractNum w:abstractNumId="55">
    <w:nsid w:val="579BE4F1"/>
    <w:multiLevelType w:val="hybridMultilevel"/>
    <w:lvl w:ilvl="0">
      <w:lvlJc w:val="left"/>
      <w:lvlText w:val="(%1)"/>
      <w:numFmt w:val="lowerLetter"/>
      <w:start w:val="40"/>
    </w:lvl>
  </w:abstractNum>
  <w:abstractNum w:abstractNumId="56">
    <w:nsid w:val="310C50B3"/>
    <w:multiLevelType w:val="hybridMultilevel"/>
    <w:lvl w:ilvl="0">
      <w:lvlJc w:val="left"/>
      <w:lvlText w:val="%1."/>
      <w:numFmt w:val="decimal"/>
      <w:start w:val="1"/>
    </w:lvl>
    <w:lvl w:ilvl="1">
      <w:lvlJc w:val="left"/>
      <w:lvlText w:val="(%2)"/>
      <w:numFmt w:val="lowerLetter"/>
      <w:start w:val="1"/>
    </w:lvl>
  </w:abstractNum>
  <w:abstractNum w:abstractNumId="57">
    <w:nsid w:val="5FF87E05"/>
    <w:multiLevelType w:val="hybridMultilevel"/>
    <w:lvl w:ilvl="0">
      <w:lvlJc w:val="left"/>
      <w:lvlText w:val="%1."/>
      <w:numFmt w:val="decimal"/>
      <w:start w:val="3"/>
    </w:lvl>
  </w:abstractNum>
  <w:abstractNum w:abstractNumId="58">
    <w:nsid w:val="2F305DEF"/>
    <w:multiLevelType w:val="hybridMultilevel"/>
    <w:lvl w:ilvl="0">
      <w:lvlJc w:val="left"/>
      <w:lvlText w:val="%1"/>
      <w:numFmt w:val="decimal"/>
      <w:start w:val="1"/>
    </w:lvl>
    <w:lvl w:ilvl="1">
      <w:lvlJc w:val="left"/>
      <w:lvlText w:val="(%2)"/>
      <w:numFmt w:val="lowerLetter"/>
      <w:start w:val="1"/>
    </w:lvl>
  </w:abstractNum>
  <w:abstractNum w:abstractNumId="59">
    <w:nsid w:val="25A70BF7"/>
    <w:multiLevelType w:val="hybridMultilevel"/>
    <w:lvl w:ilvl="0">
      <w:lvlJc w:val="left"/>
      <w:lvlText w:val="%1."/>
      <w:numFmt w:val="decimal"/>
      <w:start w:val="5"/>
    </w:lvl>
    <w:lvl w:ilvl="1">
      <w:lvlJc w:val="left"/>
      <w:lvlText w:val="%2"/>
      <w:numFmt w:val="lowerLetter"/>
      <w:start w:val="1"/>
    </w:lvl>
  </w:abstractNum>
  <w:abstractNum w:abstractNumId="60">
    <w:nsid w:val="1DBABF00"/>
    <w:multiLevelType w:val="hybridMultilevel"/>
    <w:lvl w:ilvl="0">
      <w:lvlJc w:val="left"/>
      <w:lvlText w:val="%1."/>
      <w:numFmt w:val="decimal"/>
      <w:start w:val="6"/>
    </w:lvl>
    <w:lvl w:ilvl="1">
      <w:lvlJc w:val="left"/>
      <w:lvlText w:val="(%2)"/>
      <w:numFmt w:val="lowerLetter"/>
      <w:start w:val="1"/>
    </w:lvl>
  </w:abstractNum>
  <w:abstractNum w:abstractNumId="61">
    <w:nsid w:val="4AD084E9"/>
    <w:multiLevelType w:val="hybridMultilevel"/>
    <w:lvl w:ilvl="0">
      <w:lvlJc w:val="left"/>
      <w:lvlText w:val="%1."/>
      <w:numFmt w:val="decimal"/>
      <w:start w:val="9"/>
    </w:lvl>
    <w:lvl w:ilvl="1">
      <w:lvlJc w:val="left"/>
      <w:lvlText w:val="(%2)"/>
      <w:numFmt w:val="lowerLetter"/>
      <w:start w:val="1"/>
    </w:lvl>
  </w:abstractNum>
  <w:abstractNum w:abstractNumId="62">
    <w:nsid w:val="1F48EAA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3">
    <w:nsid w:val="1381823A"/>
    <w:multiLevelType w:val="hybridMultilevel"/>
    <w:lvl w:ilvl="0">
      <w:lvlJc w:val="left"/>
      <w:lvlText w:val="(%1)"/>
      <w:numFmt w:val="decimal"/>
      <w:start w:val="3"/>
    </w:lvl>
    <w:lvl w:ilvl="1">
      <w:lvlJc w:val="left"/>
      <w:lvlText w:val="(%2)"/>
      <w:numFmt w:val="lowerLetter"/>
      <w:start w:val="5"/>
    </w:lvl>
    <w:lvl w:ilvl="2">
      <w:lvlJc w:val="left"/>
      <w:lvlText w:val="(%3)"/>
      <w:numFmt w:val="lowerLetter"/>
      <w:start w:val="9"/>
    </w:lvl>
  </w:abstractNum>
  <w:abstractNum w:abstractNumId="64">
    <w:nsid w:val="5DB70AE5"/>
    <w:multiLevelType w:val="hybridMultilevel"/>
    <w:lvl w:ilvl="0">
      <w:lvlJc w:val="left"/>
      <w:lvlText w:val="%1"/>
      <w:numFmt w:val="lowerLetter"/>
      <w:start w:val="1"/>
    </w:lvl>
    <w:lvl w:ilvl="1">
      <w:lvlJc w:val="left"/>
      <w:lvlText w:val="(%2)"/>
      <w:numFmt w:val="lowerLetter"/>
      <w:start w:val="35"/>
    </w:lvl>
  </w:abstractNum>
  <w:abstractNum w:abstractNumId="65">
    <w:nsid w:val="100F8FCA"/>
    <w:multiLevelType w:val="hybridMultilevel"/>
    <w:lvl w:ilvl="0">
      <w:lvlJc w:val="left"/>
      <w:lvlText w:val="(%1)"/>
      <w:numFmt w:val="lowerLetter"/>
      <w:start w:val="11"/>
    </w:lvl>
    <w:lvl w:ilvl="1">
      <w:lvlJc w:val="left"/>
      <w:lvlText w:val="%2"/>
      <w:numFmt w:val="lowerLetter"/>
      <w:start w:val="1"/>
    </w:lvl>
  </w:abstractNum>
  <w:abstractNum w:abstractNumId="66">
    <w:nsid w:val="6590700B"/>
    <w:multiLevelType w:val="hybridMultilevel"/>
    <w:lvl w:ilvl="0">
      <w:lvlJc w:val="left"/>
      <w:lvlText w:val="1"/>
      <w:numFmt w:val="bullet"/>
      <w:start w:val="1"/>
    </w:lvl>
  </w:abstractNum>
  <w:abstractNum w:abstractNumId="67">
    <w:nsid w:val="15014ACB"/>
    <w:multiLevelType w:val="hybridMultilevel"/>
    <w:lvl w:ilvl="0">
      <w:lvlJc w:val="left"/>
      <w:lvlText w:val="2"/>
      <w:numFmt w:val="bullet"/>
      <w:start w:val="1"/>
    </w:lvl>
  </w:abstractNum>
  <w:abstractNum w:abstractNumId="68">
    <w:nsid w:val="5F5E7FD0"/>
    <w:multiLevelType w:val="hybridMultilevel"/>
    <w:lvl w:ilvl="0">
      <w:lvlJc w:val="left"/>
      <w:lvlText w:val="3"/>
      <w:numFmt w:val="bullet"/>
      <w:start w:val="1"/>
    </w:lvl>
  </w:abstractNum>
  <w:abstractNum w:abstractNumId="69">
    <w:nsid w:val="98A3148"/>
    <w:multiLevelType w:val="hybridMultilevel"/>
    <w:lvl w:ilvl="0">
      <w:lvlJc w:val="left"/>
      <w:lvlText w:val="4"/>
      <w:numFmt w:val="bullet"/>
      <w:start w:val="1"/>
    </w:lvl>
  </w:abstractNum>
  <w:abstractNum w:abstractNumId="70">
    <w:nsid w:val="799D0247"/>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18" Type="http://schemas.openxmlformats.org/officeDocument/2006/relationships/hyperlink" Target="http://www.sec.gov/ix?doc=/Archives/edgar/data/1398733/000139873326000018/aqst-20251231.htm" TargetMode="External"/><Relationship Id="rId19" Type="http://schemas.openxmlformats.org/officeDocument/2006/relationships/hyperlink" Target="http://www.sec.gov/ix?doc=/Archives/edgar/data/0001641489/000164148926000002/vtvt-20260130.htm" TargetMode="External"/><Relationship Id="rId20" Type="http://schemas.openxmlformats.org/officeDocument/2006/relationships/hyperlink" Target="http://www.sec.gov/ix?doc=/Archives/edgar/data/0001641489/000164148926000019/vtvt-20260513.htm" TargetMode="External"/><Relationship Id="rId21" Type="http://schemas.openxmlformats.org/officeDocument/2006/relationships/hyperlink" Target="http://www.sec.gov/ix?doc=/Archives/edgar/data/1641489/000164148926000020/vtvt-20260331.htm" TargetMode="External"/><Relationship Id="rId25" Type="http://schemas.openxmlformats.org/officeDocument/2006/relationships/hyperlink" Target="http://www.sec.gov/Archives/edgar/data/1641489/000164148924000066/exhibit452024equityincenti.htm" TargetMode="External"/><Relationship Id="rId26" Type="http://schemas.openxmlformats.org/officeDocument/2006/relationships/hyperlink" Target="http://www.sec.gov/Archives/edgar/data/1641489/000095014221003244/eh210193502_ex1003.htm" TargetMode="External"/><Relationship Id="rId27" Type="http://schemas.openxmlformats.org/officeDocument/2006/relationships/hyperlink" Target="http://www.sec.gov/Archives/edgar/data/1641489/000095014222002314/eh220274048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2026-05-13T16:24:37Z</dcterms:created>
  <dcterms:modified xsi:type="dcterms:W3CDTF">2026-05-13T16:24:37Z</dcterms:modified>
</cp:coreProperties>
</file>