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408940</wp:posOffset>
            </wp:positionV>
            <wp:extent cx="6120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434975</wp:posOffset>
            </wp:positionV>
            <wp:extent cx="6120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5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_____________________________</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7"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60" w:hanging="334"/>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7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50"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Commission file number: 001-37524</w:t>
      </w:r>
    </w:p>
    <w:p>
      <w:pPr>
        <w:spacing w:after="0" w:line="54"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_____________________________</w:t>
      </w:r>
    </w:p>
    <w:p>
      <w:pPr>
        <w:spacing w:after="0" w:line="27" w:lineRule="exact"/>
        <w:rPr>
          <w:sz w:val="24"/>
          <w:szCs w:val="24"/>
          <w:color w:val="auto"/>
        </w:rPr>
      </w:pPr>
    </w:p>
    <w:tbl>
      <w:tblPr>
        <w:tblLayout w:type="fixed"/>
        <w:tblInd w:w="1220" w:type="dxa"/>
        <w:tblCellMar>
          <w:top w:w="0" w:type="dxa"/>
          <w:left w:w="0" w:type="dxa"/>
          <w:bottom w:w="0" w:type="dxa"/>
          <w:right w:w="0" w:type="dxa"/>
        </w:tblCellMar>
      </w:tblPr>
      <w:tr>
        <w:trPr>
          <w:trHeight w:val="328"/>
        </w:trPr>
        <w:tc>
          <w:tcPr>
            <w:tcW w:w="2400" w:type="dxa"/>
            <w:vAlign w:val="bottom"/>
          </w:tcPr>
          <w:p>
            <w:pPr>
              <w:spacing w:after="0"/>
              <w:rPr>
                <w:sz w:val="24"/>
                <w:szCs w:val="24"/>
                <w:color w:val="auto"/>
              </w:rPr>
            </w:pPr>
          </w:p>
        </w:tc>
        <w:tc>
          <w:tcPr>
            <w:tcW w:w="4180" w:type="dxa"/>
            <w:vAlign w:val="bottom"/>
          </w:tcPr>
          <w:p>
            <w:pPr>
              <w:jc w:val="center"/>
              <w:ind w:right="92"/>
              <w:spacing w:after="0"/>
              <w:rPr>
                <w:sz w:val="20"/>
                <w:szCs w:val="20"/>
                <w:color w:val="auto"/>
              </w:rPr>
            </w:pPr>
            <w:r>
              <w:rPr>
                <w:rFonts w:ascii="Arial" w:cs="Arial" w:eastAsia="Arial" w:hAnsi="Arial"/>
                <w:sz w:val="25"/>
                <w:szCs w:val="25"/>
                <w:b w:val="1"/>
                <w:bCs w:val="1"/>
                <w:color w:val="auto"/>
                <w:w w:val="92"/>
              </w:rPr>
              <w:t>vTv Therapeutics Inc.</w:t>
            </w:r>
          </w:p>
        </w:tc>
      </w:tr>
      <w:tr>
        <w:trPr>
          <w:trHeight w:val="248"/>
        </w:trPr>
        <w:tc>
          <w:tcPr>
            <w:tcW w:w="2400" w:type="dxa"/>
            <w:vAlign w:val="bottom"/>
          </w:tcPr>
          <w:p>
            <w:pPr>
              <w:spacing w:after="0"/>
              <w:rPr>
                <w:sz w:val="21"/>
                <w:szCs w:val="21"/>
                <w:color w:val="auto"/>
              </w:rPr>
            </w:pPr>
          </w:p>
        </w:tc>
        <w:tc>
          <w:tcPr>
            <w:tcW w:w="418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56"/>
        </w:trPr>
        <w:tc>
          <w:tcPr>
            <w:tcW w:w="2400" w:type="dxa"/>
            <w:vAlign w:val="bottom"/>
          </w:tcPr>
          <w:p>
            <w:pPr>
              <w:spacing w:after="0"/>
              <w:rPr>
                <w:sz w:val="22"/>
                <w:szCs w:val="22"/>
                <w:color w:val="auto"/>
              </w:rPr>
            </w:pPr>
          </w:p>
        </w:tc>
        <w:tc>
          <w:tcPr>
            <w:tcW w:w="4180" w:type="dxa"/>
            <w:vAlign w:val="bottom"/>
          </w:tcPr>
          <w:p>
            <w:pPr>
              <w:jc w:val="center"/>
              <w:ind w:right="92"/>
              <w:spacing w:after="0"/>
              <w:rPr>
                <w:sz w:val="20"/>
                <w:szCs w:val="20"/>
                <w:color w:val="auto"/>
              </w:rPr>
            </w:pPr>
            <w:r>
              <w:rPr>
                <w:rFonts w:ascii="Arial" w:cs="Arial" w:eastAsia="Arial" w:hAnsi="Arial"/>
                <w:sz w:val="18"/>
                <w:szCs w:val="18"/>
                <w:color w:val="auto"/>
                <w:w w:val="89"/>
              </w:rPr>
              <w:t>_____________________________</w:t>
            </w:r>
          </w:p>
        </w:tc>
      </w:tr>
      <w:tr>
        <w:trPr>
          <w:trHeight w:val="311"/>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4180" w:type="dxa"/>
            <w:vAlign w:val="bottom"/>
          </w:tcPr>
          <w:p>
            <w:pPr>
              <w:jc w:val="right"/>
              <w:ind w:right="52"/>
              <w:spacing w:after="0"/>
              <w:rPr>
                <w:sz w:val="20"/>
                <w:szCs w:val="20"/>
                <w:color w:val="auto"/>
              </w:rPr>
            </w:pPr>
            <w:r>
              <w:rPr>
                <w:rFonts w:ascii="Arial" w:cs="Arial" w:eastAsia="Arial" w:hAnsi="Arial"/>
                <w:sz w:val="18"/>
                <w:szCs w:val="18"/>
                <w:b w:val="1"/>
                <w:bCs w:val="1"/>
                <w:color w:val="auto"/>
              </w:rPr>
              <w:t>47-3916571</w:t>
            </w:r>
          </w:p>
        </w:tc>
      </w:tr>
      <w:tr>
        <w:trPr>
          <w:trHeight w:val="193"/>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4180" w:type="dxa"/>
            <w:vAlign w:val="bottom"/>
          </w:tcPr>
          <w:p>
            <w:pPr>
              <w:jc w:val="center"/>
              <w:ind w:left="297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4180" w:type="dxa"/>
            <w:vAlign w:val="bottom"/>
          </w:tcPr>
          <w:p>
            <w:pPr>
              <w:jc w:val="center"/>
              <w:ind w:left="2952"/>
              <w:spacing w:after="0"/>
              <w:rPr>
                <w:sz w:val="20"/>
                <w:szCs w:val="20"/>
                <w:color w:val="auto"/>
              </w:rPr>
            </w:pPr>
            <w:r>
              <w:rPr>
                <w:rFonts w:ascii="Arial" w:cs="Arial" w:eastAsia="Arial" w:hAnsi="Arial"/>
                <w:sz w:val="14"/>
                <w:szCs w:val="14"/>
                <w:b w:val="1"/>
                <w:bCs w:val="1"/>
                <w:color w:val="auto"/>
                <w:w w:val="96"/>
              </w:rPr>
              <w:t>Identification No.)</w:t>
            </w:r>
          </w:p>
        </w:tc>
      </w:tr>
      <w:tr>
        <w:trPr>
          <w:trHeight w:val="385"/>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3980 Premier Dr, Suite 310</w:t>
            </w:r>
          </w:p>
        </w:tc>
        <w:tc>
          <w:tcPr>
            <w:tcW w:w="4180" w:type="dxa"/>
            <w:vAlign w:val="bottom"/>
          </w:tcPr>
          <w:p>
            <w:pPr>
              <w:spacing w:after="0"/>
              <w:rPr>
                <w:sz w:val="24"/>
                <w:szCs w:val="24"/>
                <w:color w:val="auto"/>
              </w:rPr>
            </w:pPr>
          </w:p>
        </w:tc>
      </w:tr>
      <w:tr>
        <w:trPr>
          <w:trHeight w:val="234"/>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3"/>
              </w:rPr>
              <w:t>High Point, NC</w:t>
            </w:r>
          </w:p>
        </w:tc>
        <w:tc>
          <w:tcPr>
            <w:tcW w:w="4180" w:type="dxa"/>
            <w:vAlign w:val="bottom"/>
          </w:tcPr>
          <w:p>
            <w:pPr>
              <w:jc w:val="right"/>
              <w:ind w:right="252"/>
              <w:spacing w:after="0"/>
              <w:rPr>
                <w:sz w:val="20"/>
                <w:szCs w:val="20"/>
                <w:color w:val="auto"/>
              </w:rPr>
            </w:pPr>
            <w:r>
              <w:rPr>
                <w:rFonts w:ascii="Arial" w:cs="Arial" w:eastAsia="Arial" w:hAnsi="Arial"/>
                <w:sz w:val="18"/>
                <w:szCs w:val="18"/>
                <w:b w:val="1"/>
                <w:bCs w:val="1"/>
                <w:color w:val="auto"/>
              </w:rPr>
              <w:t>27265</w:t>
            </w:r>
          </w:p>
        </w:tc>
      </w:tr>
      <w:tr>
        <w:trPr>
          <w:trHeight w:val="217"/>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180" w:type="dxa"/>
            <w:vAlign w:val="bottom"/>
          </w:tcPr>
          <w:p>
            <w:pPr>
              <w:jc w:val="center"/>
              <w:ind w:left="2952"/>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(336) 841-0300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54"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_____________________________</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350" w:type="dxa"/>
        <w:tblCellMar>
          <w:top w:w="0" w:type="dxa"/>
          <w:left w:w="0" w:type="dxa"/>
          <w:bottom w:w="0" w:type="dxa"/>
          <w:right w:w="0" w:type="dxa"/>
        </w:tblCellMar>
      </w:tblPr>
      <w:tr>
        <w:trPr>
          <w:trHeight w:val="257"/>
        </w:trPr>
        <w:tc>
          <w:tcPr>
            <w:tcW w:w="39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3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Class A common stock, par value $0.01 per share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VTVT</w:t>
            </w: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NASDAQ Capital Market</w:t>
            </w:r>
          </w:p>
        </w:tc>
      </w:tr>
      <w:tr>
        <w:trPr>
          <w:trHeight w:val="27"/>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134"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21" w:lineRule="exact"/>
        <w:rPr>
          <w:sz w:val="24"/>
          <w:szCs w:val="24"/>
          <w:color w:val="auto"/>
        </w:rPr>
      </w:pPr>
    </w:p>
    <w:p>
      <w:pPr>
        <w:jc w:val="both"/>
        <w:spacing w:after="0" w:line="226" w:lineRule="auto"/>
        <w:rPr>
          <w:sz w:val="20"/>
          <w:szCs w:val="20"/>
          <w:color w:val="auto"/>
        </w:rPr>
      </w:pPr>
      <w:r>
        <w:rPr>
          <w:rFonts w:ascii="Arial" w:cs="Arial" w:eastAsia="Arial" w:hAnsi="Arial"/>
          <w:sz w:val="18"/>
          <w:szCs w:val="18"/>
          <w:color w:val="auto"/>
        </w:rPr>
        <w:t>1934 during the preceding 12 months (or for such shorter period that the registrant was required to file such reports), and (2) has been subject to such filing requirements for the past 90 days. Yes x No o</w:t>
      </w:r>
    </w:p>
    <w:p>
      <w:pPr>
        <w:spacing w:after="0" w:line="26" w:lineRule="exact"/>
        <w:rPr>
          <w:sz w:val="24"/>
          <w:szCs w:val="24"/>
          <w:color w:val="auto"/>
        </w:rPr>
      </w:pPr>
    </w:p>
    <w:p>
      <w:pPr>
        <w:jc w:val="both"/>
        <w:ind w:firstLine="486"/>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28" w:lineRule="exact"/>
        <w:rPr>
          <w:sz w:val="24"/>
          <w:szCs w:val="24"/>
          <w:color w:val="auto"/>
        </w:rPr>
      </w:pPr>
    </w:p>
    <w:p>
      <w:pPr>
        <w:jc w:val="both"/>
        <w:ind w:firstLine="486"/>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rPr>
          <w:sz w:val="20"/>
          <w:szCs w:val="20"/>
          <w:color w:val="auto"/>
        </w:rPr>
      </w:pPr>
      <w:r>
        <w:rPr>
          <w:rFonts w:ascii="Arial" w:cs="Arial" w:eastAsia="Arial" w:hAnsi="Arial"/>
          <w:sz w:val="18"/>
          <w:szCs w:val="18"/>
          <w:color w:val="auto"/>
        </w:rPr>
        <w:t>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20" w:type="dxa"/>
            <w:vAlign w:val="bottom"/>
          </w:tcPr>
          <w:p>
            <w:pPr>
              <w:ind w:left="500"/>
              <w:spacing w:after="0"/>
              <w:rPr>
                <w:sz w:val="20"/>
                <w:szCs w:val="20"/>
                <w:color w:val="auto"/>
              </w:rPr>
            </w:pPr>
            <w:r>
              <w:rPr>
                <w:rFonts w:ascii="Arial" w:cs="Arial" w:eastAsia="Arial" w:hAnsi="Arial"/>
                <w:sz w:val="18"/>
                <w:szCs w:val="18"/>
                <w:color w:val="auto"/>
              </w:rPr>
              <w:t>o</w:t>
            </w:r>
          </w:p>
        </w:tc>
        <w:tc>
          <w:tcPr>
            <w:tcW w:w="408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o</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220" w:type="dxa"/>
            <w:vAlign w:val="bottom"/>
          </w:tcPr>
          <w:p>
            <w:pPr>
              <w:ind w:left="500"/>
              <w:spacing w:after="0"/>
              <w:rPr>
                <w:sz w:val="20"/>
                <w:szCs w:val="20"/>
                <w:color w:val="auto"/>
              </w:rPr>
            </w:pPr>
            <w:r>
              <w:rPr>
                <w:rFonts w:ascii="Arial" w:cs="Arial" w:eastAsia="Arial" w:hAnsi="Arial"/>
                <w:sz w:val="18"/>
                <w:szCs w:val="18"/>
                <w:color w:val="auto"/>
              </w:rPr>
              <w:t>o</w:t>
            </w:r>
          </w:p>
        </w:tc>
        <w:tc>
          <w:tcPr>
            <w:tcW w:w="408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520"/>
              <w:spacing w:after="0"/>
              <w:rPr>
                <w:sz w:val="20"/>
                <w:szCs w:val="20"/>
                <w:color w:val="auto"/>
              </w:rPr>
            </w:pPr>
            <w:r>
              <w:rPr>
                <w:rFonts w:ascii="Arial" w:cs="Arial" w:eastAsia="Arial" w:hAnsi="Arial"/>
                <w:sz w:val="18"/>
                <w:szCs w:val="18"/>
                <w:color w:val="auto"/>
                <w:w w:val="88"/>
              </w:rPr>
              <w:t>x</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220" w:type="dxa"/>
            <w:vAlign w:val="bottom"/>
          </w:tcPr>
          <w:p>
            <w:pPr>
              <w:ind w:left="500"/>
              <w:spacing w:after="0"/>
              <w:rPr>
                <w:sz w:val="20"/>
                <w:szCs w:val="20"/>
                <w:color w:val="auto"/>
              </w:rPr>
            </w:pPr>
            <w:r>
              <w:rPr>
                <w:rFonts w:ascii="Arial" w:cs="Arial" w:eastAsia="Arial" w:hAnsi="Arial"/>
                <w:sz w:val="18"/>
                <w:szCs w:val="18"/>
                <w:color w:val="auto"/>
              </w:rPr>
              <w:t>o</w:t>
            </w:r>
          </w:p>
        </w:tc>
        <w:tc>
          <w:tcPr>
            <w:tcW w:w="408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161" w:lineRule="exact"/>
        <w:rPr>
          <w:sz w:val="24"/>
          <w:szCs w:val="24"/>
          <w:color w:val="auto"/>
        </w:rPr>
      </w:pPr>
    </w:p>
    <w:p>
      <w:pPr>
        <w:ind w:right="20" w:firstLine="486"/>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of Stock</w:t>
            </w:r>
          </w:p>
        </w:tc>
        <w:tc>
          <w:tcPr>
            <w:tcW w:w="5580" w:type="dxa"/>
            <w:vAlign w:val="bottom"/>
            <w:gridSpan w:val="3"/>
          </w:tcPr>
          <w:p>
            <w:pPr>
              <w:ind w:left="1020"/>
              <w:spacing w:after="0"/>
              <w:rPr>
                <w:sz w:val="20"/>
                <w:szCs w:val="20"/>
                <w:color w:val="auto"/>
              </w:rPr>
            </w:pPr>
            <w:r>
              <w:rPr>
                <w:rFonts w:ascii="Arial" w:cs="Arial" w:eastAsia="Arial" w:hAnsi="Arial"/>
                <w:sz w:val="14"/>
                <w:szCs w:val="14"/>
                <w:b w:val="1"/>
                <w:bCs w:val="1"/>
                <w:color w:val="auto"/>
              </w:rPr>
              <w:t>Shares Outstanding as of November 10, 2022</w:t>
            </w:r>
          </w:p>
        </w:tc>
      </w:tr>
      <w:tr>
        <w:trPr>
          <w:trHeight w:val="39"/>
        </w:trPr>
        <w:tc>
          <w:tcPr>
            <w:tcW w:w="800" w:type="dxa"/>
            <w:vAlign w:val="bottom"/>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36"/>
        </w:trPr>
        <w:tc>
          <w:tcPr>
            <w:tcW w:w="800" w:type="dxa"/>
            <w:vAlign w:val="bottom"/>
          </w:tcPr>
          <w:p>
            <w:pPr>
              <w:spacing w:after="0"/>
              <w:rPr>
                <w:sz w:val="20"/>
                <w:szCs w:val="20"/>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Class A common stock, par value $0.01 per share</w:t>
            </w:r>
          </w:p>
        </w:tc>
        <w:tc>
          <w:tcPr>
            <w:tcW w:w="4780" w:type="dxa"/>
            <w:vAlign w:val="bottom"/>
          </w:tcPr>
          <w:p>
            <w:pPr>
              <w:jc w:val="right"/>
              <w:spacing w:after="0"/>
              <w:rPr>
                <w:sz w:val="20"/>
                <w:szCs w:val="20"/>
                <w:color w:val="auto"/>
              </w:rPr>
            </w:pPr>
            <w:r>
              <w:rPr>
                <w:rFonts w:ascii="Arial" w:cs="Arial" w:eastAsia="Arial" w:hAnsi="Arial"/>
                <w:sz w:val="18"/>
                <w:szCs w:val="18"/>
                <w:color w:val="auto"/>
              </w:rPr>
              <w:t>81,483,600</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6"/>
        </w:trPr>
        <w:tc>
          <w:tcPr>
            <w:tcW w:w="800" w:type="dxa"/>
            <w:vAlign w:val="bottom"/>
          </w:tcPr>
          <w:p>
            <w:pPr>
              <w:spacing w:after="0"/>
              <w:rPr>
                <w:sz w:val="22"/>
                <w:szCs w:val="22"/>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Class B common stock, par value $0.01 per share</w:t>
            </w:r>
          </w:p>
        </w:tc>
        <w:tc>
          <w:tcPr>
            <w:tcW w:w="4780" w:type="dxa"/>
            <w:vAlign w:val="bottom"/>
          </w:tcPr>
          <w:p>
            <w:pPr>
              <w:jc w:val="right"/>
              <w:spacing w:after="0"/>
              <w:rPr>
                <w:sz w:val="20"/>
                <w:szCs w:val="20"/>
                <w:color w:val="auto"/>
              </w:rPr>
            </w:pPr>
            <w:r>
              <w:rPr>
                <w:rFonts w:ascii="Arial" w:cs="Arial" w:eastAsia="Arial" w:hAnsi="Arial"/>
                <w:sz w:val="18"/>
                <w:szCs w:val="18"/>
                <w:color w:val="auto"/>
              </w:rPr>
              <w:t>23,093,860</w:t>
            </w: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800" w:type="dxa"/>
            <w:vAlign w:val="bottom"/>
            <w:tcBorders>
              <w:bottom w:val="single" w:sz="8" w:color="auto"/>
            </w:tcBorders>
          </w:tcPr>
          <w:p>
            <w:pPr>
              <w:spacing w:after="0"/>
              <w:rPr>
                <w:sz w:val="22"/>
                <w:szCs w:val="22"/>
                <w:color w:val="auto"/>
              </w:rPr>
            </w:pPr>
          </w:p>
        </w:tc>
        <w:tc>
          <w:tcPr>
            <w:tcW w:w="4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7"/>
        </w:trPr>
        <w:tc>
          <w:tcPr>
            <w:tcW w:w="80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041"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 ENDED SEPTEMBER 30, 2022</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jc w:val="right"/>
              <w:ind w:right="29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7"/>
              </w:rPr>
              <w:t>PART I – FINANCIAL INFORMATION</w:t>
            </w:r>
          </w:p>
        </w:tc>
        <w:tc>
          <w:tcPr>
            <w:tcW w:w="6920" w:type="dxa"/>
            <w:vAlign w:val="bottom"/>
            <w:gridSpan w:val="11"/>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75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Consolidated Balance Sheets as of September 30, 2022, (Unaudited) and December 31, 2021</w:t>
            </w:r>
          </w:p>
        </w:tc>
        <w:tc>
          <w:tcPr>
            <w:tcW w:w="144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4"/>
                <w:szCs w:val="24"/>
                <w:color w:val="auto"/>
              </w:rPr>
            </w:pPr>
          </w:p>
        </w:tc>
        <w:tc>
          <w:tcPr>
            <w:tcW w:w="8980" w:type="dxa"/>
            <w:vAlign w:val="bottom"/>
            <w:gridSpan w:val="21"/>
          </w:tcPr>
          <w:p>
            <w:pPr>
              <w:spacing w:after="0"/>
              <w:rPr>
                <w:sz w:val="20"/>
                <w:szCs w:val="20"/>
                <w:color w:val="auto"/>
              </w:rPr>
            </w:pPr>
            <w:r>
              <w:rPr>
                <w:rFonts w:ascii="Arial" w:cs="Arial" w:eastAsia="Arial" w:hAnsi="Arial"/>
                <w:sz w:val="18"/>
                <w:szCs w:val="18"/>
                <w:color w:val="0000FF"/>
                <w:w w:val="89"/>
              </w:rPr>
              <w:t>Unaudited Condensed Consolidated Statements of Operations for the three and nine months ended September 30, 2022, and</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6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84"/>
              </w:rPr>
              <w:t>2021</w:t>
            </w: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6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146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20" w:type="dxa"/>
            <w:vAlign w:val="bottom"/>
          </w:tcPr>
          <w:p>
            <w:pPr>
              <w:spacing w:after="0"/>
              <w:rPr>
                <w:sz w:val="24"/>
                <w:szCs w:val="24"/>
                <w:color w:val="auto"/>
              </w:rPr>
            </w:pPr>
          </w:p>
        </w:tc>
        <w:tc>
          <w:tcPr>
            <w:tcW w:w="8980" w:type="dxa"/>
            <w:vAlign w:val="bottom"/>
            <w:gridSpan w:val="21"/>
          </w:tcPr>
          <w:p>
            <w:pPr>
              <w:spacing w:after="0"/>
              <w:rPr>
                <w:sz w:val="20"/>
                <w:szCs w:val="20"/>
                <w:color w:val="auto"/>
              </w:rPr>
            </w:pPr>
            <w:r>
              <w:rPr>
                <w:rFonts w:ascii="Arial" w:cs="Arial" w:eastAsia="Arial" w:hAnsi="Arial"/>
                <w:sz w:val="18"/>
                <w:szCs w:val="18"/>
                <w:color w:val="0000FF"/>
                <w:w w:val="90"/>
              </w:rPr>
              <w:t>Unaudited Condensed Consolidated Statement of Changes in Redeemable Noncontrolling Interest and Stockholders’ Deficit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840" w:type="dxa"/>
            <w:vAlign w:val="bottom"/>
            <w:tcBorders>
              <w:top w:val="single" w:sz="8" w:color="0000FF"/>
              <w:bottom w:val="single" w:sz="8" w:color="0000FF"/>
            </w:tcBorders>
            <w:gridSpan w:val="14"/>
          </w:tcPr>
          <w:p>
            <w:pPr>
              <w:spacing w:after="0" w:line="182" w:lineRule="exact"/>
              <w:rPr>
                <w:sz w:val="20"/>
                <w:szCs w:val="20"/>
                <w:color w:val="auto"/>
              </w:rPr>
            </w:pPr>
            <w:r>
              <w:rPr>
                <w:rFonts w:ascii="Arial" w:cs="Arial" w:eastAsia="Arial" w:hAnsi="Arial"/>
                <w:sz w:val="18"/>
                <w:szCs w:val="18"/>
                <w:color w:val="0000FF"/>
                <w:w w:val="88"/>
              </w:rPr>
              <w:t>for the three and nine months ended September 30, 2022, and 2021</w:t>
            </w:r>
          </w:p>
        </w:tc>
        <w:tc>
          <w:tcPr>
            <w:tcW w:w="396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86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Unaudited Condensed Consolidated Statements of Cash Flows for the nine months ended September 30, 2022, and 2021</w:t>
            </w:r>
          </w:p>
        </w:tc>
        <w:tc>
          <w:tcPr>
            <w:tcW w:w="30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8980" w:type="dxa"/>
            <w:vAlign w:val="bottom"/>
            <w:gridSpan w:val="21"/>
          </w:tcPr>
          <w:p>
            <w:pPr>
              <w:spacing w:after="0"/>
              <w:rPr>
                <w:sz w:val="20"/>
                <w:szCs w:val="20"/>
                <w:color w:val="auto"/>
              </w:rPr>
            </w:pPr>
            <w:r>
              <w:rPr>
                <w:rFonts w:ascii="Arial" w:cs="Arial" w:eastAsia="Arial" w:hAnsi="Arial"/>
                <w:sz w:val="18"/>
                <w:szCs w:val="18"/>
                <w:color w:val="0000FF"/>
              </w:rPr>
              <w:t>Notes to Unaudited Consolidated Financial Statements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898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252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Controls and Procedures</w:t>
            </w:r>
          </w:p>
        </w:tc>
        <w:tc>
          <w:tcPr>
            <w:tcW w:w="7200" w:type="dxa"/>
            <w:vAlign w:val="bottom"/>
            <w:gridSpan w:val="1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1"/>
        </w:trPr>
        <w:tc>
          <w:tcPr>
            <w:tcW w:w="9900" w:type="dxa"/>
            <w:vAlign w:val="bottom"/>
            <w:gridSpan w:val="22"/>
          </w:tcPr>
          <w:p>
            <w:pPr>
              <w:spacing w:after="0"/>
              <w:rPr>
                <w:sz w:val="20"/>
                <w:szCs w:val="20"/>
                <w:color w:val="auto"/>
              </w:rPr>
            </w:pPr>
            <w:r>
              <w:rPr>
                <w:rFonts w:ascii="Arial" w:cs="Arial" w:eastAsia="Arial" w:hAnsi="Arial"/>
                <w:sz w:val="18"/>
                <w:szCs w:val="18"/>
                <w:color w:val="0000FF"/>
              </w:rPr>
              <w:t>PART II – OTHER INFORMATION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8"/>
              </w:rPr>
              <w:t>Legal Proceedings</w:t>
            </w:r>
          </w:p>
        </w:tc>
        <w:tc>
          <w:tcPr>
            <w:tcW w:w="400" w:type="dxa"/>
            <w:vAlign w:val="bottom"/>
            <w:tcBorders>
              <w:top w:val="single" w:sz="8" w:color="0000FF"/>
            </w:tcBorders>
          </w:tcPr>
          <w:p>
            <w:pPr>
              <w:spacing w:after="0"/>
              <w:rPr>
                <w:sz w:val="24"/>
                <w:szCs w:val="24"/>
                <w:color w:val="auto"/>
              </w:rPr>
            </w:pPr>
          </w:p>
        </w:tc>
        <w:tc>
          <w:tcPr>
            <w:tcW w:w="7240" w:type="dxa"/>
            <w:vAlign w:val="bottom"/>
            <w:gridSpan w:val="1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898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62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980" w:type="dxa"/>
            <w:vAlign w:val="bottom"/>
            <w:gridSpan w:val="21"/>
          </w:tcPr>
          <w:p>
            <w:pPr>
              <w:spacing w:after="0"/>
              <w:rPr>
                <w:sz w:val="20"/>
                <w:szCs w:val="20"/>
                <w:color w:val="auto"/>
              </w:rPr>
            </w:pPr>
            <w:r>
              <w:rPr>
                <w:rFonts w:ascii="Arial" w:cs="Arial" w:eastAsia="Arial" w:hAnsi="Arial"/>
                <w:sz w:val="18"/>
                <w:szCs w:val="18"/>
                <w:color w:val="0000FF"/>
              </w:rPr>
              <w:t>Defaults Upon Senior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2"/>
          </w:tcPr>
          <w:p>
            <w:pPr>
              <w:spacing w:after="0"/>
              <w:rPr>
                <w:sz w:val="24"/>
                <w:szCs w:val="24"/>
                <w:color w:val="auto"/>
              </w:rPr>
            </w:pPr>
          </w:p>
        </w:tc>
        <w:tc>
          <w:tcPr>
            <w:tcW w:w="666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Other Information</w:t>
            </w:r>
          </w:p>
        </w:tc>
        <w:tc>
          <w:tcPr>
            <w:tcW w:w="766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98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20" w:type="dxa"/>
            <w:vAlign w:val="bottom"/>
            <w:gridSpan w:val="1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898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33"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8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194"/>
        </w:trPr>
        <w:tc>
          <w:tcPr>
            <w:tcW w:w="8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2"/>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8"/>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13,415</w:t>
            </w:r>
          </w:p>
        </w:tc>
      </w:tr>
      <w:tr>
        <w:trPr>
          <w:trHeight w:val="229"/>
        </w:trPr>
        <w:tc>
          <w:tcPr>
            <w:tcW w:w="83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Promissory note receivable</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2,049</w:t>
            </w:r>
          </w:p>
        </w:tc>
      </w:tr>
      <w:tr>
        <w:trPr>
          <w:trHeight w:val="230"/>
        </w:trPr>
        <w:tc>
          <w:tcPr>
            <w:tcW w:w="8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deposits</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15,621</w:t>
            </w:r>
          </w:p>
        </w:tc>
      </w:tr>
      <w:tr>
        <w:trPr>
          <w:trHeight w:val="230"/>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6,175</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9,173</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25,474</w:t>
            </w:r>
          </w:p>
        </w:tc>
      </w:tr>
      <w:tr>
        <w:trPr>
          <w:trHeight w:val="20"/>
        </w:trPr>
        <w:tc>
          <w:tcPr>
            <w:tcW w:w="83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8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8,023</w:t>
            </w:r>
          </w:p>
        </w:tc>
      </w:tr>
      <w:tr>
        <w:trPr>
          <w:trHeight w:val="230"/>
        </w:trPr>
        <w:tc>
          <w:tcPr>
            <w:tcW w:w="8320" w:type="dxa"/>
            <w:vAlign w:val="bottom"/>
          </w:tcPr>
          <w:p>
            <w:pPr>
              <w:ind w:left="24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8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contract liabilities</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notes payable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8,498</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Contract liabilities, net of current portion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r>
      <w:tr>
        <w:trPr>
          <w:trHeight w:val="229"/>
        </w:trPr>
        <w:tc>
          <w:tcPr>
            <w:tcW w:w="83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Warrant liability, related party</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r>
      <w:tr>
        <w:trPr>
          <w:trHeight w:val="223"/>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10,252</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24,962</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Class A common stock, $0.01 par value; 200,000,000 shares authorized, 81,483,600 and 66,942,777 shares</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57"/>
        </w:trPr>
        <w:tc>
          <w:tcPr>
            <w:tcW w:w="83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outstanding as of September 30, 2022, and December 31, 2021</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r>
      <w:tr>
        <w:trPr>
          <w:trHeight w:val="229"/>
        </w:trPr>
        <w:tc>
          <w:tcPr>
            <w:tcW w:w="8320" w:type="dxa"/>
            <w:vAlign w:val="bottom"/>
          </w:tcPr>
          <w:p>
            <w:pPr>
              <w:ind w:left="260"/>
              <w:spacing w:after="0"/>
              <w:rPr>
                <w:sz w:val="20"/>
                <w:szCs w:val="20"/>
                <w:color w:val="auto"/>
              </w:rPr>
            </w:pPr>
            <w:r>
              <w:rPr>
                <w:rFonts w:ascii="Arial" w:cs="Arial" w:eastAsia="Arial" w:hAnsi="Arial"/>
                <w:sz w:val="18"/>
                <w:szCs w:val="18"/>
                <w:color w:val="auto"/>
                <w:w w:val="94"/>
              </w:rPr>
              <w:t>Class B common stock, $0.01 par value; 100,000,000 shares authorized, and 23,093,860 outstanding as of</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7"/>
        </w:trPr>
        <w:tc>
          <w:tcPr>
            <w:tcW w:w="8320" w:type="dxa"/>
            <w:vAlign w:val="bottom"/>
          </w:tcPr>
          <w:p>
            <w:pPr>
              <w:ind w:left="440"/>
              <w:spacing w:after="0"/>
              <w:rPr>
                <w:sz w:val="20"/>
                <w:szCs w:val="20"/>
                <w:color w:val="auto"/>
              </w:rPr>
            </w:pPr>
            <w:r>
              <w:rPr>
                <w:rFonts w:ascii="Arial" w:cs="Arial" w:eastAsia="Arial" w:hAnsi="Arial"/>
                <w:sz w:val="18"/>
                <w:szCs w:val="18"/>
                <w:color w:val="auto"/>
              </w:rPr>
              <w:t>September 30, 2022, and December 31, 2021</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8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Promissory note receivable for common stock</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253,446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238,193</w:t>
            </w:r>
          </w:p>
        </w:tc>
      </w:tr>
      <w:tr>
        <w:trPr>
          <w:trHeight w:val="230"/>
        </w:trPr>
        <w:tc>
          <w:tcPr>
            <w:tcW w:w="8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(267,062)</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(248,834)</w:t>
            </w:r>
          </w:p>
        </w:tc>
      </w:tr>
      <w:tr>
        <w:trPr>
          <w:trHeight w:val="223"/>
        </w:trPr>
        <w:tc>
          <w:tcPr>
            <w:tcW w:w="83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Total stockholders’ deficit attributable to vTv Therapeutics Inc.</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(9,740)</w:t>
            </w:r>
          </w:p>
        </w:tc>
      </w:tr>
      <w:tr>
        <w:trPr>
          <w:trHeight w:val="248"/>
        </w:trPr>
        <w:tc>
          <w:tcPr>
            <w:tcW w:w="8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25,474</w:t>
            </w:r>
          </w:p>
        </w:tc>
      </w:tr>
      <w:tr>
        <w:trPr>
          <w:trHeight w:val="20"/>
        </w:trPr>
        <w:tc>
          <w:tcPr>
            <w:tcW w:w="8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1740"/>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233" w:right="71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6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(10,553)</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Other income (expense) – related party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 and noncontrolling interest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before noncontrolling interest</w:t>
            </w: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vTv Therapeutics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tcPr>
          <w:p>
            <w:pPr>
              <w:ind w:left="20"/>
              <w:spacing w:after="0" w:line="203" w:lineRule="exact"/>
              <w:rPr>
                <w:sz w:val="20"/>
                <w:szCs w:val="20"/>
                <w:color w:val="auto"/>
              </w:rPr>
            </w:pPr>
            <w:r>
              <w:rPr>
                <w:rFonts w:ascii="Arial" w:cs="Arial" w:eastAsia="Arial" w:hAnsi="Arial"/>
                <w:sz w:val="18"/>
                <w:szCs w:val="18"/>
                <w:color w:val="auto"/>
                <w:w w:val="94"/>
              </w:rPr>
              <w:t>Net loss attributable to vTv Therapeutics Inc. common shareholders</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(4,261)</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(1,087)</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(14,419)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shd w:val="clear" w:color="auto" w:fill="CCEEFF"/>
          </w:tcPr>
          <w:p>
            <w:pPr>
              <w:ind w:left="260"/>
              <w:spacing w:after="0" w:line="142" w:lineRule="exact"/>
              <w:rPr>
                <w:sz w:val="20"/>
                <w:szCs w:val="20"/>
                <w:color w:val="auto"/>
              </w:rPr>
            </w:pPr>
            <w:r>
              <w:rPr>
                <w:rFonts w:ascii="Arial" w:cs="Arial" w:eastAsia="Arial" w:hAnsi="Arial"/>
                <w:sz w:val="16"/>
                <w:szCs w:val="16"/>
                <w:color w:val="auto"/>
              </w:rPr>
              <w:t>Net loss per share of vTv Therapeutics Inc. Class A common</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stock, basic and diluted</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Arial" w:cs="Arial" w:eastAsia="Arial" w:hAnsi="Arial"/>
                <w:sz w:val="18"/>
                <w:szCs w:val="18"/>
                <w:color w:val="auto"/>
              </w:rPr>
              <w:t>Weighted average number of vTv Therapeutics Inc. Class 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80,490,121</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3"/>
              </w:rPr>
              <w:t>61,073,280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72,649,531</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3"/>
              </w:rPr>
              <w:t>58,737,170</w:t>
            </w: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common stock, basic and diluted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For the three months ended September 30, 2022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Class A Common Stock</w:t>
            </w:r>
          </w:p>
        </w:tc>
        <w:tc>
          <w:tcPr>
            <w:tcW w:w="1780" w:type="dxa"/>
            <w:vAlign w:val="bottom"/>
            <w:tcBorders>
              <w:top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Class B Common Stock</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57"/>
              <w:spacing w:after="0" w:line="121" w:lineRule="exact"/>
              <w:rPr>
                <w:sz w:val="20"/>
                <w:szCs w:val="20"/>
                <w:color w:val="auto"/>
              </w:rPr>
            </w:pPr>
            <w:r>
              <w:rPr>
                <w:rFonts w:ascii="Arial" w:cs="Arial" w:eastAsia="Arial" w:hAnsi="Arial"/>
                <w:sz w:val="13"/>
                <w:szCs w:val="13"/>
                <w:b w:val="1"/>
                <w:bCs w:val="1"/>
                <w:color w:val="auto"/>
                <w:w w:val="89"/>
              </w:rPr>
              <w:t>Note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87"/>
              </w:rPr>
              <w:t>Receivable for</w:t>
            </w: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right w:val="single" w:sz="8" w:color="auto"/>
            </w:tcBorders>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6"/>
              </w:rPr>
              <w:t>Noncontrolling</w:t>
            </w:r>
          </w:p>
        </w:tc>
        <w:tc>
          <w:tcPr>
            <w:tcW w:w="60" w:type="dxa"/>
            <w:vAlign w:val="bottom"/>
          </w:tcPr>
          <w:p>
            <w:pPr>
              <w:spacing w:after="0"/>
              <w:rPr>
                <w:sz w:val="11"/>
                <w:szCs w:val="11"/>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8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7"/>
              <w:spacing w:after="0" w:line="131"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Deficit</w:t>
            </w:r>
          </w:p>
        </w:tc>
        <w:tc>
          <w:tcPr>
            <w:tcW w:w="10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76"/>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June 30,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15,916</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77,329,051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773</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23,093,860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243,772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(253,303)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(8,526)</w:t>
            </w:r>
          </w:p>
        </w:tc>
        <w:tc>
          <w:tcPr>
            <w:tcW w:w="0" w:type="dxa"/>
            <w:vAlign w:val="bottom"/>
          </w:tcPr>
          <w:p>
            <w:pPr>
              <w:spacing w:after="0"/>
              <w:rPr>
                <w:sz w:val="1"/>
                <w:szCs w:val="1"/>
                <w:color w:val="auto"/>
              </w:rPr>
            </w:pPr>
          </w:p>
        </w:tc>
      </w:tr>
      <w:tr>
        <w:trPr>
          <w:trHeight w:val="168"/>
        </w:trPr>
        <w:tc>
          <w:tcPr>
            <w:tcW w:w="2300" w:type="dxa"/>
            <w:vAlign w:val="bottom"/>
          </w:tcPr>
          <w:p>
            <w:pPr>
              <w:ind w:left="240"/>
              <w:spacing w:after="0"/>
              <w:rPr>
                <w:sz w:val="20"/>
                <w:szCs w:val="20"/>
                <w:color w:val="auto"/>
              </w:rPr>
            </w:pPr>
            <w:r>
              <w:rPr>
                <w:rFonts w:ascii="Arial" w:cs="Arial" w:eastAsia="Arial" w:hAnsi="Arial"/>
                <w:sz w:val="13"/>
                <w:szCs w:val="13"/>
                <w:color w:val="auto"/>
              </w:rPr>
              <w:t>Net loss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(1,207)</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(4,261)</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w:t>
            </w:r>
          </w:p>
        </w:tc>
        <w:tc>
          <w:tcPr>
            <w:tcW w:w="100" w:type="dxa"/>
            <w:vAlign w:val="bottom"/>
            <w:shd w:val="clear" w:color="auto" w:fill="CCEEFF"/>
          </w:tcPr>
          <w:p>
            <w:pPr>
              <w:spacing w:after="0"/>
              <w:rPr>
                <w:sz w:val="15"/>
                <w:szCs w:val="15"/>
                <w:color w:val="auto"/>
              </w:rPr>
            </w:pP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22"/>
        </w:trPr>
        <w:tc>
          <w:tcPr>
            <w:tcW w:w="2300" w:type="dxa"/>
            <w:vAlign w:val="bottom"/>
          </w:tcPr>
          <w:p>
            <w:pPr>
              <w:ind w:left="240"/>
              <w:spacing w:after="0" w:line="122" w:lineRule="exact"/>
              <w:rPr>
                <w:sz w:val="20"/>
                <w:szCs w:val="20"/>
                <w:color w:val="auto"/>
              </w:rPr>
            </w:pPr>
            <w:r>
              <w:rPr>
                <w:rFonts w:ascii="Arial" w:cs="Arial" w:eastAsia="Arial" w:hAnsi="Arial"/>
                <w:sz w:val="13"/>
                <w:szCs w:val="13"/>
                <w:color w:val="auto"/>
              </w:rPr>
              <w:t>Issuance of Class A common stock</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300" w:type="dxa"/>
            <w:vAlign w:val="bottom"/>
          </w:tcPr>
          <w:p>
            <w:pPr>
              <w:ind w:left="240"/>
              <w:spacing w:after="0" w:line="134" w:lineRule="exact"/>
              <w:rPr>
                <w:sz w:val="20"/>
                <w:szCs w:val="20"/>
                <w:color w:val="auto"/>
              </w:rPr>
            </w:pPr>
            <w:r>
              <w:rPr>
                <w:rFonts w:ascii="Arial" w:cs="Arial" w:eastAsia="Arial" w:hAnsi="Arial"/>
                <w:sz w:val="13"/>
                <w:szCs w:val="13"/>
                <w:color w:val="auto"/>
                <w:w w:val="86"/>
              </w:rPr>
              <w:t>under CinRx purchase agreement, net of</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40"/>
              <w:spacing w:after="0"/>
              <w:rPr>
                <w:sz w:val="20"/>
                <w:szCs w:val="20"/>
                <w:color w:val="auto"/>
              </w:rPr>
            </w:pPr>
            <w:r>
              <w:rPr>
                <w:rFonts w:ascii="Arial" w:cs="Arial" w:eastAsia="Arial" w:hAnsi="Arial"/>
                <w:sz w:val="13"/>
                <w:szCs w:val="13"/>
                <w:color w:val="auto"/>
              </w:rPr>
              <w:t>offering cost</w:t>
            </w:r>
          </w:p>
        </w:tc>
        <w:tc>
          <w:tcPr>
            <w:tcW w:w="10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4,154,549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ind w:left="340"/>
              <w:spacing w:after="0"/>
              <w:rPr>
                <w:sz w:val="20"/>
                <w:szCs w:val="20"/>
                <w:color w:val="auto"/>
              </w:rPr>
            </w:pPr>
            <w:r>
              <w:rPr>
                <w:rFonts w:ascii="Arial" w:cs="Arial" w:eastAsia="Arial" w:hAnsi="Arial"/>
                <w:sz w:val="13"/>
                <w:szCs w:val="13"/>
                <w:color w:val="auto"/>
                <w:w w:val="92"/>
              </w:rPr>
              <w:t>(4,000)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9,336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5,378</w:t>
            </w:r>
          </w:p>
        </w:tc>
        <w:tc>
          <w:tcPr>
            <w:tcW w:w="0" w:type="dxa"/>
            <w:vAlign w:val="bottom"/>
          </w:tcPr>
          <w:p>
            <w:pPr>
              <w:spacing w:after="0"/>
              <w:rPr>
                <w:sz w:val="1"/>
                <w:szCs w:val="1"/>
                <w:color w:val="auto"/>
              </w:rPr>
            </w:pPr>
          </w:p>
        </w:tc>
      </w:tr>
      <w:tr>
        <w:trPr>
          <w:trHeight w:val="129"/>
        </w:trPr>
        <w:tc>
          <w:tcPr>
            <w:tcW w:w="230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Change in redemption value of</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noncontrolling interest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9,498</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(9,498)</w:t>
            </w: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Balances at September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24,207</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81,483,600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815</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23,093,860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3"/>
                <w:szCs w:val="13"/>
                <w:b w:val="1"/>
                <w:bCs w:val="1"/>
                <w:color w:val="auto"/>
                <w:w w:val="92"/>
              </w:rPr>
              <w:t>(4,000)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253,446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(267,062)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(16,569)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three months ended September 30,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Class A Common Stock</w:t>
            </w:r>
          </w:p>
        </w:tc>
        <w:tc>
          <w:tcPr>
            <w:tcW w:w="1840" w:type="dxa"/>
            <w:vAlign w:val="bottom"/>
            <w:tcBorders>
              <w:top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Class B Common Stock</w:t>
            </w: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Borders>
              <w:right w:val="single" w:sz="8" w:color="auto"/>
            </w:tcBorders>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3"/>
              </w:rPr>
              <w:t>Redeemable</w:t>
            </w:r>
          </w:p>
        </w:tc>
        <w:tc>
          <w:tcPr>
            <w:tcW w:w="6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9"/>
                <w:szCs w:val="9"/>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9"/>
                <w:szCs w:val="9"/>
                <w:color w:val="auto"/>
              </w:rPr>
            </w:pPr>
          </w:p>
        </w:tc>
        <w:tc>
          <w:tcPr>
            <w:tcW w:w="860" w:type="dxa"/>
            <w:vAlign w:val="bottom"/>
          </w:tcPr>
          <w:p>
            <w:pPr>
              <w:jc w:val="center"/>
              <w:ind w:right="38"/>
              <w:spacing w:after="0" w:line="108"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Noncontrolling</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38"/>
              <w:spacing w:after="0" w:line="122"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60" w:type="dxa"/>
            <w:vAlign w:val="bottom"/>
          </w:tcPr>
          <w:p>
            <w:pPr>
              <w:spacing w:after="0"/>
              <w:rPr>
                <w:sz w:val="15"/>
                <w:szCs w:val="15"/>
                <w:color w:val="auto"/>
              </w:rPr>
            </w:pPr>
          </w:p>
        </w:tc>
        <w:tc>
          <w:tcPr>
            <w:tcW w:w="110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10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5"/>
                <w:szCs w:val="15"/>
                <w:color w:val="auto"/>
              </w:rPr>
            </w:pPr>
          </w:p>
        </w:tc>
        <w:tc>
          <w:tcPr>
            <w:tcW w:w="860" w:type="dxa"/>
            <w:vAlign w:val="bottom"/>
          </w:tcPr>
          <w:p>
            <w:pPr>
              <w:jc w:val="center"/>
              <w:ind w:right="38"/>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89"/>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June 30,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60,190</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60,193,967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602</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23,093,860</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232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224,457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(273,114)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(47,823)</w:t>
            </w:r>
          </w:p>
        </w:tc>
        <w:tc>
          <w:tcPr>
            <w:tcW w:w="0" w:type="dxa"/>
            <w:vAlign w:val="bottom"/>
          </w:tcPr>
          <w:p>
            <w:pPr>
              <w:spacing w:after="0"/>
              <w:rPr>
                <w:sz w:val="1"/>
                <w:szCs w:val="1"/>
                <w:color w:val="auto"/>
              </w:rPr>
            </w:pPr>
          </w:p>
        </w:tc>
      </w:tr>
      <w:tr>
        <w:trPr>
          <w:trHeight w:val="168"/>
        </w:trPr>
        <w:tc>
          <w:tcPr>
            <w:tcW w:w="2340" w:type="dxa"/>
            <w:vAlign w:val="bottom"/>
          </w:tcPr>
          <w:p>
            <w:pPr>
              <w:ind w:left="240"/>
              <w:spacing w:after="0"/>
              <w:rPr>
                <w:sz w:val="20"/>
                <w:szCs w:val="20"/>
                <w:color w:val="auto"/>
              </w:rPr>
            </w:pPr>
            <w:r>
              <w:rPr>
                <w:rFonts w:ascii="Arial" w:cs="Arial" w:eastAsia="Arial" w:hAnsi="Arial"/>
                <w:sz w:val="13"/>
                <w:szCs w:val="13"/>
                <w:color w:val="auto"/>
              </w:rPr>
              <w:t>Net loss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(378)</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(1,087)</w:t>
            </w: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w:t>
            </w:r>
          </w:p>
        </w:tc>
        <w:tc>
          <w:tcPr>
            <w:tcW w:w="100" w:type="dxa"/>
            <w:vAlign w:val="bottom"/>
            <w:shd w:val="clear" w:color="auto" w:fill="CCEEFF"/>
          </w:tcPr>
          <w:p>
            <w:pPr>
              <w:spacing w:after="0"/>
              <w:rPr>
                <w:sz w:val="15"/>
                <w:szCs w:val="15"/>
                <w:color w:val="auto"/>
              </w:rPr>
            </w:pP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w:t>
            </w:r>
          </w:p>
        </w:tc>
        <w:tc>
          <w:tcPr>
            <w:tcW w:w="0" w:type="dxa"/>
            <w:vAlign w:val="bottom"/>
          </w:tcPr>
          <w:p>
            <w:pPr>
              <w:spacing w:after="0"/>
              <w:rPr>
                <w:sz w:val="1"/>
                <w:szCs w:val="1"/>
                <w:color w:val="auto"/>
              </w:rPr>
            </w:pPr>
          </w:p>
        </w:tc>
      </w:tr>
      <w:tr>
        <w:trPr>
          <w:trHeight w:val="122"/>
        </w:trPr>
        <w:tc>
          <w:tcPr>
            <w:tcW w:w="2340" w:type="dxa"/>
            <w:vAlign w:val="bottom"/>
          </w:tcPr>
          <w:p>
            <w:pPr>
              <w:ind w:left="260"/>
              <w:spacing w:after="0" w:line="122" w:lineRule="exact"/>
              <w:rPr>
                <w:sz w:val="20"/>
                <w:szCs w:val="20"/>
                <w:color w:val="auto"/>
              </w:rPr>
            </w:pPr>
            <w:r>
              <w:rPr>
                <w:rFonts w:ascii="Arial" w:cs="Arial" w:eastAsia="Arial" w:hAnsi="Arial"/>
                <w:sz w:val="13"/>
                <w:szCs w:val="13"/>
                <w:color w:val="auto"/>
              </w:rPr>
              <w:t>Issuance of Class A common stock</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40" w:type="dxa"/>
            <w:vAlign w:val="bottom"/>
          </w:tcPr>
          <w:p>
            <w:pPr>
              <w:ind w:left="360"/>
              <w:spacing w:after="0"/>
              <w:rPr>
                <w:sz w:val="20"/>
                <w:szCs w:val="20"/>
                <w:color w:val="auto"/>
              </w:rPr>
            </w:pPr>
            <w:r>
              <w:rPr>
                <w:rFonts w:ascii="Arial" w:cs="Arial" w:eastAsia="Arial" w:hAnsi="Arial"/>
                <w:sz w:val="13"/>
                <w:szCs w:val="13"/>
                <w:color w:val="auto"/>
              </w:rPr>
              <w:t>under ATM offering</w:t>
            </w:r>
          </w:p>
        </w:tc>
        <w:tc>
          <w:tcPr>
            <w:tcW w:w="100" w:type="dxa"/>
            <w:vAlign w:val="bottom"/>
          </w:tcPr>
          <w:p>
            <w:pPr>
              <w:spacing w:after="0"/>
              <w:rPr>
                <w:sz w:val="15"/>
                <w:szCs w:val="15"/>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6,277,209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11,626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11,689</w:t>
            </w:r>
          </w:p>
        </w:tc>
        <w:tc>
          <w:tcPr>
            <w:tcW w:w="0" w:type="dxa"/>
            <w:vAlign w:val="bottom"/>
          </w:tcPr>
          <w:p>
            <w:pPr>
              <w:spacing w:after="0"/>
              <w:rPr>
                <w:sz w:val="1"/>
                <w:szCs w:val="1"/>
                <w:color w:val="auto"/>
              </w:rPr>
            </w:pPr>
          </w:p>
        </w:tc>
      </w:tr>
      <w:tr>
        <w:trPr>
          <w:trHeight w:val="130"/>
        </w:trPr>
        <w:tc>
          <w:tcPr>
            <w:tcW w:w="234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Change in redemption value of</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noncontrolling interest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(15,202)</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15,202</w:t>
            </w:r>
          </w:p>
        </w:tc>
        <w:tc>
          <w:tcPr>
            <w:tcW w:w="0" w:type="dxa"/>
            <w:vAlign w:val="bottom"/>
          </w:tcPr>
          <w:p>
            <w:pPr>
              <w:spacing w:after="0"/>
              <w:rPr>
                <w:sz w:val="1"/>
                <w:szCs w:val="1"/>
                <w:color w:val="auto"/>
              </w:rPr>
            </w:pPr>
          </w:p>
        </w:tc>
      </w:tr>
      <w:tr>
        <w:trPr>
          <w:trHeight w:val="215"/>
        </w:trPr>
        <w:tc>
          <w:tcPr>
            <w:tcW w:w="2340" w:type="dxa"/>
            <w:vAlign w:val="bottom"/>
          </w:tcPr>
          <w:p>
            <w:pPr>
              <w:ind w:left="20"/>
              <w:spacing w:after="0"/>
              <w:rPr>
                <w:sz w:val="20"/>
                <w:szCs w:val="20"/>
                <w:color w:val="auto"/>
              </w:rPr>
            </w:pPr>
            <w:r>
              <w:rPr>
                <w:rFonts w:ascii="Arial" w:cs="Arial" w:eastAsia="Arial" w:hAnsi="Arial"/>
                <w:sz w:val="13"/>
                <w:szCs w:val="13"/>
                <w:b w:val="1"/>
                <w:bCs w:val="1"/>
                <w:color w:val="auto"/>
              </w:rPr>
              <w:t>Balances at September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44,610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66,471,176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665</w:t>
            </w:r>
          </w:p>
        </w:tc>
        <w:tc>
          <w:tcPr>
            <w:tcW w:w="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23,093,860</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232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236,557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(258,999)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(21,545)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 the nine months ended September 30, 2022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auto"/>
              <w:right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8"/>
          </w:tcPr>
          <w:p>
            <w:pPr>
              <w:ind w:left="220"/>
              <w:spacing w:after="0"/>
              <w:rPr>
                <w:sz w:val="20"/>
                <w:szCs w:val="20"/>
                <w:color w:val="auto"/>
              </w:rPr>
            </w:pPr>
            <w:r>
              <w:rPr>
                <w:rFonts w:ascii="Arial" w:cs="Arial" w:eastAsia="Arial" w:hAnsi="Arial"/>
                <w:sz w:val="13"/>
                <w:szCs w:val="13"/>
                <w:b w:val="1"/>
                <w:bCs w:val="1"/>
                <w:color w:val="auto"/>
              </w:rPr>
              <w:t>Class A Common Stock</w:t>
            </w:r>
          </w:p>
        </w:tc>
        <w:tc>
          <w:tcPr>
            <w:tcW w:w="1480" w:type="dxa"/>
            <w:vAlign w:val="bottom"/>
            <w:tcBorders>
              <w:top w:val="single" w:sz="8" w:color="auto"/>
            </w:tcBorders>
            <w:gridSpan w:val="7"/>
          </w:tcPr>
          <w:p>
            <w:pPr>
              <w:ind w:left="220"/>
              <w:spacing w:after="0"/>
              <w:rPr>
                <w:sz w:val="20"/>
                <w:szCs w:val="20"/>
                <w:color w:val="auto"/>
              </w:rPr>
            </w:pPr>
            <w:r>
              <w:rPr>
                <w:rFonts w:ascii="Arial" w:cs="Arial" w:eastAsia="Arial" w:hAnsi="Arial"/>
                <w:sz w:val="13"/>
                <w:szCs w:val="13"/>
                <w:b w:val="1"/>
                <w:bCs w:val="1"/>
                <w:color w:val="auto"/>
                <w:w w:val="84"/>
              </w:rPr>
              <w:t>Class B Common Stock</w:t>
            </w: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6"/>
              </w:rPr>
              <w:t>Redeemable</w:t>
            </w:r>
          </w:p>
        </w:tc>
        <w:tc>
          <w:tcPr>
            <w:tcW w:w="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82"/>
              </w:rPr>
              <w:t>Note</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6"/>
          </w:tcPr>
          <w:p>
            <w:pPr>
              <w:jc w:val="center"/>
              <w:ind w:right="100"/>
              <w:spacing w:after="0" w:line="122" w:lineRule="exact"/>
              <w:rPr>
                <w:sz w:val="20"/>
                <w:szCs w:val="20"/>
                <w:color w:val="auto"/>
              </w:rPr>
            </w:pPr>
            <w:r>
              <w:rPr>
                <w:rFonts w:ascii="Arial" w:cs="Arial" w:eastAsia="Arial" w:hAnsi="Arial"/>
                <w:sz w:val="13"/>
                <w:szCs w:val="13"/>
                <w:b w:val="1"/>
                <w:bCs w:val="1"/>
                <w:color w:val="auto"/>
                <w:w w:val="85"/>
              </w:rPr>
              <w:t>Receivable for</w:t>
            </w:r>
          </w:p>
        </w:tc>
        <w:tc>
          <w:tcPr>
            <w:tcW w:w="1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right w:val="single" w:sz="8" w:color="auto"/>
            </w:tcBorders>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6"/>
              </w:rPr>
              <w:t>Noncontrolling</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3"/>
            <w:vMerge w:val="restart"/>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8"/>
              </w:rPr>
              <w:t>Common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180"/>
              <w:spacing w:after="0" w:line="131" w:lineRule="exact"/>
              <w:rPr>
                <w:sz w:val="20"/>
                <w:szCs w:val="20"/>
                <w:color w:val="auto"/>
              </w:rPr>
            </w:pPr>
            <w:r>
              <w:rPr>
                <w:rFonts w:ascii="Arial" w:cs="Arial" w:eastAsia="Arial" w:hAnsi="Arial"/>
                <w:sz w:val="13"/>
                <w:szCs w:val="13"/>
                <w:b w:val="1"/>
                <w:bCs w:val="1"/>
                <w:color w:val="auto"/>
                <w:w w:val="87"/>
              </w:rPr>
              <w:t>Paid-in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76"/>
        </w:trPr>
        <w:tc>
          <w:tcPr>
            <w:tcW w:w="23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December 31, 2021</w:t>
            </w: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24,962</w:t>
            </w:r>
          </w:p>
        </w:tc>
        <w:tc>
          <w:tcPr>
            <w:tcW w:w="140" w:type="dxa"/>
            <w:vAlign w:val="bottom"/>
            <w:tcBorders>
              <w:top w:val="single" w:sz="8" w:color="CFF0FC"/>
              <w:right w:val="single" w:sz="8" w:color="auto"/>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66,942,777</w:t>
            </w:r>
          </w:p>
        </w:tc>
        <w:tc>
          <w:tcPr>
            <w:tcW w:w="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669</w:t>
            </w:r>
          </w:p>
        </w:tc>
        <w:tc>
          <w:tcPr>
            <w:tcW w:w="8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b w:val="1"/>
                <w:bCs w:val="1"/>
                <w:color w:val="auto"/>
              </w:rPr>
              <w:t>23,093,860</w:t>
            </w:r>
          </w:p>
        </w:tc>
        <w:tc>
          <w:tcPr>
            <w:tcW w:w="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jc w:val="right"/>
              <w:ind w:right="377"/>
              <w:spacing w:after="0"/>
              <w:rPr>
                <w:sz w:val="20"/>
                <w:szCs w:val="20"/>
                <w:color w:val="auto"/>
              </w:rPr>
            </w:pPr>
            <w:r>
              <w:rPr>
                <w:rFonts w:ascii="Arial" w:cs="Arial" w:eastAsia="Arial" w:hAnsi="Arial"/>
                <w:sz w:val="13"/>
                <w:szCs w:val="13"/>
                <w:b w:val="1"/>
                <w:bCs w:val="1"/>
                <w:color w:val="auto"/>
                <w:w w:val="82"/>
              </w:rPr>
              <w:t>$</w:t>
            </w:r>
          </w:p>
        </w:tc>
        <w:tc>
          <w:tcPr>
            <w:tcW w:w="8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92"/>
              </w:rPr>
              <w:t>232</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238,193</w:t>
            </w:r>
          </w:p>
        </w:tc>
        <w:tc>
          <w:tcPr>
            <w:tcW w:w="2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(248,834)</w:t>
            </w:r>
          </w:p>
        </w:tc>
        <w:tc>
          <w:tcPr>
            <w:tcW w:w="2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(9,740)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24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(4,564)</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gridSpan w:val="4"/>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(14,419)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(14,419)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Share-based compensation</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gridSpan w:val="4"/>
            <w:shd w:val="clear" w:color="auto" w:fill="CFF0FC"/>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981</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3"/>
            <w:shd w:val="clear" w:color="auto" w:fill="CFF0FC"/>
          </w:tcPr>
          <w:p>
            <w:pPr>
              <w:ind w:left="6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240"/>
              <w:spacing w:after="0" w:line="122" w:lineRule="exact"/>
              <w:rPr>
                <w:sz w:val="20"/>
                <w:szCs w:val="20"/>
                <w:color w:val="auto"/>
              </w:rPr>
            </w:pPr>
            <w:r>
              <w:rPr>
                <w:rFonts w:ascii="Arial" w:cs="Arial" w:eastAsia="Arial" w:hAnsi="Arial"/>
                <w:sz w:val="13"/>
                <w:szCs w:val="13"/>
                <w:color w:val="auto"/>
                <w:w w:val="95"/>
              </w:rPr>
              <w:t>Issuance of Class A common stock to</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320" w:type="dxa"/>
            <w:vAlign w:val="bottom"/>
          </w:tcPr>
          <w:p>
            <w:pPr>
              <w:ind w:left="240"/>
              <w:spacing w:after="0" w:line="134" w:lineRule="exact"/>
              <w:rPr>
                <w:sz w:val="20"/>
                <w:szCs w:val="20"/>
                <w:color w:val="auto"/>
              </w:rPr>
            </w:pPr>
            <w:r>
              <w:rPr>
                <w:rFonts w:ascii="Arial" w:cs="Arial" w:eastAsia="Arial" w:hAnsi="Arial"/>
                <w:sz w:val="13"/>
                <w:szCs w:val="13"/>
                <w:color w:val="auto"/>
              </w:rPr>
              <w:t>collaboration partner, net of offering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240"/>
              <w:spacing w:after="0"/>
              <w:rPr>
                <w:sz w:val="20"/>
                <w:szCs w:val="20"/>
                <w:color w:val="auto"/>
              </w:rPr>
            </w:pPr>
            <w:r>
              <w:rPr>
                <w:rFonts w:ascii="Arial" w:cs="Arial" w:eastAsia="Arial" w:hAnsi="Arial"/>
                <w:sz w:val="13"/>
                <w:szCs w:val="13"/>
                <w:color w:val="auto"/>
              </w:rPr>
              <w:t>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10,386,274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gridSpan w:val="4"/>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4,936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ind w:left="6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20" w:type="dxa"/>
            <w:vAlign w:val="bottom"/>
            <w:shd w:val="clear" w:color="auto" w:fill="CFF0FC"/>
          </w:tcPr>
          <w:p>
            <w:pPr>
              <w:ind w:left="240"/>
              <w:spacing w:after="0" w:line="129" w:lineRule="exact"/>
              <w:rPr>
                <w:sz w:val="20"/>
                <w:szCs w:val="20"/>
                <w:color w:val="auto"/>
              </w:rPr>
            </w:pPr>
            <w:r>
              <w:rPr>
                <w:rFonts w:ascii="Arial" w:cs="Arial" w:eastAsia="Arial" w:hAnsi="Arial"/>
                <w:sz w:val="13"/>
                <w:szCs w:val="13"/>
                <w:color w:val="auto"/>
              </w:rPr>
              <w:t>Issuance of Class A common stock</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20" w:type="dxa"/>
            <w:vAlign w:val="bottom"/>
            <w:shd w:val="clear" w:color="auto" w:fill="CFF0FC"/>
          </w:tcPr>
          <w:p>
            <w:pPr>
              <w:ind w:left="240"/>
              <w:spacing w:after="0" w:line="134" w:lineRule="exact"/>
              <w:rPr>
                <w:sz w:val="20"/>
                <w:szCs w:val="20"/>
                <w:color w:val="auto"/>
              </w:rPr>
            </w:pPr>
            <w:r>
              <w:rPr>
                <w:rFonts w:ascii="Arial" w:cs="Arial" w:eastAsia="Arial" w:hAnsi="Arial"/>
                <w:sz w:val="13"/>
                <w:szCs w:val="13"/>
                <w:color w:val="auto"/>
                <w:w w:val="87"/>
              </w:rPr>
              <w:t>under CinRx purchase agreement, net of</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offering costs</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4,154,549</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(4,000)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9,336</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3"/>
            <w:shd w:val="clear" w:color="auto" w:fill="CFF0FC"/>
          </w:tcPr>
          <w:p>
            <w:pPr>
              <w:ind w:left="6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260"/>
              <w:spacing w:after="0" w:line="122" w:lineRule="exact"/>
              <w:rPr>
                <w:sz w:val="20"/>
                <w:szCs w:val="20"/>
                <w:color w:val="auto"/>
              </w:rPr>
            </w:pPr>
            <w:r>
              <w:rPr>
                <w:rFonts w:ascii="Arial" w:cs="Arial" w:eastAsia="Arial" w:hAnsi="Arial"/>
                <w:sz w:val="13"/>
                <w:szCs w:val="13"/>
                <w:color w:val="auto"/>
              </w:rPr>
              <w:t>Change in redemption value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320" w:type="dxa"/>
            <w:vAlign w:val="bottom"/>
          </w:tcPr>
          <w:p>
            <w:pPr>
              <w:ind w:left="360"/>
              <w:spacing w:after="0"/>
              <w:rPr>
                <w:sz w:val="20"/>
                <w:szCs w:val="20"/>
                <w:color w:val="auto"/>
              </w:rPr>
            </w:pPr>
            <w:r>
              <w:rPr>
                <w:rFonts w:ascii="Arial" w:cs="Arial" w:eastAsia="Arial" w:hAnsi="Arial"/>
                <w:sz w:val="13"/>
                <w:szCs w:val="13"/>
                <w:color w:val="auto"/>
              </w:rPr>
              <w:t>noncontrolling interest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3,809</w:t>
            </w:r>
          </w:p>
        </w:tc>
        <w:tc>
          <w:tcPr>
            <w:tcW w:w="1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gridSpan w:val="4"/>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(3,809)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September 30, 2022</w:t>
            </w: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24,207</w:t>
            </w:r>
          </w:p>
        </w:tc>
        <w:tc>
          <w:tcPr>
            <w:tcW w:w="140" w:type="dxa"/>
            <w:vAlign w:val="bottom"/>
            <w:tcBorders>
              <w:top w:val="single" w:sz="8" w:color="CFF0FC"/>
              <w:bottom w:val="single" w:sz="8" w:color="CFF0FC"/>
              <w:right w:val="single" w:sz="8" w:color="auto"/>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81,483,600</w:t>
            </w:r>
          </w:p>
        </w:tc>
        <w:tc>
          <w:tcPr>
            <w:tcW w:w="40" w:type="dxa"/>
            <w:vAlign w:val="bottom"/>
            <w:tcBorders>
              <w:top w:val="single" w:sz="8" w:color="auto"/>
              <w:bottom w:val="single" w:sz="8" w:color="auto"/>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815</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b w:val="1"/>
                <w:bCs w:val="1"/>
                <w:color w:val="auto"/>
              </w:rPr>
              <w:t>23,093,860</w:t>
            </w:r>
          </w:p>
        </w:tc>
        <w:tc>
          <w:tcPr>
            <w:tcW w:w="40" w:type="dxa"/>
            <w:vAlign w:val="bottom"/>
            <w:tcBorders>
              <w:top w:val="single" w:sz="8" w:color="auto"/>
              <w:bottom w:val="single" w:sz="8" w:color="auto"/>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ind w:right="377"/>
              <w:spacing w:after="0"/>
              <w:rPr>
                <w:sz w:val="20"/>
                <w:szCs w:val="20"/>
                <w:color w:val="auto"/>
              </w:rPr>
            </w:pPr>
            <w:r>
              <w:rPr>
                <w:rFonts w:ascii="Arial" w:cs="Arial" w:eastAsia="Arial" w:hAnsi="Arial"/>
                <w:sz w:val="13"/>
                <w:szCs w:val="13"/>
                <w:b w:val="1"/>
                <w:bCs w:val="1"/>
                <w:color w:val="auto"/>
                <w:w w:val="82"/>
              </w:rPr>
              <w:t>$</w:t>
            </w: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92"/>
              </w:rPr>
              <w:t>232</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3"/>
                <w:szCs w:val="13"/>
                <w:b w:val="1"/>
                <w:bCs w:val="1"/>
                <w:color w:val="auto"/>
              </w:rPr>
              <w:t>(4,000)</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253,446</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(267,062)</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(16,569)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gridSpan w:val="2"/>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gridSpan w:val="2"/>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460" w:type="dxa"/>
            <w:vAlign w:val="bottom"/>
            <w:tcBorders>
              <w:top w:val="single" w:sz="8" w:color="CFF0FC"/>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2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4"/>
          </w:tcPr>
          <w:p>
            <w:pPr>
              <w:spacing w:after="0"/>
              <w:rPr>
                <w:sz w:val="20"/>
                <w:szCs w:val="20"/>
                <w:color w:val="auto"/>
              </w:rPr>
            </w:pPr>
            <w:r>
              <w:rPr>
                <w:rFonts w:ascii="Arial" w:cs="Arial" w:eastAsia="Arial" w:hAnsi="Arial"/>
                <w:sz w:val="13"/>
                <w:szCs w:val="13"/>
                <w:b w:val="1"/>
                <w:bCs w:val="1"/>
                <w:color w:val="auto"/>
                <w:w w:val="88"/>
              </w:rPr>
              <w:t>For the nine months ended September 30, 2021</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tcBorders>
              <w:bottom w:val="single" w:sz="8" w:color="auto"/>
            </w:tcBorders>
            <w:gridSpan w:val="8"/>
          </w:tcPr>
          <w:p>
            <w:pPr>
              <w:ind w:left="440"/>
              <w:spacing w:after="0"/>
              <w:rPr>
                <w:sz w:val="20"/>
                <w:szCs w:val="20"/>
                <w:color w:val="auto"/>
              </w:rPr>
            </w:pPr>
            <w:r>
              <w:rPr>
                <w:rFonts w:ascii="Arial" w:cs="Arial" w:eastAsia="Arial" w:hAnsi="Arial"/>
                <w:sz w:val="13"/>
                <w:szCs w:val="13"/>
                <w:b w:val="1"/>
                <w:bCs w:val="1"/>
                <w:color w:val="auto"/>
                <w:w w:val="98"/>
              </w:rPr>
              <w:t>Class A Common Stock</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jc w:val="right"/>
              <w:ind w:right="377"/>
              <w:spacing w:after="0"/>
              <w:rPr>
                <w:sz w:val="20"/>
                <w:szCs w:val="20"/>
                <w:color w:val="auto"/>
              </w:rPr>
            </w:pPr>
            <w:r>
              <w:rPr>
                <w:rFonts w:ascii="Arial" w:cs="Arial" w:eastAsia="Arial" w:hAnsi="Arial"/>
                <w:sz w:val="13"/>
                <w:szCs w:val="13"/>
                <w:b w:val="1"/>
                <w:bCs w:val="1"/>
                <w:color w:val="auto"/>
                <w:w w:val="85"/>
              </w:rPr>
              <w:t>Class B Common Stock</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Borders>
              <w:right w:val="single" w:sz="8" w:color="auto"/>
            </w:tcBorders>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3"/>
              </w:rPr>
              <w:t>Redeemable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4"/>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Additional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80"/>
              <w:spacing w:after="0" w:line="108"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Noncontrolling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320"/>
              <w:spacing w:after="0" w:line="122" w:lineRule="exact"/>
              <w:rPr>
                <w:sz w:val="20"/>
                <w:szCs w:val="20"/>
                <w:color w:val="auto"/>
              </w:rPr>
            </w:pPr>
            <w:r>
              <w:rPr>
                <w:rFonts w:ascii="Arial" w:cs="Arial" w:eastAsia="Arial" w:hAnsi="Arial"/>
                <w:sz w:val="13"/>
                <w:szCs w:val="13"/>
                <w:b w:val="1"/>
                <w:bCs w:val="1"/>
                <w:color w:val="auto"/>
                <w:w w:val="92"/>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83"/>
        </w:trPr>
        <w:tc>
          <w:tcPr>
            <w:tcW w:w="23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2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Shares</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3"/>
                <w:szCs w:val="13"/>
                <w:b w:val="1"/>
                <w:bCs w:val="1"/>
                <w:color w:val="auto"/>
                <w:w w:val="89"/>
              </w:rPr>
              <w:t>Amount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0"/>
              </w:rPr>
              <w:t>Deficit</w:t>
            </w:r>
          </w:p>
        </w:tc>
        <w:tc>
          <w:tcPr>
            <w:tcW w:w="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89"/>
        </w:trPr>
        <w:tc>
          <w:tcPr>
            <w:tcW w:w="23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December 31, 2020</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83,895</w:t>
            </w:r>
          </w:p>
        </w:tc>
        <w:tc>
          <w:tcPr>
            <w:tcW w:w="140" w:type="dxa"/>
            <w:vAlign w:val="bottom"/>
            <w:tcBorders>
              <w:right w:val="single" w:sz="8" w:color="auto"/>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80" w:type="dxa"/>
            <w:vAlign w:val="bottom"/>
            <w:gridSpan w:val="5"/>
            <w:shd w:val="clear" w:color="auto" w:fill="CFF0FC"/>
          </w:tcPr>
          <w:p>
            <w:pPr>
              <w:jc w:val="right"/>
              <w:spacing w:after="0"/>
              <w:rPr>
                <w:sz w:val="20"/>
                <w:szCs w:val="20"/>
                <w:color w:val="auto"/>
              </w:rPr>
            </w:pPr>
            <w:r>
              <w:rPr>
                <w:rFonts w:ascii="Arial" w:cs="Arial" w:eastAsia="Arial" w:hAnsi="Arial"/>
                <w:sz w:val="13"/>
                <w:szCs w:val="13"/>
                <w:b w:val="1"/>
                <w:bCs w:val="1"/>
                <w:color w:val="auto"/>
              </w:rPr>
              <w:t>54,050,710</w:t>
            </w:r>
          </w:p>
        </w:tc>
        <w:tc>
          <w:tcPr>
            <w:tcW w:w="720" w:type="dxa"/>
            <w:vAlign w:val="bottom"/>
            <w:gridSpan w:val="2"/>
            <w:shd w:val="clear" w:color="auto" w:fill="CFF0FC"/>
          </w:tcPr>
          <w:p>
            <w:pPr>
              <w:jc w:val="right"/>
              <w:ind w:right="497"/>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541</w:t>
            </w:r>
          </w:p>
        </w:tc>
        <w:tc>
          <w:tcPr>
            <w:tcW w:w="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3"/>
                <w:szCs w:val="13"/>
                <w:b w:val="1"/>
                <w:bCs w:val="1"/>
                <w:color w:val="auto"/>
                <w:w w:val="86"/>
              </w:rPr>
              <w:t>23,094,221</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232</w:t>
            </w:r>
          </w:p>
        </w:tc>
        <w:tc>
          <w:tcPr>
            <w:tcW w:w="180" w:type="dxa"/>
            <w:vAlign w:val="bottom"/>
            <w:gridSpan w:val="3"/>
            <w:shd w:val="clear" w:color="auto" w:fill="CFF0FC"/>
          </w:tcPr>
          <w:p>
            <w:pPr>
              <w:ind w:left="120"/>
              <w:spacing w:after="0"/>
              <w:rPr>
                <w:sz w:val="20"/>
                <w:szCs w:val="20"/>
                <w:color w:val="auto"/>
              </w:rPr>
            </w:pPr>
            <w:r>
              <w:rPr>
                <w:rFonts w:ascii="Arial" w:cs="Arial" w:eastAsia="Arial" w:hAnsi="Arial"/>
                <w:sz w:val="10"/>
                <w:szCs w:val="10"/>
                <w:b w:val="1"/>
                <w:bCs w:val="1"/>
                <w:color w:val="auto"/>
                <w:w w:val="71"/>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209,161</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(290,036)</w:t>
            </w:r>
          </w:p>
        </w:tc>
        <w:tc>
          <w:tcPr>
            <w:tcW w:w="60" w:type="dxa"/>
            <w:vAlign w:val="bottom"/>
            <w:shd w:val="clear" w:color="auto" w:fill="CFF0FC"/>
          </w:tcPr>
          <w:p>
            <w:pPr>
              <w:spacing w:after="0"/>
              <w:rPr>
                <w:sz w:val="16"/>
                <w:szCs w:val="16"/>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(80,102)</w:t>
            </w:r>
          </w:p>
        </w:tc>
        <w:tc>
          <w:tcPr>
            <w:tcW w:w="0" w:type="dxa"/>
            <w:vAlign w:val="bottom"/>
          </w:tcPr>
          <w:p>
            <w:pPr>
              <w:spacing w:after="0"/>
              <w:rPr>
                <w:sz w:val="1"/>
                <w:szCs w:val="1"/>
                <w:color w:val="auto"/>
              </w:rPr>
            </w:pPr>
          </w:p>
        </w:tc>
      </w:tr>
      <w:tr>
        <w:trPr>
          <w:trHeight w:val="168"/>
        </w:trPr>
        <w:tc>
          <w:tcPr>
            <w:tcW w:w="2320" w:type="dxa"/>
            <w:vAlign w:val="bottom"/>
          </w:tcPr>
          <w:p>
            <w:pPr>
              <w:ind w:left="24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(2,312)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ind w:right="49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(5,936)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(5,936)</w:t>
            </w:r>
          </w:p>
        </w:tc>
        <w:tc>
          <w:tcPr>
            <w:tcW w:w="0" w:type="dxa"/>
            <w:vAlign w:val="bottom"/>
          </w:tcPr>
          <w:p>
            <w:pPr>
              <w:spacing w:after="0"/>
              <w:rPr>
                <w:sz w:val="1"/>
                <w:szCs w:val="1"/>
                <w:color w:val="auto"/>
              </w:rPr>
            </w:pPr>
          </w:p>
        </w:tc>
      </w:tr>
      <w:tr>
        <w:trPr>
          <w:trHeight w:val="183"/>
        </w:trPr>
        <w:tc>
          <w:tcPr>
            <w:tcW w:w="2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Share-based compensation</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497"/>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1,362</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1,362</w:t>
            </w:r>
          </w:p>
        </w:tc>
        <w:tc>
          <w:tcPr>
            <w:tcW w:w="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20" w:type="dxa"/>
            <w:vAlign w:val="bottom"/>
          </w:tcPr>
          <w:p>
            <w:pPr>
              <w:ind w:left="160"/>
              <w:spacing w:after="0" w:line="122" w:lineRule="exact"/>
              <w:rPr>
                <w:sz w:val="20"/>
                <w:szCs w:val="20"/>
                <w:color w:val="auto"/>
              </w:rPr>
            </w:pPr>
            <w:r>
              <w:rPr>
                <w:rFonts w:ascii="Arial" w:cs="Arial" w:eastAsia="Arial" w:hAnsi="Arial"/>
                <w:sz w:val="13"/>
                <w:szCs w:val="13"/>
                <w:color w:val="auto"/>
                <w:w w:val="89"/>
              </w:rPr>
              <w:t>Issuance of Class A common stock under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20" w:type="dxa"/>
            <w:vAlign w:val="bottom"/>
          </w:tcPr>
          <w:p>
            <w:pPr>
              <w:ind w:left="240"/>
              <w:spacing w:after="0"/>
              <w:rPr>
                <w:sz w:val="20"/>
                <w:szCs w:val="20"/>
                <w:color w:val="auto"/>
              </w:rPr>
            </w:pPr>
            <w:r>
              <w:rPr>
                <w:rFonts w:ascii="Arial" w:cs="Arial" w:eastAsia="Arial" w:hAnsi="Arial"/>
                <w:sz w:val="13"/>
                <w:szCs w:val="13"/>
                <w:color w:val="auto"/>
              </w:rPr>
              <w:t>ATM offering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080" w:type="dxa"/>
            <w:vAlign w:val="bottom"/>
            <w:gridSpan w:val="5"/>
          </w:tcPr>
          <w:p>
            <w:pPr>
              <w:jc w:val="right"/>
              <w:spacing w:after="0"/>
              <w:rPr>
                <w:sz w:val="20"/>
                <w:szCs w:val="20"/>
                <w:color w:val="auto"/>
              </w:rPr>
            </w:pPr>
            <w:r>
              <w:rPr>
                <w:rFonts w:ascii="Arial" w:cs="Arial" w:eastAsia="Arial" w:hAnsi="Arial"/>
                <w:sz w:val="13"/>
                <w:szCs w:val="13"/>
                <w:color w:val="auto"/>
              </w:rPr>
              <w:t>8,457,546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16,939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320" w:type="dxa"/>
            <w:vAlign w:val="bottom"/>
            <w:shd w:val="clear" w:color="auto" w:fill="CFF0FC"/>
          </w:tcPr>
          <w:p>
            <w:pPr>
              <w:ind w:left="260"/>
              <w:spacing w:after="0" w:line="129" w:lineRule="exact"/>
              <w:rPr>
                <w:sz w:val="20"/>
                <w:szCs w:val="20"/>
                <w:color w:val="auto"/>
              </w:rPr>
            </w:pPr>
            <w:r>
              <w:rPr>
                <w:rFonts w:ascii="Arial" w:cs="Arial" w:eastAsia="Arial" w:hAnsi="Arial"/>
                <w:sz w:val="13"/>
                <w:szCs w:val="13"/>
                <w:color w:val="auto"/>
                <w:w w:val="89"/>
              </w:rPr>
              <w:t>Exchange of Class B common stock for</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Class A common stock</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w w:val="82"/>
              </w:rPr>
              <w:t>361</w:t>
            </w: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60" w:type="dxa"/>
            <w:vAlign w:val="bottom"/>
            <w:gridSpan w:val="3"/>
            <w:shd w:val="clear" w:color="auto" w:fill="CFF0FC"/>
          </w:tcPr>
          <w:p>
            <w:pPr>
              <w:jc w:val="right"/>
              <w:ind w:right="497"/>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FF0FC"/>
          </w:tcPr>
          <w:p>
            <w:pPr>
              <w:ind w:left="340"/>
              <w:spacing w:after="0"/>
              <w:rPr>
                <w:sz w:val="20"/>
                <w:szCs w:val="20"/>
                <w:color w:val="auto"/>
              </w:rPr>
            </w:pPr>
            <w:r>
              <w:rPr>
                <w:rFonts w:ascii="Arial" w:cs="Arial" w:eastAsia="Arial" w:hAnsi="Arial"/>
                <w:sz w:val="13"/>
                <w:szCs w:val="13"/>
                <w:color w:val="auto"/>
                <w:w w:val="92"/>
              </w:rPr>
              <w:t>(361)</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320" w:type="dxa"/>
            <w:vAlign w:val="bottom"/>
          </w:tcPr>
          <w:p>
            <w:pPr>
              <w:ind w:left="260"/>
              <w:spacing w:after="0"/>
              <w:rPr>
                <w:sz w:val="20"/>
                <w:szCs w:val="20"/>
                <w:color w:val="auto"/>
              </w:rPr>
            </w:pPr>
            <w:r>
              <w:rPr>
                <w:rFonts w:ascii="Arial" w:cs="Arial" w:eastAsia="Arial" w:hAnsi="Arial"/>
                <w:sz w:val="13"/>
                <w:szCs w:val="13"/>
                <w:color w:val="auto"/>
              </w:rPr>
              <w:t>Exercise of stock 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80" w:type="dxa"/>
            <w:vAlign w:val="bottom"/>
            <w:gridSpan w:val="5"/>
          </w:tcPr>
          <w:p>
            <w:pPr>
              <w:jc w:val="right"/>
              <w:spacing w:after="0"/>
              <w:rPr>
                <w:sz w:val="20"/>
                <w:szCs w:val="20"/>
                <w:color w:val="auto"/>
              </w:rPr>
            </w:pPr>
            <w:r>
              <w:rPr>
                <w:rFonts w:ascii="Arial" w:cs="Arial" w:eastAsia="Arial" w:hAnsi="Arial"/>
                <w:sz w:val="13"/>
                <w:szCs w:val="13"/>
                <w:color w:val="auto"/>
              </w:rPr>
              <w:t>20,833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ind w:right="49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20" w:type="dxa"/>
            <w:vAlign w:val="bottom"/>
            <w:shd w:val="clear" w:color="auto" w:fill="CFF0FC"/>
          </w:tcPr>
          <w:p>
            <w:pPr>
              <w:ind w:left="260"/>
              <w:spacing w:after="0" w:line="129" w:lineRule="exact"/>
              <w:rPr>
                <w:sz w:val="20"/>
                <w:szCs w:val="20"/>
                <w:color w:val="auto"/>
              </w:rPr>
            </w:pPr>
            <w:r>
              <w:rPr>
                <w:rFonts w:ascii="Arial" w:cs="Arial" w:eastAsia="Arial" w:hAnsi="Arial"/>
                <w:sz w:val="13"/>
                <w:szCs w:val="13"/>
                <w:color w:val="auto"/>
              </w:rPr>
              <w:t>Issuance of Class A common stock</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FF0FC"/>
          </w:tcPr>
          <w:p>
            <w:pPr>
              <w:ind w:left="360"/>
              <w:spacing w:after="0"/>
              <w:rPr>
                <w:sz w:val="20"/>
                <w:szCs w:val="20"/>
                <w:color w:val="auto"/>
              </w:rPr>
            </w:pPr>
            <w:r>
              <w:rPr>
                <w:rFonts w:ascii="Arial" w:cs="Arial" w:eastAsia="Arial" w:hAnsi="Arial"/>
                <w:sz w:val="13"/>
                <w:szCs w:val="13"/>
                <w:color w:val="auto"/>
              </w:rPr>
              <w:t>under LPC Agreement</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10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3,941,726</w:t>
            </w: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9,048</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9,087</w:t>
            </w: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260"/>
              <w:spacing w:after="0" w:line="122" w:lineRule="exact"/>
              <w:rPr>
                <w:sz w:val="20"/>
                <w:szCs w:val="20"/>
                <w:color w:val="auto"/>
              </w:rPr>
            </w:pPr>
            <w:r>
              <w:rPr>
                <w:rFonts w:ascii="Arial" w:cs="Arial" w:eastAsia="Arial" w:hAnsi="Arial"/>
                <w:sz w:val="13"/>
                <w:szCs w:val="13"/>
                <w:color w:val="auto"/>
              </w:rPr>
              <w:t>Change in redemption value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320" w:type="dxa"/>
            <w:vAlign w:val="bottom"/>
          </w:tcPr>
          <w:p>
            <w:pPr>
              <w:ind w:left="360"/>
              <w:spacing w:after="0"/>
              <w:rPr>
                <w:sz w:val="20"/>
                <w:szCs w:val="20"/>
                <w:color w:val="auto"/>
              </w:rPr>
            </w:pPr>
            <w:r>
              <w:rPr>
                <w:rFonts w:ascii="Arial" w:cs="Arial" w:eastAsia="Arial" w:hAnsi="Arial"/>
                <w:sz w:val="13"/>
                <w:szCs w:val="13"/>
                <w:color w:val="auto"/>
              </w:rPr>
              <w:t>noncontrolling interest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(36,973)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right"/>
              <w:ind w:right="49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36,973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36,973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September 30, 2021</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44,610</w:t>
            </w:r>
          </w:p>
        </w:tc>
        <w:tc>
          <w:tcPr>
            <w:tcW w:w="140" w:type="dxa"/>
            <w:vAlign w:val="bottom"/>
            <w:tcBorders>
              <w:top w:val="single" w:sz="8" w:color="auto"/>
              <w:bottom w:val="single" w:sz="8" w:color="auto"/>
              <w:right w:val="single" w:sz="8" w:color="auto"/>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3"/>
                <w:szCs w:val="13"/>
                <w:b w:val="1"/>
                <w:bCs w:val="1"/>
                <w:color w:val="auto"/>
              </w:rPr>
              <w:t>66,471,176</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ind w:right="497"/>
              <w:spacing w:after="0"/>
              <w:rPr>
                <w:sz w:val="20"/>
                <w:szCs w:val="20"/>
                <w:color w:val="auto"/>
              </w:rPr>
            </w:pPr>
            <w:r>
              <w:rPr>
                <w:rFonts w:ascii="Arial" w:cs="Arial" w:eastAsia="Arial" w:hAnsi="Arial"/>
                <w:sz w:val="13"/>
                <w:szCs w:val="13"/>
                <w:b w:val="1"/>
                <w:bCs w:val="1"/>
                <w:color w:val="auto"/>
                <w:w w:val="82"/>
              </w:rPr>
              <w:t>$</w:t>
            </w: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6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665</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b w:val="1"/>
                <w:bCs w:val="1"/>
                <w:color w:val="auto"/>
                <w:w w:val="86"/>
              </w:rPr>
              <w:t>23,093,860</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232</w:t>
            </w: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236,557</w:t>
            </w: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(258,999)</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(21,545)</w:t>
            </w: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34"/>
        </w:trPr>
        <w:tc>
          <w:tcPr>
            <w:tcW w:w="8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8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before noncontrolling interest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(8,248)</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Adjustments to reconcile net loss before noncontrolling interest to net cash used in operating activities: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Non-cash interest income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investments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Change in fair value of warrants, related party</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6,769</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(12,891)</w:t>
            </w: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Class A common stock to collaboration partner, net of offering costs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Proceeds from sale of Class A common stock and warrants, net of offering costs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Class A common stock, net of offering costs</w:t>
            </w: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26,111</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debt issuance</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Repayment of notes payable</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26,710</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13,819</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cash and cash equivalents, beginning of period</w:t>
            </w: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13,415</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cash and cash equivalents,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19,566</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Non-cash activities: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redemption value of noncontrolling interest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(36,973)</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Notes receivable recorded at fair value from collaboration partner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11,891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Notes receivable for common stock from CinRx purchase agreement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25" w:lineRule="exact"/>
        <w:rPr>
          <w:sz w:val="20"/>
          <w:szCs w:val="20"/>
          <w:color w:val="auto"/>
        </w:rPr>
      </w:pPr>
    </w:p>
    <w:p>
      <w:pPr>
        <w:ind w:right="5600"/>
        <w:spacing w:after="0" w:line="378" w:lineRule="auto"/>
        <w:rPr>
          <w:sz w:val="20"/>
          <w:szCs w:val="20"/>
          <w:color w:val="auto"/>
        </w:rPr>
      </w:pPr>
      <w:r>
        <w:rPr>
          <w:rFonts w:ascii="Arial" w:cs="Arial" w:eastAsia="Arial" w:hAnsi="Arial"/>
          <w:sz w:val="18"/>
          <w:szCs w:val="18"/>
          <w:b w:val="1"/>
          <w:bCs w:val="1"/>
          <w:color w:val="auto"/>
        </w:rPr>
        <w:t xml:space="preserve">Note 1: Description of Business, Basis of Presentation and Going Concern </w:t>
      </w:r>
      <w:r>
        <w:rPr>
          <w:rFonts w:ascii="Arial" w:cs="Arial" w:eastAsia="Arial" w:hAnsi="Arial"/>
          <w:sz w:val="18"/>
          <w:szCs w:val="18"/>
          <w:b w:val="1"/>
          <w:bCs w:val="1"/>
          <w:i w:val="1"/>
          <w:iCs w:val="1"/>
          <w:color w:val="auto"/>
        </w:rPr>
        <w:t>Description of Business</w:t>
      </w:r>
    </w:p>
    <w:p>
      <w:pPr>
        <w:jc w:val="both"/>
        <w:ind w:right="20" w:firstLine="486"/>
        <w:spacing w:after="0" w:line="342" w:lineRule="auto"/>
        <w:rPr>
          <w:sz w:val="20"/>
          <w:szCs w:val="20"/>
          <w:color w:val="auto"/>
        </w:rPr>
      </w:pPr>
      <w:r>
        <w:rPr>
          <w:rFonts w:ascii="Arial" w:cs="Arial" w:eastAsia="Arial" w:hAnsi="Arial"/>
          <w:sz w:val="16"/>
          <w:szCs w:val="16"/>
          <w:color w:val="auto"/>
        </w:rPr>
        <w:t>vTv Therapeutics Inc. (the “Company,” the “Registrant,” “we” or “us”) was incorporated in the state of Delaware in April 2015. The Company is a clinical stage pharmaceutical company focused on treating metabolic diseases to minimize their long-term complications through end-organ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 stage biopharmaceutical company engaged in the discovery and development of orally administered small molecule drug candidates to fill significant unmet medical needs.</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7"/>
          <w:szCs w:val="17"/>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September 30, 2022, various holders own non-voting interests in vTv LLC, representing a 22.1% economic interest in vTv LLC, effectively restricting vTv Therapeutics Inc.’s interest to 77.9%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9). vTv Therapeutics Inc. has provided financial and other support to vTv LLC in the form of its purchase of vTv Units with the net proceeds of the Company’s initial public offering (“IPO”) in 2015, its registered direct offering in March 2019, and its agreeing to be a co-borrower under the Venture Loan and Security Agreement (the “Loan Agreement”) with Horizon Technology Finance Corporation and Silicon Valley Bank (together, the “Lenders”) which was entered into in 2016. vTv Therapeutics Inc. entered into the letter agreements with MacAndrews and Forbes Group LLC (“M&amp;F Group”), a related party and an affiliate of MacAndrews &amp; Forbes Incorporated (together with its affiliates “MacAndrews”) in December 2017, July 2018, December 2018, March 2019, September 2019, and December 2019 (each a “Letter Agreement” and collectively, the “Letter Agreements”). In addition, vTv Therapeutics Inc. also entered into the Controlled Equity Offering</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Sales Agreement (the “Sales Agreement”) with Cantor Fitzgerald &amp; Co. (“Cantor Fitzgerald”) (the “ATM Offering”), the purchase agreement with Lincoln Park Capital Fund, LLC (“Lincoln Park”) (the “LPC Purchase Agreement”), the common stock purchase agreement with G42 Investments AI Holding RSC Ltd (“G42 Investments”) (the “G42 Purchase Agreement”) and the common stock and warrant purchase agreement with CinPax, LLC and CinRx, LLC, respectively (the “CinRx Purchase Agreement”). vTv Therapeutics Inc. will not be required to provide financial or other support for vTv LLC. 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To date, the Company has not generated any product revenue and has not achieved profitable operations. The continuing development of our drug candidates will require additional financing. From its inception through September 30, 2022,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September 30, 2022, the Company had an accumulated deficit of $267.1 million and has generated net losses in each year of its existence.</w:t>
      </w:r>
    </w:p>
    <w:p>
      <w:pPr>
        <w:spacing w:after="0" w:line="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As of September 30, 2022, the Company’s liquidity sources included cash and cash equivalents of $15.3 million. To meet our future funding requirements into the fourth quarter of 2023, including funding the on-going and future clinical trials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we are evaluating several financing strategies, including direct equity investments and the potential licensing and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monetization of other Company programs such as </w:t>
      </w:r>
      <w:r>
        <w:rPr>
          <w:rFonts w:ascii="Arial" w:cs="Arial" w:eastAsia="Arial" w:hAnsi="Arial"/>
          <w:sz w:val="18"/>
          <w:szCs w:val="18"/>
          <w:i w:val="1"/>
          <w:iCs w:val="1"/>
          <w:color w:val="auto"/>
        </w:rPr>
        <w:t>HPP737</w:t>
      </w:r>
      <w:r>
        <w:rPr>
          <w:rFonts w:ascii="Arial" w:cs="Arial" w:eastAsia="Arial" w:hAnsi="Arial"/>
          <w:sz w:val="18"/>
          <w:szCs w:val="18"/>
          <w:color w:val="auto"/>
        </w:rPr>
        <w:t>. The Company also has promissory notes of $12.5 million and $4.0 million under the G42 Purchase Agreement and CinRx Purchase Agreement payable to the Company, respectively. The G42 promissory note is due on or before May 31, 2023, and the CinRx promissory note is due on or before November 22, 2022 (see Note 9).</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may also use its remaining availability of $37.3 million under our Sales Agreement with Cantor Fitzgerald pursuant to which the Company may offer and sell, from time to time shares of the Company’s Class A common stock (the “ATM Offering”) and the ability to sell an additional 9,437,376 shares of Class A common stock under the LPC Purchase Agreement based on the remaining number of registered shares. However, the ability to use these sources of capital is dependent on a number of factors, including the prevailing market price of and the volume of trading in the Company’s Class A common stock. See Note 9 for further details.</w:t>
      </w:r>
    </w:p>
    <w:p>
      <w:pPr>
        <w:spacing w:after="0" w:line="8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These conditions raise substantial doubt about the Company’s ability to continue as a going concern. If we are unable to raise additional capital as and when needed, or upon acceptable terms, such failure would have a significant negative impact on our financial condition.</w:t>
      </w:r>
    </w:p>
    <w:p>
      <w:pPr>
        <w:spacing w:after="0" w:line="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 The accompanying Condensed Consolidated Balance Sheet as of September 30, 2022, Condensed Consolidated Statements of Operations for the three and nine months ended September 30, 2022, and 2021, Condensed Consolidated Statement of Changes in Redeemable Noncontrolling Interest and Stockholders’ Deficit for the three and nine months ended September 30, 2022, and 2021 and Condensed Consolidated Statements of Cash Flows for the nine months ended September 30, 2022, and 2021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2021,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September 30, 2022, the results of operations for the three and nine months ended September 30, 2022, and 2021 and cash flows for the nine months ended September 30, 2022, and 2021. The December 31, 2021 Condensed Consolidated Balance Sheet included herein was derived from the audited financial statements but does not include all disclosures or notes required by GAAP for complete financial statements.</w:t>
      </w:r>
    </w:p>
    <w:p>
      <w:pPr>
        <w:spacing w:after="0" w:line="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financial data and other information disclosed in these notes to the financial statements related to the three and nine months ended September 30, 2022, and 2021 are unaudited. Interim results are not necessarily indicative of results for an entire year.</w:t>
      </w:r>
    </w:p>
    <w:p>
      <w:pPr>
        <w:spacing w:after="0" w:line="62"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the fair value of the promissory note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receivable,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one financial institution. The balances of these cash accounts frequently exceed insured limits.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One customer represented 100% of the revenue earned during the nine months ended September 30, 2022, two customers represented 100% of the revenue earned during the three months ended September 30, 2021 and three customers represented 100% of the revenue earned during the nine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considers any highly liquid investments with an original maturity of three months or less to be cash and cash equivalents.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Consolidated Statements of Operations.</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 xml:space="preserve">The Company uses the revenue recognition guidance established by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When an agreement falls under the scope of other standards, such as ASC Topic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4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cost-plus margin approach.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Major components of research and development costs include cash and share-based compensation, costs of preclinical studies, clinical trials and related clinical manufacturing, costs of drug development, costs of materials and supplies, regulatory and compliance costs, fees paid to consultants and other entities that conduct certain research and development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activities on the Company’s behalf, facilities costs, and overhead costs. Research and development costs are expensed as incurred.</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6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3"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In June 2022, the Financial Accounting Standards Board (FASB) issued Accounting Standards Update (ASU) No.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2022-03 </w:t>
      </w:r>
      <w:r>
        <w:rPr>
          <w:rFonts w:ascii="Arial" w:cs="Arial" w:eastAsia="Arial" w:hAnsi="Arial"/>
          <w:sz w:val="16"/>
          <w:szCs w:val="16"/>
          <w:i w:val="1"/>
          <w:iCs w:val="1"/>
          <w:color w:val="auto"/>
        </w:rPr>
        <w:t>“Fair Value Measurements (Topic 820): Fair Value Measurement of Equity Securities Subject to Contractual Sale Restrictions.”</w:t>
      </w:r>
      <w:r>
        <w:rPr>
          <w:rFonts w:ascii="Arial" w:cs="Arial" w:eastAsia="Arial" w:hAnsi="Arial"/>
          <w:sz w:val="16"/>
          <w:szCs w:val="16"/>
          <w:color w:val="auto"/>
        </w:rPr>
        <w:t xml:space="preserve"> These amendments clarify that a contractual restriction on the sale of an equity security is not considered part of the unit of account of the equity security and, therefore, is not considered in measuring fair value. This guidance is effective for public business entities for fiscal years, including interim periods within those fiscal years, beginning after December 15, 2023. Early adoption is permitted. The Company has assessed ASU 2022-03 and early adopted the guidance during the second quarter of 2022. The adoption did not have a material impact on the Company's Condensed Consolidated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G42 Purchase Agreement and Cogna Collaborative and License Agreement</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and G42 Investments AI Holding RSC Ltd, a private limited company (“G42 Investments”), entered into a Common Stock Purchase Agreement (the “G42 Purchase Agreement”), pursuant to which the Company sold to G42 Investments 10,386,274 shares of the Company’s Class A common stock, par value $0.01 per share (the “G42 Common Stock) at a price per share of approximately $2.41, for an aggregate purchase price of $25.0 million, which was paid (i) $12.5 million in cash at the closing and (ii) $12.5 million in the form of a promissory note of G42 Investments to be paid at the one-year anniversary of the execution of the G42 Purchase Agreement. As part of the G42 Purchase Agreement, G42 Investments put forward a director as appointee and the Company’s board of directors approved appointing the new director to the Company’s board.</w:t>
      </w:r>
    </w:p>
    <w:p>
      <w:pPr>
        <w:spacing w:after="0" w:line="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U.S. Food and Drug Administration (“FDA”) approval in the U.S.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(the “FDA Approval”) of </w:t>
      </w:r>
      <w:r>
        <w:rPr>
          <w:rFonts w:ascii="Arial" w:cs="Arial" w:eastAsia="Arial" w:hAnsi="Arial"/>
          <w:sz w:val="18"/>
          <w:szCs w:val="18"/>
          <w:i w:val="1"/>
          <w:iCs w:val="1"/>
          <w:color w:val="auto"/>
        </w:rPr>
        <w:t>TTP399</w:t>
      </w:r>
      <w:r>
        <w:rPr>
          <w:rFonts w:ascii="Arial" w:cs="Arial" w:eastAsia="Arial" w:hAnsi="Arial"/>
          <w:sz w:val="18"/>
          <w:szCs w:val="18"/>
          <w:color w:val="auto"/>
        </w:rPr>
        <w:t>),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spacing w:after="0" w:line="8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Contemporaneously with the G42 Purchase Agreement, effective on May 31, 2022, the Company entered into a collaboration and license agreement (the “Cogna Agreement”) with Cogna Technology Solutions LLC, an affiliate of G42 Investments (“Cogna”) (“Collaboration Partner”), which requires Cogna to work with the Company in performing Phase 3 clinical trials for the Company’s </w:t>
      </w:r>
      <w:r>
        <w:rPr>
          <w:rFonts w:ascii="Arial" w:cs="Arial" w:eastAsia="Arial" w:hAnsi="Arial"/>
          <w:sz w:val="18"/>
          <w:szCs w:val="18"/>
          <w:i w:val="1"/>
          <w:iCs w:val="1"/>
          <w:color w:val="auto"/>
        </w:rPr>
        <w:t>TTP399</w:t>
      </w:r>
      <w:r>
        <w:rPr>
          <w:rFonts w:ascii="Arial" w:cs="Arial" w:eastAsia="Arial" w:hAnsi="Arial"/>
          <w:sz w:val="18"/>
          <w:szCs w:val="18"/>
          <w:color w:val="auto"/>
        </w:rPr>
        <w:t xml:space="preserve"> compound (the “Licensed Product”) as well as jointly creating a global development plan to develop, market, and commercialize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certain countries in the Middle East, Africa, and Central Asia (the “Partner Territory”). Under the terms of the Cogna Agreement, Cogna will obtain rights to the Company’s license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for purposes of performing Phase 3 clinical trials in the Partner Territory, but will not have access to the various intellectual property (“IP”) related to the license and </w:t>
      </w:r>
      <w:r>
        <w:rPr>
          <w:rFonts w:ascii="Arial" w:cs="Arial" w:eastAsia="Arial" w:hAnsi="Arial"/>
          <w:sz w:val="18"/>
          <w:szCs w:val="18"/>
          <w:i w:val="1"/>
          <w:iCs w:val="1"/>
          <w:color w:val="auto"/>
        </w:rPr>
        <w:t>TTP399</w:t>
      </w:r>
      <w:r>
        <w:rPr>
          <w:rFonts w:ascii="Arial" w:cs="Arial" w:eastAsia="Arial" w:hAnsi="Arial"/>
          <w:sz w:val="18"/>
          <w:szCs w:val="18"/>
          <w:color w:val="auto"/>
        </w:rPr>
        <w:t xml:space="preserve">. Specifically, the Company will share various protocols with Cogna related to conducting the clinical trials and will provide the patient dosages and placebo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needed to conduct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trials. Separately, the Company will conduct its Phase 3 clinical trials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the U.S. at its own cost that similarly will not be reimbursed. The results of each party’s Phase 3 clinical trials will be combined by the Company to seek FDA approval in the U.S. for </w:t>
      </w:r>
      <w:r>
        <w:rPr>
          <w:rFonts w:ascii="Arial" w:cs="Arial" w:eastAsia="Arial" w:hAnsi="Arial"/>
          <w:sz w:val="17"/>
          <w:szCs w:val="17"/>
          <w:i w:val="1"/>
          <w:iCs w:val="1"/>
          <w:color w:val="auto"/>
        </w:rPr>
        <w:t>TTP399</w:t>
      </w:r>
      <w:r>
        <w:rPr>
          <w:rFonts w:ascii="Arial" w:cs="Arial" w:eastAsia="Arial" w:hAnsi="Arial"/>
          <w:sz w:val="17"/>
          <w:szCs w:val="17"/>
          <w:color w:val="auto"/>
        </w:rPr>
        <w:t>.</w:t>
      </w:r>
    </w:p>
    <w:p>
      <w:pPr>
        <w:spacing w:after="0" w:line="1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7"/>
          <w:szCs w:val="17"/>
          <w:color w:val="auto"/>
        </w:rPr>
        <w:t xml:space="preserve">Under the Cogna Agreement, Cogna has the right to develop and commercialize the Licensed Product 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Arial" w:cs="Arial" w:eastAsia="Arial" w:hAnsi="Arial"/>
          <w:sz w:val="17"/>
          <w:szCs w:val="17"/>
          <w:i w:val="1"/>
          <w:iCs w:val="1"/>
          <w:color w:val="auto"/>
        </w:rPr>
        <w:t xml:space="preserve">TTP399 </w:t>
      </w:r>
      <w:r>
        <w:rPr>
          <w:rFonts w:ascii="Arial" w:cs="Arial" w:eastAsia="Arial" w:hAnsi="Arial"/>
          <w:sz w:val="17"/>
          <w:szCs w:val="17"/>
          <w:color w:val="auto"/>
        </w:rPr>
        <w:t>for commercial sale under terms to be agreed upon by the parties at a later date.</w:t>
      </w:r>
    </w:p>
    <w:p>
      <w:pPr>
        <w:spacing w:after="0" w:line="7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G42 Purchase Agreement also provides for, following the receipt of FDA approval of the Licensed Product,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are conditioned upon receipt of the FDA Approval and subject to certain limitations and conditions set forth in the G42 Purchase Agreement. There can be no assurance that the FDA Approval will be granted or as to the timing thereof.</w:t>
      </w:r>
    </w:p>
    <w:p>
      <w:pPr>
        <w:spacing w:after="0" w:line="6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Once commercialization takes place in the Partner Territories, the Company will receive royalties of 8% from Cogna on the sale of the Licensed Product for ten years after the first commercial sale of the Licensed Product.</w:t>
      </w:r>
    </w:p>
    <w:p>
      <w:pPr>
        <w:spacing w:after="0" w:line="6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Common stock is generally recorded at fair value at the date of issuance. In determining the fair value of the Class A common stock issued to G42 Investments, the Company considered the closing price of the common stock on the effective date. The Company did not make an adjustment to the fair value for sale restrictions on the stock in accordance with guidance recently adopted in ASU 2022-03. See the “Recently Issued Accounting Guidance” in this 10-Q for details of the ASU. Accordingly, the Company determined that cash consideration of $5.7 million should be recorded as fair value of the Class A common stock at the effective date, utilizing the Class A common stock closing price of $0.55 at the effective date.</w:t>
      </w:r>
    </w:p>
    <w:p>
      <w:pPr>
        <w:spacing w:after="0" w:line="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 premium was paid on the Class A common stock by G42 Investments of $18.7 million, net of a note receivable discount of $0.6 million. This premium is determined to be the transaction price for all remaining obligations under the agreements, which will be accounted for under ASC 808 or ASC 606 based on determination of the unit of account.</w:t>
      </w:r>
    </w:p>
    <w:p>
      <w:pPr>
        <w:spacing w:after="0" w:line="7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determined that certain commitments under the agreements are in the scope of ASC 808 as both the Company and Cogna are active participants in the clinical trials of the Licensed Product, and both are exposed to significant risks and rewards based on the success of the clinical trials and subsequent FDA approval. Cogna is determined to be a vendor of the Company during the clinical trial phase, working on the Company’s behalf to complete R&amp;D activities, and not in a customer capacity. The Company accounted for the commitments related to the clinical trials, which includes transfer of trial protocols, supply of clinical trial dosages, and collaboration on the joint development committee (“JDC”) as an ASC 808 unit of account, applying the recognition and measurement principles of ASC 606 by analogy. The Company will recognize collaboration revenue for its development activities under ASC 808 over time based on the estimated period of performance.</w:t>
      </w:r>
    </w:p>
    <w:p>
      <w:pPr>
        <w:spacing w:after="0" w:line="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By applying the principals in ASC 606 by analogy, the Company identified the performance obligation and considered the timing of satisfaction of the obligation to account for the pattern of revenue recognition. In order to recognize collaboration revenue, generally, the Company would begin satisfying its performance obligation and Cogna would need to be able to use and benefit from delivery of the assets or services. The performance obligation under the agreements that fall within the 808 unit of account are concentrated in the Phase 3 clinical trials. As of September 30, 2022, the Phase 3 clinical trials had not commenced. Accordingly, no collaboration revenue was recognized for the ASC 808 unit of account during the three and nine months ended September 30, 2022.</w:t>
      </w:r>
    </w:p>
    <w:p>
      <w:pPr>
        <w:spacing w:after="0" w:line="8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Company identified certain commitments that are in the scope of ASC 606 as Cogna’s relationship is that of a customer for these commitments. The significant performance obligations that are in the scope of ASC 606 are (1) the development, commercialization and manufacturing license of the IP once restrictions on the use of the IP have been lifted by the Company and (2) a potential material right to a commercial supply agreement. The Company will recognize revenue from the development, commercial and manufacturing license at a point in time when the Company releases the restrictions on the use of the IP, which is expected to be after the Licensed Product is approved by the FDA. The Company will recognize revenue from the material right related to Cogna’s ability to purchase the commercial supply at cost as Cogna purchases the commercial supply from the Company, which will occur after the completion of the initial clinical trials (if Cogna decides to purchase the clinical supply from the Company). As a result, the Company has not recognized any revenue under the ASC 606 unit of account during the three and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September 30, 2022, the Company has recognized the cash and a non-interest bearing promissory note receivable of with a principal balance of $12.5 million. The promissory note receivable was classified and accounted for under ASC 310 and was initially measured at its fair value of $11.9 million and will be subsequently remeasured at its amortized cost through its maturity date. The Company also recorded the $18.7 million as deferred revenue in the Consolidated Balance Sheets, as none of the underlying performance obligations had been satisfied as of and for the three and nine months ended September 30,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Reneo License Agreement</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The Company is party to a license agreement with Reneo Pharmaceuticals, Inc. (“Reneo”)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for therapeutic, prophylactic or diagnostic application in humans.</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combined performance obligation because they were not capable of being distinct on their own. The revenue related to this performance obligation was recognized on a straight-line basis over the technology transfer service period.</w:t>
      </w:r>
    </w:p>
    <w:p>
      <w:pPr>
        <w:spacing w:after="0" w:line="76"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revenue related to this performance obligation has been fully recognized and no revenue related to this performance obligation was recognized for the three and nine months ended September 30, 2022. There have been no adjustments to the transaction price for the performance obligations under the Reneo License Agreement during the three and nine months ended September 30, 2022. In the third quarter of 2021, the transaction price for this performance obligation was increased by $2.0 million due to the satisfaction of a development milestone under the Reneo License Agreement. This amount was fully recognized as revenue during the three and nine months ended September 30, 2021, as the related performance obligation was fully satisfied.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w:t>
      </w:r>
    </w:p>
    <w:p>
      <w:pPr>
        <w:spacing w:after="0" w:line="5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January 14, 2021, the Company entered into the first amendment to the Huadong License Agreement ( the “First Huadong Amendment”) which eliminated the Company’s obligation to sponsor a multi-region clinical trial (the “Phase 2 MRCT”), and corresponding obligation to contribute up to $3.0 million in support of such trial. The amendment also reduced the total potential development and regulatory milestone payments by $3.0 million.</w:t>
      </w:r>
    </w:p>
    <w:p>
      <w:pPr>
        <w:spacing w:after="0" w:line="4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Prior to the First Amendment, the Company had allocated a portion of the transaction price to the obligation to sponsor and conduct a portion of the Phase 2 MRCT. Upon the removal of this performance obligation, the Company evaluated the impact of the modification under the provisions of ASC Topic 606 and performed a reallocation of the transaction price among the remaining performance obligations. This resulted in the recognition of approximately $1.0 million of revenue on a cumulative catch-up basis during the nine months ended September 30, 2021. The majority of the transaction price originally allocated to the Phase 2 MRCT performance obligation was reallocated to the license and technology transfer services combined performance obligation discussed below, which had already been completed. The reallocation of the purchase price in connection with the First Huadong Amendment was made based on the relative estimated selling prices of the remaining performance obligations.</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significant performance obligations under the Huadong License Agreement, as amended, were determined to be (i) the exclusive license to develop and commercialize the Company’s GLP-1r program, (ii) technology transfer services related to the chemistry and manufacturing know-how for a defined period after the effective date, (iii) the Company’s obligation to participate on a joint development committee (the “JDC”), and (iv) other obligations considered to be de minimis in nature.</w:t>
      </w:r>
    </w:p>
    <w:p>
      <w:pPr>
        <w:spacing w:after="0" w:line="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has determined that the license and technology transfer services related to the chemistry and manufacturing know-how represent a combined performance obligation because they were not capable of being distinct 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their own. The Company also determined that there was no discernible pattern in which the technology transfer services would be provided during the transfer service period. As such, the Company recognized the revenue related to this combined performance obligation using the straight-line method over the transfer service period. This combined performance obligation was considered complete as of September 30, 2021. The Company recognized $1.0 million of revenue related to this combined performance obligation during the nine months ended September 30, 2021. During the nine months ended September 30, 2022, the transaction price for this performance obligation was increased by $2.0 million due to the satisfaction of a development milestone under the Huadong License Agreement, as amended. This amount was fully recognized as revenue during the nine months ended September 30, 2022, as the related performance obligation was fully satisfied.</w:t>
      </w:r>
    </w:p>
    <w:p>
      <w:pPr>
        <w:spacing w:after="0" w:line="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 portion of the transaction price allocated to the obligation to participate in the JDC to oversee the development of products and the Phase 2 MRCT in accordance with the development plan remained deferred as of September 30, 2022, and revenue will be recognized using the proportional performance model over the period of the Company’s participation on the JDC. The unrecognized amount of the transaction price allocated to this performance obligation as of September 30, 2022, was de minimis. An immaterial amount of revenue for this performance obligation has been recognized during nine months ended September 30, 2022, and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Newsoara License Agreement-</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Arial" w:cs="Arial" w:eastAsia="Arial" w:hAnsi="Arial"/>
          <w:sz w:val="18"/>
          <w:szCs w:val="18"/>
          <w:i w:val="1"/>
          <w:iCs w:val="1"/>
          <w:color w:val="auto"/>
        </w:rPr>
        <w:t>HPP737</w:t>
      </w:r>
      <w:r>
        <w:rPr>
          <w:rFonts w:ascii="Arial" w:cs="Arial" w:eastAsia="Arial" w:hAnsi="Arial"/>
          <w:sz w:val="18"/>
          <w:szCs w:val="18"/>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September 30, 2022. In the third quarter of 2021, the transaction price for this performance obligation was increased by $1.0 million due to the satisfaction of a development milestone under the Newsoara License Agreement. This amount was fully recognized as revenue during the three and nine months ended September 30, 2021, as the related performance obligation was fully satisfied. No revenue related to this performance obligation was recognized and there have been no changes to the transaction price during the three and nine months ended September 30,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Agreement</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In August 2017, the Company entered into a research and collaboration agreement with JDRF International (the “JDRF Agreement”) to support the funding of the Simplici-T1 Study, a Phase 2 study to explore the effects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type 1 diabetes. The JDRF Agreement was amended in June 2021 to provide additional funding for the Company’s mechanistic study exploring the effects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on ketone body formation during a period of insulin withdrawal in people with type 1 diabetes. Consistent with the terms of the JDRF Agreement, JDRF provided research funding of $3.4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treatment for type 1 diabetes.</w:t>
      </w:r>
    </w:p>
    <w:p>
      <w:pPr>
        <w:spacing w:after="0" w:line="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Payments that the Company receives from JDRF under this agreement were recorded as restricted cash and current liabilities and recognized as an offset to research and development expense, based on the progress of the project, and only to the extent that the restricted cash is utilized to fund such development activities. As of September 30, 2022, the Company had received funding under this agreement of $3.4 million. Research and development costs have been offset by the $3.4 million of cash received over the course of this agreement.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9"/>
              </w:rPr>
              <w:t>September 30, 2022</w:t>
            </w:r>
          </w:p>
        </w:tc>
        <w:tc>
          <w:tcPr>
            <w:tcW w:w="120" w:type="dxa"/>
            <w:vAlign w:val="bottom"/>
          </w:tcPr>
          <w:p>
            <w:pPr>
              <w:spacing w:after="0"/>
              <w:rPr>
                <w:sz w:val="16"/>
                <w:szCs w:val="16"/>
                <w:color w:val="auto"/>
              </w:rPr>
            </w:pPr>
          </w:p>
        </w:tc>
        <w:tc>
          <w:tcPr>
            <w:tcW w:w="148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December 31, 2021</w:t>
            </w:r>
          </w:p>
        </w:tc>
      </w:tr>
      <w:tr>
        <w:trPr>
          <w:trHeight w:val="26"/>
        </w:trPr>
        <w:tc>
          <w:tcPr>
            <w:tcW w:w="706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contract liabilities</w:t>
            </w: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0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Contract liabilities, net of current portion</w:t>
            </w:r>
          </w:p>
        </w:tc>
        <w:tc>
          <w:tcPr>
            <w:tcW w:w="10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18,669</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contract liabilities</w:t>
            </w:r>
          </w:p>
        </w:tc>
        <w:tc>
          <w:tcPr>
            <w:tcW w:w="10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18,695</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r>
      <w:tr>
        <w:trPr>
          <w:trHeight w:val="393"/>
        </w:trPr>
        <w:tc>
          <w:tcPr>
            <w:tcW w:w="7060" w:type="dxa"/>
            <w:vAlign w:val="bottom"/>
          </w:tcPr>
          <w:p>
            <w:pPr>
              <w:spacing w:after="0"/>
              <w:rPr>
                <w:sz w:val="20"/>
                <w:szCs w:val="20"/>
                <w:color w:val="auto"/>
              </w:rPr>
            </w:pPr>
            <w:r>
              <w:rPr>
                <w:rFonts w:ascii="Arial" w:cs="Arial" w:eastAsia="Arial" w:hAnsi="Arial"/>
                <w:sz w:val="18"/>
                <w:szCs w:val="18"/>
                <w:color w:val="auto"/>
              </w:rPr>
              <w:t>Changes  in  short-term  and  long-term  contract  liabilities  for  the  nine  months</w:t>
            </w:r>
          </w:p>
        </w:tc>
        <w:tc>
          <w:tcPr>
            <w:tcW w:w="1580" w:type="dxa"/>
            <w:vAlign w:val="bottom"/>
            <w:gridSpan w:val="2"/>
          </w:tcPr>
          <w:p>
            <w:pPr>
              <w:jc w:val="right"/>
              <w:ind w:right="16"/>
              <w:spacing w:after="0"/>
              <w:rPr>
                <w:sz w:val="20"/>
                <w:szCs w:val="20"/>
                <w:color w:val="auto"/>
              </w:rPr>
            </w:pPr>
            <w:r>
              <w:rPr>
                <w:rFonts w:ascii="Arial" w:cs="Arial" w:eastAsia="Arial" w:hAnsi="Arial"/>
                <w:sz w:val="18"/>
                <w:szCs w:val="18"/>
                <w:color w:val="auto"/>
                <w:w w:val="98"/>
              </w:rPr>
              <w:t>ended  September</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30,  2022,</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were  as  follows:</w:t>
            </w:r>
          </w:p>
        </w:tc>
      </w:tr>
      <w:tr>
        <w:trPr>
          <w:trHeight w:val="27"/>
        </w:trPr>
        <w:tc>
          <w:tcPr>
            <w:tcW w:w="7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40" w:type="dxa"/>
            <w:vAlign w:val="bottom"/>
            <w:gridSpan w:val="4"/>
          </w:tcPr>
          <w:p>
            <w:pPr>
              <w:spacing w:after="0"/>
              <w:rPr>
                <w:sz w:val="2"/>
                <w:szCs w:val="2"/>
                <w:color w:val="auto"/>
              </w:rPr>
            </w:pPr>
          </w:p>
        </w:tc>
      </w:tr>
      <w:tr>
        <w:trPr>
          <w:trHeight w:val="229"/>
        </w:trPr>
        <w:tc>
          <w:tcPr>
            <w:tcW w:w="70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Balance on January 1, 2022</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6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4"/>
              </w:rPr>
              <w:t>Reclassification of the beginning contract liabilities to revenue, as the result of performance obligations satisfied</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Consideration received in advance and not recognized as revenue</w:t>
            </w:r>
          </w:p>
        </w:tc>
        <w:tc>
          <w:tcPr>
            <w:tcW w:w="10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18,669</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on September 30, 2022</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Share-Based Compensation</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issued non-qualified stock option awards to management, other key employees, consultants, and non-employee directors. These option awards generally vest ratably over a three-year period and the option awards expire after a term of ten years from the date of grant. As of September 30, 2022, the Company had total unrecognized stock-based compensation expense for its outstanding stock option awards of approximately $2.6 million, which is expected to be recognized over a weighted average period of 2.7 years. The weighted average grant date fair value of options granted during the nine months ended September 30, 2022, and 2021 was $0.68 and $2.21 per option, respectively. The aggregate intrinsic value of the in-the-money awards outstanding at September 30, 2022, was de minimis.</w:t>
      </w:r>
    </w:p>
    <w:p>
      <w:pPr>
        <w:spacing w:after="0" w:line="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February 27, 2022, Ms. Deepa Prasad notified the Board of Directors (the “Board”) of the Company of her decision to resign from her positions as Chief Executive Officer, President, and Board member, effective as of March 29, 2022, and served in these roles through March 29, 2022 (the “Effective Date”). Ms. Prasad agreed to serve as a Strategic Advisor to the Company for six months after the Effective Date. Ms. Prasad will retain 624,659 of the outstanding options previously granted to her, which will vest at the end of the 15-month period following the Effective Date. As a result of the separation agreement, these options were modified to accelerate vesting at the Effective Date. These options will remain exercisable for the original ten-year period and the remaining 1,873,976 of her options were cancelled. The additional stock compensation expense for the modification during the nine months ended September 30, 2022, was de minimis.</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related to the stock option awards for the nine months ended September 30,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4"/>
                <w:szCs w:val="14"/>
                <w:color w:val="auto"/>
              </w:rPr>
            </w:pPr>
          </w:p>
        </w:tc>
        <w:tc>
          <w:tcPr>
            <w:tcW w:w="1200" w:type="dxa"/>
            <w:vAlign w:val="bottom"/>
          </w:tcPr>
          <w:p>
            <w:pPr>
              <w:jc w:val="right"/>
              <w:ind w:right="37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2"/>
        </w:trPr>
        <w:tc>
          <w:tcPr>
            <w:tcW w:w="80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Average Exercise Price</w:t>
            </w:r>
          </w:p>
        </w:tc>
        <w:tc>
          <w:tcPr>
            <w:tcW w:w="0" w:type="dxa"/>
            <w:vAlign w:val="bottom"/>
          </w:tcPr>
          <w:p>
            <w:pPr>
              <w:spacing w:after="0"/>
              <w:rPr>
                <w:sz w:val="1"/>
                <w:szCs w:val="1"/>
                <w:color w:val="auto"/>
              </w:rPr>
            </w:pPr>
          </w:p>
        </w:tc>
      </w:tr>
      <w:tr>
        <w:trPr>
          <w:trHeight w:val="229"/>
        </w:trPr>
        <w:tc>
          <w:tcPr>
            <w:tcW w:w="80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Awards outstanding at December 31, 2021</w:t>
            </w:r>
          </w:p>
        </w:tc>
        <w:tc>
          <w:tcPr>
            <w:tcW w:w="1460" w:type="dxa"/>
            <w:vAlign w:val="bottom"/>
            <w:tcBorders>
              <w:top w:val="single" w:sz="8" w:color="auto"/>
            </w:tcBorders>
            <w:shd w:val="clear" w:color="auto" w:fill="CFF0FC"/>
          </w:tcPr>
          <w:p>
            <w:pPr>
              <w:jc w:val="center"/>
              <w:ind w:left="532"/>
              <w:spacing w:after="0"/>
              <w:rPr>
                <w:sz w:val="20"/>
                <w:szCs w:val="20"/>
                <w:color w:val="auto"/>
              </w:rPr>
            </w:pPr>
            <w:r>
              <w:rPr>
                <w:rFonts w:ascii="Arial" w:cs="Arial" w:eastAsia="Arial" w:hAnsi="Arial"/>
                <w:sz w:val="18"/>
                <w:szCs w:val="18"/>
                <w:color w:val="auto"/>
                <w:w w:val="89"/>
              </w:rPr>
              <w:t>7,056,035</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80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460" w:type="dxa"/>
            <w:vAlign w:val="bottom"/>
          </w:tcPr>
          <w:p>
            <w:pPr>
              <w:jc w:val="center"/>
              <w:ind w:left="532"/>
              <w:spacing w:after="0"/>
              <w:rPr>
                <w:sz w:val="20"/>
                <w:szCs w:val="20"/>
                <w:color w:val="auto"/>
              </w:rPr>
            </w:pPr>
            <w:r>
              <w:rPr>
                <w:rFonts w:ascii="Arial" w:cs="Arial" w:eastAsia="Arial" w:hAnsi="Arial"/>
                <w:sz w:val="18"/>
                <w:szCs w:val="18"/>
                <w:color w:val="auto"/>
                <w:w w:val="89"/>
              </w:rPr>
              <w:t>4,047,333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0"/>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auto"/>
            </w:tcBorders>
            <w:shd w:val="clear" w:color="auto" w:fill="CFF0FC"/>
          </w:tcPr>
          <w:p>
            <w:pPr>
              <w:jc w:val="center"/>
              <w:ind w:left="492"/>
              <w:spacing w:after="0"/>
              <w:rPr>
                <w:sz w:val="20"/>
                <w:szCs w:val="20"/>
                <w:color w:val="auto"/>
              </w:rPr>
            </w:pPr>
            <w:r>
              <w:rPr>
                <w:rFonts w:ascii="Arial" w:cs="Arial" w:eastAsia="Arial" w:hAnsi="Arial"/>
                <w:sz w:val="18"/>
                <w:szCs w:val="18"/>
                <w:color w:val="auto"/>
                <w:w w:val="91"/>
              </w:rPr>
              <w:t>(3,384,424)</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Awards outstanding at September 30, 2022</w:t>
            </w:r>
          </w:p>
        </w:tc>
        <w:tc>
          <w:tcPr>
            <w:tcW w:w="146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color w:val="auto"/>
                <w:w w:val="89"/>
              </w:rPr>
              <w:t>7,718,944</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FF0FC"/>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exercisable at September 30, 2022</w:t>
            </w:r>
          </w:p>
        </w:tc>
        <w:tc>
          <w:tcPr>
            <w:tcW w:w="1460" w:type="dxa"/>
            <w:vAlign w:val="bottom"/>
            <w:shd w:val="clear" w:color="auto" w:fill="CFF0FC"/>
          </w:tcPr>
          <w:p>
            <w:pPr>
              <w:jc w:val="center"/>
              <w:ind w:left="532"/>
              <w:spacing w:after="0"/>
              <w:rPr>
                <w:sz w:val="20"/>
                <w:szCs w:val="20"/>
                <w:color w:val="auto"/>
              </w:rPr>
            </w:pPr>
            <w:r>
              <w:rPr>
                <w:rFonts w:ascii="Arial" w:cs="Arial" w:eastAsia="Arial" w:hAnsi="Arial"/>
                <w:sz w:val="18"/>
                <w:szCs w:val="18"/>
                <w:color w:val="auto"/>
                <w:w w:val="89"/>
              </w:rPr>
              <w:t>2,563,810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8020" w:type="dxa"/>
            <w:vAlign w:val="bottom"/>
          </w:tcPr>
          <w:p>
            <w:pPr>
              <w:ind w:left="260"/>
              <w:spacing w:after="0"/>
              <w:rPr>
                <w:sz w:val="20"/>
                <w:szCs w:val="20"/>
                <w:color w:val="auto"/>
              </w:rPr>
            </w:pPr>
            <w:r>
              <w:rPr>
                <w:rFonts w:ascii="Arial" w:cs="Arial" w:eastAsia="Arial" w:hAnsi="Arial"/>
                <w:sz w:val="18"/>
                <w:szCs w:val="18"/>
                <w:color w:val="auto"/>
              </w:rPr>
              <w:t>Weighted average remaining contractual term</w:t>
            </w: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w w:val="98"/>
              </w:rPr>
              <w:t>6.3 Years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vested and expected to vest at September 30, 2022</w:t>
            </w:r>
          </w:p>
        </w:tc>
        <w:tc>
          <w:tcPr>
            <w:tcW w:w="1460" w:type="dxa"/>
            <w:vAlign w:val="bottom"/>
            <w:shd w:val="clear" w:color="auto" w:fill="CFF0FC"/>
          </w:tcPr>
          <w:p>
            <w:pPr>
              <w:jc w:val="center"/>
              <w:ind w:left="532"/>
              <w:spacing w:after="0"/>
              <w:rPr>
                <w:sz w:val="20"/>
                <w:szCs w:val="20"/>
                <w:color w:val="auto"/>
              </w:rPr>
            </w:pPr>
            <w:r>
              <w:rPr>
                <w:rFonts w:ascii="Arial" w:cs="Arial" w:eastAsia="Arial" w:hAnsi="Arial"/>
                <w:sz w:val="18"/>
                <w:szCs w:val="18"/>
                <w:color w:val="auto"/>
                <w:w w:val="89"/>
              </w:rPr>
              <w:t>6,664,874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8020" w:type="dxa"/>
            <w:vAlign w:val="bottom"/>
          </w:tcPr>
          <w:p>
            <w:pPr>
              <w:ind w:left="260"/>
              <w:spacing w:after="0"/>
              <w:rPr>
                <w:sz w:val="20"/>
                <w:szCs w:val="20"/>
                <w:color w:val="auto"/>
              </w:rPr>
            </w:pPr>
            <w:r>
              <w:rPr>
                <w:rFonts w:ascii="Arial" w:cs="Arial" w:eastAsia="Arial" w:hAnsi="Arial"/>
                <w:sz w:val="18"/>
                <w:szCs w:val="18"/>
                <w:color w:val="auto"/>
              </w:rPr>
              <w:t>Weighted average remaining contractual term</w:t>
            </w: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w w:val="98"/>
              </w:rPr>
              <w:t>8.2 Years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Compensation expense related to the grants of stock options is included in research and development and general and administrative expense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44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26"/>
        </w:trPr>
        <w:tc>
          <w:tcPr>
            <w:tcW w:w="4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2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288</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r>
      <w:tr>
        <w:trPr>
          <w:trHeight w:val="248"/>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share-based compensation expense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474</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Reneo License Agreement and the Anteris License Agreement, the Company has received equity ownership interests of less than 20% of the voting equity of the investee. Further, the Company does not have the ability to exercise significant influence over the investees. The investments are classified as long-term investments in the Company’s Consolidated Balance Sheets.</w:t>
      </w:r>
    </w:p>
    <w:p>
      <w:pPr>
        <w:spacing w:after="0" w:line="7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Reneo completed its initial public offering in April 2021. Prior to Reneo becoming a publicly traded company, the Company’s investment in Reneo did not have a readily determinable fair value and was measured at cost less impairment, adjusted for any changes in observable prices, under the measurement alternative. Subsequent to Reneo’s initial public offering, the Company’s investment in Reneo is considered to have a readily determinable fair value and, as such, is adjusted to its fair value each period with changes in fair value recognized as a component of net loss.</w:t>
      </w:r>
    </w:p>
    <w:p>
      <w:pPr>
        <w:spacing w:after="0" w:line="6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investment in Anteris does not have a readily determinable fair value and is measured at cost less impairment, adjusted for any changes in observable prices.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investments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December 31, 2021</w:t>
            </w:r>
          </w:p>
        </w:tc>
      </w:tr>
      <w:tr>
        <w:trPr>
          <w:trHeight w:val="26"/>
        </w:trPr>
        <w:tc>
          <w:tcPr>
            <w:tcW w:w="77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investment with readily determinable fair value:</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Reneo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4,928</w:t>
            </w:r>
          </w:p>
        </w:tc>
      </w:tr>
      <w:tr>
        <w:trPr>
          <w:trHeight w:val="270"/>
        </w:trPr>
        <w:tc>
          <w:tcPr>
            <w:tcW w:w="77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5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420" w:type="dxa"/>
            <w:vAlign w:val="bottom"/>
            <w:shd w:val="clear" w:color="auto" w:fill="CFF0FC"/>
          </w:tcPr>
          <w:p>
            <w:pPr>
              <w:spacing w:after="0"/>
              <w:rPr>
                <w:sz w:val="23"/>
                <w:szCs w:val="23"/>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w w:val="93"/>
              </w:rPr>
              <w:t>Equity investment without readily determinable fair values assessed under the measurement alternative:</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Anteris preferred stock</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4,245</w:t>
            </w:r>
          </w:p>
        </w:tc>
      </w:tr>
      <w:tr>
        <w:trPr>
          <w:trHeight w:val="223"/>
        </w:trPr>
        <w:tc>
          <w:tcPr>
            <w:tcW w:w="778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No adjustments have been made to the value of the Company’s investment in Anteris since its initial measurement either due to impairment or based on observable price changes. The Company recognized an unrealized gain on its investment in Reneo of $0.4 million and an unrealized loss of $3.0 million for the three and nine months ended September 30, 2022, respectively. The Company recognized an unrealized loss on its investment in Reneo of $1.1 million and an unrealized gain of $1.8 million for the three months and nine months ended September 30, 2021, respectively. These adjustments were recognized as a component of other income/(expense) in the Company’s Condensed Consolidated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 xml:space="preserve">In February 2007, the Company entered into an Agreement Concerning Glucokinase Activator Project with Novo Nordisk A/S (the “Novo License Agreement”)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7"/>
          <w:szCs w:val="17"/>
          <w:i w:val="1"/>
          <w:iCs w:val="1"/>
          <w:color w:val="auto"/>
        </w:rPr>
        <w:t>TTP399</w:t>
      </w:r>
      <w:r>
        <w:rPr>
          <w:rFonts w:ascii="Arial" w:cs="Arial" w:eastAsia="Arial" w:hAnsi="Arial"/>
          <w:sz w:val="17"/>
          <w:szCs w:val="17"/>
          <w:color w:val="auto"/>
        </w:rPr>
        <w:t>. This agreement was amended in May 2019 to create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milestone payments applicable to certain specific and non-specific areas of therapeutic use. Under the terms of the amended Novo License Agreement, the Company has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During the fourth quarter of 2021, the Company made a payment of $2.0 million related to the satisfaction of the milestone to complete the phase 2 trials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under this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leases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was not considered reasonably certain. The Company has notified the lessor that it intends to exercise the early termination option and is negotiating an amendment to the lease. Further, this lease does not include any material residual value guarantee or restrictive covenants.</w:t>
      </w:r>
    </w:p>
    <w:p>
      <w:pPr>
        <w:spacing w:after="0" w:line="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each of September 30, 2022, and December 31, 2021, the weighted average incremental borrowing rate for the operating leases held by the Company was 13.1%. At September 30, 2022, and December 31, 2021, the weighted average remaining lease terms for the operating leases held by the Company were 2.3 years and 3.1 years, respectively.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80" w:type="dxa"/>
            <w:vAlign w:val="bottom"/>
          </w:tcPr>
          <w:p>
            <w:pPr>
              <w:ind w:left="500"/>
              <w:spacing w:after="0"/>
              <w:rPr>
                <w:sz w:val="20"/>
                <w:szCs w:val="20"/>
                <w:color w:val="auto"/>
              </w:rPr>
            </w:pPr>
            <w:r>
              <w:rPr>
                <w:rFonts w:ascii="Arial" w:cs="Arial" w:eastAsia="Arial" w:hAnsi="Arial"/>
                <w:sz w:val="18"/>
                <w:szCs w:val="18"/>
                <w:color w:val="auto"/>
                <w:w w:val="92"/>
              </w:rPr>
              <w:t>Maturities of lease liabilities for the Company’s operating leases as of September 30, 2022, were as follows (in thousands):</w:t>
            </w: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35"/>
        </w:trPr>
        <w:tc>
          <w:tcPr>
            <w:tcW w:w="9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three months)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29"/>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48"/>
        </w:trPr>
        <w:tc>
          <w:tcPr>
            <w:tcW w:w="9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Present value of lease liabilities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Operating lease cost and the related operating cash flows for the nine months ended September 30, 2022, and 2021 were immaterial amounts.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Noncontrolling Interest</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is subject to the Exchange Agreement with respect to the vTv Units representing the 22.1% noncontrolling interest in vTv LLC outstanding as of September 30, 2022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redeemable noncontrolling interest is recognized at the higher of (1) its initial fair value plus accumulated earnings/losses associated with the noncontrolling interest or (2) the redemption value as of the balance sheet date. At September 30, 2022, and December 31, 2021, the redeemable noncontrolling interest was recorded based on the redemption value as of the balance sheet date of $24.2 million and $25.0 million, respectively.</w:t>
      </w:r>
    </w:p>
    <w:p>
      <w:pPr>
        <w:spacing w:after="0" w:line="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such changes. The following is a summary of net income attributable to vTv Therapeutics Inc. and transfers to noncontrolling interest: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2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6"/>
              </w:rPr>
              <w:t>For the Nine Months Ended September 30,</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4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loss attributable to vTv Therapeutics Inc. common</w:t>
            </w: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176"/>
        </w:trPr>
        <w:tc>
          <w:tcPr>
            <w:tcW w:w="4760" w:type="dxa"/>
            <w:vAlign w:val="bottom"/>
          </w:tcPr>
          <w:p>
            <w:pPr>
              <w:ind w:left="20"/>
              <w:spacing w:after="0" w:line="176" w:lineRule="exact"/>
              <w:rPr>
                <w:sz w:val="20"/>
                <w:szCs w:val="20"/>
                <w:color w:val="auto"/>
              </w:rPr>
            </w:pPr>
            <w:r>
              <w:rPr>
                <w:rFonts w:ascii="Arial" w:cs="Arial" w:eastAsia="Arial" w:hAnsi="Arial"/>
                <w:sz w:val="18"/>
                <w:szCs w:val="18"/>
                <w:color w:val="auto"/>
              </w:rPr>
              <w:t>(Increase) in vTv Therapeutics Inc. accumulated deficit for</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2"/>
              </w:rPr>
              <w:t>purchase of LLC Units as a result of common stock issuances</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155"/>
        </w:trPr>
        <w:tc>
          <w:tcPr>
            <w:tcW w:w="47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Change from net loss attributable to vTv Therapeutics Inc.</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(14,522)</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(11,234)</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common shareholders and transfers to noncontrolling interest</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Deficit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On May 4, 2021, the Company filed an amendment to its Amended and Restated Certificate of Incorporation (the “Charter Amendment”)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G42 Investments Transaction</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May 31, 2022, the Company and G42 Investments entered in to the G42 Purchase Agreement (see Note 3), pursuant to which the Company agreed to sell to G42 Investments 10,386,274 shares of the Company's Class A common stock, par value $0.01 per share at a price per share of approximately $2.41, for an aggregate purchase price of $25.0 million, consisting of (i) $12.5 million in cash at the closing of the transaction and (ii) $12.5 million in the form of a promissory note of G42 Investments to be paid at the one-year anniversary of the execution of the G42 Purchase Agreement.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CinPax and CinRx Transaction</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July 22, 2022 (the “Transaction Date”), the Company entered into the CinRx Purchase Agreement with CinPax and CinRx, pursuant to which the Company agreed to sell to CinPax 4,154,549 shares of the Company’s Class A common stock, par value $0.01 per share (the “Common Stock” and such shares, the “Closing Shares”) at a price per share of approximately $2.41, for an aggregate purchase price of $10.0 million, which was paid (i) $6.0 million in cash at the closing of the transaction and (ii) $4.0 million in the form of a non-interest-bearing promissory note with CinPax to be paid at the four-month anniversary of the execution of the CinRx Purchase Agreement. The promissory note receivable was classified and accounted for under ASC 505 as contra-equity. The CinRx Purchase Agreement provides CinPax the right to put forward a director to be approved to sit on vTv’s Board of Directors and a board observer, which was subsequently approved by the Company’s board.</w:t>
      </w:r>
    </w:p>
    <w:p>
      <w:pPr>
        <w:spacing w:after="0" w:line="69"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6"/>
          <w:szCs w:val="16"/>
          <w:color w:val="auto"/>
        </w:rPr>
        <w:t>Common stock is generally recorded at fair value at the date of issuance. In determining the fair value of the Class A common stock issued to CinPax, the Company considered the closing price of the common stock on the Transaction Date. The Company did not make an adjustment to the fair value for sale restrictions on the stock in accordance with guidance recently adopted in ASU 2022-03. See the “Recently Issued Accounting Guidance” in</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10-Q for details of the ASU. Accordingly, the Company determined that cash consideration of $3.0 million should be recorded as fair value of the Class A common stock at the effective date, utilizing the Class A common stock closing price of $0.72 at the effective date.</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CinRx Purchase Agreement also provides CinRx warrants to purchase up to 1,200,000 shares of Common Stock at an initial exercise of price of approximately $0.72 per share (the “CinRx Warrants”). The CinRx Warrants were initially measured at fair value of $0.4 million using the Black Scholes option model at the time of issuance and will be recorded in Warrant liability related party in the Condensed Consolidated Balance Sheets and will be subsequently remeasured at fair value through earnings on a recurring basis. (see Note 13)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The CinRx Warrants will become exercisable by CinRx only if (i) the Company receives approval from the U.S. Food and Drug Administration (“FDA Approval”) to market and distribute the pharmaceutical product containing the Company’s proprietary candidate, </w:t>
      </w:r>
      <w:r>
        <w:rPr>
          <w:rFonts w:ascii="Arial" w:cs="Arial" w:eastAsia="Arial" w:hAnsi="Arial"/>
          <w:sz w:val="16"/>
          <w:szCs w:val="16"/>
          <w:i w:val="1"/>
          <w:iCs w:val="1"/>
          <w:color w:val="auto"/>
        </w:rPr>
        <w:t>TTP399</w:t>
      </w:r>
      <w:r>
        <w:rPr>
          <w:rFonts w:ascii="Arial" w:cs="Arial" w:eastAsia="Arial" w:hAnsi="Arial"/>
          <w:sz w:val="16"/>
          <w:szCs w:val="16"/>
          <w:color w:val="auto"/>
        </w:rPr>
        <w:t xml:space="preserve"> (the “Product”), or (ii) the Company is acquired by a third party, sells all or substantially all of its assets related to the Product to a third party or grants a third party an exclusive license to develop, commercialize and manufacture the Product in the United States (an “Exit Event”). If neither of these events happen within five years of the date of the issuance of the CinRx Warrants, the CinRx Warrants will expire and not be exercisable by CinRx. The exercise price of the CinRx Warrants and the number of shares issuable upon exercise of the CinRx Warrants are subject to adjustments in accordance with the terms of the CinRx Warrants.</w:t>
      </w:r>
    </w:p>
    <w:p>
      <w:pPr>
        <w:spacing w:after="0" w:line="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Additionally, in conjunction with the CinRx Purchase Agreement the Company and CinRx entered into a Master Service Agreement (“CinRx MSA”) whereby CinRx provides the Company with consulting, pre-clinical and clinical trial services, as enumerated in project proposals negotiated between the Company and CinRx from time to time. (see Note 10)</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did not identify any other promises in the CinRx Purchase Agreement (aside from the issuance of common shares and the CinRx Warrants) and determined since there is no value ascribed to the CinRx MSA, the right to appoint a member and observer to the board of directors, that the remaining unallocated amount meets the definition of contributed equity and represents the amount in excess of par.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April 2020, the Company entered into the Sales Agreement with Cantor Fitzgerald as the sales agent, pursuant to which the Company may offer and sell, from time to time, through Cantor, shares of its Class A common stock, par value $0.01 per share, having an aggregate offering price of up to $13.0 million by any method deemed to be an “at the market offering” as defined in Rule 415(a)(4) under the Securities Act (the “ATM Offering”). The shares are offered and sold pursuant to the Company’s shelf registration statement on Form S-3. In no event will the Company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spacing w:after="0" w:line="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January 14, 2021, and June 25, 2021, the Company filed a prospectus supplement in connection with the ATM Offering to increase the size of the at-the-market offering pursuant to which the Company may offer and sell, from time to time, through or to Cantor, as sales agent or principal, shares of the Company’s Class A common stock, by an aggregate offering price of $5.5 million and $50.0 million, respectively.</w:t>
      </w:r>
    </w:p>
    <w:p>
      <w:pPr>
        <w:spacing w:after="0" w:line="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and nine months ended September 30, 2021, the Company sold 8,457,546 shares of its Class A common stock under the ATM Offering for net proceeds of $17.0 million.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and nine months ended September 30, 2022, the Company did not sell any shares under the ATM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Lincoln Park Capital Transaction</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November 24, 2020, the Company entered into the LPC Purchase Agreement and a registration rights agreement (the “Registration Rights Agreement”), pursuant to which the Company has the right to sell to Lincoln Park shares of the Company’s Class A common stock having an aggregate value of up to $47.0 million, subject to certain limitations and conditions set forth in the LPC Purchase Agreement. The Company will control the timing and amount of any sales of shares to Lincoln Park. pursuant to the LPC Purchase Agreement. During the three and nine months ended September 30, 2022, the Company did not sell any shares under the LPC Purchase Agreement. During the nine months ended September 30, 2021, the Company sold 3,941,726 shares under the LPC Purchase Agreement for total proceeds of $9.1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2022, subsidiaries and affiliates of MacAndrews &amp; Forbes Incorporated (collectively “MacAndrews”) indirectly controlled 23,084,267 shares of the Company’s Class B common stock and 36,519,212 shares of the Company’s Class A common stock. As a result, MacAndrews’ holdings represent approximately 57.0% of the combined voting power of the Company’s outstanding common stock.</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previously entered into the Letter Agreements with MacAndrews. Under the terms of the Letter Agreements, during the one year commitment period beginning on the date of each License Agreement, the Company had the right to sell to MacAndrews shares of its Class A common stock at a specified price per share, and MacAndrews had the right (exercisable up to three times) to require the Company to sell to it shares of Class A common stock at the same price. The commitment period of each of the Letter Agreements has now expired.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84"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September 30, 2022, MacAndrews had not exchanged any shares under the provisions of the Exchange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commons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6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CinRx Pharma,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Services Agreement</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July 22, 2022, the Company entered into a Master Services Agreement with CinRx Pharma, LLC (“CinRx”) (the “CinRx MSA”). Under the CinRx MSA, CinRx provides the Company with consulting, pre-clinical and clinical trial services, as enumerated in project proposals negotiated between the Company and CinRx from time to time. As of October 10, 2022, the Company has agreed to pay CinRx fees of up to $0.2 million per month until approximately December 2024 in respect of ongoing agreed project proposals under the CinRx MSA, plus out-of-pocket expenses incurred by CinRx on the Company’s behalf. Dr. Jonathan Isaacsohn, who was appointed as chair of the Company’s board of directors on August 9, 2022, is the President and Chief Executive Officer of CinRx. CinPax, LLC, a subsidiary of CinRx, currently holds 4,154,549 shares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is subject to U.S. federal income taxes as well as state taxes. The Company did not record an income tax provision for the three months ended September 30, 2022. The Company’s income tax provision for the nine months ended September 30, 2022, was $0.2 million related to foreign withholding taxes. The Company’s income tax provision for the three and nine months ended September 30, 2021 was $0.1 million related to foreign withholding taxes.</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on September 30, 2022, is due to the valuation allowance against the Company’s expected net operating losses.</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discussed in Note 10,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7"/>
          </w:tcPr>
          <w:p>
            <w:pPr>
              <w:ind w:left="8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ind w:left="4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ind w:left="46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(5,468)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(18,983)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(8,248)</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155"/>
        </w:trPr>
        <w:tc>
          <w:tcPr>
            <w:tcW w:w="5000" w:type="dxa"/>
            <w:vAlign w:val="bottom"/>
          </w:tcPr>
          <w:p>
            <w:pPr>
              <w:ind w:left="180"/>
              <w:spacing w:after="0" w:line="156" w:lineRule="exact"/>
              <w:rPr>
                <w:sz w:val="20"/>
                <w:szCs w:val="20"/>
                <w:color w:val="auto"/>
              </w:rPr>
            </w:pPr>
            <w:r>
              <w:rPr>
                <w:rFonts w:ascii="Arial" w:cs="Arial" w:eastAsia="Arial" w:hAnsi="Arial"/>
                <w:sz w:val="18"/>
                <w:szCs w:val="18"/>
                <w:color w:val="auto"/>
                <w:w w:val="91"/>
              </w:rPr>
              <w:t>Net loss attributable to common shareholders of vTv Therapeutics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 basic and diluted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180"/>
              <w:spacing w:after="0" w:line="176" w:lineRule="exact"/>
              <w:rPr>
                <w:sz w:val="20"/>
                <w:szCs w:val="20"/>
                <w:color w:val="auto"/>
              </w:rPr>
            </w:pPr>
            <w:r>
              <w:rPr>
                <w:rFonts w:ascii="Arial" w:cs="Arial" w:eastAsia="Arial" w:hAnsi="Arial"/>
                <w:sz w:val="18"/>
                <w:szCs w:val="18"/>
                <w:color w:val="auto"/>
                <w:w w:val="92"/>
              </w:rPr>
              <w:t>Weighted average vTv Therapeutics Inc. Class A common stock,</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5"/>
              </w:rPr>
              <w:t>80,490,121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5"/>
              </w:rPr>
              <w:t>61,073,280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5"/>
              </w:rPr>
              <w:t>72,649,531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58,737,170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CEEFF"/>
          </w:tcPr>
          <w:p>
            <w:pPr>
              <w:ind w:left="180"/>
              <w:spacing w:after="0" w:line="156" w:lineRule="exact"/>
              <w:rPr>
                <w:sz w:val="20"/>
                <w:szCs w:val="20"/>
                <w:color w:val="auto"/>
              </w:rPr>
            </w:pPr>
            <w:r>
              <w:rPr>
                <w:rFonts w:ascii="Arial" w:cs="Arial" w:eastAsia="Arial" w:hAnsi="Arial"/>
                <w:sz w:val="18"/>
                <w:szCs w:val="18"/>
                <w:color w:val="auto"/>
                <w:w w:val="99"/>
              </w:rPr>
              <w:t>Net loss per share of vTv Therapeutics Inc. Class A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 basic and diluted</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vMerge w:val="continue"/>
            <w:shd w:val="clear" w:color="auto" w:fill="CCEEFF"/>
          </w:tcPr>
          <w:p>
            <w:pPr>
              <w:spacing w:after="0"/>
              <w:rPr>
                <w:sz w:val="20"/>
                <w:szCs w:val="20"/>
                <w:color w:val="auto"/>
              </w:rPr>
            </w:pPr>
          </w:p>
        </w:tc>
        <w:tc>
          <w:tcPr>
            <w:tcW w:w="138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60" w:type="dxa"/>
            <w:vAlign w:val="bottom"/>
            <w:gridSpan w:val="7"/>
          </w:tcPr>
          <w:p>
            <w:pPr>
              <w:ind w:left="500"/>
              <w:spacing w:after="0"/>
              <w:rPr>
                <w:sz w:val="20"/>
                <w:szCs w:val="20"/>
                <w:color w:val="auto"/>
              </w:rPr>
            </w:pPr>
            <w:r>
              <w:rPr>
                <w:rFonts w:ascii="Arial" w:cs="Arial" w:eastAsia="Arial" w:hAnsi="Arial"/>
                <w:sz w:val="18"/>
                <w:szCs w:val="18"/>
                <w:color w:val="auto"/>
                <w:w w:val="94"/>
              </w:rPr>
              <w:t>Potentially dilutive securities not included in the calculation of diluted net loss per share are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5"/>
        </w:trPr>
        <w:tc>
          <w:tcPr>
            <w:tcW w:w="5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23,093,860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23,093,860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Common stock options granted under the Plan</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7,718,944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4,474,403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3,214,503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34,027,307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29,582,766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jc w:val="both"/>
        <w:ind w:left="940" w:right="220" w:hanging="469"/>
        <w:spacing w:after="0" w:line="233" w:lineRule="auto"/>
        <w:tabs>
          <w:tab w:leader="none" w:pos="94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note receivable, accounts payable, and other accrued liabilities, approximate fair value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Company determined that the promissory note receivable was level 2 and the fair value measurement was based on the market yield curves. The following table summarizes the conclusions reached regarding fair value measurements as of September 30, 2022, and December 31, 2021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 Active</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4"/>
                <w:szCs w:val="14"/>
                <w:color w:val="auto"/>
              </w:rPr>
            </w:pPr>
          </w:p>
        </w:tc>
        <w:tc>
          <w:tcPr>
            <w:tcW w:w="11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4"/>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7"/>
                <w:szCs w:val="17"/>
                <w:color w:val="auto"/>
              </w:rPr>
            </w:pPr>
          </w:p>
        </w:tc>
        <w:tc>
          <w:tcPr>
            <w:tcW w:w="112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jc w:val="right"/>
              <w:ind w:right="4650"/>
              <w:spacing w:after="0"/>
              <w:rPr>
                <w:sz w:val="20"/>
                <w:szCs w:val="20"/>
                <w:color w:val="auto"/>
              </w:rPr>
            </w:pPr>
            <w:r>
              <w:rPr>
                <w:rFonts w:ascii="Arial" w:cs="Arial" w:eastAsia="Arial" w:hAnsi="Arial"/>
                <w:sz w:val="18"/>
                <w:szCs w:val="18"/>
                <w:b w:val="1"/>
                <w:bCs w:val="1"/>
                <w:color w:val="auto"/>
                <w:w w:val="82"/>
              </w:rPr>
              <w:t>Assets: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Equity securities with readily determinable fair value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jc w:val="right"/>
              <w:ind w:right="435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jc w:val="right"/>
              <w:ind w:right="4350"/>
              <w:spacing w:after="0"/>
              <w:rPr>
                <w:sz w:val="20"/>
                <w:szCs w:val="20"/>
                <w:color w:val="auto"/>
              </w:rPr>
            </w:pPr>
            <w:r>
              <w:rPr>
                <w:rFonts w:ascii="Arial" w:cs="Arial" w:eastAsia="Arial" w:hAnsi="Arial"/>
                <w:sz w:val="18"/>
                <w:szCs w:val="18"/>
                <w:b w:val="1"/>
                <w:bCs w:val="1"/>
                <w:color w:val="auto"/>
                <w:w w:val="94"/>
              </w:rPr>
              <w:t>Liabilities: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23"/>
                <w:szCs w:val="23"/>
                <w:color w:val="auto"/>
                <w:vertAlign w:val="superscript"/>
              </w:rPr>
              <w:t>(1)</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jc w:val="right"/>
              <w:ind w:right="435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 Active</w:t>
            </w:r>
          </w:p>
        </w:tc>
        <w:tc>
          <w:tcPr>
            <w:tcW w:w="18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24"/>
                <w:szCs w:val="24"/>
                <w:color w:val="auto"/>
              </w:rPr>
            </w:pPr>
          </w:p>
        </w:tc>
        <w:tc>
          <w:tcPr>
            <w:tcW w:w="11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2021</w:t>
            </w:r>
          </w:p>
        </w:tc>
        <w:tc>
          <w:tcPr>
            <w:tcW w:w="1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7"/>
                <w:szCs w:val="17"/>
                <w:color w:val="auto"/>
              </w:rPr>
            </w:pPr>
          </w:p>
        </w:tc>
        <w:tc>
          <w:tcPr>
            <w:tcW w:w="112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6"/>
        </w:trPr>
        <w:tc>
          <w:tcPr>
            <w:tcW w:w="5300" w:type="dxa"/>
            <w:vAlign w:val="bottom"/>
          </w:tcPr>
          <w:p>
            <w:pPr>
              <w:jc w:val="right"/>
              <w:ind w:right="4650"/>
              <w:spacing w:after="0"/>
              <w:rPr>
                <w:sz w:val="20"/>
                <w:szCs w:val="20"/>
                <w:color w:val="auto"/>
              </w:rPr>
            </w:pPr>
            <w:r>
              <w:rPr>
                <w:rFonts w:ascii="Arial" w:cs="Arial" w:eastAsia="Arial" w:hAnsi="Arial"/>
                <w:sz w:val="18"/>
                <w:szCs w:val="18"/>
                <w:b w:val="1"/>
                <w:bCs w:val="1"/>
                <w:color w:val="auto"/>
                <w:w w:val="82"/>
              </w:rPr>
              <w:t>Assets:</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with readily determinable fair value</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jc w:val="right"/>
              <w:ind w:right="435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jc w:val="right"/>
              <w:ind w:right="4350"/>
              <w:spacing w:after="0"/>
              <w:rPr>
                <w:sz w:val="20"/>
                <w:szCs w:val="20"/>
                <w:color w:val="auto"/>
              </w:rPr>
            </w:pPr>
            <w:r>
              <w:rPr>
                <w:rFonts w:ascii="Arial" w:cs="Arial" w:eastAsia="Arial" w:hAnsi="Arial"/>
                <w:sz w:val="18"/>
                <w:szCs w:val="18"/>
                <w:b w:val="1"/>
                <w:bCs w:val="1"/>
                <w:color w:val="auto"/>
                <w:w w:val="94"/>
              </w:rPr>
              <w:t>Liabilities: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23"/>
                <w:szCs w:val="23"/>
                <w:color w:val="auto"/>
                <w:vertAlign w:val="superscript"/>
              </w:rPr>
              <w:t>(1)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3"/>
        </w:trPr>
        <w:tc>
          <w:tcPr>
            <w:tcW w:w="5300" w:type="dxa"/>
            <w:vAlign w:val="bottom"/>
          </w:tcPr>
          <w:p>
            <w:pPr>
              <w:jc w:val="right"/>
              <w:ind w:right="435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560" w:right="240" w:hanging="534"/>
        <w:spacing w:after="0" w:line="252" w:lineRule="auto"/>
        <w:tabs>
          <w:tab w:leader="none" w:pos="56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gridSpan w:val="10"/>
          </w:tcPr>
          <w:p>
            <w:pPr>
              <w:spacing w:after="0"/>
              <w:rPr>
                <w:sz w:val="20"/>
                <w:szCs w:val="20"/>
                <w:color w:val="auto"/>
              </w:rPr>
            </w:pPr>
            <w:r>
              <w:rPr>
                <w:rFonts w:ascii="Arial" w:cs="Arial" w:eastAsia="Arial" w:hAnsi="Arial"/>
                <w:sz w:val="14"/>
                <w:szCs w:val="14"/>
                <w:b w:val="1"/>
                <w:bCs w:val="1"/>
                <w:color w:val="auto"/>
              </w:rPr>
              <w:t>Changes in Level 3 instruments for the nine months ended 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Net Change in</w:t>
            </w:r>
          </w:p>
        </w:tc>
        <w:tc>
          <w:tcPr>
            <w:tcW w:w="200" w:type="dxa"/>
            <w:vAlign w:val="bottom"/>
          </w:tcPr>
          <w:p>
            <w:pPr>
              <w:spacing w:after="0"/>
              <w:rPr>
                <w:sz w:val="11"/>
                <w:szCs w:val="11"/>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Purchases /</w:t>
            </w:r>
          </w:p>
        </w:tc>
        <w:tc>
          <w:tcPr>
            <w:tcW w:w="200" w:type="dxa"/>
            <w:vAlign w:val="bottom"/>
          </w:tcPr>
          <w:p>
            <w:pPr>
              <w:spacing w:after="0"/>
              <w:rPr>
                <w:sz w:val="11"/>
                <w:szCs w:val="11"/>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Sales /</w:t>
            </w: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5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Balance at January 1</w:t>
            </w:r>
          </w:p>
        </w:tc>
        <w:tc>
          <w:tcPr>
            <w:tcW w:w="154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fair value included in</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Balance at September 30,</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earnings</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Issuance</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Repurchases</w:t>
            </w:r>
          </w:p>
        </w:tc>
        <w:tc>
          <w:tcPr>
            <w:tcW w:w="1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jc w:val="right"/>
              <w:ind w:right="3150"/>
              <w:spacing w:after="0"/>
              <w:rPr>
                <w:sz w:val="20"/>
                <w:szCs w:val="20"/>
                <w:color w:val="auto"/>
              </w:rPr>
            </w:pPr>
            <w:r>
              <w:rPr>
                <w:rFonts w:ascii="Arial" w:cs="Arial" w:eastAsia="Arial" w:hAnsi="Arial"/>
                <w:sz w:val="18"/>
                <w:szCs w:val="18"/>
                <w:b w:val="1"/>
                <w:bCs w:val="1"/>
                <w:color w:val="auto"/>
                <w:w w:val="89"/>
              </w:rPr>
              <w:t>2022</w:t>
            </w: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jc w:val="right"/>
              <w:ind w:right="1130"/>
              <w:spacing w:after="0"/>
              <w:rPr>
                <w:sz w:val="20"/>
                <w:szCs w:val="20"/>
                <w:color w:val="auto"/>
              </w:rPr>
            </w:pPr>
            <w:r>
              <w:rPr>
                <w:rFonts w:ascii="Arial" w:cs="Arial" w:eastAsia="Arial" w:hAnsi="Arial"/>
                <w:sz w:val="18"/>
                <w:szCs w:val="18"/>
                <w:color w:val="auto"/>
              </w:rPr>
              <w:t>Warrant liability, related party</w:t>
            </w:r>
          </w:p>
        </w:tc>
        <w:tc>
          <w:tcPr>
            <w:tcW w:w="540" w:type="dxa"/>
            <w:vAlign w:val="bottom"/>
          </w:tcPr>
          <w:p>
            <w:pPr>
              <w:jc w:val="right"/>
              <w:ind w:right="35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54"/>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bottom w:val="single" w:sz="8" w:color="CCEEFF"/>
            </w:tcBorders>
            <w:shd w:val="clear" w:color="auto" w:fill="CCEEFF"/>
          </w:tcPr>
          <w:p>
            <w:pPr>
              <w:jc w:val="right"/>
              <w:ind w:right="267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jc w:val="right"/>
              <w:ind w:right="3150"/>
              <w:spacing w:after="0"/>
              <w:rPr>
                <w:sz w:val="20"/>
                <w:szCs w:val="20"/>
                <w:color w:val="auto"/>
              </w:rPr>
            </w:pPr>
            <w:r>
              <w:rPr>
                <w:rFonts w:ascii="Arial" w:cs="Arial" w:eastAsia="Arial" w:hAnsi="Arial"/>
                <w:sz w:val="18"/>
                <w:szCs w:val="18"/>
                <w:b w:val="1"/>
                <w:bCs w:val="1"/>
                <w:color w:val="auto"/>
                <w:w w:val="89"/>
              </w:rPr>
              <w:t>2021</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jc w:val="right"/>
              <w:ind w:right="1130"/>
              <w:spacing w:after="0"/>
              <w:rPr>
                <w:sz w:val="20"/>
                <w:szCs w:val="20"/>
                <w:color w:val="auto"/>
              </w:rPr>
            </w:pPr>
            <w:r>
              <w:rPr>
                <w:rFonts w:ascii="Arial" w:cs="Arial" w:eastAsia="Arial" w:hAnsi="Arial"/>
                <w:sz w:val="18"/>
                <w:szCs w:val="18"/>
                <w:color w:val="auto"/>
              </w:rPr>
              <w:t>Warrant liability, related party</w:t>
            </w:r>
          </w:p>
        </w:tc>
        <w:tc>
          <w:tcPr>
            <w:tcW w:w="540" w:type="dxa"/>
            <w:vAlign w:val="bottom"/>
          </w:tcPr>
          <w:p>
            <w:pPr>
              <w:jc w:val="right"/>
              <w:ind w:right="35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54"/>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bottom w:val="single" w:sz="8" w:color="CCEEFF"/>
            </w:tcBorders>
            <w:shd w:val="clear" w:color="auto" w:fill="CCEEFF"/>
          </w:tcPr>
          <w:p>
            <w:pPr>
              <w:jc w:val="right"/>
              <w:ind w:right="267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During the nine months ended September 30, 2021, Reneo completed its initial public offering. As a result, the fair value of the Company’s investment in Reneo’s common stock now has a readily determinable market value and is no longer eligible for the practical expedient for investments without readily determinable fair market values. As such, the Company’s investment in Reneo is adjusted each reporting period to its fair value based on its most recent closing price, which is considered a Level 1 fair value measurement under the fair value hierarchy.</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were no transfers into or out of level 3 instruments and/or between level 1 and level 2 instruments during the three and nine months ended September 30, 2022. Gains and losses recognized due to the change in fair value of the warrant liability, related party are recognized as a component of other (expense) income, related party in the Condensed Consolidated Statements of Operations.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 of the Letter Agreement Warrants was determined using the Black-Scholes option pricing model or option pricing models based on the Company’s current capitalization. Expected volatility is based on the historical volatility of the Company’s common stock over the most recent period. The risk-free rate is based on the U.S. Treasury yield curve in effect at the time of valuation. Significant inputs utilized in the valuation of the Letter Agreement Warrants as of September 30, 2022, and December 31, 2021, were: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3780" w:type="dxa"/>
            <w:vAlign w:val="bottom"/>
            <w:gridSpan w:val="2"/>
          </w:tcPr>
          <w:p>
            <w:pPr>
              <w:ind w:left="1280"/>
              <w:spacing w:after="0"/>
              <w:rPr>
                <w:sz w:val="20"/>
                <w:szCs w:val="20"/>
                <w:color w:val="auto"/>
              </w:rPr>
            </w:pPr>
            <w:r>
              <w:rPr>
                <w:rFonts w:ascii="Arial" w:cs="Arial" w:eastAsia="Arial" w:hAnsi="Arial"/>
                <w:sz w:val="14"/>
                <w:szCs w:val="14"/>
                <w:b w:val="1"/>
                <w:bCs w:val="1"/>
                <w:color w:val="auto"/>
              </w:rPr>
              <w:t>September 30, 2022</w:t>
            </w:r>
          </w:p>
        </w:tc>
        <w:tc>
          <w:tcPr>
            <w:tcW w:w="80" w:type="dxa"/>
            <w:vAlign w:val="bottom"/>
          </w:tcPr>
          <w:p>
            <w:pPr>
              <w:spacing w:after="0"/>
              <w:rPr>
                <w:sz w:val="16"/>
                <w:szCs w:val="16"/>
                <w:color w:val="auto"/>
              </w:rPr>
            </w:pPr>
          </w:p>
        </w:tc>
        <w:tc>
          <w:tcPr>
            <w:tcW w:w="3780" w:type="dxa"/>
            <w:vAlign w:val="bottom"/>
            <w:gridSpan w:val="2"/>
          </w:tcPr>
          <w:p>
            <w:pPr>
              <w:ind w:left="1320"/>
              <w:spacing w:after="0"/>
              <w:rPr>
                <w:sz w:val="20"/>
                <w:szCs w:val="20"/>
                <w:color w:val="auto"/>
              </w:rPr>
            </w:pPr>
            <w:r>
              <w:rPr>
                <w:rFonts w:ascii="Arial" w:cs="Arial" w:eastAsia="Arial" w:hAnsi="Arial"/>
                <w:sz w:val="14"/>
                <w:szCs w:val="14"/>
                <w:b w:val="1"/>
                <w:bCs w:val="1"/>
                <w:color w:val="auto"/>
              </w:rPr>
              <w:t>December 31, 2021</w:t>
            </w:r>
          </w:p>
        </w:tc>
      </w:tr>
      <w:tr>
        <w:trPr>
          <w:trHeight w:val="25"/>
        </w:trPr>
        <w:tc>
          <w:tcPr>
            <w:tcW w:w="35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0"/>
        </w:trPr>
        <w:tc>
          <w:tcPr>
            <w:tcW w:w="354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Range</w:t>
            </w:r>
          </w:p>
        </w:tc>
        <w:tc>
          <w:tcPr>
            <w:tcW w:w="18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Weighted Average</w:t>
            </w:r>
          </w:p>
        </w:tc>
        <w:tc>
          <w:tcPr>
            <w:tcW w:w="8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ind w:left="760"/>
              <w:spacing w:after="0"/>
              <w:rPr>
                <w:sz w:val="20"/>
                <w:szCs w:val="20"/>
                <w:color w:val="auto"/>
              </w:rPr>
            </w:pPr>
            <w:r>
              <w:rPr>
                <w:rFonts w:ascii="Arial" w:cs="Arial" w:eastAsia="Arial" w:hAnsi="Arial"/>
                <w:sz w:val="14"/>
                <w:szCs w:val="14"/>
                <w:b w:val="1"/>
                <w:bCs w:val="1"/>
                <w:color w:val="auto"/>
              </w:rPr>
              <w:t>Range</w:t>
            </w:r>
          </w:p>
        </w:tc>
        <w:tc>
          <w:tcPr>
            <w:tcW w:w="1820" w:type="dxa"/>
            <w:vAlign w:val="bottom"/>
            <w:tcBorders>
              <w:bottom w:val="single" w:sz="8" w:color="CCEEFF"/>
            </w:tcBorders>
          </w:tcPr>
          <w:p>
            <w:pPr>
              <w:ind w:left="320"/>
              <w:spacing w:after="0"/>
              <w:rPr>
                <w:sz w:val="20"/>
                <w:szCs w:val="20"/>
                <w:color w:val="auto"/>
              </w:rPr>
            </w:pPr>
            <w:r>
              <w:rPr>
                <w:rFonts w:ascii="Arial" w:cs="Arial" w:eastAsia="Arial" w:hAnsi="Arial"/>
                <w:sz w:val="14"/>
                <w:szCs w:val="14"/>
                <w:b w:val="1"/>
                <w:bCs w:val="1"/>
                <w:color w:val="auto"/>
              </w:rPr>
              <w:t>Weighted Average</w:t>
            </w:r>
          </w:p>
        </w:tc>
      </w:tr>
      <w:tr>
        <w:trPr>
          <w:trHeight w:val="229"/>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Expected volatility</w:t>
            </w:r>
          </w:p>
        </w:tc>
        <w:tc>
          <w:tcPr>
            <w:tcW w:w="19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81.70% - 109.73%</w:t>
            </w:r>
          </w:p>
        </w:tc>
        <w:tc>
          <w:tcPr>
            <w:tcW w:w="184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95.51%</w:t>
            </w:r>
          </w:p>
        </w:tc>
        <w:tc>
          <w:tcPr>
            <w:tcW w:w="2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82.68% - 142.86%</w:t>
            </w:r>
          </w:p>
        </w:tc>
        <w:tc>
          <w:tcPr>
            <w:tcW w:w="18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128.13%</w:t>
            </w:r>
          </w:p>
        </w:tc>
      </w:tr>
      <w:tr>
        <w:trPr>
          <w:trHeight w:val="230"/>
        </w:trPr>
        <w:tc>
          <w:tcPr>
            <w:tcW w:w="3540" w:type="dxa"/>
            <w:vAlign w:val="bottom"/>
          </w:tcPr>
          <w:p>
            <w:pPr>
              <w:ind w:left="240"/>
              <w:spacing w:after="0"/>
              <w:rPr>
                <w:sz w:val="20"/>
                <w:szCs w:val="20"/>
                <w:color w:val="auto"/>
              </w:rPr>
            </w:pPr>
            <w:r>
              <w:rPr>
                <w:rFonts w:ascii="Arial" w:cs="Arial" w:eastAsia="Arial" w:hAnsi="Arial"/>
                <w:sz w:val="18"/>
                <w:szCs w:val="18"/>
                <w:color w:val="auto"/>
              </w:rPr>
              <w:t>Risk-free interest rate</w:t>
            </w:r>
          </w:p>
        </w:tc>
        <w:tc>
          <w:tcPr>
            <w:tcW w:w="1940" w:type="dxa"/>
            <w:vAlign w:val="bottom"/>
          </w:tcPr>
          <w:p>
            <w:pPr>
              <w:jc w:val="right"/>
              <w:ind w:right="379"/>
              <w:spacing w:after="0"/>
              <w:rPr>
                <w:sz w:val="20"/>
                <w:szCs w:val="20"/>
                <w:color w:val="auto"/>
              </w:rPr>
            </w:pPr>
            <w:r>
              <w:rPr>
                <w:rFonts w:ascii="Arial" w:cs="Arial" w:eastAsia="Arial" w:hAnsi="Arial"/>
                <w:sz w:val="18"/>
                <w:szCs w:val="18"/>
                <w:color w:val="auto"/>
              </w:rPr>
              <w:t>4.13% - 4.25%</w:t>
            </w:r>
          </w:p>
        </w:tc>
        <w:tc>
          <w:tcPr>
            <w:tcW w:w="1840" w:type="dxa"/>
            <w:vAlign w:val="bottom"/>
          </w:tcPr>
          <w:p>
            <w:pPr>
              <w:jc w:val="right"/>
              <w:ind w:right="636"/>
              <w:spacing w:after="0"/>
              <w:rPr>
                <w:sz w:val="20"/>
                <w:szCs w:val="20"/>
                <w:color w:val="auto"/>
              </w:rPr>
            </w:pPr>
            <w:r>
              <w:rPr>
                <w:rFonts w:ascii="Arial" w:cs="Arial" w:eastAsia="Arial" w:hAnsi="Arial"/>
                <w:sz w:val="18"/>
                <w:szCs w:val="18"/>
                <w:color w:val="auto"/>
              </w:rPr>
              <w:t>4.20%</w:t>
            </w:r>
          </w:p>
        </w:tc>
        <w:tc>
          <w:tcPr>
            <w:tcW w:w="2040" w:type="dxa"/>
            <w:vAlign w:val="bottom"/>
            <w:gridSpan w:val="2"/>
          </w:tcPr>
          <w:p>
            <w:pPr>
              <w:jc w:val="right"/>
              <w:ind w:right="388"/>
              <w:spacing w:after="0"/>
              <w:rPr>
                <w:sz w:val="20"/>
                <w:szCs w:val="20"/>
                <w:color w:val="auto"/>
              </w:rPr>
            </w:pPr>
            <w:r>
              <w:rPr>
                <w:rFonts w:ascii="Arial" w:cs="Arial" w:eastAsia="Arial" w:hAnsi="Arial"/>
                <w:sz w:val="18"/>
                <w:szCs w:val="18"/>
                <w:color w:val="auto"/>
              </w:rPr>
              <w:t>0.95% - 1.26%</w:t>
            </w:r>
          </w:p>
        </w:tc>
        <w:tc>
          <w:tcPr>
            <w:tcW w:w="1820" w:type="dxa"/>
            <w:vAlign w:val="bottom"/>
          </w:tcPr>
          <w:p>
            <w:pPr>
              <w:jc w:val="right"/>
              <w:ind w:right="616"/>
              <w:spacing w:after="0"/>
              <w:rPr>
                <w:sz w:val="20"/>
                <w:szCs w:val="20"/>
                <w:color w:val="auto"/>
              </w:rPr>
            </w:pPr>
            <w:r>
              <w:rPr>
                <w:rFonts w:ascii="Arial" w:cs="Arial" w:eastAsia="Arial" w:hAnsi="Arial"/>
                <w:sz w:val="18"/>
                <w:szCs w:val="18"/>
                <w:color w:val="auto"/>
              </w:rPr>
              <w:t>1.15%</w:t>
            </w:r>
          </w:p>
        </w:tc>
      </w:tr>
    </w:tbl>
    <w:p>
      <w:pPr>
        <w:spacing w:after="0" w:line="17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fair value of the CinRx Warrants was determined using the Black-Scholes option pricing model. Expected volatility is based on the historical volatility of the Company’s common stock over the most recent period. The risk-free rate is based on the U.S. Treasury yield curve in effect at the time of valuation. Significant inputs utilized in the valuation of the CinRx Warrants as of September 30, 2022, were: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85.2 %</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Expected life of options in years</w:t>
            </w:r>
          </w:p>
        </w:tc>
        <w:tc>
          <w:tcPr>
            <w:tcW w:w="4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47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expected volatility and risk-free interest rate was based on the relative fair values of the warrants.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and CinRx Warrants. Increases (decreases) in the estimates of the Company’s annual volatility would increase (decrease) the liability and an increase (decrease) in the annual risk-free rate would increase (decrease) the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evaluated subsequent events through November 10, 2022, and determined that there have been no events that have occurred that would require adjustments to our disclosures or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 xml:space="preserve">We are a clinical stage pharmaceutical company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Arial" w:cs="Arial" w:eastAsia="Arial" w:hAnsi="Arial"/>
          <w:sz w:val="16"/>
          <w:szCs w:val="16"/>
          <w:i w:val="1"/>
          <w:iCs w:val="1"/>
          <w:color w:val="auto"/>
        </w:rPr>
        <w:t>TTP399</w:t>
      </w:r>
      <w:r>
        <w:rPr>
          <w:rFonts w:ascii="Arial" w:cs="Arial" w:eastAsia="Arial" w:hAnsi="Arial"/>
          <w:sz w:val="16"/>
          <w:szCs w:val="16"/>
          <w:color w:val="auto"/>
        </w:rPr>
        <w:t>, an orally administered, small molecule, liver-selective glucokinase activator (“GKA”) for the treatment of type 1 diabetes.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July 27, 2022, the Company appointed Paul Sekhri as President, Chief Executive Officer (CEO) effective August 1, 2022, and was confirmed as a member of the board of directors on August 9, 2022. Mr. Sekhri brings nearly 30 years of healthcare experience, including serving as President and CEO of several healthcare companies, experience in several senior business development and strategy roles and he has been a director on more than 30 private, public company and non-profit boards.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Based upon the positive results of our Simplici-T1 Study, we requested Breakthrough Therapy Designation (“BTD”) with the FDA which was granted in April 2021. In October 2021, we began to implement a strategy to focus our efforts on the continued development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for patients with type 1 diabetes (“T1D”).</w:t>
      </w:r>
    </w:p>
    <w:p>
      <w:pPr>
        <w:spacing w:after="0" w:line="7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After several meetings with the FDA BTD-team, the Company is planning two pivotal, placebo-controlled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subjects with T1D. The studies will recruit a total of approximately 1,000 patients and at least one of the studies will be one year of treatment. The FDA confirmed that the effect size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on events of hypoglycemia as demonstrated in the Phase 2 SimpliciT-1 Study is clinically meaningful and has agreed on the primary endpoint for the studies as the difference between placebo and </w:t>
      </w:r>
      <w:r>
        <w:rPr>
          <w:rFonts w:ascii="Arial" w:cs="Arial" w:eastAsia="Arial" w:hAnsi="Arial"/>
          <w:sz w:val="17"/>
          <w:szCs w:val="17"/>
          <w:i w:val="1"/>
          <w:iCs w:val="1"/>
          <w:color w:val="auto"/>
        </w:rPr>
        <w:t>TTP399</w:t>
      </w:r>
      <w:r>
        <w:rPr>
          <w:rFonts w:ascii="Arial" w:cs="Arial" w:eastAsia="Arial" w:hAnsi="Arial"/>
          <w:sz w:val="17"/>
          <w:szCs w:val="17"/>
          <w:color w:val="auto"/>
        </w:rPr>
        <w:t>-treated group in number of hypoglycemia events.</w:t>
      </w:r>
    </w:p>
    <w:p>
      <w:pPr>
        <w:spacing w:after="0" w:line="63" w:lineRule="exact"/>
        <w:rPr>
          <w:sz w:val="20"/>
          <w:szCs w:val="20"/>
          <w:color w:val="auto"/>
        </w:rPr>
      </w:pPr>
    </w:p>
    <w:p>
      <w:pPr>
        <w:jc w:val="both"/>
        <w:ind w:firstLine="486"/>
        <w:spacing w:after="0" w:line="218" w:lineRule="exact"/>
        <w:rPr>
          <w:sz w:val="20"/>
          <w:szCs w:val="20"/>
          <w:color w:val="auto"/>
        </w:rPr>
      </w:pPr>
      <w:r>
        <w:rPr>
          <w:rFonts w:ascii="Arial" w:cs="Arial" w:eastAsia="Arial" w:hAnsi="Arial"/>
          <w:sz w:val="16"/>
          <w:szCs w:val="16"/>
          <w:color w:val="auto"/>
        </w:rPr>
        <w:t xml:space="preserve">The results of the mechanistic study provided additional evidence to support the idea that treatment with </w:t>
      </w:r>
      <w:r>
        <w:rPr>
          <w:rFonts w:ascii="Arial" w:cs="Arial" w:eastAsia="Arial" w:hAnsi="Arial"/>
          <w:sz w:val="16"/>
          <w:szCs w:val="16"/>
          <w:i w:val="1"/>
          <w:iCs w:val="1"/>
          <w:color w:val="auto"/>
        </w:rPr>
        <w:t>TTP399</w:t>
      </w:r>
      <w:r>
        <w:rPr>
          <w:rFonts w:ascii="Arial" w:cs="Arial" w:eastAsia="Arial" w:hAnsi="Arial"/>
          <w:sz w:val="16"/>
          <w:szCs w:val="16"/>
          <w:color w:val="auto"/>
        </w:rPr>
        <w:t xml:space="preserve"> will not increase the risk of diabetic ketoacidosis (“DKA”) in patients with T1D. The data demonstrate that in contrast to agents such as SGLT2 inhibitors and GLP</w:t>
      </w:r>
      <w:r>
        <w:rPr>
          <w:rFonts w:ascii="MS PGothic" w:cs="MS PGothic" w:eastAsia="MS PGothic" w:hAnsi="MS PGothic"/>
          <w:sz w:val="16"/>
          <w:szCs w:val="16"/>
          <w:color w:val="auto"/>
        </w:rPr>
        <w:t>‐</w:t>
      </w:r>
      <w:r>
        <w:rPr>
          <w:rFonts w:ascii="Arial" w:cs="Arial" w:eastAsia="Arial" w:hAnsi="Arial"/>
          <w:sz w:val="16"/>
          <w:szCs w:val="16"/>
          <w:color w:val="auto"/>
        </w:rPr>
        <w:t xml:space="preserve">1RAs, </w:t>
      </w:r>
      <w:r>
        <w:rPr>
          <w:rFonts w:ascii="Arial" w:cs="Arial" w:eastAsia="Arial" w:hAnsi="Arial"/>
          <w:sz w:val="16"/>
          <w:szCs w:val="16"/>
          <w:i w:val="1"/>
          <w:iCs w:val="1"/>
          <w:color w:val="auto"/>
        </w:rPr>
        <w:t>TTP399</w:t>
      </w:r>
      <w:r>
        <w:rPr>
          <w:rFonts w:ascii="Arial" w:cs="Arial" w:eastAsia="Arial" w:hAnsi="Arial"/>
          <w:sz w:val="16"/>
          <w:szCs w:val="16"/>
          <w:color w:val="auto"/>
        </w:rPr>
        <w:t xml:space="preserve"> does not increase the risk of ketoacidosis when used as an adjunctive therapy to insulin in individuals with T1D. Moreover, these findings support prior studies that demonstrate that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improves glucose control and reduces hypoglycemia and suggests a protective effect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against acidosis in people with T1D. Thus, accumulating data suggest that </w:t>
      </w:r>
      <w:r>
        <w:rPr>
          <w:rFonts w:ascii="Arial" w:cs="Arial" w:eastAsia="Arial" w:hAnsi="Arial"/>
          <w:sz w:val="16"/>
          <w:szCs w:val="16"/>
          <w:i w:val="1"/>
          <w:iCs w:val="1"/>
          <w:color w:val="auto"/>
        </w:rPr>
        <w:t>TTP399</w:t>
      </w:r>
      <w:r>
        <w:rPr>
          <w:rFonts w:ascii="Arial" w:cs="Arial" w:eastAsia="Arial" w:hAnsi="Arial"/>
          <w:sz w:val="16"/>
          <w:szCs w:val="16"/>
          <w:color w:val="auto"/>
        </w:rPr>
        <w:t xml:space="preserve"> has robust potential as an adjunctive therapy for T1D. Full study results were published in the </w:t>
      </w:r>
      <w:r>
        <w:rPr>
          <w:rFonts w:ascii="Arial" w:cs="Arial" w:eastAsia="Arial" w:hAnsi="Arial"/>
          <w:sz w:val="16"/>
          <w:szCs w:val="16"/>
          <w:i w:val="1"/>
          <w:iCs w:val="1"/>
          <w:color w:val="auto"/>
        </w:rPr>
        <w:t>Diabetes Obesity and Metabolism</w:t>
      </w:r>
      <w:r>
        <w:rPr>
          <w:rFonts w:ascii="Arial" w:cs="Arial" w:eastAsia="Arial" w:hAnsi="Arial"/>
          <w:sz w:val="16"/>
          <w:szCs w:val="16"/>
          <w:color w:val="auto"/>
        </w:rPr>
        <w:t xml:space="preserve"> journal in conjunction with the 82nd American Diabetes Association Scientific Sessions on June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drug candidates, their partnership status,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786120" cy="3291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8612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Type 1 Diabetes Program – </w:t>
      </w:r>
      <w:r>
        <w:rPr>
          <w:rFonts w:ascii="Arial" w:cs="Arial" w:eastAsia="Arial" w:hAnsi="Arial"/>
          <w:sz w:val="18"/>
          <w:szCs w:val="18"/>
          <w:b w:val="1"/>
          <w:bCs w:val="1"/>
          <w:i w:val="1"/>
          <w:iCs w:val="1"/>
          <w:color w:val="auto"/>
        </w:rPr>
        <w:t>TTP399</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The Company is planning two pivotal, placebo-controlled clinical trials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subjects with T1D and has engaged with the FDA on the optimal clinical trial designs for these studies. The studies will recruit a total of approximately 1000 patients and at least one of the studies will be one year of treatment. The FDA and the company have agreed on the primary endpoint for the studies as the difference between placebo and </w:t>
      </w:r>
      <w:r>
        <w:rPr>
          <w:rFonts w:ascii="Arial" w:cs="Arial" w:eastAsia="Arial" w:hAnsi="Arial"/>
          <w:sz w:val="18"/>
          <w:szCs w:val="18"/>
          <w:i w:val="1"/>
          <w:iCs w:val="1"/>
          <w:color w:val="auto"/>
        </w:rPr>
        <w:t>TTP399</w:t>
      </w:r>
      <w:r>
        <w:rPr>
          <w:rFonts w:ascii="Arial" w:cs="Arial" w:eastAsia="Arial" w:hAnsi="Arial"/>
          <w:sz w:val="18"/>
          <w:szCs w:val="18"/>
          <w:color w:val="auto"/>
        </w:rPr>
        <w:t>-treated group in number of hypoglycemia events. We expect site-specific startup activities and patient enrollment for these pivotal studies to begin in the first quarter of 2023.</w:t>
      </w:r>
    </w:p>
    <w:p>
      <w:pPr>
        <w:spacing w:after="0" w:line="8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In October 2021, we announced positive results of a mechanistic study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patients with T1D. The study demonstrated that patients with T1D taking </w:t>
      </w:r>
      <w:r>
        <w:rPr>
          <w:rFonts w:ascii="Arial" w:cs="Arial" w:eastAsia="Arial" w:hAnsi="Arial"/>
          <w:sz w:val="16"/>
          <w:szCs w:val="16"/>
          <w:i w:val="1"/>
          <w:iCs w:val="1"/>
          <w:color w:val="auto"/>
        </w:rPr>
        <w:t>TTP399</w:t>
      </w:r>
      <w:r>
        <w:rPr>
          <w:rFonts w:ascii="Arial" w:cs="Arial" w:eastAsia="Arial" w:hAnsi="Arial"/>
          <w:sz w:val="16"/>
          <w:szCs w:val="16"/>
          <w:color w:val="auto"/>
        </w:rPr>
        <w:t xml:space="preserve"> experienced no increase in ketone levels relative to placebo during a period of acute insulin withdrawal, indicating no increased risk of ketoacidosis. Consistent with previous clinical studies, improved fasting plasma glucose levels and fewer hypoglycemic events were observed in the </w:t>
      </w:r>
      <w:r>
        <w:rPr>
          <w:rFonts w:ascii="Arial" w:cs="Arial" w:eastAsia="Arial" w:hAnsi="Arial"/>
          <w:sz w:val="16"/>
          <w:szCs w:val="16"/>
          <w:i w:val="1"/>
          <w:iCs w:val="1"/>
          <w:color w:val="auto"/>
        </w:rPr>
        <w:t xml:space="preserve">TTP399 </w:t>
      </w:r>
      <w:r>
        <w:rPr>
          <w:rFonts w:ascii="Arial" w:cs="Arial" w:eastAsia="Arial" w:hAnsi="Arial"/>
          <w:sz w:val="16"/>
          <w:szCs w:val="16"/>
          <w:color w:val="auto"/>
        </w:rPr>
        <w:t>treated group during the week of treatment prior to the insulin withdrawal test. The FDA has declined to approve SGLT2 inhibitors as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adjunctive therapy in T1D, with concerns over the potential risks of diabetic ketoacidosis (“DKA”) in focus. DKA can lead to hospitalization and, if untreated, death. To address these concerns, vTv, following the FDA’s recommendation, conducted this mechanistic study to demonstrate that treatment with </w:t>
      </w:r>
      <w:r>
        <w:rPr>
          <w:rFonts w:ascii="Arial" w:cs="Arial" w:eastAsia="Arial" w:hAnsi="Arial"/>
          <w:sz w:val="16"/>
          <w:szCs w:val="16"/>
          <w:i w:val="1"/>
          <w:iCs w:val="1"/>
          <w:color w:val="auto"/>
        </w:rPr>
        <w:t>TTP399</w:t>
      </w:r>
      <w:r>
        <w:rPr>
          <w:rFonts w:ascii="Arial" w:cs="Arial" w:eastAsia="Arial" w:hAnsi="Arial"/>
          <w:sz w:val="16"/>
          <w:szCs w:val="16"/>
          <w:color w:val="auto"/>
        </w:rPr>
        <w:t>, a liver-selective glucokinase activator, will not result in increased production of ketones, a precursor to ketoacidosis.</w:t>
      </w:r>
    </w:p>
    <w:p>
      <w:pPr>
        <w:spacing w:after="0" w:line="5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 xml:space="preserve">In April 2021, we announced that the FDA granted BTD for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an adjunctive therapy to insulin for the treatment of T1D. This designation provides a sponsor with added support and the potential to expedite development and review timelines for a promising new investigational medicine.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G42 Investments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On May 31, 2022, the Company announced entry into agreements that include a $25.0 million investment by G42 Investments. Under the terms of the agreements, the Company agreed to sell G42 Investments 10,386,274 shares of the Company’s Class A common stock at an issue price of $2.41 per share, with $12.5 million paid in cash at closing, and the remaining amount of $12.5 million payable on May 31, 2023. The agreements also provide for the potential issuance of $30.0 million in additional shares of Class A common stock to G42 Investments (or cash in lieu of such issuance at the option of G42 Investments) if the FDA approves the marketing and sale of a pharmaceutical product containing </w:t>
      </w:r>
      <w:r>
        <w:rPr>
          <w:rFonts w:ascii="Arial" w:cs="Arial" w:eastAsia="Arial" w:hAnsi="Arial"/>
          <w:sz w:val="17"/>
          <w:szCs w:val="17"/>
          <w:i w:val="1"/>
          <w:iCs w:val="1"/>
          <w:color w:val="auto"/>
        </w:rPr>
        <w:t>TTP399</w:t>
      </w:r>
      <w:r>
        <w:rPr>
          <w:rFonts w:ascii="Arial" w:cs="Arial" w:eastAsia="Arial" w:hAnsi="Arial"/>
          <w:sz w:val="17"/>
          <w:szCs w:val="17"/>
          <w:color w:val="auto"/>
        </w:rPr>
        <w:t>, a liver selective glucokinase activator, as the active ingredient for treatment of T1D in the United States. The agreements set forth</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terms under which the Company and Cogna, an affiliate of G42 Investments, plan to collaborate on clinical trials for pharmaceutical products that contain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including Cogna funding a portion of the Phase 3 clinical trials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the Company granting Cogna an exclusive license to develop and commercialize pharmaceutical products containing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a specified territory, principally consisting of the Middle East, Africa and Central Asia.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CinRx Purchase Agreement</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On July 25, 2022, the Company announced entry into agreements that include a $10 million investment by CinPax, LLC (“CinPax”), a subsidiary of CinRx Pharma, LLC (“CinRx”). Under the terms of the agreements, CinPax acquired 4,154,549 shares of Class A Common Stock of vTv at an issue price of approximately $2.41 per share, with $6.0 million paid in cash at closing, and the remaining amount of $4.0 million payable on November 22, 2022. The agreements also provide for the issuance of 1,200,000 warrants to CinRx to acquire additional shares of Class A common stock that become exercisable upon agreed vesting triggers (including FDA approval of </w:t>
      </w:r>
      <w:r>
        <w:rPr>
          <w:rFonts w:ascii="Arial" w:cs="Arial" w:eastAsia="Arial" w:hAnsi="Arial"/>
          <w:sz w:val="17"/>
          <w:szCs w:val="17"/>
          <w:i w:val="1"/>
          <w:iCs w:val="1"/>
          <w:color w:val="auto"/>
        </w:rPr>
        <w:t>TTP399</w:t>
      </w:r>
      <w:r>
        <w:rPr>
          <w:rFonts w:ascii="Arial" w:cs="Arial" w:eastAsia="Arial" w:hAnsi="Arial"/>
          <w:sz w:val="17"/>
          <w:szCs w:val="17"/>
          <w:color w:val="auto"/>
        </w:rPr>
        <w:t>). In addition to the investment, the Company and CinRx entered into a Master Service Agreement (“MSA”) whereby CinRx provides the Company with consulting, pre-clinical and clinical trial services, as enumerated in project proposals negotiated between the Company and CinRx from time to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milestones and research fees under collaboration and license agreements.</w:t>
      </w:r>
    </w:p>
    <w:p>
      <w:pPr>
        <w:spacing w:after="0" w:line="6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5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From our inception, including our predecessor companies, through September 30, 2022, we have incurred approximately $608.5 million in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research and development expenses by project for the three and nine months ended September 30, 2022, and 2021 were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310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47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613"/>
              <w:spacing w:after="0"/>
              <w:rPr>
                <w:sz w:val="20"/>
                <w:szCs w:val="20"/>
                <w:color w:val="auto"/>
              </w:rPr>
            </w:pPr>
            <w:r>
              <w:rPr>
                <w:rFonts w:ascii="Arial" w:cs="Arial" w:eastAsia="Arial" w:hAnsi="Arial"/>
                <w:sz w:val="14"/>
                <w:szCs w:val="14"/>
                <w:b w:val="1"/>
                <w:bCs w:val="1"/>
                <w:color w:val="auto"/>
              </w:rPr>
              <w:t>2021</w:t>
            </w:r>
          </w:p>
        </w:tc>
      </w:tr>
      <w:tr>
        <w:trPr>
          <w:trHeight w:val="26"/>
        </w:trPr>
        <w:tc>
          <w:tcPr>
            <w:tcW w:w="4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 expense: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i w:val="1"/>
                <w:iCs w:val="1"/>
                <w:color w:val="auto"/>
              </w:rPr>
              <w:t>TTP399</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2,309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6,438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1,365</w:t>
            </w: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HPP737</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i w:val="1"/>
                <w:iCs w:val="1"/>
                <w:color w:val="auto"/>
              </w:rPr>
              <w:t>Azeliragon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projects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Indirect research and development expense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We plan to continue to incur significant research and development expenses for the foreseeable future as we continue the development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further advance the development of our other drug candidates, subject to the availability of additional funding.</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980" w:hanging="486"/>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filing, prosecuting, defending, and enforcing of patent claims and other intellectual property rights, and the expense of doing so.</w:t>
      </w:r>
    </w:p>
    <w:p>
      <w:pPr>
        <w:spacing w:after="0" w:line="1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interest expense is immaterial.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interest expense is immaterial.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Other income/expense primarily consists of unrealized gains or losses attributable to the changes in fair value of the equity investments held by our licensees, as well as the recognition of changes in fair value of the warrants to purchase shares of our Class A common stock held by related parties.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19"/>
                <w:szCs w:val="19"/>
                <w:color w:val="auto"/>
              </w:rPr>
            </w:pPr>
          </w:p>
        </w:tc>
        <w:tc>
          <w:tcPr>
            <w:tcW w:w="4240" w:type="dxa"/>
            <w:vAlign w:val="bottom"/>
            <w:gridSpan w:val="7"/>
          </w:tcPr>
          <w:p>
            <w:pPr>
              <w:jc w:val="right"/>
              <w:ind w:right="810"/>
              <w:spacing w:after="0"/>
              <w:rPr>
                <w:sz w:val="20"/>
                <w:szCs w:val="20"/>
                <w:color w:val="auto"/>
              </w:rPr>
            </w:pPr>
            <w:r>
              <w:rPr>
                <w:rFonts w:ascii="Arial" w:cs="Arial" w:eastAsia="Arial" w:hAnsi="Arial"/>
                <w:sz w:val="18"/>
                <w:szCs w:val="18"/>
                <w:b w:val="1"/>
                <w:bCs w:val="1"/>
                <w:color w:val="auto"/>
              </w:rPr>
              <w:t>Three Months Ended September 30,</w:t>
            </w:r>
          </w:p>
        </w:tc>
      </w:tr>
      <w:tr>
        <w:trPr>
          <w:trHeight w:val="234"/>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r>
      <w:tr>
        <w:trPr>
          <w:trHeight w:val="230"/>
        </w:trPr>
        <w:tc>
          <w:tcPr>
            <w:tcW w:w="668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673</w:t>
            </w:r>
          </w:p>
        </w:tc>
      </w:tr>
      <w:tr>
        <w:trPr>
          <w:trHeight w:val="230"/>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2,634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413</w:t>
            </w:r>
          </w:p>
        </w:tc>
      </w:tr>
      <w:tr>
        <w:trPr>
          <w:trHeight w:val="223"/>
        </w:trPr>
        <w:tc>
          <w:tcPr>
            <w:tcW w:w="6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5,689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1,086</w:t>
            </w:r>
          </w:p>
        </w:tc>
      </w:tr>
      <w:tr>
        <w:trPr>
          <w:trHeight w:val="223"/>
        </w:trPr>
        <w:tc>
          <w:tcPr>
            <w:tcW w:w="668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(5,689)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(4,086)</w:t>
            </w:r>
          </w:p>
        </w:tc>
      </w:tr>
      <w:tr>
        <w:trPr>
          <w:trHeight w:val="229"/>
        </w:trPr>
        <w:tc>
          <w:tcPr>
            <w:tcW w:w="6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r>
      <w:tr>
        <w:trPr>
          <w:trHeight w:val="229"/>
        </w:trPr>
        <w:tc>
          <w:tcPr>
            <w:tcW w:w="66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6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r>
      <w:tr>
        <w:trPr>
          <w:trHeight w:val="223"/>
        </w:trPr>
        <w:tc>
          <w:tcPr>
            <w:tcW w:w="668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(5,468)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(4,103)</w:t>
            </w:r>
          </w:p>
        </w:tc>
      </w:tr>
      <w:tr>
        <w:trPr>
          <w:trHeight w:val="230"/>
        </w:trPr>
        <w:tc>
          <w:tcPr>
            <w:tcW w:w="6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23"/>
        </w:trPr>
        <w:tc>
          <w:tcPr>
            <w:tcW w:w="668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(5,468)</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(4,003)</w:t>
            </w:r>
          </w:p>
        </w:tc>
      </w:tr>
      <w:tr>
        <w:trPr>
          <w:trHeight w:val="229"/>
        </w:trPr>
        <w:tc>
          <w:tcPr>
            <w:tcW w:w="6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(829)</w:t>
            </w:r>
          </w:p>
        </w:tc>
      </w:tr>
      <w:tr>
        <w:trPr>
          <w:trHeight w:val="223"/>
        </w:trPr>
        <w:tc>
          <w:tcPr>
            <w:tcW w:w="668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(4,261)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(3,174)</w:t>
            </w: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was no revenue for the three months ended September 30, 2022. Revenue for the three months ended September 30, 2021, included increases to the transaction prices for the license performance obligations under the license agreement with Newsoara Biopharma Co., Ltd., (“Newsoara”) (the “Newsoara License Agreement”) and Reneo Pharmaceuticals, Inc. (“Reneo) (the “Reneo License agreement”) due to the satisfaction of development milestones.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Research and development expenses were $3.1 million and $2.4 million for the three months ended September 30, 2022, and 2021, respectively. The increase in research and development expenses during this period of $0.7 million or 28.3%, was primarily driven by i) higher spending on </w:t>
      </w:r>
      <w:r>
        <w:rPr>
          <w:rFonts w:ascii="Arial" w:cs="Arial" w:eastAsia="Arial" w:hAnsi="Arial"/>
          <w:sz w:val="18"/>
          <w:szCs w:val="18"/>
          <w:i w:val="1"/>
          <w:iCs w:val="1"/>
          <w:color w:val="auto"/>
        </w:rPr>
        <w:t>TTP399</w:t>
      </w:r>
      <w:r>
        <w:rPr>
          <w:rFonts w:ascii="Arial" w:cs="Arial" w:eastAsia="Arial" w:hAnsi="Arial"/>
          <w:sz w:val="18"/>
          <w:szCs w:val="18"/>
          <w:color w:val="auto"/>
        </w:rPr>
        <w:t xml:space="preserve"> of $1.6 million, due to increases in drug product related costs as well as higher spending on trial preparation costs, partially offset by ii) decreased spending of $0.6 million related to the multiple ascending dose study for </w:t>
      </w:r>
      <w:r>
        <w:rPr>
          <w:rFonts w:ascii="Arial" w:cs="Arial" w:eastAsia="Arial" w:hAnsi="Arial"/>
          <w:sz w:val="18"/>
          <w:szCs w:val="18"/>
          <w:i w:val="1"/>
          <w:iCs w:val="1"/>
          <w:color w:val="auto"/>
        </w:rPr>
        <w:t>HPP737,</w:t>
      </w:r>
      <w:r>
        <w:rPr>
          <w:rFonts w:ascii="Arial" w:cs="Arial" w:eastAsia="Arial" w:hAnsi="Arial"/>
          <w:sz w:val="18"/>
          <w:szCs w:val="18"/>
          <w:color w:val="auto"/>
        </w:rPr>
        <w:t xml:space="preserve"> due to its completion in 2021 and iii) decreases in indirect costs and other projects of $0.3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r>
        <w:rPr>
          <w:rFonts w:ascii="Arial" w:cs="Arial" w:eastAsia="Arial" w:hAnsi="Arial"/>
          <w:sz w:val="18"/>
          <w:szCs w:val="18"/>
          <w:i w:val="1"/>
          <w:iCs w:val="1"/>
          <w:color w:val="auto"/>
        </w:rPr>
        <w: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General and administrative expenses were $2.6 million and $2.2 million for the three months ended September 30, 2022, and 2021, respectively. The increase in general and administrative expenses during this period of $0.4 million, or 18.6%, was primarily driven by i) increases of $0.5 million in legal expense, ii) increases of $0.4 million other general and administrative costs, partially offset by iii) decreases in payroll costs of $0.5 million due to the reduction in workforce at year-end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Interest income for the three months ended September 30, 2022, of $0.2 million is related to imputed interest on the promissory notes. Interest income for the three months ended September 30, 2021, was insignificant.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for the three months ended September 30, 2022, and 2021, was insignificant.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 Income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Other expense was $0.1 million for the three months ended September 30, 2022, and was driven by an unrealized gain related to our investment in Reneo as well as the losses related to the change in the fair value of the outstanding warrants to purchase shares of our own stock issued to related parties (“Related Party Warrants”). Other income was $0.2 million for the three months ended September 30, 2021, and was related to the unrealized loss recognized related to our investment in Reneo as well as gains related to the change in the fair value of the outstanding warrants in our own stock held by a related party.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19"/>
                <w:szCs w:val="19"/>
                <w:color w:val="auto"/>
              </w:rPr>
            </w:pPr>
          </w:p>
        </w:tc>
        <w:tc>
          <w:tcPr>
            <w:tcW w:w="4220" w:type="dxa"/>
            <w:vAlign w:val="bottom"/>
            <w:gridSpan w:val="7"/>
          </w:tcPr>
          <w:p>
            <w:pPr>
              <w:jc w:val="right"/>
              <w:ind w:right="850"/>
              <w:spacing w:after="0"/>
              <w:rPr>
                <w:sz w:val="20"/>
                <w:szCs w:val="20"/>
                <w:color w:val="auto"/>
              </w:rPr>
            </w:pPr>
            <w:r>
              <w:rPr>
                <w:rFonts w:ascii="Arial" w:cs="Arial" w:eastAsia="Arial" w:hAnsi="Arial"/>
                <w:sz w:val="18"/>
                <w:szCs w:val="18"/>
                <w:b w:val="1"/>
                <w:bCs w:val="1"/>
                <w:color w:val="auto"/>
              </w:rPr>
              <w:t>Nine Months Ended September 30,</w:t>
            </w:r>
          </w:p>
        </w:tc>
      </w:tr>
      <w:tr>
        <w:trPr>
          <w:trHeight w:val="234"/>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(1,987)</w:t>
            </w:r>
          </w:p>
        </w:tc>
      </w:tr>
      <w:tr>
        <w:trPr>
          <w:trHeight w:val="230"/>
        </w:trPr>
        <w:tc>
          <w:tcPr>
            <w:tcW w:w="662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471</w:t>
            </w:r>
          </w:p>
        </w:tc>
      </w:tr>
      <w:tr>
        <w:trPr>
          <w:trHeight w:val="229"/>
        </w:trPr>
        <w:tc>
          <w:tcPr>
            <w:tcW w:w="6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6,627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3,186</w:t>
            </w:r>
          </w:p>
        </w:tc>
      </w:tr>
      <w:tr>
        <w:trPr>
          <w:trHeight w:val="223"/>
        </w:trPr>
        <w:tc>
          <w:tcPr>
            <w:tcW w:w="6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14,549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3,657</w:t>
            </w: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(10,553)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(5,644)</w:t>
            </w:r>
          </w:p>
        </w:tc>
      </w:tr>
      <w:tr>
        <w:trPr>
          <w:trHeight w:val="230"/>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r>
      <w:tr>
        <w:trPr>
          <w:trHeight w:val="229"/>
        </w:trPr>
        <w:tc>
          <w:tcPr>
            <w:tcW w:w="66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2,425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(5,202)</w:t>
            </w: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(8,133)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(10,650)</w:t>
            </w:r>
          </w:p>
        </w:tc>
      </w:tr>
      <w:tr>
        <w:trPr>
          <w:trHeight w:val="230"/>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(18,983)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(8,248)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(10,735)</w:t>
            </w:r>
          </w:p>
        </w:tc>
      </w:tr>
      <w:tr>
        <w:trPr>
          <w:trHeight w:val="230"/>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(2,312)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(2,252)</w:t>
            </w: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(5,936)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(8,483)</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Revenue for the nine months ended September 30, 2022, includes a $2.0 million increase to the transaction price for the license performance obligations under the amended license agreement with Huadong due to the satisfaction of a development milestone. Revenue for the nine months ended September 30, 2021, relates to the reallocation of revenue to the license and technology transfer performance obligation made in connection with the First Huadong Amendment as well as increases to the transaction prices for the license performance obligations under the Newsoara License Agreement and the Reneo License Agreement due to the satisfaction of development milestones.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Research and development expenses were $8.4 million and $7.9 million for the nine months ended September 30, 2022, and 2021, respectively. The increase in research and development expenses during the period of $0.5 million, or 5.9%, was primarily driven by i) higher spending on </w:t>
      </w:r>
      <w:r>
        <w:rPr>
          <w:rFonts w:ascii="Arial" w:cs="Arial" w:eastAsia="Arial" w:hAnsi="Arial"/>
          <w:sz w:val="16"/>
          <w:szCs w:val="16"/>
          <w:i w:val="1"/>
          <w:iCs w:val="1"/>
          <w:color w:val="auto"/>
        </w:rPr>
        <w:t>TTP399</w:t>
      </w:r>
      <w:r>
        <w:rPr>
          <w:rFonts w:ascii="Arial" w:cs="Arial" w:eastAsia="Arial" w:hAnsi="Arial"/>
          <w:sz w:val="16"/>
          <w:szCs w:val="16"/>
          <w:color w:val="auto"/>
        </w:rPr>
        <w:t xml:space="preserve"> of $5.1 million due to increases in drug product related costs as well as higher spending on trial preparation costs, partially offset by ii) a decrease in clinical trial costs of $0.8 million for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which was driven by discontinuance of its development as a potential treatment of Alzheimer’s disease in patients with type 2 diabetes, iii) decreased spending of $2.3 million related to the multiple ascending dose study for </w:t>
      </w:r>
      <w:r>
        <w:rPr>
          <w:rFonts w:ascii="Arial" w:cs="Arial" w:eastAsia="Arial" w:hAnsi="Arial"/>
          <w:sz w:val="16"/>
          <w:szCs w:val="16"/>
          <w:i w:val="1"/>
          <w:iCs w:val="1"/>
          <w:color w:val="auto"/>
        </w:rPr>
        <w:t>HPP737,</w:t>
      </w:r>
      <w:r>
        <w:rPr>
          <w:rFonts w:ascii="Arial" w:cs="Arial" w:eastAsia="Arial" w:hAnsi="Arial"/>
          <w:sz w:val="16"/>
          <w:szCs w:val="16"/>
          <w:color w:val="auto"/>
        </w:rPr>
        <w:t xml:space="preserve"> due to its completion in 2021, and iii) decreases in indirect costs of $1.5 million primarily related to payroll costs due to the reduction in workforce at year-end of 2021.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r>
        <w:rPr>
          <w:rFonts w:ascii="Arial" w:cs="Arial" w:eastAsia="Arial" w:hAnsi="Arial"/>
          <w:sz w:val="18"/>
          <w:szCs w:val="18"/>
          <w:i w:val="1"/>
          <w:iCs w:val="1"/>
          <w:color w:val="auto"/>
        </w:rPr>
        <w: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General and administrative expenses were $9.8 million and $6.6 million for the nine months ended September 30, 2022, and 2021, respectively. The increase of $3.2 million has been primarily driven by i) increases of $3.2 million in legal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expense, ii) increases of $0.8 million in severance costs, iii) increases of $1.0 million in other general and administrative costs, partially offset by iv) decreases of $0.1 million in shared based expense, and v) decreases of $1.7 million in payroll costs due to the reduction in workforce at year-end of 2021.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income for the nine months ended September 30, 2022, of $0.2 million is related to imputed interest on the promissory note. Interest income for the nine months ended September 30, 2021, was insignificant.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for the nine months ended September 30, 2022, and 2021, was insignificant.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Other expense was $2.8 million for the nine months ended September 30, 2022, and is driven by an unrealized loss recognized related to the Company’s investment in Reneo as well as the losses related to the change in the fair value of the outstanding warrants to purchase shares of our own stock issued to related parties. Other income was $2.4 million for the nine months ended September 30, 2021, and was driven by an unrealized gain recognized related to the Company’s investment in Reneo as well as gains related to the change in fair value of the outstanding warrants in our own stock held by a related party.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As of September 30, 2022, we have an accumulated deficit of $267.1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September 30, 2022, our liquidity sources included cash and cash equivalents of $15.3 million. In addition to available cash and cash equivalents discussed above, we are evaluating several financing strategies to fund the on-going and future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including direct equity investments and the potential licensing and monetization of other Company programs such as </w:t>
      </w:r>
      <w:r>
        <w:rPr>
          <w:rFonts w:ascii="Arial" w:cs="Arial" w:eastAsia="Arial" w:hAnsi="Arial"/>
          <w:sz w:val="17"/>
          <w:szCs w:val="17"/>
          <w:i w:val="1"/>
          <w:iCs w:val="1"/>
          <w:color w:val="auto"/>
        </w:rPr>
        <w:t>HPP737</w:t>
      </w:r>
      <w:r>
        <w:rPr>
          <w:rFonts w:ascii="Arial" w:cs="Arial" w:eastAsia="Arial" w:hAnsi="Arial"/>
          <w:sz w:val="17"/>
          <w:szCs w:val="17"/>
          <w:color w:val="auto"/>
        </w:rPr>
        <w:t>. The Company has a promissory note of $12.5 million under the G42 Purchase Agreement payable to the Company on or before May 31, 2023, and a promissory note of $4.0 million under the CinRx Purchase Agreement payable to the Company on November 22, 2022 (see Note 9).</w:t>
      </w:r>
    </w:p>
    <w:p>
      <w:pPr>
        <w:spacing w:after="0" w:line="6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Based on our current operating plan, we may use the remaining availability of $37.3 million under our Sales Agreement with Cantor Fitzgerald pursuant to which we could offer and sell, from time to time, shares of our Class A common stock under the ATM Offering and our ability to sell approximately 9.4 million shares of Class A common stock to Lincoln Park pursuant and subject to the limitations of the LPC Purchase Agreement. However, the ability to use these sources of capital is dependent on a number of factors, including the prevailing market price of and the volume of trading in our Class A common stock. These factors raise substantial doubt about our ability to continue as a going concern.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have entered into the Sales Agreement with Cantor Fitzgerald pursuant to which we may offer and sell, from time to time, through or to Cantor Fitzgerald, as sales agent or principal, shares of our Class A common stock having an aggregate offering price of up to $68.5 million. We are not obligated to sell any shares under the Sales Agreement. Under the terms of the Sales Agreement, we will pay Cantor Fitzgerald a commission of up to 3% of the aggregate proceeds from the sale of shares and reimburse certain legal fees or other disbursements. As of September 30, 2022, we have sold $31.2 million worth of Class A common stock under the ATM Offering for net proceeds of $30.3 million, leaving $37.3 million available to be sold. The shares are offered and sold pursuant to the Company’s shelf registration statement on Form S-3. In no event will we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Lincoln Park Purchase Agreement</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entered into the LPC Purchase Agreement, pursuant to which we have the right to sell to Lincoln Park shares of the Company’s Class A common stock having an aggregate value of up to $47.0 million. As of September 30, 2022, we have issued 5,331,306 of these shares for gross proceeds of approximately $11.1 million, leaving $35.9 million available to be sold.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Over the 36-month term of the LPC Purchase Agreement, we have the right, but not the obligation, from time to time, in our sole discretion, to direct Lincoln Park to purchase up to 250,000 shares per day (the “Regular Purchase Share Limit”) of the Class A common stock (each such purchase, a “Regular Purchase”). The Regular Purchase Share Limit will increase to 275,000 shares per 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$2,000,000. The purchase price for shares of Class A common stock to be purchased by Lincoln Park under a Regular Purchase will be equal to the lower of (in each case, subject to the adjustments described in the LPC Purchase Agreement): (i) the lowest sale price for the Class A common stock on the applicable purchase date and (ii) the arithmetic average of the three lowest closing sales prices for the Class A common stock during the 10 consecutive trading days prior to the purchase date.</w:t>
      </w:r>
    </w:p>
    <w:p>
      <w:pPr>
        <w:spacing w:after="0" w:line="7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If we direct Lincoln Park to purchase the maximum number of shares of Class A common stock that we may sell in a Regular Purchase, then in addition to such Regular Purchase, and subject to certain conditions and limitations in the LPC Purchase Agreement, we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we may direct Lincoln Park to purchase shares in multiple Accelerated Purchases on the same trading day.</w:t>
      </w:r>
    </w:p>
    <w:p>
      <w:pPr>
        <w:spacing w:after="0" w:line="7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LPC Purchase Agreement also prohibits us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020" w:type="dxa"/>
            <w:vAlign w:val="bottom"/>
            <w:gridSpan w:val="5"/>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8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163"/>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
        </w:trPr>
        <w:tc>
          <w:tcPr>
            <w:tcW w:w="8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(9,142)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(12,891)</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11,087</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26,710</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Net increase in cash and cash equivalents</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13,819</w:t>
            </w:r>
          </w:p>
        </w:tc>
      </w:tr>
      <w:tr>
        <w:trPr>
          <w:trHeight w:val="20"/>
        </w:trPr>
        <w:tc>
          <w:tcPr>
            <w:tcW w:w="8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500"/>
        <w:spacing w:after="0" w:line="263" w:lineRule="auto"/>
        <w:rPr>
          <w:sz w:val="20"/>
          <w:szCs w:val="20"/>
          <w:color w:val="auto"/>
        </w:rPr>
      </w:pPr>
      <w:r>
        <w:rPr>
          <w:rFonts w:ascii="Arial" w:cs="Arial" w:eastAsia="Arial" w:hAnsi="Arial"/>
          <w:sz w:val="18"/>
          <w:szCs w:val="18"/>
          <w:color w:val="auto"/>
        </w:rPr>
        <w:t>For the nine months ended September 30, 2022, our net cash used in operating activities decreased by $3.7 million from the nine months ended September 30, 2021. The significant contributor to the change in cash used during the year was driven by working capital changes offset by $6.8 million of cash received in excess of the fair value of the Class A common stock issued to G42 investments.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For the nine months ended September 30, 2022, net cash used in investing activities was insignificant. There were no cash flows from investing activities for the nine months ended September 30,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500"/>
        <w:spacing w:after="0" w:line="286" w:lineRule="auto"/>
        <w:rPr>
          <w:sz w:val="20"/>
          <w:szCs w:val="20"/>
          <w:color w:val="auto"/>
        </w:rPr>
      </w:pPr>
      <w:r>
        <w:rPr>
          <w:rFonts w:ascii="Arial" w:cs="Arial" w:eastAsia="Arial" w:hAnsi="Arial"/>
          <w:sz w:val="17"/>
          <w:szCs w:val="17"/>
          <w:color w:val="auto"/>
        </w:rPr>
        <w:t>For the nine months ended September 30, 2022, net cash provided by financing activities was driven by sales of our Class A common stock to a collaboration partner and from the CinRx Purchase Agreement. For the nine months ended September 30, 2021, net cash provided by financing activities was driven by sales of shares of our Class A common stock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We plan to finance our operations into the third quarter of 2023 through the use of our cash and cash equivalents and based on current operating plans, we are evaluating several financing strategies to fund the on-going and future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including direct equity investments and the potential licensing and monetization of other Company programs such as </w:t>
      </w:r>
      <w:r>
        <w:rPr>
          <w:rFonts w:ascii="Arial" w:cs="Arial" w:eastAsia="Arial" w:hAnsi="Arial"/>
          <w:sz w:val="16"/>
          <w:szCs w:val="16"/>
          <w:i w:val="1"/>
          <w:iCs w:val="1"/>
          <w:color w:val="auto"/>
        </w:rPr>
        <w:t>HPP737</w:t>
      </w:r>
      <w:r>
        <w:rPr>
          <w:rFonts w:ascii="Arial" w:cs="Arial" w:eastAsia="Arial" w:hAnsi="Arial"/>
          <w:sz w:val="16"/>
          <w:szCs w:val="16"/>
          <w:color w:val="auto"/>
        </w:rPr>
        <w:t>. The Company has a promissory note of $12.5 million under the G42 Purchase Agreement payable to the Company on or before May 31, 2023, and a promissory note of $4.0 million under the CinRx Purchase Agreement payable to the Company on November 22, 2022 (see Note 9). The timing of any such transactions is not certain, and we may not be able to complete such transactions on acceptable terms, or at all. Even if we are able to complete such transactions, it may contain restrictions on our operations or cause substantial dilution to our stockholders. We have based our estimates on assumptions that may prove to be wrong, and we may use our available capital resources sooner than we currently expect.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we may rely on our ability to sell shares of our Class A common stock pursuant to the ATM Offering and LPC Purchase Agreement. However, the ability to use these sources of capital is dependent on a number of factors, including the prevailing market price of and the volume of trading in the Company’s Class A common stock, and we may use our available capital resources sooner than we currently expect.</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planned trials to evaluate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of T1D;</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willingness of the FDA to rely upon our completed and planned clinical and preclinical studies and other work, as the basis for review and approval of our drug candidates;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jc w:val="both"/>
        <w:ind w:left="980" w:hanging="486"/>
        <w:spacing w:after="0" w:line="263"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any payments we are required to make to M&amp;F TTP Holdings Two LLC in the future under the Tax Receivable Agreement;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and duration of the COVID-19 outbreak / pandemic.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currently have committed external source of funds available through the ATM Offering, LPC Purchase Agreement and Promissory Notes under the G42 Purchase Agreement and the CinRx Purchase Agreement.</w:t>
      </w:r>
    </w:p>
    <w:p>
      <w:pPr>
        <w:spacing w:after="0" w:line="7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or pursue one or more alternative strategies, such as restructuring, any of which could adversely affect our business prospects.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2022, we did not have outstanding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a discussion of our critical accounting policies and estimates, please refer to Part II, Item 7. “Management’s Discussion and Analysis of Financial Condition and Results of Operations” in our Annual Report on Form 10-K for the year ended December 31, 2021. There have been no material changes to our critical accounting policies and estimates in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“outlook”,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7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currently have any material interest rate exposure.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in a financial institution that management believes to be of high credit quality. Because of the short-term maturities of our investments, we do not believe that an increase in market rates would have a material negative impact on the value of our investment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have any material foreign currency exposure.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Accounting Officer, management has evaluated the effectiveness of the design and operation of our disclosure controls and procedures (as defined in Rules 13a-15(e) or 15d-15(e) of the Securities Exchange Act of 1934) as of September 30, 2022. Based upon that evaluation, our Chief Executive Officer and Chief Accounting Officer concluded that, as of September 30, 2022,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management, including our Chief Executive Officer and Chief Accounting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risk factors are set forth under the heading “Risk Factors” under Item 1A of Part I in our Annual Report on Form 10-K for the year ended December 31, 2021. There have been no material changes to our risk factors from those previously disclosed in our Annual Report on Form 10-K for the year ended December 31, 2021.</w:t>
      </w:r>
    </w:p>
    <w:p>
      <w:pPr>
        <w:spacing w:after="0" w:line="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months ended September 30, 2022, the Company issued the following unregistered securities: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July 2022, the Company sold 4,154,549 shares of the Company’s Class A common stock at a price per share of approximately $2.41, for an aggregate purchase price of $10.0 million.</w:t>
      </w:r>
    </w:p>
    <w:p>
      <w:pPr>
        <w:spacing w:after="0" w:line="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00" w:type="dxa"/>
            <w:vAlign w:val="bottom"/>
            <w:gridSpan w:val="12"/>
          </w:tcPr>
          <w:p>
            <w:pPr>
              <w:ind w:left="6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1080" w:type="dxa"/>
            <w:vAlign w:val="bottom"/>
            <w:gridSpan w:val="13"/>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gridSpan w:val="12"/>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74"/>
        </w:trPr>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520" w:type="dxa"/>
            <w:vAlign w:val="bottom"/>
            <w:gridSpan w:val="7"/>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52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0000FF"/>
                <w:w w:val="93"/>
              </w:rPr>
              <w:t>Certification of President and Chief Executive Officer required by Rule 13a-14(a)/15d-14(a) under the Securities Exchange Act of</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8"/>
              </w:rPr>
              <w:t>1934, as amended, as adopted pursuant to Section 302 of the Sarbanes-Oxley Act of 2002.</w:t>
            </w:r>
          </w:p>
        </w:tc>
        <w:tc>
          <w:tcPr>
            <w:tcW w:w="30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0000FF"/>
                <w:w w:val="96"/>
              </w:rPr>
              <w:t>Certification of Chief Accounting Officer required by Rule 13a-14(a)/15d-14(a) under the Securities Exchange Act of 1934, as</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89"/>
              </w:rPr>
              <w:t>amended, as adopted pursuant to Section 302 of the Sarbanes-Oxley Act of 2002.</w:t>
            </w:r>
          </w:p>
        </w:tc>
        <w:tc>
          <w:tcPr>
            <w:tcW w:w="37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0000FF"/>
                <w:w w:val="91"/>
              </w:rPr>
              <w:t>Certification of President and Chief Executive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0"/>
              </w:rPr>
              <w:t>Sarbanes-Oxley Act of 2002.</w:t>
            </w:r>
          </w:p>
        </w:tc>
        <w:tc>
          <w:tcPr>
            <w:tcW w:w="74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0000FF"/>
                <w:w w:val="92"/>
              </w:rPr>
              <w:t>Certification of Chief Accounting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Oxley Act of 2002.</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ind w:left="20"/>
              <w:spacing w:after="0"/>
              <w:rPr>
                <w:sz w:val="20"/>
                <w:szCs w:val="20"/>
                <w:color w:val="auto"/>
              </w:rPr>
            </w:pPr>
            <w:r>
              <w:rPr>
                <w:rFonts w:ascii="Arial" w:cs="Arial" w:eastAsia="Arial" w:hAnsi="Arial"/>
                <w:sz w:val="18"/>
                <w:szCs w:val="18"/>
                <w:color w:val="auto"/>
              </w:rPr>
              <w:t>101.INS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101.SCH</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101.CAL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101.DEF</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101.LAB</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101.PRE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60" w:hanging="1434"/>
        <w:spacing w:after="0"/>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Confidential treatment received with respect to portions of this exhibit.</w:t>
      </w:r>
    </w:p>
    <w:p>
      <w:pPr>
        <w:spacing w:after="0" w:line="11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158" w:lineRule="exact"/>
        <w:rPr>
          <w:sz w:val="20"/>
          <w:szCs w:val="20"/>
          <w:color w:val="auto"/>
        </w:rPr>
      </w:pPr>
    </w:p>
    <w:p>
      <w:pPr>
        <w:jc w:val="center"/>
        <w:ind w:left="6800"/>
        <w:spacing w:after="0"/>
        <w:rPr>
          <w:sz w:val="20"/>
          <w:szCs w:val="20"/>
          <w:color w:val="auto"/>
        </w:rPr>
      </w:pPr>
      <w:r>
        <w:rPr>
          <w:rFonts w:ascii="Arial" w:cs="Arial" w:eastAsia="Arial" w:hAnsi="Arial"/>
          <w:sz w:val="18"/>
          <w:szCs w:val="18"/>
          <w:color w:val="auto"/>
        </w:rPr>
        <w:t>VTV THERAPEUTICS INC.</w:t>
      </w:r>
    </w:p>
    <w:p>
      <w:pPr>
        <w:spacing w:after="0" w:line="23" w:lineRule="exact"/>
        <w:rPr>
          <w:sz w:val="20"/>
          <w:szCs w:val="20"/>
          <w:color w:val="auto"/>
        </w:rPr>
      </w:pPr>
    </w:p>
    <w:p>
      <w:pPr>
        <w:jc w:val="center"/>
        <w:ind w:left="6800"/>
        <w:spacing w:after="0"/>
        <w:rPr>
          <w:sz w:val="20"/>
          <w:szCs w:val="20"/>
          <w:color w:val="auto"/>
        </w:rPr>
      </w:pPr>
      <w:r>
        <w:rPr>
          <w:rFonts w:ascii="Arial" w:cs="Arial" w:eastAsia="Arial" w:hAnsi="Arial"/>
          <w:sz w:val="18"/>
          <w:szCs w:val="18"/>
          <w:color w:val="auto"/>
        </w:rPr>
        <w:t>(Registrant)</w:t>
      </w:r>
    </w:p>
    <w:p>
      <w:pPr>
        <w:spacing w:after="0" w:line="292" w:lineRule="exact"/>
        <w:rPr>
          <w:sz w:val="20"/>
          <w:szCs w:val="20"/>
          <w:color w:val="auto"/>
        </w:rPr>
      </w:pPr>
    </w:p>
    <w:p>
      <w:pPr>
        <w:ind w:left="6580"/>
        <w:spacing w:after="0"/>
        <w:tabs>
          <w:tab w:leader="none" w:pos="7020" w:val="left"/>
        </w:tabs>
        <w:rPr>
          <w:sz w:val="20"/>
          <w:szCs w:val="20"/>
          <w:color w:val="auto"/>
        </w:rPr>
      </w:pPr>
      <w:r>
        <w:rPr>
          <w:rFonts w:ascii="Arial" w:cs="Arial" w:eastAsia="Arial" w:hAnsi="Arial"/>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14605</wp:posOffset>
            </wp:positionV>
            <wp:extent cx="25546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Paul J. Sekhri</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President and Chief Executive Officer</w:t>
      </w:r>
    </w:p>
    <w:p>
      <w:pPr>
        <w:spacing w:after="0" w:line="292" w:lineRule="exact"/>
        <w:rPr>
          <w:sz w:val="20"/>
          <w:szCs w:val="20"/>
          <w:color w:val="auto"/>
        </w:rPr>
      </w:pPr>
    </w:p>
    <w:p>
      <w:pPr>
        <w:ind w:left="6580"/>
        <w:spacing w:after="0"/>
        <w:tabs>
          <w:tab w:leader="none" w:pos="7020" w:val="left"/>
        </w:tabs>
        <w:rPr>
          <w:sz w:val="20"/>
          <w:szCs w:val="20"/>
          <w:color w:val="auto"/>
        </w:rPr>
      </w:pPr>
      <w:r>
        <w:rPr>
          <w:rFonts w:ascii="Arial" w:cs="Arial" w:eastAsia="Arial" w:hAnsi="Arial"/>
          <w:sz w:val="18"/>
          <w:szCs w:val="18"/>
          <w:color w:val="auto"/>
        </w:rPr>
        <w:t>By:</w:t>
        <w:tab/>
        <w:t>/s/ Barry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14605</wp:posOffset>
            </wp:positionV>
            <wp:extent cx="25546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Barry Brown</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23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J. Sekhri, certify that:</w:t>
      </w:r>
    </w:p>
    <w:p>
      <w:pPr>
        <w:spacing w:after="0" w:line="117"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7"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480"/>
        <w:spacing w:after="0" w:line="342" w:lineRule="auto"/>
        <w:tabs>
          <w:tab w:leader="none" w:pos="1457"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460" w:hanging="480"/>
        <w:spacing w:after="0" w:line="263" w:lineRule="auto"/>
        <w:tabs>
          <w:tab w:leader="none" w:pos="145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460" w:right="20" w:hanging="480"/>
        <w:spacing w:after="0" w:line="308" w:lineRule="auto"/>
        <w:tabs>
          <w:tab w:leader="none" w:pos="1457"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460" w:hanging="480"/>
        <w:spacing w:after="0" w:line="277" w:lineRule="auto"/>
        <w:tabs>
          <w:tab w:leader="none" w:pos="145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171" w:lineRule="exact"/>
        <w:rPr>
          <w:sz w:val="20"/>
          <w:szCs w:val="20"/>
          <w:color w:val="auto"/>
        </w:rPr>
      </w:pPr>
    </w:p>
    <w:p>
      <w:pPr>
        <w:ind w:left="6920"/>
        <w:spacing w:after="0"/>
        <w:tabs>
          <w:tab w:leader="none" w:pos="7360" w:val="left"/>
        </w:tabs>
        <w:rPr>
          <w:sz w:val="20"/>
          <w:szCs w:val="20"/>
          <w:color w:val="auto"/>
        </w:rPr>
      </w:pPr>
      <w:r>
        <w:rPr>
          <w:rFonts w:ascii="Arial" w:cs="Arial" w:eastAsia="Arial" w:hAnsi="Arial"/>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23495</wp:posOffset>
            </wp:positionV>
            <wp:extent cx="2459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Paul J. Sekhri</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39"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Barry Brown, certify that:</w:t>
      </w:r>
    </w:p>
    <w:p>
      <w:pPr>
        <w:spacing w:after="0" w:line="117"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7"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480"/>
        <w:spacing w:after="0" w:line="342" w:lineRule="auto"/>
        <w:tabs>
          <w:tab w:leader="none" w:pos="1457"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460" w:hanging="480"/>
        <w:spacing w:after="0" w:line="263" w:lineRule="auto"/>
        <w:tabs>
          <w:tab w:leader="none" w:pos="145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460" w:right="20" w:hanging="480"/>
        <w:spacing w:after="0" w:line="308" w:lineRule="auto"/>
        <w:tabs>
          <w:tab w:leader="none" w:pos="1457"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460" w:hanging="480"/>
        <w:spacing w:after="0" w:line="277" w:lineRule="auto"/>
        <w:tabs>
          <w:tab w:leader="none" w:pos="145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171" w:lineRule="exact"/>
        <w:rPr>
          <w:sz w:val="20"/>
          <w:szCs w:val="20"/>
          <w:color w:val="auto"/>
        </w:rPr>
      </w:pPr>
    </w:p>
    <w:p>
      <w:pPr>
        <w:ind w:left="6920"/>
        <w:spacing w:after="0"/>
        <w:tabs>
          <w:tab w:leader="none" w:pos="7360" w:val="left"/>
        </w:tabs>
        <w:rPr>
          <w:sz w:val="20"/>
          <w:szCs w:val="20"/>
          <w:color w:val="auto"/>
        </w:rPr>
      </w:pPr>
      <w:r>
        <w:rPr>
          <w:rFonts w:ascii="Arial" w:cs="Arial" w:eastAsia="Arial" w:hAnsi="Arial"/>
          <w:sz w:val="18"/>
          <w:szCs w:val="18"/>
          <w:color w:val="auto"/>
        </w:rPr>
        <w:t>By:</w:t>
        <w:tab/>
        <w:t>/s/ Barry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23495</wp:posOffset>
            </wp:positionV>
            <wp:extent cx="2459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Barry Brown</w:t>
      </w:r>
    </w:p>
    <w:p>
      <w:pPr>
        <w:spacing w:after="0" w:line="5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1240"/>
          </w:cols>
          <w:pgMar w:left="320" w:top="103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September 30, 2022,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171" w:lineRule="exact"/>
        <w:rPr>
          <w:sz w:val="20"/>
          <w:szCs w:val="20"/>
          <w:color w:val="auto"/>
        </w:rPr>
      </w:pPr>
    </w:p>
    <w:p>
      <w:pPr>
        <w:ind w:left="6920"/>
        <w:spacing w:after="0"/>
        <w:tabs>
          <w:tab w:leader="none" w:pos="7360" w:val="left"/>
        </w:tabs>
        <w:rPr>
          <w:sz w:val="20"/>
          <w:szCs w:val="20"/>
          <w:color w:val="auto"/>
        </w:rPr>
      </w:pPr>
      <w:r>
        <w:rPr>
          <w:rFonts w:ascii="Arial" w:cs="Arial" w:eastAsia="Arial" w:hAnsi="Arial"/>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23495</wp:posOffset>
            </wp:positionV>
            <wp:extent cx="24599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Paul J. Sekhri</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39"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September 30, 2022, as filed with the Securities and Exchange Commission on the date hereof (the “Report”), I, Barry Brown,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158" w:lineRule="exact"/>
        <w:rPr>
          <w:sz w:val="20"/>
          <w:szCs w:val="20"/>
          <w:color w:val="auto"/>
        </w:rPr>
      </w:pPr>
    </w:p>
    <w:p>
      <w:pPr>
        <w:ind w:left="6920"/>
        <w:spacing w:after="0"/>
        <w:tabs>
          <w:tab w:leader="none" w:pos="7360" w:val="left"/>
        </w:tabs>
        <w:rPr>
          <w:sz w:val="20"/>
          <w:szCs w:val="20"/>
          <w:color w:val="auto"/>
        </w:rPr>
      </w:pPr>
      <w:r>
        <w:rPr>
          <w:rFonts w:ascii="Arial" w:cs="Arial" w:eastAsia="Arial" w:hAnsi="Arial"/>
          <w:sz w:val="18"/>
          <w:szCs w:val="18"/>
          <w:color w:val="auto"/>
        </w:rPr>
        <w:t>By:</w:t>
        <w:tab/>
        <w:t>/s/ Barry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14605</wp:posOffset>
            </wp:positionV>
            <wp:extent cx="2459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Barry Brown</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2"/>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2022-11-10T19:21:28Z</dcterms:created>
  <dcterms:modified xsi:type="dcterms:W3CDTF">2022-11-10T19:21:28Z</dcterms:modified>
</cp:coreProperties>
</file>