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before="12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40" w:before="120"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40" w:before="8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40" w:before="8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40"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40" w:before="80" w:after="283"/>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40" w:before="80" w:after="283"/>
        <w:jc w:val="center"/>
        <w:rPr/>
      </w:pPr>
      <w:r>
        <w:rPr>
          <w:rFonts w:ascii="Times New Roman;sans-serif" w:hAnsi="Times New Roman;sans-serif"/>
          <w:b/>
          <w:color w:val="000000"/>
          <w:sz w:val="20"/>
        </w:rPr>
        <w:t>For the quarterly period ended March 31, 2023</w:t>
      </w:r>
      <w:r>
        <w:rPr>
          <w:color w:val="000000"/>
        </w:rPr>
        <w:t xml:space="preserve">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001-37524</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vTv Therapeutics Inc.</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47-3916571</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3980 Premier Dr,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High Point, NC</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27265</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(336) 841-0300</w:t>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403" w:type="dxa"/>
        <w:jc w:val="left"/>
        <w:tblInd w:w="0" w:type="dxa"/>
        <w:tblLayout w:type="fixed"/>
        <w:tblCellMar>
          <w:top w:w="28" w:type="dxa"/>
          <w:left w:w="28" w:type="dxa"/>
          <w:bottom w:w="28" w:type="dxa"/>
          <w:right w:w="28" w:type="dxa"/>
        </w:tblCellMar>
      </w:tblPr>
      <w:tblGrid>
        <w:gridCol w:w="1477"/>
        <w:gridCol w:w="1293"/>
        <w:gridCol w:w="1309"/>
        <w:gridCol w:w="539"/>
        <w:gridCol w:w="539"/>
        <w:gridCol w:w="541"/>
        <w:gridCol w:w="1085"/>
        <w:gridCol w:w="1085"/>
        <w:gridCol w:w="1535"/>
      </w:tblGrid>
      <w:tr>
        <w:trPr/>
        <w:tc>
          <w:tcPr>
            <w:tcW w:w="1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VTVT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40" w:before="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40" w:before="80" w:after="283"/>
        <w:ind w:left="0" w:right="0" w:firstLine="540"/>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tbl>
      <w:tblPr>
        <w:tblW w:w="7420" w:type="dxa"/>
        <w:jc w:val="center"/>
        <w:tblInd w:w="0" w:type="dxa"/>
        <w:tblLayout w:type="fixed"/>
        <w:tblCellMar>
          <w:top w:w="28" w:type="dxa"/>
          <w:left w:w="28" w:type="dxa"/>
          <w:bottom w:w="28" w:type="dxa"/>
          <w:right w:w="28" w:type="dxa"/>
        </w:tblCellMar>
      </w:tblPr>
      <w:tblGrid>
        <w:gridCol w:w="1474"/>
        <w:gridCol w:w="1295"/>
        <w:gridCol w:w="1310"/>
        <w:gridCol w:w="109"/>
        <w:gridCol w:w="109"/>
        <w:gridCol w:w="109"/>
        <w:gridCol w:w="880"/>
        <w:gridCol w:w="880"/>
        <w:gridCol w:w="12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 May 11, 2023</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2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23,093,860 </w:t>
            </w:r>
          </w:p>
        </w:tc>
        <w:tc>
          <w:tcPr>
            <w:tcW w:w="12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 AND SUBSIDIARIES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INDEX TO FORM 10-Q</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 ENDED MARCH 31, 2023</w:t>
      </w:r>
    </w:p>
    <w:tbl>
      <w:tblPr>
        <w:tblW w:w="10205" w:type="dxa"/>
        <w:jc w:val="left"/>
        <w:tblInd w:w="0" w:type="dxa"/>
        <w:tblLayout w:type="fixed"/>
        <w:tblCellMar>
          <w:top w:w="28" w:type="dxa"/>
          <w:left w:w="28" w:type="dxa"/>
          <w:bottom w:w="28" w:type="dxa"/>
          <w:right w:w="28" w:type="dxa"/>
        </w:tblCellMar>
      </w:tblPr>
      <w:tblGrid>
        <w:gridCol w:w="446"/>
        <w:gridCol w:w="393"/>
        <w:gridCol w:w="393"/>
        <w:gridCol w:w="2845"/>
        <w:gridCol w:w="2623"/>
        <w:gridCol w:w="2645"/>
        <w:gridCol w:w="250"/>
        <w:gridCol w:w="250"/>
        <w:gridCol w:w="360"/>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PAGE</w:t>
              <w:br/>
              <w:t>NUMBER</w:t>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3d4cef4cfd0f4084b01da710f3417abe_10">
              <w:r>
                <w:rPr>
                  <w:rStyle w:val="InternetLink"/>
                  <w:rFonts w:ascii="Times New Roman;sans-serif" w:hAnsi="Times New Roman;sans-serif"/>
                  <w:b w:val="false"/>
                  <w:color w:val="0000FF"/>
                  <w:sz w:val="20"/>
                  <w:u w:val="single"/>
                </w:rPr>
                <w:t>PART I – FINANCIAL INFORMATION</w:t>
              </w:r>
            </w:hyperlink>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3">
              <w:r>
                <w:rPr>
                  <w:rStyle w:val="InternetLink"/>
                  <w:rFonts w:ascii="Times New Roman;sans-serif" w:hAnsi="Times New Roman;sans-serif"/>
                  <w:b w:val="false"/>
                  <w:strike w:val="false"/>
                  <w:dstrike w:val="false"/>
                  <w:color w:val="000000"/>
                  <w:sz w:val="20"/>
                  <w:u w:val="none"/>
                  <w:effect w:val="none"/>
                </w:rPr>
                <w:t>Item 1.</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3d4cef4cfd0f4084b01da710f3417abe_13">
              <w:r>
                <w:rPr>
                  <w:rStyle w:val="InternetLink"/>
                  <w:rFonts w:ascii="Times New Roman;sans-serif" w:hAnsi="Times New Roman;sans-serif"/>
                  <w:b w:val="false"/>
                  <w:color w:val="000080"/>
                  <w:sz w:val="20"/>
                  <w:u w:val="single"/>
                </w:rPr>
                <w:t xml:space="preserve">Condensed Consolidated Balance Sheets as of </w:t>
              </w:r>
            </w:hyperlink>
            <w:hyperlink w:anchor="i3d4cef4cfd0f4084b01da710f3417abe_13">
              <w:r>
                <w:rPr>
                  <w:rStyle w:val="InternetLink"/>
                  <w:rFonts w:ascii="Times New Roman;sans-serif" w:hAnsi="Times New Roman;sans-serif"/>
                  <w:b w:val="false"/>
                  <w:color w:val="000080"/>
                  <w:sz w:val="20"/>
                  <w:u w:val="single"/>
                </w:rPr>
                <w:t>March</w:t>
              </w:r>
            </w:hyperlink>
            <w:hyperlink w:anchor="i3d4cef4cfd0f4084b01da710f3417abe_13">
              <w:r>
                <w:rPr>
                  <w:rStyle w:val="InternetLink"/>
                  <w:rFonts w:ascii="Times New Roman;sans-serif" w:hAnsi="Times New Roman;sans-serif"/>
                  <w:b w:val="false"/>
                  <w:color w:val="000080"/>
                  <w:sz w:val="20"/>
                  <w:u w:val="single"/>
                </w:rPr>
                <w:t xml:space="preserve"> 3</w:t>
              </w:r>
            </w:hyperlink>
            <w:hyperlink w:anchor="i3d4cef4cfd0f4084b01da710f3417abe_13">
              <w:r>
                <w:rPr>
                  <w:rStyle w:val="InternetLink"/>
                  <w:rFonts w:ascii="Times New Roman;sans-serif" w:hAnsi="Times New Roman;sans-serif"/>
                  <w:b w:val="false"/>
                  <w:color w:val="000080"/>
                  <w:sz w:val="20"/>
                  <w:u w:val="single"/>
                </w:rPr>
                <w:t>1</w:t>
              </w:r>
            </w:hyperlink>
            <w:hyperlink w:anchor="i3d4cef4cfd0f4084b01da710f3417abe_13">
              <w:r>
                <w:rPr>
                  <w:rStyle w:val="InternetLink"/>
                  <w:rFonts w:ascii="Times New Roman;sans-serif" w:hAnsi="Times New Roman;sans-serif"/>
                  <w:b w:val="false"/>
                  <w:color w:val="000080"/>
                  <w:sz w:val="20"/>
                  <w:u w:val="single"/>
                </w:rPr>
                <w:t>, 202</w:t>
              </w:r>
            </w:hyperlink>
            <w:hyperlink w:anchor="i3d4cef4cfd0f4084b01da710f3417abe_13">
              <w:r>
                <w:rPr>
                  <w:rStyle w:val="InternetLink"/>
                  <w:rFonts w:ascii="Times New Roman;sans-serif" w:hAnsi="Times New Roman;sans-serif"/>
                  <w:b w:val="false"/>
                  <w:color w:val="000080"/>
                  <w:sz w:val="20"/>
                  <w:u w:val="single"/>
                </w:rPr>
                <w:t>3</w:t>
              </w:r>
            </w:hyperlink>
            <w:hyperlink w:anchor="i3d4cef4cfd0f4084b01da710f3417abe_13">
              <w:r>
                <w:rPr>
                  <w:rStyle w:val="InternetLink"/>
                  <w:rFonts w:ascii="Times New Roman;sans-serif" w:hAnsi="Times New Roman;sans-serif"/>
                  <w:b w:val="false"/>
                  <w:color w:val="000080"/>
                  <w:sz w:val="20"/>
                  <w:u w:val="single"/>
                </w:rPr>
                <w:t xml:space="preserve"> (Unaudited) and December 31, 202</w:t>
              </w:r>
            </w:hyperlink>
            <w:hyperlink w:anchor="i3d4cef4cfd0f4084b01da710f3417abe_13">
              <w:r>
                <w:rPr>
                  <w:rStyle w:val="InternetLink"/>
                  <w:rFonts w:ascii="Times New Roman;sans-serif" w:hAnsi="Times New Roman;sans-serif"/>
                  <w:b w:val="false"/>
                  <w:color w:val="000080"/>
                  <w:sz w:val="20"/>
                  <w:u w:val="single"/>
                </w:rPr>
                <w:t>2</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3">
              <w:r>
                <w:rPr>
                  <w:rStyle w:val="InternetLink"/>
                  <w:rFonts w:ascii="Times New Roman;sans-serif" w:hAnsi="Times New Roman;sans-serif"/>
                  <w:b w:val="false"/>
                  <w:strike w:val="false"/>
                  <w:dstrike w:val="false"/>
                  <w:color w:val="000000"/>
                  <w:sz w:val="20"/>
                  <w:u w:val="none"/>
                  <w:effect w:val="none"/>
                </w:rPr>
                <w:t>4</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3d4cef4cfd0f4084b01da710f3417abe_16">
              <w:r>
                <w:rPr>
                  <w:rStyle w:val="InternetLink"/>
                  <w:rFonts w:ascii="Times New Roman;sans-serif" w:hAnsi="Times New Roman;sans-serif"/>
                  <w:b w:val="false"/>
                  <w:color w:val="000080"/>
                  <w:sz w:val="20"/>
                  <w:u w:val="single"/>
                </w:rPr>
                <w:t>Unaudited Condensed Consolidated Statements of Operations for the three</w:t>
              </w:r>
            </w:hyperlink>
            <w:hyperlink w:anchor="i3d4cef4cfd0f4084b01da710f3417abe_16">
              <w:r>
                <w:rPr>
                  <w:rStyle w:val="InternetLink"/>
                  <w:rFonts w:ascii="Times New Roman;sans-serif" w:hAnsi="Times New Roman;sans-serif"/>
                  <w:b w:val="false"/>
                  <w:color w:val="000080"/>
                  <w:sz w:val="20"/>
                  <w:u w:val="single"/>
                </w:rPr>
                <w:t xml:space="preserve"> months ended </w:t>
              </w:r>
            </w:hyperlink>
            <w:hyperlink w:anchor="i3d4cef4cfd0f4084b01da710f3417abe_16">
              <w:r>
                <w:rPr>
                  <w:rStyle w:val="InternetLink"/>
                  <w:rFonts w:ascii="Times New Roman;sans-serif" w:hAnsi="Times New Roman;sans-serif"/>
                  <w:b w:val="false"/>
                  <w:color w:val="000080"/>
                  <w:sz w:val="20"/>
                  <w:u w:val="single"/>
                </w:rPr>
                <w:t>March</w:t>
              </w:r>
            </w:hyperlink>
            <w:hyperlink w:anchor="i3d4cef4cfd0f4084b01da710f3417abe_16">
              <w:r>
                <w:rPr>
                  <w:rStyle w:val="InternetLink"/>
                  <w:rFonts w:ascii="Times New Roman;sans-serif" w:hAnsi="Times New Roman;sans-serif"/>
                  <w:b w:val="false"/>
                  <w:color w:val="000080"/>
                  <w:sz w:val="20"/>
                  <w:u w:val="single"/>
                </w:rPr>
                <w:t xml:space="preserve"> 3</w:t>
              </w:r>
            </w:hyperlink>
            <w:hyperlink w:anchor="i3d4cef4cfd0f4084b01da710f3417abe_16">
              <w:r>
                <w:rPr>
                  <w:rStyle w:val="InternetLink"/>
                  <w:rFonts w:ascii="Times New Roman;sans-serif" w:hAnsi="Times New Roman;sans-serif"/>
                  <w:b w:val="false"/>
                  <w:color w:val="000080"/>
                  <w:sz w:val="20"/>
                  <w:u w:val="single"/>
                </w:rPr>
                <w:t>1</w:t>
              </w:r>
            </w:hyperlink>
            <w:hyperlink w:anchor="i3d4cef4cfd0f4084b01da710f3417abe_16">
              <w:r>
                <w:rPr>
                  <w:rStyle w:val="InternetLink"/>
                  <w:rFonts w:ascii="Times New Roman;sans-serif" w:hAnsi="Times New Roman;sans-serif"/>
                  <w:b w:val="false"/>
                  <w:color w:val="000080"/>
                  <w:sz w:val="20"/>
                  <w:u w:val="single"/>
                </w:rPr>
                <w:t>, 202</w:t>
              </w:r>
            </w:hyperlink>
            <w:hyperlink w:anchor="i3d4cef4cfd0f4084b01da710f3417abe_16">
              <w:r>
                <w:rPr>
                  <w:rStyle w:val="InternetLink"/>
                  <w:rFonts w:ascii="Times New Roman;sans-serif" w:hAnsi="Times New Roman;sans-serif"/>
                  <w:b w:val="false"/>
                  <w:color w:val="000080"/>
                  <w:sz w:val="20"/>
                  <w:u w:val="single"/>
                </w:rPr>
                <w:t>3</w:t>
              </w:r>
            </w:hyperlink>
            <w:hyperlink w:anchor="i3d4cef4cfd0f4084b01da710f3417abe_16">
              <w:r>
                <w:rPr>
                  <w:rStyle w:val="InternetLink"/>
                  <w:rFonts w:ascii="Times New Roman;sans-serif" w:hAnsi="Times New Roman;sans-serif"/>
                  <w:b w:val="false"/>
                  <w:color w:val="000080"/>
                  <w:sz w:val="20"/>
                  <w:u w:val="single"/>
                </w:rPr>
                <w:t xml:space="preserve"> and 202</w:t>
              </w:r>
            </w:hyperlink>
            <w:hyperlink w:anchor="i3d4cef4cfd0f4084b01da710f3417abe_16">
              <w:r>
                <w:rPr>
                  <w:rStyle w:val="InternetLink"/>
                  <w:rFonts w:ascii="Times New Roman;sans-serif" w:hAnsi="Times New Roman;sans-serif"/>
                  <w:b w:val="false"/>
                  <w:color w:val="000080"/>
                  <w:sz w:val="20"/>
                  <w:u w:val="single"/>
                </w:rPr>
                <w:t>2</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6">
              <w:r>
                <w:rPr>
                  <w:rStyle w:val="InternetLink"/>
                  <w:rFonts w:ascii="Times New Roman;sans-serif" w:hAnsi="Times New Roman;sans-serif"/>
                  <w:b w:val="false"/>
                  <w:strike w:val="false"/>
                  <w:dstrike w:val="false"/>
                  <w:color w:val="000000"/>
                  <w:sz w:val="20"/>
                  <w:u w:val="none"/>
                  <w:effect w:val="none"/>
                </w:rPr>
                <w:t>5</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3d4cef4cfd0f4084b01da710f3417abe_19">
              <w:r>
                <w:rPr>
                  <w:rStyle w:val="InternetLink"/>
                  <w:rFonts w:ascii="Times New Roman;sans-serif" w:hAnsi="Times New Roman;sans-serif"/>
                  <w:b w:val="false"/>
                  <w:color w:val="000080"/>
                  <w:sz w:val="20"/>
                  <w:u w:val="single"/>
                </w:rPr>
                <w:t>Unaudited Condensed Consolidated Statement of Changes in Redeemable Noncontrolling Interest and Stockholders’ Deficit for the three</w:t>
              </w:r>
            </w:hyperlink>
            <w:hyperlink w:anchor="i3d4cef4cfd0f4084b01da710f3417abe_19">
              <w:r>
                <w:rPr>
                  <w:rStyle w:val="InternetLink"/>
                  <w:rFonts w:ascii="Times New Roman;sans-serif" w:hAnsi="Times New Roman;sans-serif"/>
                  <w:b w:val="false"/>
                  <w:color w:val="000080"/>
                  <w:sz w:val="20"/>
                  <w:u w:val="single"/>
                </w:rPr>
                <w:t xml:space="preserve"> months ended </w:t>
              </w:r>
            </w:hyperlink>
            <w:hyperlink w:anchor="i3d4cef4cfd0f4084b01da710f3417abe_19">
              <w:r>
                <w:rPr>
                  <w:rStyle w:val="InternetLink"/>
                  <w:rFonts w:ascii="Times New Roman;sans-serif" w:hAnsi="Times New Roman;sans-serif"/>
                  <w:b w:val="false"/>
                  <w:color w:val="000080"/>
                  <w:sz w:val="20"/>
                  <w:u w:val="single"/>
                </w:rPr>
                <w:t>March</w:t>
              </w:r>
            </w:hyperlink>
            <w:hyperlink w:anchor="i3d4cef4cfd0f4084b01da710f3417abe_19">
              <w:r>
                <w:rPr>
                  <w:rStyle w:val="InternetLink"/>
                  <w:rFonts w:ascii="Times New Roman;sans-serif" w:hAnsi="Times New Roman;sans-serif"/>
                  <w:b w:val="false"/>
                  <w:color w:val="000080"/>
                  <w:sz w:val="20"/>
                  <w:u w:val="single"/>
                </w:rPr>
                <w:t xml:space="preserve"> 3</w:t>
              </w:r>
            </w:hyperlink>
            <w:hyperlink w:anchor="i3d4cef4cfd0f4084b01da710f3417abe_19">
              <w:r>
                <w:rPr>
                  <w:rStyle w:val="InternetLink"/>
                  <w:rFonts w:ascii="Times New Roman;sans-serif" w:hAnsi="Times New Roman;sans-serif"/>
                  <w:b w:val="false"/>
                  <w:color w:val="000080"/>
                  <w:sz w:val="20"/>
                  <w:u w:val="single"/>
                </w:rPr>
                <w:t>1</w:t>
              </w:r>
            </w:hyperlink>
            <w:hyperlink w:anchor="i3d4cef4cfd0f4084b01da710f3417abe_19">
              <w:r>
                <w:rPr>
                  <w:rStyle w:val="InternetLink"/>
                  <w:rFonts w:ascii="Times New Roman;sans-serif" w:hAnsi="Times New Roman;sans-serif"/>
                  <w:b w:val="false"/>
                  <w:color w:val="000080"/>
                  <w:sz w:val="20"/>
                  <w:u w:val="single"/>
                </w:rPr>
                <w:t>, 202</w:t>
              </w:r>
            </w:hyperlink>
            <w:hyperlink w:anchor="i3d4cef4cfd0f4084b01da710f3417abe_19">
              <w:r>
                <w:rPr>
                  <w:rStyle w:val="InternetLink"/>
                  <w:rFonts w:ascii="Times New Roman;sans-serif" w:hAnsi="Times New Roman;sans-serif"/>
                  <w:b w:val="false"/>
                  <w:color w:val="000080"/>
                  <w:sz w:val="20"/>
                  <w:u w:val="single"/>
                </w:rPr>
                <w:t>3</w:t>
              </w:r>
            </w:hyperlink>
            <w:hyperlink w:anchor="i3d4cef4cfd0f4084b01da710f3417abe_19">
              <w:r>
                <w:rPr>
                  <w:rStyle w:val="InternetLink"/>
                  <w:rFonts w:ascii="Times New Roman;sans-serif" w:hAnsi="Times New Roman;sans-serif"/>
                  <w:b w:val="false"/>
                  <w:color w:val="000080"/>
                  <w:sz w:val="20"/>
                  <w:u w:val="single"/>
                </w:rPr>
                <w:t xml:space="preserve"> and 202</w:t>
              </w:r>
            </w:hyperlink>
            <w:hyperlink w:anchor="i3d4cef4cfd0f4084b01da710f3417abe_19">
              <w:r>
                <w:rPr>
                  <w:rStyle w:val="InternetLink"/>
                  <w:rFonts w:ascii="Times New Roman;sans-serif" w:hAnsi="Times New Roman;sans-serif"/>
                  <w:b w:val="false"/>
                  <w:color w:val="000080"/>
                  <w:sz w:val="20"/>
                  <w:u w:val="single"/>
                </w:rPr>
                <w:t>2</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9">
              <w:r>
                <w:rPr>
                  <w:rStyle w:val="InternetLink"/>
                  <w:rFonts w:ascii="Times New Roman;sans-serif" w:hAnsi="Times New Roman;sans-serif"/>
                  <w:b w:val="false"/>
                  <w:strike w:val="false"/>
                  <w:dstrike w:val="false"/>
                  <w:color w:val="000000"/>
                  <w:sz w:val="20"/>
                  <w:u w:val="none"/>
                  <w:effect w:val="none"/>
                </w:rPr>
                <w:t>6</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pPr>
            <w:hyperlink w:anchor="i3d4cef4cfd0f4084b01da710f3417abe_22">
              <w:r>
                <w:rPr>
                  <w:rStyle w:val="InternetLink"/>
                  <w:rFonts w:ascii="Times New Roman;sans-serif" w:hAnsi="Times New Roman;sans-serif"/>
                  <w:b w:val="false"/>
                  <w:color w:val="000080"/>
                  <w:sz w:val="20"/>
                  <w:u w:val="single"/>
                </w:rPr>
                <w:t xml:space="preserve">Unaudited Condensed Consolidated Statements of Cash Flows for the </w:t>
              </w:r>
            </w:hyperlink>
            <w:hyperlink w:anchor="i3d4cef4cfd0f4084b01da710f3417abe_22">
              <w:r>
                <w:rPr>
                  <w:rStyle w:val="InternetLink"/>
                  <w:rFonts w:ascii="Times New Roman;sans-serif" w:hAnsi="Times New Roman;sans-serif"/>
                  <w:b w:val="false"/>
                  <w:color w:val="000080"/>
                  <w:sz w:val="20"/>
                  <w:u w:val="single"/>
                </w:rPr>
                <w:t xml:space="preserve">three </w:t>
              </w:r>
            </w:hyperlink>
            <w:hyperlink w:anchor="i3d4cef4cfd0f4084b01da710f3417abe_22">
              <w:r>
                <w:rPr>
                  <w:rStyle w:val="InternetLink"/>
                  <w:rFonts w:ascii="Times New Roman;sans-serif" w:hAnsi="Times New Roman;sans-serif"/>
                  <w:b w:val="false"/>
                  <w:color w:val="000080"/>
                  <w:sz w:val="20"/>
                  <w:u w:val="single"/>
                </w:rPr>
                <w:t xml:space="preserve">months ended </w:t>
              </w:r>
            </w:hyperlink>
            <w:hyperlink w:anchor="i3d4cef4cfd0f4084b01da710f3417abe_22">
              <w:r>
                <w:rPr>
                  <w:rStyle w:val="InternetLink"/>
                  <w:rFonts w:ascii="Times New Roman;sans-serif" w:hAnsi="Times New Roman;sans-serif"/>
                  <w:b w:val="false"/>
                  <w:color w:val="000080"/>
                  <w:sz w:val="20"/>
                  <w:u w:val="single"/>
                </w:rPr>
                <w:t>March</w:t>
              </w:r>
            </w:hyperlink>
            <w:hyperlink w:anchor="i3d4cef4cfd0f4084b01da710f3417abe_22">
              <w:r>
                <w:rPr>
                  <w:rStyle w:val="InternetLink"/>
                  <w:rFonts w:ascii="Times New Roman;sans-serif" w:hAnsi="Times New Roman;sans-serif"/>
                  <w:b w:val="false"/>
                  <w:color w:val="000080"/>
                  <w:sz w:val="20"/>
                  <w:u w:val="single"/>
                </w:rPr>
                <w:t xml:space="preserve"> 3</w:t>
              </w:r>
            </w:hyperlink>
            <w:hyperlink w:anchor="i3d4cef4cfd0f4084b01da710f3417abe_22">
              <w:r>
                <w:rPr>
                  <w:rStyle w:val="InternetLink"/>
                  <w:rFonts w:ascii="Times New Roman;sans-serif" w:hAnsi="Times New Roman;sans-serif"/>
                  <w:b w:val="false"/>
                  <w:color w:val="000080"/>
                  <w:sz w:val="20"/>
                  <w:u w:val="single"/>
                </w:rPr>
                <w:t>1</w:t>
              </w:r>
            </w:hyperlink>
            <w:hyperlink w:anchor="i3d4cef4cfd0f4084b01da710f3417abe_22">
              <w:r>
                <w:rPr>
                  <w:rStyle w:val="InternetLink"/>
                  <w:rFonts w:ascii="Times New Roman;sans-serif" w:hAnsi="Times New Roman;sans-serif"/>
                  <w:b w:val="false"/>
                  <w:color w:val="000080"/>
                  <w:sz w:val="20"/>
                  <w:u w:val="single"/>
                </w:rPr>
                <w:t>, 202</w:t>
              </w:r>
            </w:hyperlink>
            <w:hyperlink w:anchor="i3d4cef4cfd0f4084b01da710f3417abe_22">
              <w:r>
                <w:rPr>
                  <w:rStyle w:val="InternetLink"/>
                  <w:rFonts w:ascii="Times New Roman;sans-serif" w:hAnsi="Times New Roman;sans-serif"/>
                  <w:b w:val="false"/>
                  <w:color w:val="000080"/>
                  <w:sz w:val="20"/>
                  <w:u w:val="single"/>
                </w:rPr>
                <w:t>3</w:t>
              </w:r>
            </w:hyperlink>
            <w:hyperlink w:anchor="i3d4cef4cfd0f4084b01da710f3417abe_22">
              <w:r>
                <w:rPr>
                  <w:rStyle w:val="InternetLink"/>
                  <w:rFonts w:ascii="Times New Roman;sans-serif" w:hAnsi="Times New Roman;sans-serif"/>
                  <w:b w:val="false"/>
                  <w:color w:val="000080"/>
                  <w:sz w:val="20"/>
                  <w:u w:val="single"/>
                </w:rPr>
                <w:t xml:space="preserve"> and 202</w:t>
              </w:r>
            </w:hyperlink>
            <w:r>
              <w:rPr>
                <w:rFonts w:ascii="Times New Roman;sans-serif" w:hAnsi="Times New Roman;sans-serif"/>
                <w:b w:val="false"/>
                <w:color w:val="000000"/>
                <w:sz w:val="20"/>
              </w:rPr>
              <w:t>2</w:t>
            </w:r>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22">
              <w:r>
                <w:rPr>
                  <w:rStyle w:val="InternetLink"/>
                  <w:rFonts w:ascii="Times New Roman;sans-serif" w:hAnsi="Times New Roman;sans-serif"/>
                  <w:b w:val="false"/>
                  <w:strike w:val="false"/>
                  <w:dstrike w:val="false"/>
                  <w:color w:val="000000"/>
                  <w:sz w:val="20"/>
                  <w:u w:val="none"/>
                  <w:effect w:val="none"/>
                </w:rPr>
                <w:t>7</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25">
              <w:r>
                <w:rPr>
                  <w:rStyle w:val="InternetLink"/>
                  <w:rFonts w:ascii="Times New Roman;sans-serif" w:hAnsi="Times New Roman;sans-serif"/>
                  <w:b w:val="false"/>
                  <w:color w:val="0000FF"/>
                  <w:sz w:val="20"/>
                  <w:u w:val="single"/>
                </w:rPr>
                <w:t>Notes to Unaudited Consolidated Financial Statements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25">
              <w:r>
                <w:rPr>
                  <w:rStyle w:val="InternetLink"/>
                  <w:rFonts w:ascii="Times New Roman;sans-serif" w:hAnsi="Times New Roman;sans-serif"/>
                  <w:b w:val="false"/>
                  <w:strike w:val="false"/>
                  <w:dstrike w:val="false"/>
                  <w:color w:val="000000"/>
                  <w:sz w:val="20"/>
                  <w:u w:val="none"/>
                  <w:effect w:val="none"/>
                </w:rPr>
                <w:t>8</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73">
              <w:r>
                <w:rPr>
                  <w:rStyle w:val="InternetLink"/>
                  <w:rFonts w:ascii="Times New Roman;sans-serif" w:hAnsi="Times New Roman;sans-serif"/>
                  <w:b w:val="false"/>
                  <w:strike w:val="false"/>
                  <w:dstrike w:val="false"/>
                  <w:color w:val="000000"/>
                  <w:sz w:val="20"/>
                  <w:u w:val="none"/>
                  <w:effect w:val="none"/>
                </w:rPr>
                <w:t>Item 2.</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73">
              <w:r>
                <w:rPr>
                  <w:rStyle w:val="InternetLink"/>
                  <w:rFonts w:ascii="Times New Roman;sans-serif" w:hAnsi="Times New Roman;sans-serif"/>
                  <w:b w:val="false"/>
                  <w:strike w:val="false"/>
                  <w:dstrike w:val="false"/>
                  <w:color w:val="000000"/>
                  <w:sz w:val="20"/>
                  <w:u w:val="none"/>
                  <w:effect w:val="none"/>
                </w:rPr>
                <w:t>23</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12">
              <w:r>
                <w:rPr>
                  <w:rStyle w:val="InternetLink"/>
                  <w:rFonts w:ascii="Times New Roman;sans-serif" w:hAnsi="Times New Roman;sans-serif"/>
                  <w:b w:val="false"/>
                  <w:strike w:val="false"/>
                  <w:dstrike w:val="false"/>
                  <w:color w:val="000000"/>
                  <w:sz w:val="20"/>
                  <w:u w:val="none"/>
                  <w:effect w:val="none"/>
                </w:rPr>
                <w:t>Item 3.</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12">
              <w:r>
                <w:rPr>
                  <w:rStyle w:val="InternetLink"/>
                  <w:rFonts w:ascii="Times New Roman;sans-serif" w:hAnsi="Times New Roman;sans-serif"/>
                  <w:b w:val="false"/>
                  <w:color w:val="0000FF"/>
                  <w:sz w:val="20"/>
                  <w:u w:val="single"/>
                </w:rPr>
                <w:t>Quantitative and Qualitative Disclosures About Market Risk</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12">
              <w:r>
                <w:rPr>
                  <w:rStyle w:val="InternetLink"/>
                  <w:rFonts w:ascii="Times New Roman;sans-serif" w:hAnsi="Times New Roman;sans-serif"/>
                  <w:b w:val="false"/>
                  <w:strike w:val="false"/>
                  <w:dstrike w:val="false"/>
                  <w:color w:val="000000"/>
                  <w:sz w:val="20"/>
                  <w:u w:val="none"/>
                  <w:effect w:val="none"/>
                </w:rPr>
                <w:t>31</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15">
              <w:r>
                <w:rPr>
                  <w:rStyle w:val="InternetLink"/>
                  <w:rFonts w:ascii="Times New Roman;sans-serif" w:hAnsi="Times New Roman;sans-serif"/>
                  <w:b w:val="false"/>
                  <w:strike w:val="false"/>
                  <w:dstrike w:val="false"/>
                  <w:color w:val="000000"/>
                  <w:sz w:val="20"/>
                  <w:u w:val="none"/>
                  <w:effect w:val="none"/>
                </w:rPr>
                <w:t>Item 4.</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15">
              <w:r>
                <w:rPr>
                  <w:rStyle w:val="InternetLink"/>
                  <w:rFonts w:ascii="Times New Roman;sans-serif" w:hAnsi="Times New Roman;sans-serif"/>
                  <w:b w:val="false"/>
                  <w:color w:val="0000FF"/>
                  <w:sz w:val="20"/>
                  <w:u w:val="single"/>
                </w:rPr>
                <w:t>Controls and Procedures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15">
              <w:r>
                <w:rPr>
                  <w:rStyle w:val="InternetLink"/>
                  <w:rFonts w:ascii="Times New Roman;sans-serif" w:hAnsi="Times New Roman;sans-serif"/>
                  <w:b w:val="false"/>
                  <w:strike w:val="false"/>
                  <w:dstrike w:val="false"/>
                  <w:color w:val="000000"/>
                  <w:sz w:val="20"/>
                  <w:u w:val="none"/>
                  <w:effect w:val="none"/>
                </w:rPr>
                <w:t>32</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5"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3d4cef4cfd0f4084b01da710f3417abe_118">
              <w:r>
                <w:rPr>
                  <w:rStyle w:val="InternetLink"/>
                  <w:rFonts w:ascii="Times New Roman;sans-serif" w:hAnsi="Times New Roman;sans-serif"/>
                  <w:b w:val="false"/>
                  <w:color w:val="0000FF"/>
                  <w:sz w:val="20"/>
                  <w:u w:val="single"/>
                </w:rPr>
                <w:t xml:space="preserve">PART II – OTHER INFORMATION </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21">
              <w:r>
                <w:rPr>
                  <w:rStyle w:val="InternetLink"/>
                  <w:rFonts w:ascii="Times New Roman;sans-serif" w:hAnsi="Times New Roman;sans-serif"/>
                  <w:b w:val="false"/>
                  <w:strike w:val="false"/>
                  <w:dstrike w:val="false"/>
                  <w:color w:val="000000"/>
                  <w:sz w:val="20"/>
                  <w:u w:val="none"/>
                  <w:effect w:val="none"/>
                </w:rPr>
                <w:t>Item 1.</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21">
              <w:r>
                <w:rPr>
                  <w:rStyle w:val="InternetLink"/>
                  <w:rFonts w:ascii="Times New Roman;sans-serif" w:hAnsi="Times New Roman;sans-serif"/>
                  <w:b w:val="false"/>
                  <w:color w:val="0000FF"/>
                  <w:sz w:val="20"/>
                  <w:u w:val="single"/>
                </w:rPr>
                <w:t>Legal Proceedings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21">
              <w:r>
                <w:rPr>
                  <w:rStyle w:val="InternetLink"/>
                  <w:rFonts w:ascii="Times New Roman;sans-serif" w:hAnsi="Times New Roman;sans-serif"/>
                  <w:b w:val="false"/>
                  <w:strike w:val="false"/>
                  <w:dstrike w:val="false"/>
                  <w:color w:val="000000"/>
                  <w:sz w:val="20"/>
                  <w:u w:val="none"/>
                  <w:effect w:val="none"/>
                </w:rPr>
                <w:t>32</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24">
              <w:r>
                <w:rPr>
                  <w:rStyle w:val="InternetLink"/>
                  <w:rFonts w:ascii="Times New Roman;sans-serif" w:hAnsi="Times New Roman;sans-serif"/>
                  <w:b w:val="false"/>
                  <w:strike w:val="false"/>
                  <w:dstrike w:val="false"/>
                  <w:color w:val="000000"/>
                  <w:sz w:val="20"/>
                  <w:u w:val="none"/>
                  <w:effect w:val="none"/>
                </w:rPr>
                <w:t>Item 1A.</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24">
              <w:r>
                <w:rPr>
                  <w:rStyle w:val="InternetLink"/>
                  <w:rFonts w:ascii="Times New Roman;sans-serif" w:hAnsi="Times New Roman;sans-serif"/>
                  <w:b w:val="false"/>
                  <w:color w:val="0000FF"/>
                  <w:sz w:val="20"/>
                  <w:u w:val="single"/>
                </w:rPr>
                <w:t>Risk Factors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24">
              <w:r>
                <w:rPr>
                  <w:rStyle w:val="InternetLink"/>
                  <w:rFonts w:ascii="Times New Roman;sans-serif" w:hAnsi="Times New Roman;sans-serif"/>
                  <w:b w:val="false"/>
                  <w:strike w:val="false"/>
                  <w:dstrike w:val="false"/>
                  <w:color w:val="000000"/>
                  <w:sz w:val="20"/>
                  <w:u w:val="none"/>
                  <w:effect w:val="none"/>
                </w:rPr>
                <w:t>32</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27">
              <w:r>
                <w:rPr>
                  <w:rStyle w:val="InternetLink"/>
                  <w:rFonts w:ascii="Times New Roman;sans-serif" w:hAnsi="Times New Roman;sans-serif"/>
                  <w:b w:val="false"/>
                  <w:strike w:val="false"/>
                  <w:dstrike w:val="false"/>
                  <w:color w:val="000000"/>
                  <w:sz w:val="20"/>
                  <w:u w:val="none"/>
                  <w:effect w:val="none"/>
                </w:rPr>
                <w:t>Item 2.</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27">
              <w:r>
                <w:rPr>
                  <w:rStyle w:val="InternetLink"/>
                  <w:rFonts w:ascii="Times New Roman;sans-serif" w:hAnsi="Times New Roman;sans-serif"/>
                  <w:b w:val="false"/>
                  <w:color w:val="0000FF"/>
                  <w:sz w:val="20"/>
                  <w:u w:val="single"/>
                </w:rPr>
                <w:t>Unregistered Sales of Equity Securities and Use of Proceeds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27">
              <w:r>
                <w:rPr>
                  <w:rStyle w:val="InternetLink"/>
                  <w:rFonts w:ascii="Times New Roman;sans-serif" w:hAnsi="Times New Roman;sans-serif"/>
                  <w:b w:val="false"/>
                  <w:strike w:val="false"/>
                  <w:dstrike w:val="false"/>
                  <w:color w:val="000000"/>
                  <w:sz w:val="20"/>
                  <w:u w:val="none"/>
                  <w:effect w:val="none"/>
                </w:rPr>
                <w:t>33</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30">
              <w:r>
                <w:rPr>
                  <w:rStyle w:val="InternetLink"/>
                  <w:rFonts w:ascii="Times New Roman;sans-serif" w:hAnsi="Times New Roman;sans-serif"/>
                  <w:b w:val="false"/>
                  <w:strike w:val="false"/>
                  <w:dstrike w:val="false"/>
                  <w:color w:val="000000"/>
                  <w:sz w:val="20"/>
                  <w:u w:val="none"/>
                  <w:effect w:val="none"/>
                </w:rPr>
                <w:t>Item 3.</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30">
              <w:r>
                <w:rPr>
                  <w:rStyle w:val="InternetLink"/>
                  <w:rFonts w:ascii="Times New Roman;sans-serif" w:hAnsi="Times New Roman;sans-serif"/>
                  <w:b w:val="false"/>
                  <w:color w:val="0000FF"/>
                  <w:sz w:val="20"/>
                  <w:u w:val="single"/>
                </w:rPr>
                <w:t>Defaults Upon Senior Securities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30">
              <w:r>
                <w:rPr>
                  <w:rStyle w:val="InternetLink"/>
                  <w:rFonts w:ascii="Times New Roman;sans-serif" w:hAnsi="Times New Roman;sans-serif"/>
                  <w:b w:val="false"/>
                  <w:strike w:val="false"/>
                  <w:dstrike w:val="false"/>
                  <w:color w:val="000000"/>
                  <w:sz w:val="20"/>
                  <w:u w:val="none"/>
                  <w:effect w:val="none"/>
                </w:rPr>
                <w:t>33</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33">
              <w:r>
                <w:rPr>
                  <w:rStyle w:val="InternetLink"/>
                  <w:rFonts w:ascii="Times New Roman;sans-serif" w:hAnsi="Times New Roman;sans-serif"/>
                  <w:b w:val="false"/>
                  <w:strike w:val="false"/>
                  <w:dstrike w:val="false"/>
                  <w:color w:val="000000"/>
                  <w:sz w:val="20"/>
                  <w:u w:val="none"/>
                  <w:effect w:val="none"/>
                </w:rPr>
                <w:t>Item 4.</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33">
              <w:r>
                <w:rPr>
                  <w:rStyle w:val="InternetLink"/>
                  <w:rFonts w:ascii="Times New Roman;sans-serif" w:hAnsi="Times New Roman;sans-serif"/>
                  <w:b w:val="false"/>
                  <w:color w:val="0000FF"/>
                  <w:sz w:val="20"/>
                  <w:u w:val="single"/>
                </w:rPr>
                <w:t>Mine Safety Disclosures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36">
              <w:r>
                <w:rPr>
                  <w:rStyle w:val="InternetLink"/>
                  <w:rFonts w:ascii="Times New Roman;sans-serif" w:hAnsi="Times New Roman;sans-serif"/>
                  <w:b w:val="false"/>
                  <w:strike w:val="false"/>
                  <w:dstrike w:val="false"/>
                  <w:color w:val="000000"/>
                  <w:sz w:val="20"/>
                  <w:u w:val="none"/>
                  <w:effect w:val="none"/>
                </w:rPr>
                <w:t>Item 5.</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36">
              <w:r>
                <w:rPr>
                  <w:rStyle w:val="InternetLink"/>
                  <w:rFonts w:ascii="Times New Roman;sans-serif" w:hAnsi="Times New Roman;sans-serif"/>
                  <w:b w:val="false"/>
                  <w:color w:val="0000FF"/>
                  <w:sz w:val="20"/>
                  <w:u w:val="single"/>
                </w:rPr>
                <w:t>Other Information</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36">
              <w:r>
                <w:rPr>
                  <w:rStyle w:val="InternetLink"/>
                  <w:rFonts w:ascii="Times New Roman;sans-serif" w:hAnsi="Times New Roman;sans-serif"/>
                  <w:b w:val="false"/>
                  <w:strike w:val="false"/>
                  <w:dstrike w:val="false"/>
                  <w:color w:val="000000"/>
                  <w:sz w:val="20"/>
                  <w:u w:val="none"/>
                  <w:effect w:val="none"/>
                </w:rPr>
                <w:t>33</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3d4cef4cfd0f4084b01da710f3417abe_139">
              <w:r>
                <w:rPr>
                  <w:rStyle w:val="InternetLink"/>
                  <w:rFonts w:ascii="Times New Roman;sans-serif" w:hAnsi="Times New Roman;sans-serif"/>
                  <w:b w:val="false"/>
                  <w:strike w:val="false"/>
                  <w:dstrike w:val="false"/>
                  <w:color w:val="000000"/>
                  <w:sz w:val="20"/>
                  <w:u w:val="none"/>
                  <w:effect w:val="none"/>
                </w:rPr>
                <w:t>Item 6.</w:t>
              </w:r>
            </w:hyperlink>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39">
              <w:r>
                <w:rPr>
                  <w:rStyle w:val="InternetLink"/>
                  <w:rFonts w:ascii="Times New Roman;sans-serif" w:hAnsi="Times New Roman;sans-serif"/>
                  <w:b w:val="false"/>
                  <w:color w:val="0000FF"/>
                  <w:sz w:val="20"/>
                  <w:u w:val="single"/>
                </w:rPr>
                <w:t>Exhibits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39">
              <w:r>
                <w:rPr>
                  <w:rStyle w:val="InternetLink"/>
                  <w:rFonts w:ascii="Times New Roman;sans-serif" w:hAnsi="Times New Roman;sans-serif"/>
                  <w:b w:val="false"/>
                  <w:strike w:val="false"/>
                  <w:dstrike w:val="false"/>
                  <w:color w:val="000000"/>
                  <w:sz w:val="20"/>
                  <w:u w:val="none"/>
                  <w:effect w:val="none"/>
                </w:rPr>
                <w:t>33</w:t>
              </w:r>
            </w:hyperlink>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3" w:type="dxa"/>
            <w:gridSpan w:val="3"/>
            <w:tcBorders/>
            <w:tcMar>
              <w:top w:w="0" w:type="dxa"/>
              <w:left w:w="0" w:type="dxa"/>
              <w:bottom w:w="0" w:type="dxa"/>
              <w:right w:w="0" w:type="dxa"/>
            </w:tcMar>
            <w:vAlign w:val="center"/>
          </w:tcPr>
          <w:p>
            <w:pPr>
              <w:pStyle w:val="TableContents"/>
              <w:bidi w:val="0"/>
              <w:spacing w:lineRule="auto" w:line="273" w:before="0" w:after="0"/>
              <w:ind w:left="0" w:right="0" w:hanging="245"/>
              <w:jc w:val="left"/>
              <w:rPr/>
            </w:pPr>
            <w:hyperlink w:anchor="i3d4cef4cfd0f4084b01da710f3417abe_142">
              <w:r>
                <w:rPr>
                  <w:rStyle w:val="InternetLink"/>
                  <w:rFonts w:ascii="Times New Roman;sans-serif" w:hAnsi="Times New Roman;sans-serif"/>
                  <w:b w:val="false"/>
                  <w:color w:val="0000FF"/>
                  <w:sz w:val="20"/>
                  <w:u w:val="single"/>
                </w:rPr>
                <w:t>Signatures</w:t>
              </w:r>
            </w:hyperlink>
          </w:p>
        </w:tc>
        <w:tc>
          <w:tcPr>
            <w:tcW w:w="86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3d4cef4cfd0f4084b01da710f3417abe_142">
              <w:r>
                <w:rPr>
                  <w:rStyle w:val="InternetLink"/>
                  <w:rFonts w:ascii="Times New Roman;sans-serif" w:hAnsi="Times New Roman;sans-serif"/>
                  <w:b w:val="false"/>
                  <w:strike w:val="false"/>
                  <w:dstrike w:val="false"/>
                  <w:color w:val="000000"/>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910"/>
        <w:gridCol w:w="2416"/>
        <w:gridCol w:w="2393"/>
        <w:gridCol w:w="211"/>
        <w:gridCol w:w="721"/>
        <w:gridCol w:w="109"/>
        <w:gridCol w:w="109"/>
        <w:gridCol w:w="109"/>
        <w:gridCol w:w="109"/>
        <w:gridCol w:w="216"/>
        <w:gridCol w:w="741"/>
        <w:gridCol w:w="161"/>
      </w:tblGrid>
      <w:tr>
        <w:trPr/>
        <w:tc>
          <w:tcPr>
            <w:tcW w:w="2910"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Promissory note receivable</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12,243 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deposits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investments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Stockholders’ Deficit</w:t>
            </w:r>
          </w:p>
        </w:tc>
        <w:tc>
          <w:tcPr>
            <w:tcW w:w="1041"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7,708 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27,399 </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$0.01 par value; 200,000,000 shares authorized, 81,483,600 shares outstanding as of March 31, 2023, and December 31, 2022</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$0.01 par value; 100,000,000 shares authorized, and 23,093,860 outstanding as of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254,080 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253,737 </w:t>
            </w:r>
          </w:p>
        </w:tc>
        <w:tc>
          <w:tcPr>
            <w:tcW w:w="16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 attributable to vTv Therapeutics Inc.</w:t>
            </w:r>
          </w:p>
        </w:tc>
        <w:tc>
          <w:tcPr>
            <w:tcW w:w="93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(19,192)</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(10,740)</w:t>
            </w:r>
          </w:p>
        </w:tc>
        <w:tc>
          <w:tcPr>
            <w:tcW w:w="16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noncontrolling interest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 and per share data)</w:t>
      </w:r>
    </w:p>
    <w:tbl>
      <w:tblPr>
        <w:tblW w:w="10205" w:type="dxa"/>
        <w:jc w:val="left"/>
        <w:tblInd w:w="0" w:type="dxa"/>
        <w:tblLayout w:type="fixed"/>
        <w:tblCellMar>
          <w:top w:w="28" w:type="dxa"/>
          <w:left w:w="28" w:type="dxa"/>
          <w:bottom w:w="28" w:type="dxa"/>
          <w:right w:w="28" w:type="dxa"/>
        </w:tblCellMar>
      </w:tblPr>
      <w:tblGrid>
        <w:gridCol w:w="2560"/>
        <w:gridCol w:w="2220"/>
        <w:gridCol w:w="2236"/>
        <w:gridCol w:w="270"/>
        <w:gridCol w:w="811"/>
        <w:gridCol w:w="109"/>
        <w:gridCol w:w="109"/>
        <w:gridCol w:w="109"/>
        <w:gridCol w:w="109"/>
        <w:gridCol w:w="270"/>
        <w:gridCol w:w="811"/>
        <w:gridCol w:w="109"/>
        <w:gridCol w:w="109"/>
        <w:gridCol w:w="109"/>
        <w:gridCol w:w="109"/>
        <w:gridCol w:w="155"/>
      </w:tblGrid>
      <w:tr>
        <w:trPr/>
        <w:tc>
          <w:tcPr>
            <w:tcW w:w="256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 related party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vTv Therapeutics Inc. Class A common stock, basic and diluted</w:t>
            </w:r>
          </w:p>
        </w:tc>
        <w:tc>
          <w:tcPr>
            <w:tcW w:w="270"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vTv Therapeutics Inc. Class A common stock,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66,942,777 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Changes in Redeemable Noncontrolling Interest and Stockholders’ Deficit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number of shares)</w:t>
      </w:r>
    </w:p>
    <w:p>
      <w:pPr>
        <w:pStyle w:val="TextBody"/>
        <w:bidi w:val="0"/>
        <w:spacing w:before="120" w:after="283"/>
        <w:jc w:val="center"/>
        <w:rPr/>
      </w:pPr>
      <w:r>
        <w:rPr/>
      </w:r>
    </w:p>
    <w:tbl>
      <w:tblPr>
        <w:tblW w:w="10832" w:type="dxa"/>
        <w:jc w:val="left"/>
        <w:tblInd w:w="0" w:type="dxa"/>
        <w:tblLayout w:type="fixed"/>
        <w:tblCellMar>
          <w:top w:w="28" w:type="dxa"/>
          <w:left w:w="28" w:type="dxa"/>
          <w:bottom w:w="28" w:type="dxa"/>
          <w:right w:w="28" w:type="dxa"/>
        </w:tblCellMar>
      </w:tblPr>
      <w:tblGrid>
        <w:gridCol w:w="565"/>
        <w:gridCol w:w="220"/>
        <w:gridCol w:w="221"/>
        <w:gridCol w:w="214"/>
        <w:gridCol w:w="677"/>
        <w:gridCol w:w="130"/>
        <w:gridCol w:w="109"/>
        <w:gridCol w:w="109"/>
        <w:gridCol w:w="109"/>
        <w:gridCol w:w="109"/>
        <w:gridCol w:w="109"/>
        <w:gridCol w:w="109"/>
        <w:gridCol w:w="413"/>
        <w:gridCol w:w="413"/>
        <w:gridCol w:w="171"/>
        <w:gridCol w:w="109"/>
        <w:gridCol w:w="109"/>
        <w:gridCol w:w="109"/>
        <w:gridCol w:w="181"/>
        <w:gridCol w:w="391"/>
        <w:gridCol w:w="109"/>
        <w:gridCol w:w="109"/>
        <w:gridCol w:w="109"/>
        <w:gridCol w:w="109"/>
        <w:gridCol w:w="413"/>
        <w:gridCol w:w="413"/>
        <w:gridCol w:w="171"/>
        <w:gridCol w:w="109"/>
        <w:gridCol w:w="109"/>
        <w:gridCol w:w="109"/>
        <w:gridCol w:w="181"/>
        <w:gridCol w:w="391"/>
        <w:gridCol w:w="109"/>
        <w:gridCol w:w="109"/>
        <w:gridCol w:w="109"/>
        <w:gridCol w:w="109"/>
        <w:gridCol w:w="181"/>
        <w:gridCol w:w="646"/>
        <w:gridCol w:w="109"/>
        <w:gridCol w:w="109"/>
        <w:gridCol w:w="109"/>
        <w:gridCol w:w="109"/>
        <w:gridCol w:w="181"/>
        <w:gridCol w:w="631"/>
        <w:gridCol w:w="109"/>
        <w:gridCol w:w="109"/>
        <w:gridCol w:w="109"/>
        <w:gridCol w:w="109"/>
        <w:gridCol w:w="198"/>
        <w:gridCol w:w="609"/>
        <w:gridCol w:w="169"/>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8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2023</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Deficit</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2022</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16,579</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253,737</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(265,524)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(10,740)</w:t>
            </w:r>
          </w:p>
        </w:tc>
        <w:tc>
          <w:tcPr>
            <w:tcW w:w="16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(1,275)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(4,499)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343 </w:t>
            </w:r>
          </w:p>
        </w:tc>
        <w:tc>
          <w:tcPr>
            <w:tcW w:w="16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March 31, 2023</w:t>
            </w:r>
          </w:p>
        </w:tc>
        <w:tc>
          <w:tcPr>
            <w:tcW w:w="2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19,600</w:t>
            </w:r>
            <w:r>
              <w:rPr>
                <w:color w:val="000000"/>
              </w:rPr>
              <w:t>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81,483,600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815</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254,080</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(274,319)</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(19,192)</w:t>
            </w:r>
          </w:p>
        </w:tc>
        <w:tc>
          <w:tcPr>
            <w:tcW w:w="16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tbl>
      <w:tblPr>
        <w:tblW w:w="10832" w:type="dxa"/>
        <w:jc w:val="left"/>
        <w:tblInd w:w="0" w:type="dxa"/>
        <w:tblLayout w:type="fixed"/>
        <w:tblCellMar>
          <w:top w:w="28" w:type="dxa"/>
          <w:left w:w="28" w:type="dxa"/>
          <w:bottom w:w="28" w:type="dxa"/>
          <w:right w:w="28" w:type="dxa"/>
        </w:tblCellMar>
      </w:tblPr>
      <w:tblGrid>
        <w:gridCol w:w="565"/>
        <w:gridCol w:w="220"/>
        <w:gridCol w:w="221"/>
        <w:gridCol w:w="214"/>
        <w:gridCol w:w="677"/>
        <w:gridCol w:w="130"/>
        <w:gridCol w:w="109"/>
        <w:gridCol w:w="109"/>
        <w:gridCol w:w="109"/>
        <w:gridCol w:w="109"/>
        <w:gridCol w:w="109"/>
        <w:gridCol w:w="109"/>
        <w:gridCol w:w="413"/>
        <w:gridCol w:w="413"/>
        <w:gridCol w:w="171"/>
        <w:gridCol w:w="109"/>
        <w:gridCol w:w="109"/>
        <w:gridCol w:w="109"/>
        <w:gridCol w:w="181"/>
        <w:gridCol w:w="391"/>
        <w:gridCol w:w="109"/>
        <w:gridCol w:w="109"/>
        <w:gridCol w:w="109"/>
        <w:gridCol w:w="109"/>
        <w:gridCol w:w="413"/>
        <w:gridCol w:w="413"/>
        <w:gridCol w:w="171"/>
        <w:gridCol w:w="109"/>
        <w:gridCol w:w="109"/>
        <w:gridCol w:w="109"/>
        <w:gridCol w:w="181"/>
        <w:gridCol w:w="391"/>
        <w:gridCol w:w="109"/>
        <w:gridCol w:w="109"/>
        <w:gridCol w:w="109"/>
        <w:gridCol w:w="109"/>
        <w:gridCol w:w="181"/>
        <w:gridCol w:w="646"/>
        <w:gridCol w:w="109"/>
        <w:gridCol w:w="109"/>
        <w:gridCol w:w="109"/>
        <w:gridCol w:w="109"/>
        <w:gridCol w:w="181"/>
        <w:gridCol w:w="631"/>
        <w:gridCol w:w="109"/>
        <w:gridCol w:w="109"/>
        <w:gridCol w:w="109"/>
        <w:gridCol w:w="109"/>
        <w:gridCol w:w="216"/>
        <w:gridCol w:w="575"/>
        <w:gridCol w:w="185"/>
      </w:tblGrid>
      <w:tr>
        <w:trPr/>
        <w:tc>
          <w:tcPr>
            <w:tcW w:w="5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8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 the three months ended March 31, 2022</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w:t>
              <w:b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Deficit</w:t>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Balances at December 31, 2021</w:t>
            </w:r>
          </w:p>
        </w:tc>
        <w:tc>
          <w:tcPr>
            <w:tcW w:w="21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24,962</w:t>
            </w:r>
            <w:r>
              <w:rPr>
                <w:color w:val="000000"/>
              </w:rPr>
              <w:t> </w:t>
            </w:r>
          </w:p>
        </w:tc>
        <w:tc>
          <w:tcPr>
            <w:tcW w:w="130"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66,942,777</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669</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238,193</w:t>
            </w:r>
            <w:r>
              <w:rPr>
                <w:color w:val="000000"/>
              </w:rPr>
              <w:t> </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(248,834)</w:t>
            </w:r>
          </w:p>
        </w:tc>
        <w:tc>
          <w:tcPr>
            <w:tcW w:w="10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(9,740)</w:t>
            </w:r>
          </w:p>
        </w:tc>
        <w:tc>
          <w:tcPr>
            <w:tcW w:w="185"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8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476 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476 </w:t>
            </w:r>
          </w:p>
        </w:tc>
        <w:tc>
          <w:tcPr>
            <w:tcW w:w="18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redemption value of noncontrolling interest</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at March 31, 2022</w:t>
            </w:r>
          </w:p>
        </w:tc>
        <w:tc>
          <w:tcPr>
            <w:tcW w:w="21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14,367</w:t>
            </w:r>
            <w:r>
              <w:rPr>
                <w:color w:val="000000"/>
              </w:rPr>
              <w:t> </w:t>
            </w:r>
          </w:p>
        </w:tc>
        <w:tc>
          <w:tcPr>
            <w:tcW w:w="1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BF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66,942,777</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669</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23,093,860</w:t>
            </w:r>
            <w:r>
              <w:rPr>
                <w:color w:val="000000"/>
              </w:rPr>
              <w:t> </w:t>
            </w:r>
          </w:p>
        </w:tc>
        <w:tc>
          <w:tcPr>
            <w:tcW w:w="17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39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232</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238,669</w:t>
            </w:r>
            <w:r>
              <w:rPr>
                <w:color w:val="000000"/>
              </w:rPr>
              <w:t> </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(247,663)</w:t>
            </w:r>
          </w:p>
        </w:tc>
        <w:tc>
          <w:tcPr>
            <w:tcW w:w="10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7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(8,093)</w:t>
            </w:r>
          </w:p>
        </w:tc>
        <w:tc>
          <w:tcPr>
            <w:tcW w:w="18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755"/>
        <w:gridCol w:w="2344"/>
        <w:gridCol w:w="2361"/>
        <w:gridCol w:w="235"/>
        <w:gridCol w:w="807"/>
        <w:gridCol w:w="121"/>
        <w:gridCol w:w="121"/>
        <w:gridCol w:w="121"/>
        <w:gridCol w:w="121"/>
        <w:gridCol w:w="235"/>
        <w:gridCol w:w="807"/>
        <w:gridCol w:w="177"/>
      </w:tblGrid>
      <w:tr>
        <w:trPr/>
        <w:tc>
          <w:tcPr>
            <w:tcW w:w="2755"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6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63"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9F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23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w:t>
            </w:r>
          </w:p>
        </w:tc>
        <w:tc>
          <w:tcPr>
            <w:tcW w:w="17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before noncontrolling interest to net cash used in operating activities:</w:t>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promissory note early redemption</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income </w:t>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investments</w:t>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warrants, related party</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4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7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promissory note early redemption related to sale of Class A common stock to collaboration partner</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notes payable</w:t>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7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increase/(decrease) in cash and cash equivalents</w:t>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77" w:type="dxa"/>
            <w:tcBorders/>
            <w:shd w:fill="EBF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beginning of period</w:t>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13,415 </w:t>
            </w:r>
          </w:p>
        </w:tc>
        <w:tc>
          <w:tcPr>
            <w:tcW w:w="17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end of period</w:t>
            </w:r>
          </w:p>
        </w:tc>
        <w:tc>
          <w:tcPr>
            <w:tcW w:w="23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18,766 </w:t>
            </w:r>
          </w:p>
        </w:tc>
        <w:tc>
          <w:tcPr>
            <w:tcW w:w="1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12,138 </w:t>
            </w:r>
          </w:p>
        </w:tc>
        <w:tc>
          <w:tcPr>
            <w:tcW w:w="17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shd w:fill="C9FC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activities:</w:t>
            </w:r>
          </w:p>
        </w:tc>
        <w:tc>
          <w:tcPr>
            <w:tcW w:w="11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9F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redemption value of noncontrolling interest</w:t>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460"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vTv Therapeutics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(dollar amounts are in thousands,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Basis of Presentation and Going Concern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Various holders own non-voting interests in vTv LLC, representing a 22.1% economic interest in vTv LLC, effectively restricting vTv Therapeutics Inc.’s interest to 77.9%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9).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In addition, vTv Therapeutics Inc. also entered into the Controlled Equity Offering</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Sales Agreement (the “Sales Agreement”) with Cantor Fitzgerald &amp; Co. (“Cantor Fitzgerald”) (the “ATM Offering”), the purchase agreement with Lincoln Park Capital Fund, LLC (“Lincoln Park”) (the “LPC Purchase Agreement”), the common stock purchase agreement with G42 Investments AI Holding RSC Ltd (“G42 Investments”) (the “G42 Purchase Agreement”) and the common stock and warrant purchase agreement with CinPax, LLC and CinRx, LLC, respectively (the “CinRx Purchase Agreement”). v</w:t>
      </w:r>
      <w:r>
        <w:rPr>
          <w:rFonts w:ascii="Times New Roman;sans-serif" w:hAnsi="Times New Roman;sans-serif"/>
          <w:b w:val="false"/>
          <w:color w:val="000000"/>
          <w:sz w:val="20"/>
          <w:shd w:fill="FFFFFF" w:val="clear"/>
        </w:rPr>
        <w:t xml:space="preserve">Tv Therapeutics Inc. will not be required to provide financial or other support for vTv LLC. </w:t>
      </w:r>
      <w:r>
        <w:rPr>
          <w:rFonts w:ascii="Times New Roman;sans-serif" w:hAnsi="Times New Roman;sans-serif"/>
          <w:b w:val="false"/>
          <w:color w:val="000000"/>
          <w:sz w:val="20"/>
        </w:rPr>
        <w:t>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Going Concern and Liquidity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Company has not generated any product revenue and has not achieved profitable operations. The continuing development of our drug candidates will require additional financing. From its inception through March 31, 2023,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2023, the Company had an accumulated deficit of $274.3 million and has generated net losses in each year of its existence.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Company’s liquidity sources included cash and cash equivalents of $18.8 million. Based on our current operating plan, we believe that our current cash and cash equivalents will allow us to meet our liquidity requirements into the third quarter of 2023. To meet our future funding requirements into the first quarter of 2024,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funding the on-going and future clinical trials of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we are evaluating several financing strategies, including direct equity investments and the potential licensing and monetization of other Company programs.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may also use its remaining availability of $37.3 million under its Controlled Equity Offering℠ Sales Agreement (the “Sales Agreement”) with Cantor Fitzgerald &amp; Co. (“Cantor Fitzgerald) pursuant to which the Company may offer and sell, from time to time shares of the Company’s Class A common stock (the “ATM Offering”) and the ability to sell an additional 9,437,376 shares of Class A common stock under the LPC Purchase Agreement based on the remaining number of registered shares. However, the ability to use these sources of capital is dependent on a number of factors, including the prevailing market price of and the volume of trading in the Company’s Class A common stock. See Note 9 for further details.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If we are unable to raise additional capital as and when needed, or upon acceptable terms, such failure would have a significant negative </w:t>
      </w:r>
      <w:r>
        <w:rPr>
          <w:rFonts w:ascii="Times New Roman;sans-serif" w:hAnsi="Times New Roman;sans-serif"/>
          <w:b w:val="false"/>
          <w:color w:val="000000"/>
          <w:sz w:val="20"/>
        </w:rPr>
        <w:t>impact on our financial condition. As such, these conditions raise substantial doubt about the Company’s ability to continue as a going concern.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Company’s financial statements have been prepared assuming the Company will continue as a going concern, which contemplates, among other things, the realization of assets and satisfaction of liabilities in the normal course of business. The</w:t>
      </w:r>
      <w:r>
        <w:rPr>
          <w:color w:val="000000"/>
          <w:shd w:fill="FFFFFF" w:val="clear"/>
        </w:rPr>
        <w:t xml:space="preserve"> </w:t>
      </w:r>
      <w:r>
        <w:rPr>
          <w:rFonts w:ascii="Times New Roman;sans-serif" w:hAnsi="Times New Roman;sans-serif"/>
          <w:b w:val="false"/>
          <w:color w:val="000000"/>
          <w:sz w:val="20"/>
          <w:shd w:fill="FFFFFF" w:val="clear"/>
        </w:rPr>
        <w:t>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Unaudited Interim Financial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in accordance with accounting principles generally accepted in the United States of America (“GAAP”). The accompanying Condensed Consolidated Balance Sheet as of March 31, 2023, Condensed Consolidated Statements of Operations for the three months ended March 31, 2023 and 2022, Condensed Consolidated Statement of Changes in Redeemable Noncontrolling Interest and Stockholders’ Deficit for the three months ended March 31, 2023 and 2022 and Condensed Consolidated Statements of Cash Flows for the three months ended March 31, 2023 and 2022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2022,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2023, the results of operations for the three months ended March 31, 2023 and 2022 and cash flows for the three months ended March 31, 2023 and 2022. The December 31, 2022 Condensed Consolidated Balance Sheet included herein was derived from the audited financial statements but does not include all disclosures or notes required by GAAP for complete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to the financial statements related to the three months ended March 31, 2023 and 2022 are unaudited. Interim results are not necessarily indicative of results for an entire year.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expose the Company to concentrations of credit risk consist principally of cash on deposit with one financial institution. The balance of the cash account frequently exceed insured limits.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One hundred percent (100%) of the revenue earned during the three months ended March 31, 2022, was attributable from the satisfaction of a development milestone from the First Huadong Amendment (as defined herein). The Company did not have any revenue during the three months ended March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any highly liquid investments with an original maturity of three months or less to be cash and cash equivalents.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uses the revenue recognition guidance established by ASC 606, Revenue From Contracts With Customers (“ASC 606”). When an agreement falls under the scope of other standards, such as ASC 808, </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that are reimbursed under a cost-sharing arrangement are reflected as a reduction of research and development expense.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120" w:after="283"/>
        <w:ind w:left="0" w:right="0" w:firstLine="540"/>
        <w:jc w:val="both"/>
        <w:rPr/>
      </w:pPr>
      <w:r>
        <w:rPr>
          <w:rFonts w:ascii="Times New Roman;sans-serif" w:hAnsi="Times New Roman;sans-serif"/>
          <w:b/>
          <w:color w:val="000000"/>
          <w:sz w:val="20"/>
        </w:rPr>
        <w:t>Fair Value Measurements:</w:t>
      </w:r>
      <w:r>
        <w:rPr>
          <w:color w:val="000000"/>
        </w:rPr>
        <w:t xml:space="preserve"> </w:t>
      </w:r>
      <w:r>
        <w:rPr>
          <w:rFonts w:ascii="Times New Roman;sans-serif" w:hAnsi="Times New Roman;sans-serif"/>
          <w:b w:val="false"/>
          <w:color w:val="000000"/>
          <w:sz w:val="20"/>
        </w:rPr>
        <w:t xml:space="preserve">In June 2022, the Financial Accounting Standards Board (FASB) issued Accounting Standards Update (ASU) No. 2022-03 </w:t>
      </w:r>
      <w:r>
        <w:rPr>
          <w:color w:val="000000"/>
        </w:rPr>
        <w:t>“</w:t>
      </w:r>
      <w:r>
        <w:rPr>
          <w:rFonts w:ascii="Times New Roman;sans-serif" w:hAnsi="Times New Roman;sans-serif"/>
          <w:b w:val="false"/>
          <w:i/>
          <w:color w:val="000000"/>
          <w:sz w:val="20"/>
        </w:rPr>
        <w:t>Fair Value Measurements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These amendments clarify that a contractual restriction on the sale of an equity security is not considered part of the unit of account of the equity security and, therefore, is not considered in measuring fair value. This guidance is effective for public business entities for fiscal years, including interim periods within those fiscal years, beginning after December 15, 2023. Early adoption is permitted. The Company has assessed ASU 2022-03 and early adopted the guidance during the second quarter of 2022. The adoption did not have a material impact on the Company's Condensed Consolidated Financial Statements.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3: Collaboration Agreements</w:t>
      </w:r>
    </w:p>
    <w:p>
      <w:pPr>
        <w:pStyle w:val="TextBody"/>
        <w:bidi w:val="0"/>
        <w:spacing w:lineRule="auto" w:line="288" w:before="120" w:after="283"/>
        <w:ind w:left="0" w:right="0" w:hanging="540"/>
        <w:jc w:val="both"/>
        <w:rPr>
          <w:rFonts w:ascii="Times New Roman;sans-serif" w:hAnsi="Times New Roman;sans-serif"/>
          <w:b/>
          <w:i/>
          <w:color w:val="000000"/>
          <w:sz w:val="20"/>
        </w:rPr>
      </w:pPr>
      <w:r>
        <w:rPr>
          <w:rFonts w:ascii="Times New Roman;sans-serif" w:hAnsi="Times New Roman;sans-serif"/>
          <w:b/>
          <w:i/>
          <w:color w:val="000000"/>
          <w:sz w:val="20"/>
        </w:rPr>
        <w:t>G42 Purchase Agreement and Cogna Collaborative and License Agreement</w:t>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G42 Investments AI Holding RSC Ltd, a private limited company (“G42 Investments”), entered into a Common Stock Purchase Agreement (the “G42 Purchase Agreement”),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at May 31, 2023 (the “G42 Promissory Note”). As part of the G42 Purchase Agreement, G42 Investments nominated a director as appointee and the Company’s board of directors approved appointing the new director to the Company’s board.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income/(expense)in the Company’s Condensed Consolidated Statements of Operations.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sans-serif" w:hAnsi="Times New Roman;sans-serif"/>
          <w:b w:val="false"/>
          <w:i/>
          <w:color w:val="000000"/>
          <w:sz w:val="20"/>
        </w:rPr>
        <w:t xml:space="preserve">TTP399 </w:t>
      </w:r>
      <w:r>
        <w:rPr>
          <w:rFonts w:ascii="Times New Roman;sans-serif" w:hAnsi="Times New Roman;sans-serif"/>
          <w:b w:val="false"/>
          <w:color w:val="000000"/>
          <w:sz w:val="20"/>
        </w:rPr>
        <w:t xml:space="preserve">(the “FDA Approval”) of </w:t>
      </w:r>
      <w:r>
        <w:rPr>
          <w:rFonts w:ascii="Times New Roman;sans-serif" w:hAnsi="Times New Roman;sans-serif"/>
          <w:b w:val="false"/>
          <w:i/>
          <w:color w:val="000000"/>
          <w:sz w:val="20"/>
        </w:rPr>
        <w:t>TTP399</w:t>
      </w:r>
      <w:r>
        <w:rPr>
          <w:rFonts w:ascii="Times New Roman;sans-serif" w:hAnsi="Times New Roman;sans-serif"/>
          <w:b w:val="false"/>
          <w:color w:val="000000"/>
          <w:sz w:val="20"/>
        </w:rPr>
        <w:t>), the Company has granted to G42 Investments 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the Company’s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compound (the “Licensed Product”) as well as jointly creating a global development plan to develop, market, and commercialize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the Licensed Product in the Partner Territory, but will not have access to the various intellectual property (“IP”)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license and </w:t>
      </w:r>
      <w:r>
        <w:rPr>
          <w:rFonts w:ascii="Times New Roman;sans-serif" w:hAnsi="Times New Roman;sans-serif"/>
          <w:b w:val="false"/>
          <w:i/>
          <w:color w:val="000000"/>
          <w:sz w:val="20"/>
        </w:rPr>
        <w:t>TTP399</w:t>
      </w:r>
      <w:r>
        <w:rPr>
          <w:rFonts w:ascii="Times New Roman;sans-serif" w:hAnsi="Times New Roman;sans-serif"/>
          <w:b w:val="false"/>
          <w:color w:val="000000"/>
          <w:sz w:val="20"/>
        </w:rPr>
        <w:t xml:space="preserve">. Specifically, the Company will share various protocols with Cogna related to conducting the clinical trials and will provide the patient dosages and placebo of </w:t>
      </w:r>
      <w:r>
        <w:rPr>
          <w:rFonts w:ascii="Times New Roman;sans-serif" w:hAnsi="Times New Roman;sans-serif"/>
          <w:b w:val="false"/>
          <w:i/>
          <w:color w:val="000000"/>
          <w:sz w:val="20"/>
        </w:rPr>
        <w:t xml:space="preserve">TTP399 </w:t>
      </w:r>
      <w:r>
        <w:rPr>
          <w:rFonts w:ascii="Times New Roman;sans-serif" w:hAnsi="Times New Roman;sans-serif"/>
          <w:b w:val="false"/>
          <w:color w:val="000000"/>
          <w:sz w:val="20"/>
        </w:rPr>
        <w:t xml:space="preserve">needed to conduct the trials.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Under the Cogna Agreement, Cogna has the right to develop and commercialize the Licensed Product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sans-serif" w:hAnsi="Times New Roman;sans-serif"/>
          <w:b w:val="false"/>
          <w:i/>
          <w:color w:val="000000"/>
          <w:sz w:val="20"/>
        </w:rPr>
        <w:t>TTP399</w:t>
      </w:r>
      <w:r>
        <w:rPr>
          <w:color w:val="000000"/>
          <w:shd w:fill="FFFFFF" w:val="clear"/>
        </w:rPr>
        <w:t xml:space="preserve"> </w:t>
      </w:r>
      <w:r>
        <w:rPr>
          <w:rFonts w:ascii="Times New Roman;sans-serif" w:hAnsi="Times New Roman;sans-serif"/>
          <w:b w:val="false"/>
          <w:color w:val="000000"/>
          <w:sz w:val="20"/>
          <w:shd w:fill="FFFFFF" w:val="clear"/>
        </w:rPr>
        <w:t>for commercial sale under terms to be agreed upon by the parties at a later date.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Separately, the Company will conduct its clinical trials for </w:t>
      </w:r>
      <w:r>
        <w:rPr>
          <w:rFonts w:ascii="Times New Roman;sans-serif" w:hAnsi="Times New Roman;sans-serif"/>
          <w:b w:val="false"/>
          <w:i/>
          <w:color w:val="000000"/>
          <w:sz w:val="20"/>
          <w:shd w:fill="FFFFFF" w:val="clear"/>
        </w:rPr>
        <w:t>TTP399</w:t>
      </w:r>
      <w:r>
        <w:rPr>
          <w:color w:val="000000"/>
          <w:shd w:fill="FFFFFF" w:val="clear"/>
        </w:rPr>
        <w:t xml:space="preserve"> </w:t>
      </w:r>
      <w:r>
        <w:rPr>
          <w:rFonts w:ascii="Times New Roman;sans-serif" w:hAnsi="Times New Roman;sans-serif"/>
          <w:b w:val="false"/>
          <w:color w:val="000000"/>
          <w:sz w:val="20"/>
          <w:shd w:fill="FFFFFF" w:val="clear"/>
        </w:rPr>
        <w:t xml:space="preserve">outside of the Partner Territory at its own cost. The results of each party’s clinical trials will be combined by the Company to seek FDA approval in the United States for </w:t>
      </w:r>
      <w:r>
        <w:rPr>
          <w:rFonts w:ascii="Times New Roman;sans-serif" w:hAnsi="Times New Roman;sans-serif"/>
          <w:b w:val="false"/>
          <w:i/>
          <w:color w:val="000000"/>
          <w:sz w:val="20"/>
          <w:shd w:fill="FFFFFF" w:val="clear"/>
        </w:rPr>
        <w:t>TTP399</w:t>
      </w:r>
      <w:r>
        <w:rPr>
          <w:rFonts w:ascii="Times New Roman;sans-serif" w:hAnsi="Times New Roman;sans-serif"/>
          <w:b w:val="false"/>
          <w:color w:val="000000"/>
          <w:sz w:val="20"/>
          <w:shd w:fill="FFFFFF" w:val="clear"/>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G42 Purchase Agreement also provides for, following the receipt of FDA approval of the Licensed Product, at the option of G42 Investments, either (a) 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are conditioned upon receipt of the FDA Approval and subject to certain limitations and conditions set forth in the G42 Purchase Agreement. There can be no assurance that the FDA Approval will be granted or as to the timing thereof.</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Once commercialization takes place in the Partner Territory, the Company will receive royalties in the single digits from Cogna on the net sales of the Licensed Product for a period of at least ten years after the first commercial sale of the Licensed Product in the Partner Territory.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quarterly report on Form 10-Q for details of the ASU. Accordingly, the Company determined that cash consideration of $5.7 million should be recorded as fair value of the Class A common stock at the effective date, utilizing the Class A common stock closing price of $0.55 at the effective date.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certain commitments under the agreements are in the scope of ASC 808 as both the Company and Cogna are active participants in the clinical trials of the Licensed Product, and both are exposed to significant risks and rewards based on the success of the clinical trials and subsequent FDA approval. Cogna is determined to be a vendor of the Company during the clinical trial phase, working on the Company’s behalf to complete R&amp;D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 will recognize collaboration revenue for its development activities under ASC 808 over time based on the estimated period of performance.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808 unit of account are concentrated in the clinical trials. As of March 31, 2023, the clinical trials had not commenced. Accordingly, no collaboration revenue was recognized for the ASC 808 unit of account during the three months ended March 31,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commercial and manufacturing license at a point in time when the Company releases the restrictions on the use of the IP, which is expected to be after the Licensed Product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months ended March 31, 2023.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February 28, 2023, the Company and G42 Investments amended the G42 Purchase Agreement and modified the G42 Promissory Note to accelerate the payment due under the note. Pursuant to the amendment, on February 28, 2023, the Company receive</w:t>
      </w:r>
      <w:r>
        <w:rPr>
          <w:rFonts w:ascii="Times New Roman;sans-serif" w:hAnsi="Times New Roman;sans-serif"/>
          <w:b w:val="false"/>
          <w:color w:val="000000"/>
          <w:sz w:val="20"/>
          <w:shd w:fill="FFFFFF" w:val="clear"/>
        </w:rPr>
        <w:t xml:space="preserve">d $12.0 million, which reflected the original amount due under the G42 Promissory Note less a 3.75% discount, in full satisfaction of the note, </w:t>
      </w:r>
      <w:r>
        <w:rPr>
          <w:rFonts w:ascii="Times New Roman;sans-serif" w:hAnsi="Times New Roman;sans-serif"/>
          <w:b w:val="false"/>
          <w:color w:val="000000"/>
          <w:sz w:val="20"/>
        </w:rPr>
        <w:t xml:space="preserve">resulting in a loss of </w:t>
      </w:r>
      <w:r>
        <w:rPr>
          <w:rFonts w:ascii="Times New Roman;sans-serif" w:hAnsi="Times New Roman;sans-serif"/>
          <w:b w:val="false"/>
          <w:color w:val="000000"/>
          <w:sz w:val="20"/>
          <w:shd w:fill="FFFFFF" w:val="clear"/>
        </w:rPr>
        <w:t>$0.3 million</w:t>
      </w:r>
      <w:r>
        <w:rPr>
          <w:color w:val="000000"/>
        </w:rPr>
        <w:t xml:space="preserve"> </w:t>
      </w:r>
      <w:r>
        <w:rPr>
          <w:rFonts w:ascii="Times New Roman;sans-serif" w:hAnsi="Times New Roman;sans-serif"/>
          <w:b w:val="false"/>
          <w:color w:val="000000"/>
          <w:sz w:val="20"/>
        </w:rPr>
        <w:t>and was recognized as a component of other income/(expense)in the Company’s Condensed Consolidated Statements of Operations.</w:t>
      </w:r>
      <w:r>
        <w:rPr>
          <w:color w:val="000000"/>
          <w:shd w:fill="FFFFFF" w:val="clear"/>
        </w:rPr>
        <w:t xml:space="preserve"> </w:t>
      </w:r>
      <w:r>
        <w:rPr>
          <w:rFonts w:ascii="Times New Roman;sans-serif" w:hAnsi="Times New Roman;sans-serif"/>
          <w:b w:val="false"/>
          <w:color w:val="000000"/>
          <w:sz w:val="20"/>
          <w:shd w:fill="FFFFFF" w:val="clear"/>
        </w:rPr>
        <w:t>The promissory note receivable was classified and accounted for under ASC 310 “</w:t>
      </w:r>
      <w:r>
        <w:rPr>
          <w:rFonts w:ascii="Times New Roman;sans-serif" w:hAnsi="Times New Roman;sans-serif"/>
          <w:b w:val="false"/>
          <w:i/>
          <w:color w:val="000000"/>
          <w:sz w:val="20"/>
          <w:shd w:fill="FFFFFF" w:val="clear"/>
        </w:rPr>
        <w:t xml:space="preserve">Receivables“ </w:t>
      </w:r>
      <w:r>
        <w:rPr>
          <w:rFonts w:ascii="Times New Roman;sans-serif" w:hAnsi="Times New Roman;sans-serif"/>
          <w:b w:val="false"/>
          <w:color w:val="000000"/>
          <w:sz w:val="20"/>
          <w:shd w:fill="FFFFFF" w:val="clear"/>
        </w:rPr>
        <w:t xml:space="preserve">(“ASC 310”) and was initially measured at its fair value of $11.9 million. </w:t>
      </w:r>
      <w:r>
        <w:rPr>
          <w:rFonts w:ascii="Times New Roman;sans-serif" w:hAnsi="Times New Roman;sans-serif"/>
          <w:b w:val="false"/>
          <w:color w:val="000000"/>
          <w:sz w:val="20"/>
        </w:rPr>
        <w:t xml:space="preserve">The Company also recorded the $18.7 million as deferred revenue in the Condensed Consolidated Balance Sheets, as none of the underlying performance obligations had been satisfied as of and for the three months ended March 31, 2023. </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Huadong License Agreement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is party to a license agreement with Hangzhou Zhongmei Huadong Pharmaceutical Co., Ltd. (“Huadong”) (the “Huadong License Agreement”), under which Huadong obtained an exclusive and sublicensable license to develop and commercialize the Company’s glucagon-like peptide-1 receptor agonist (“GLP-1r”) program, including the compound</w:t>
      </w:r>
      <w:r>
        <w:rPr>
          <w:color w:val="000000"/>
          <w:shd w:fill="FFFFFF" w:val="clear"/>
        </w:rPr>
        <w:t xml:space="preserve"> </w:t>
      </w:r>
      <w:r>
        <w:rPr>
          <w:rFonts w:ascii="Times New Roman;sans-serif" w:hAnsi="Times New Roman;sans-serif"/>
          <w:b w:val="false"/>
          <w:i/>
          <w:color w:val="000000"/>
          <w:sz w:val="20"/>
          <w:shd w:fill="FFFFFF" w:val="clear"/>
        </w:rPr>
        <w:t>TTP273</w:t>
      </w:r>
      <w:r>
        <w:rPr>
          <w:rFonts w:ascii="Times New Roman;sans-serif" w:hAnsi="Times New Roman;sans-serif"/>
          <w:b w:val="false"/>
          <w:color w:val="000000"/>
          <w:sz w:val="20"/>
          <w:shd w:fill="FFFFFF" w:val="clear"/>
        </w:rPr>
        <w:t xml:space="preserve">,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January 14, 2021, the Company entered into the first amendment to the Huadong License Agreement ( the “First Huadong Amendment”) which eliminated the Company’s obligation to sponsor a multi-region clinical trial (the “Phase 2 MRCT”), and corresponding obligation to contribute up to $3.0 million in support of such trial. The amendment also reduced the total potential development and regulatory milestone payments by $3.0 million.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Prior to the First Amendment, the Company had allocated a portion of the transaction price to the obligation to sponsor and conduct a portion of the Phase 2 MRCT. Upon the removal of this performance obligation, the Company evaluated the impact of the modification under the provisions of ASC 606 and performed a reallocation of the transaction price among the remaining performance obligations. This resulted in the recognition of approximately $2.0 million of revenue on a cumulative catch-up basis during the three months ended March 31, 2022. The majority of the transaction price originally allocated to the Phase 2 MRCT performance obligation was reallocated to the license and technology transfer services combined performance obligation discussed below, which had already been completed. The reallocation of the purchase price in connection with the First Huadong Amendment was made based on the relative estimated selling prices of the remaining performance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significant performance obligations under the Huadong License Agreement, as amended, were determined to be (i) the exclusive license to develop and commercialize the Company’s GLP-1r program, (ii) technology transfer services related to the chemistry and manufacturing know-how for a defined period after the effective date, (iii) the Company’s obligation to participate on a joint development committee (the “JDC”), and (iv) other obligations considered to be de minimis in nature.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discernible pattern in which the technology transfer services would be provided during the transfer service period. As such, the Company recognized the revenue related to this combined performance obligation using the straight-line method over the transfer service period. This combined performance obligation was considered complete as of March 31, 2022. The Company recognized $2.0 million of revenue related to this combined performance obligation during the three months ended March 31, 2022. No revenue related to this combined performance obligation was recognized during the three months ended March 31, 2023.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 portion of the transaction price allocated to the obligation to participate in the JDC to oversee the development of products and the Phase 2 MRCT in accordance with the development plan remained deferred as of March 31, 2023, and revenue will be recognized using the proportional performance model over the period of the Company’s participation on the JDC. The unrecognized amount of the transaction price allocated to this performance obligation as of March 31, 2023, was 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minimis. No revenue for this performance obligation has been recognized during three months ended March 31, 2023 and 2022. </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Contract Liabilities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related to the Company’s collaboration agreements consisted of the following (in thousands):</w:t>
      </w:r>
    </w:p>
    <w:tbl>
      <w:tblPr>
        <w:tblW w:w="6597" w:type="dxa"/>
        <w:jc w:val="left"/>
        <w:tblInd w:w="0" w:type="dxa"/>
        <w:tblLayout w:type="fixed"/>
        <w:tblCellMar>
          <w:top w:w="28" w:type="dxa"/>
          <w:left w:w="28" w:type="dxa"/>
          <w:bottom w:w="28" w:type="dxa"/>
          <w:right w:w="28" w:type="dxa"/>
        </w:tblCellMar>
      </w:tblPr>
      <w:tblGrid>
        <w:gridCol w:w="1254"/>
        <w:gridCol w:w="1104"/>
        <w:gridCol w:w="1107"/>
        <w:gridCol w:w="255"/>
        <w:gridCol w:w="873"/>
        <w:gridCol w:w="132"/>
        <w:gridCol w:w="109"/>
        <w:gridCol w:w="109"/>
        <w:gridCol w:w="109"/>
        <w:gridCol w:w="300"/>
        <w:gridCol w:w="1026"/>
        <w:gridCol w:w="219"/>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25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9"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net of current portion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 liabilities</w:t>
            </w:r>
          </w:p>
        </w:tc>
        <w:tc>
          <w:tcPr>
            <w:tcW w:w="2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13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2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short-term and long-term contract liabilities for the three months ended March 31, 2023, were as follows:</w:t>
      </w:r>
    </w:p>
    <w:tbl>
      <w:tblPr>
        <w:tblW w:w="10205" w:type="dxa"/>
        <w:jc w:val="left"/>
        <w:tblInd w:w="0" w:type="dxa"/>
        <w:tblLayout w:type="fixed"/>
        <w:tblCellMar>
          <w:top w:w="28" w:type="dxa"/>
          <w:left w:w="28" w:type="dxa"/>
          <w:bottom w:w="28" w:type="dxa"/>
          <w:right w:w="28" w:type="dxa"/>
        </w:tblCellMar>
      </w:tblPr>
      <w:tblGrid>
        <w:gridCol w:w="3123"/>
        <w:gridCol w:w="2694"/>
        <w:gridCol w:w="2708"/>
        <w:gridCol w:w="326"/>
        <w:gridCol w:w="1114"/>
        <w:gridCol w:w="240"/>
      </w:tblGrid>
      <w:tr>
        <w:trPr/>
        <w:tc>
          <w:tcPr>
            <w:tcW w:w="3123"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52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r>
      <w:tr>
        <w:trPr/>
        <w:tc>
          <w:tcPr>
            <w:tcW w:w="8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January 1, 2023</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the beginning contract liabilities to revenue, as the result of performance obligations satisfied</w:t>
            </w:r>
          </w:p>
        </w:tc>
        <w:tc>
          <w:tcPr>
            <w:tcW w:w="144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5"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r>
        <w:trPr/>
        <w:tc>
          <w:tcPr>
            <w:tcW w:w="8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on March 31, 2023</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4: Share-Based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issued non-qualified stock option awards to management, other key employees, consultants, and non-employee directors. These option awards generally vest ratably over a three-year period and the option awards expire after a term of ten years from the date of grant. As of March 31, 2023, the Company had total unrecognized stock-based compensation expense for its outstanding stock option awards of approximately $2.1 million, which is expected to be recognized over a weighted average period of 2.6 years. The weighted average grant date fair value of options granted during the three months ended March 31, 2023 and 2022 was $0.80 and $0.65 per option, respectively. The aggregate intrinsic value of the in-the-money awards outstanding at March 31, 2023, was de minimis.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stock option awards for the three months ended March 31, 2023:</w:t>
      </w:r>
    </w:p>
    <w:tbl>
      <w:tblPr>
        <w:tblW w:w="8194" w:type="dxa"/>
        <w:jc w:val="left"/>
        <w:tblInd w:w="0" w:type="dxa"/>
        <w:tblLayout w:type="fixed"/>
        <w:tblCellMar>
          <w:top w:w="28" w:type="dxa"/>
          <w:left w:w="28" w:type="dxa"/>
          <w:bottom w:w="28" w:type="dxa"/>
          <w:right w:w="28" w:type="dxa"/>
        </w:tblCellMar>
      </w:tblPr>
      <w:tblGrid>
        <w:gridCol w:w="1658"/>
        <w:gridCol w:w="1457"/>
        <w:gridCol w:w="1460"/>
        <w:gridCol w:w="488"/>
        <w:gridCol w:w="488"/>
        <w:gridCol w:w="486"/>
        <w:gridCol w:w="109"/>
        <w:gridCol w:w="109"/>
        <w:gridCol w:w="109"/>
        <w:gridCol w:w="441"/>
        <w:gridCol w:w="1068"/>
        <w:gridCol w:w="321"/>
      </w:tblGrid>
      <w:tr>
        <w:trPr/>
        <w:tc>
          <w:tcPr>
            <w:tcW w:w="1658"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 Price</w:t>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December 31, 2022</w:t>
            </w:r>
          </w:p>
        </w:tc>
        <w:tc>
          <w:tcPr>
            <w:tcW w:w="976"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8,418,571 </w:t>
            </w:r>
          </w:p>
        </w:tc>
        <w:tc>
          <w:tcPr>
            <w:tcW w:w="48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726,868 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outstanding at March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9,095,439 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exercisable at March 31, 2023</w:t>
            </w:r>
          </w:p>
        </w:tc>
        <w:tc>
          <w:tcPr>
            <w:tcW w:w="976" w:type="dxa"/>
            <w:gridSpan w:val="2"/>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3,500,344 </w:t>
            </w:r>
          </w:p>
        </w:tc>
        <w:tc>
          <w:tcPr>
            <w:tcW w:w="486"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top w:val="doub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321" w:type="dxa"/>
            <w:tcBorders>
              <w:top w:val="doub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at March 31, 2023</w:t>
            </w:r>
          </w:p>
        </w:tc>
        <w:tc>
          <w:tcPr>
            <w:tcW w:w="976"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6,963,039 </w:t>
            </w:r>
          </w:p>
        </w:tc>
        <w:tc>
          <w:tcPr>
            <w:tcW w:w="4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8"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contractual term</w:t>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the grants of stock options is included in research and development and general and administrative expense as follows (in thousands):</w:t>
      </w:r>
    </w:p>
    <w:tbl>
      <w:tblPr>
        <w:tblW w:w="6420" w:type="dxa"/>
        <w:jc w:val="left"/>
        <w:tblInd w:w="0" w:type="dxa"/>
        <w:tblLayout w:type="fixed"/>
        <w:tblCellMar>
          <w:top w:w="28" w:type="dxa"/>
          <w:left w:w="28" w:type="dxa"/>
          <w:bottom w:w="28" w:type="dxa"/>
          <w:right w:w="28" w:type="dxa"/>
        </w:tblCellMar>
      </w:tblPr>
      <w:tblGrid>
        <w:gridCol w:w="1245"/>
        <w:gridCol w:w="1092"/>
        <w:gridCol w:w="1098"/>
        <w:gridCol w:w="266"/>
        <w:gridCol w:w="589"/>
        <w:gridCol w:w="137"/>
        <w:gridCol w:w="137"/>
        <w:gridCol w:w="137"/>
        <w:gridCol w:w="137"/>
        <w:gridCol w:w="266"/>
        <w:gridCol w:w="589"/>
        <w:gridCol w:w="137"/>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37"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5: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Reneo and Anteris License Agreements, the Company has received equity ownership interests of less than 20% of the voting equity of the investee. Further, the Company does not have the ability to exercise significant influence over the investees. The investments are classified as long-term investments in the Company’s Condensed Consolidated Balance Sheets.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Reneo completed its initial public offering in April 2021. Prior to Reneo becoming a publicly-traded company, the Company’s investment in Reneo did not have a readily determinable fair value and was measured at cost less impairment, adjusted for any changes in observable prices, under the measurement alternative. Subsequent to Reneo’s initial public offering, the Company’s investment in Reneo is considered to have a readily determinable fair value and, as such, is adjusted to its fair value each period with changes in fair value recognized as a component of net loss.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 in Anteris does not have a readily determinable fair value and is measured at cost less impairment, adjusted for any changes in observable prices.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 of the following:</w:t>
      </w:r>
    </w:p>
    <w:tbl>
      <w:tblPr>
        <w:tblW w:w="10205" w:type="dxa"/>
        <w:jc w:val="left"/>
        <w:tblInd w:w="0" w:type="dxa"/>
        <w:tblLayout w:type="fixed"/>
        <w:tblCellMar>
          <w:top w:w="28" w:type="dxa"/>
          <w:left w:w="28" w:type="dxa"/>
          <w:bottom w:w="28" w:type="dxa"/>
          <w:right w:w="28" w:type="dxa"/>
        </w:tblCellMar>
      </w:tblPr>
      <w:tblGrid>
        <w:gridCol w:w="2621"/>
        <w:gridCol w:w="2298"/>
        <w:gridCol w:w="2310"/>
        <w:gridCol w:w="271"/>
        <w:gridCol w:w="791"/>
        <w:gridCol w:w="139"/>
        <w:gridCol w:w="109"/>
        <w:gridCol w:w="109"/>
        <w:gridCol w:w="109"/>
        <w:gridCol w:w="310"/>
        <w:gridCol w:w="907"/>
        <w:gridCol w:w="231"/>
      </w:tblGrid>
      <w:tr>
        <w:trPr/>
        <w:tc>
          <w:tcPr>
            <w:tcW w:w="2621"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2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with readily determinable fair value:</w:t>
            </w:r>
          </w:p>
        </w:tc>
        <w:tc>
          <w:tcPr>
            <w:tcW w:w="120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Reneo common stock</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without readily determinable fair values assessed under the measurement alternative:</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Anteris preferred stock</w:t>
            </w:r>
          </w:p>
        </w:tc>
        <w:tc>
          <w:tcPr>
            <w:tcW w:w="106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23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 adjustments have been made to the value of the Company’s investment in Anteris since its initial measurement either due to impairment or based on observable price changes. The Company recognized an unrealized gain on its investment in Reneo of $2.1 million for the three months ended March 31, 2023, respectively. The Company recognized an unrealized loss on its investment in Reneo of $3.2 million for the three months ended March 31, 2022. These adjustments were recognized as a component of other income/(expense)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6: Commitments and Contingencies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Novo Nordisk</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February 2007, the Company entered into an Agreement Concerning Glucokinase Activator Project with Novo Nordisk A/S (the “Novo License Agreement”)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w:t>
      </w:r>
      <w:r>
        <w:rPr>
          <w:color w:val="000000"/>
        </w:rPr>
        <w:t xml:space="preserve"> </w:t>
      </w:r>
      <w:r>
        <w:rPr>
          <w:rFonts w:ascii="Times New Roman;sans-serif" w:hAnsi="Times New Roman;sans-serif"/>
          <w:b w:val="false"/>
          <w:i/>
          <w:color w:val="000000"/>
          <w:sz w:val="20"/>
        </w:rPr>
        <w:t>TTP399</w:t>
      </w:r>
      <w:r>
        <w:rPr>
          <w:rFonts w:ascii="Times New Roman;sans-serif" w:hAnsi="Times New Roman;sans-serif"/>
          <w:b w:val="false"/>
          <w:color w:val="000000"/>
          <w:sz w:val="20"/>
        </w:rPr>
        <w:t xml:space="preserve">. This agreement was amended in May 2019 to create milestone payments applicable to certain specific and non-specific areas of therapeutic use. 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 During the fourth quarter of 2021, the Company made a payment of $2.0 million related to the satisfaction of the milestone to complete the phase 2 trials for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7: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In August 2019, the Company leased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w:t>
      </w:r>
      <w:r>
        <w:rPr>
          <w:color w:val="000000"/>
          <w:shd w:fill="FFFFFF" w:val="clear"/>
        </w:rPr>
        <w:t xml:space="preserve"> </w:t>
      </w:r>
      <w:r>
        <w:rPr>
          <w:rFonts w:ascii="Times New Roman;sans-serif" w:hAnsi="Times New Roman;sans-serif"/>
          <w:b w:val="false"/>
          <w:color w:val="000000"/>
          <w:sz w:val="20"/>
          <w:shd w:fill="FFFFFF" w:val="clear"/>
        </w:rPr>
        <w:t xml:space="preserve">of </w:t>
      </w:r>
      <w:r>
        <w:rPr>
          <w:rFonts w:ascii="Times New Roman;sans-serif" w:hAnsi="Times New Roman;sans-serif"/>
          <w:b w:val="false"/>
          <w:color w:val="000000"/>
          <w:sz w:val="20"/>
        </w:rPr>
        <w:t>$0.1 million</w:t>
      </w:r>
      <w:r>
        <w:rPr>
          <w:rFonts w:ascii="Times New Roman;sans-serif" w:hAnsi="Times New Roman;sans-serif"/>
          <w:b w:val="false"/>
          <w:color w:val="000000"/>
          <w:sz w:val="20"/>
          <w:shd w:fill="FFFFFF" w:val="clear"/>
        </w:rPr>
        <w:t>. Further, th</w:t>
      </w:r>
      <w:r>
        <w:rPr>
          <w:rFonts w:ascii="Times New Roman;sans-serif" w:hAnsi="Times New Roman;sans-serif"/>
          <w:b w:val="false"/>
          <w:color w:val="000000"/>
          <w:sz w:val="20"/>
        </w:rPr>
        <w:t xml:space="preserve">e second amendment to the lease does not include any material residual value guarantee or restrictive covenants.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each of March 31, 2023 and December 31, 2022, the weighted average incremental borrowing rate for the operating leases held by the Company was 9.5%. At March 31, 2023 and December 31, 2022, the weighted average remaining lease terms for the operating leases held by the Company were 2.7 years and 2.9 years,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for the Company’s operating leases as of March 31, 2023, were as follows (in thousands):</w:t>
      </w:r>
    </w:p>
    <w:tbl>
      <w:tblPr>
        <w:tblW w:w="3516" w:type="dxa"/>
        <w:jc w:val="left"/>
        <w:tblInd w:w="0" w:type="dxa"/>
        <w:tblLayout w:type="fixed"/>
        <w:tblCellMar>
          <w:top w:w="28" w:type="dxa"/>
          <w:left w:w="28" w:type="dxa"/>
          <w:bottom w:w="28" w:type="dxa"/>
          <w:right w:w="28" w:type="dxa"/>
        </w:tblCellMar>
      </w:tblPr>
      <w:tblGrid>
        <w:gridCol w:w="971"/>
        <w:gridCol w:w="854"/>
        <w:gridCol w:w="860"/>
        <w:gridCol w:w="211"/>
        <w:gridCol w:w="46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 nine months)</w:t>
            </w:r>
          </w:p>
        </w:tc>
        <w:tc>
          <w:tcPr>
            <w:tcW w:w="211"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677"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5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5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cost and the related operating cash flows for the three months ended March 31, 2023 and 2022 were immaterial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8: Redeemable Noncontrolling Interest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the Exchange Agreement with respect to the vTv Units representing the 22.1% noncontrolling interest in vTv LLC outstanding as of March 31, 2023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redeemable noncontrolling interest is recognized at the higher of (1) its initial fair value plus accumulated earnings/losses associated with the noncontrolling interest or (2) the redemption value as of the balance sheet date. At March 31, 2023 and December 31, 2022, the redeemable noncontrolling interest was recorded based on the redemption value as of the balance sheet date of $19.6 million and $16.6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Company’s ownership interest in vTv LLC while the Company retains its controlling interest in vTv LLC are accounted for as equity transactions, and the Company is required to adjust noncontrolling interest and equity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changes. The following is a summary of net income attributable to vTv Therapeutics Inc. and transfers to noncontrolling interest:</w:t>
      </w:r>
    </w:p>
    <w:tbl>
      <w:tblPr>
        <w:tblW w:w="10205" w:type="dxa"/>
        <w:jc w:val="left"/>
        <w:tblInd w:w="0" w:type="dxa"/>
        <w:tblLayout w:type="fixed"/>
        <w:tblCellMar>
          <w:top w:w="28" w:type="dxa"/>
          <w:left w:w="28" w:type="dxa"/>
          <w:bottom w:w="28" w:type="dxa"/>
          <w:right w:w="28" w:type="dxa"/>
        </w:tblCellMar>
      </w:tblPr>
      <w:tblGrid>
        <w:gridCol w:w="2571"/>
        <w:gridCol w:w="2208"/>
        <w:gridCol w:w="2215"/>
        <w:gridCol w:w="248"/>
        <w:gridCol w:w="794"/>
        <w:gridCol w:w="128"/>
        <w:gridCol w:w="128"/>
        <w:gridCol w:w="128"/>
        <w:gridCol w:w="128"/>
        <w:gridCol w:w="248"/>
        <w:gridCol w:w="794"/>
        <w:gridCol w:w="128"/>
        <w:gridCol w:w="109"/>
        <w:gridCol w:w="109"/>
        <w:gridCol w:w="109"/>
        <w:gridCol w:w="160"/>
      </w:tblGrid>
      <w:tr>
        <w:trPr/>
        <w:tc>
          <w:tcPr>
            <w:tcW w:w="257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6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 common shareholders</w:t>
            </w:r>
          </w:p>
        </w:tc>
        <w:tc>
          <w:tcPr>
            <w:tcW w:w="24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w:t>
            </w:r>
          </w:p>
        </w:tc>
        <w:tc>
          <w:tcPr>
            <w:tcW w:w="12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w:t>
            </w:r>
          </w:p>
        </w:tc>
        <w:tc>
          <w:tcPr>
            <w:tcW w:w="12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vTv Therapeutics Inc. accumulated deficit for purchase of LLC Units as a result of common stock issuances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9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loss attributable to vTv Therapeutics Inc. common shareholders and transfers to noncontrolling interest</w:t>
            </w:r>
          </w:p>
        </w:tc>
        <w:tc>
          <w:tcPr>
            <w:tcW w:w="24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w:t>
            </w:r>
          </w:p>
        </w:tc>
        <w:tc>
          <w:tcPr>
            <w:tcW w:w="12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w:t>
            </w:r>
          </w:p>
        </w:tc>
        <w:tc>
          <w:tcPr>
            <w:tcW w:w="12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9: Stockholders’ Deficit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Amendment to Certificate of Incorporation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G42 Investments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 and G42 Investments entered in to the G42 Purchase Agreement (see Note 3), pursuant to which the Company agreed to sell to G42 Investments 10,386,274 shares of the Company's Class A common stock at a price per share of approximately $2.41,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income/(expense) in the Company’s Condensed Consolidated Statements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CinPax and CinRx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2022 (the “Transaction Date”), the Company entered into the CinRx Purchase Agreement with CinPax and CinRx, pursuant to which the Company agreed to sell to CinPax 4,154,549 shares of the Company’s Class A common stock at a price per share of approximately $2.41, for an aggregate purchase price of $10.0 million, which was paid (i) $6.0 million in cash at the closing of the transaction and (ii) $4.0 million in the form of a non-interest-bearing promissory note with CinPax and was paid to the Company on November 22, 2022. The CinRx Purchase Agreement provides CinPax the right to nominate a director to be approved to sit on the Company’s Board of Directors and a board observer, which was subsequently approved by the Company’s board.</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 this quarterly report on Form 10-Q for details of the ASU.</w:t>
      </w:r>
      <w:r>
        <w:rPr>
          <w:color w:val="000000"/>
        </w:rPr>
        <w:t xml:space="preserve"> </w:t>
      </w:r>
      <w:r>
        <w:rPr>
          <w:rFonts w:ascii="Times New Roman;sans-serif" w:hAnsi="Times New Roman;sans-serif"/>
          <w:b w:val="false"/>
          <w:color w:val="000000"/>
          <w:sz w:val="20"/>
        </w:rPr>
        <w:t xml:space="preserve">Accordingly, the Company determined that cash consideration of $3.0 million should be recorded as fair value of the Class A common stock at the effective date, utilizing the Class A common stock closing price of $0.72 at the effective date.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CinRx Purchase Agreement also provides CinRx warrants to purchase up to 1,200,000 shares of common stock at an initial exercise of price of approximately $0.72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(the “Product”), or (ii) 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10)</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ATM Offering</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On January 14, 2021 and June 25,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w:t>
      </w:r>
      <w:r>
        <w:rPr>
          <w:color w:val="000000"/>
        </w:rPr>
        <w:t xml:space="preserve"> </w:t>
      </w:r>
      <w:r>
        <w:rPr>
          <w:rFonts w:ascii="Times New Roman;sans-serif" w:hAnsi="Times New Roman;sans-serif"/>
          <w:b w:val="false"/>
          <w:color w:val="000000"/>
          <w:sz w:val="20"/>
        </w:rPr>
        <w:t>$5.5 million</w:t>
      </w:r>
      <w:r>
        <w:rPr>
          <w:color w:val="000000"/>
          <w:shd w:fill="FFFFFF" w:val="clear"/>
        </w:rPr>
        <w:t xml:space="preserve"> </w:t>
      </w:r>
      <w:r>
        <w:rPr>
          <w:rFonts w:ascii="Times New Roman;sans-serif" w:hAnsi="Times New Roman;sans-serif"/>
          <w:b w:val="false"/>
          <w:color w:val="000000"/>
          <w:sz w:val="20"/>
          <w:shd w:fill="FFFFFF" w:val="clear"/>
        </w:rPr>
        <w:t>and $50.0 million, respectively</w:t>
      </w:r>
      <w:r>
        <w:rPr>
          <w:rFonts w:ascii="Times New Roman;sans-serif" w:hAnsi="Times New Roman;sans-serif"/>
          <w:b w:val="false"/>
          <w:color w:val="000000"/>
          <w:sz w:val="20"/>
        </w:rPr>
        <w:t>.</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three months ended March 31, 2023 and 2022, the Company did not sell any shares under the ATM Offering.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Lincoln Park Capital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Purchase Agreement. During the three months ended March 31, 2023 and 2022, the Company did not sell any shares under the LPC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10: Related-Party Transactions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MacAndrews &amp; Forbes Incorporated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MacAndrews directly or indirectly controls 23,084,267 shares of Class B common stock. Further, as of March 31, 2023, MacAndrews directly or indirectly holds 36,519,212 shares of the Company’s Class A common stock. As a result, MacAndrews’ holdings represent approximately 57.0% of the combined voting power of the Company’s outstanding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several agreements with MacAndrews or its affiliates as further detailed below:</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Letter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fee for the entrance into certain of these Letter Agreements, the Company also issued MacAndrews warrants (the “Letter Agreement Warrants”) to purchase additional shares of the Company’s Class A common stock.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 </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Exchange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March 31, 2023, MacAndrews had not exchanged any shares under the provisions of the Exchange Agreement.</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no shares have been exchanged by MacAndrews pursuant to the Exchange Agreement (discussed above), the Company has not recognized any liability, nor has it made any payments pursuant to the Tax Receivable Agreement as of March 31, 2023.</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G42 Investments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 entered into a common stock purchase agreement with G42 Investments pursuant to which the Company sold to G42 Investments 10,386,274 shares of the Company’s Class A common stock at a price per share of approximately $2.41, for an aggregate purchase price of $25.0 million, which was paid (i) $12.5 million in cash at the closing and (ii) $12.5 million in the form of a promissory note of G42 Investments to be paid on May 31, 2023 (the “G42 Promissory Note”). As part of the G42 Purchase Agreement, G42 Investments put forward a director as appointee and the Company’s board of directors appointed the new director to the Company’s board on July 11, 2022. On February 28, 2023, the Company and G42 Investments entered into an amendment of the common stock purchase agreement pursuant to which G42 Investments agreed to accelerate payment of the amount due under the promissory note. On February 28, 2023, the Company received $12.0 million from G42 Investments, which represented a 3.75% discount to the full amount due under the promissory note, in full and final satisfaction of the promissory note, resulting in a loss of $0.3 million and was recognized as a component of other income/(expense) in the Company’s Condensed Consolidated Statements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CinRx Pharma, LLC</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Master Services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2022, the Company entered into a Master Services Agreement with CinRx Pharma, LLC (“CinRx”) (the “CinRx MSA”). Under the CinRx MSA, CinRx provides the Company with consulting and clinical trial services,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enumerated in project proposals negotiated between the Company and CinRx from time to time. As of October 10, 2022, the Company has agreed to pay CinRx fees of up to $0.2 million per month until approximately December 2024 in respect of ongoing agreed project proposals under the CinRx MSA, plus out-of-pocket expenses incurred by CinRx on the Company’s behalf. Dr. Jonathan Isaacsohn, who was appointed as chair of the Company’s board of directors on August 9, 2022, is the President and Chief Executive Officer of CinRx. CinPax, LLC, a subsidiary of CinRx, currently holds 4,154,549 shares of the Company’s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U.S. federal income taxes as well as state taxes. The Company did not record an income tax provision for the three months ended March 31, 2023. The Company’s income tax provision for the three months ended March 31, 2022, was $0.2 million representing foreign withholding taxes incurred in connection with payments received under license agreements with foreign entities.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March 31, 2023, is due to the valuation allowance against the Company’s expected net operating losses.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Note 10,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12: Net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numerator and denominator used in the calculation of basic and diluted net loss per share of Class A common stock is as follows (amounts in thousands, except per share amounts):</w:t>
      </w:r>
    </w:p>
    <w:tbl>
      <w:tblPr>
        <w:tblW w:w="10205" w:type="dxa"/>
        <w:jc w:val="left"/>
        <w:tblInd w:w="0" w:type="dxa"/>
        <w:tblLayout w:type="fixed"/>
        <w:tblCellMar>
          <w:top w:w="28" w:type="dxa"/>
          <w:left w:w="28" w:type="dxa"/>
          <w:bottom w:w="28" w:type="dxa"/>
          <w:right w:w="28" w:type="dxa"/>
        </w:tblCellMar>
      </w:tblPr>
      <w:tblGrid>
        <w:gridCol w:w="2444"/>
        <w:gridCol w:w="2153"/>
        <w:gridCol w:w="2168"/>
        <w:gridCol w:w="268"/>
        <w:gridCol w:w="872"/>
        <w:gridCol w:w="135"/>
        <w:gridCol w:w="135"/>
        <w:gridCol w:w="135"/>
        <w:gridCol w:w="135"/>
        <w:gridCol w:w="268"/>
        <w:gridCol w:w="872"/>
        <w:gridCol w:w="135"/>
        <w:gridCol w:w="109"/>
        <w:gridCol w:w="109"/>
        <w:gridCol w:w="109"/>
        <w:gridCol w:w="158"/>
      </w:tblGrid>
      <w:tr>
        <w:trPr/>
        <w:tc>
          <w:tcPr>
            <w:tcW w:w="2444"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27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4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w:t>
            </w:r>
          </w:p>
        </w:tc>
        <w:tc>
          <w:tcPr>
            <w:tcW w:w="135"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shareholders of vTv Therapeutics Inc., basic and diluted</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27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vTv Therapeutics Inc. Class A common stock, basic and diluted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81,483,600 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66,942,777 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6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vTv Therapeutics Inc. Class A common stock, basic and diluted</w:t>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3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3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not included in the calculation of dilutive net loss per share are as follows:</w:t>
      </w:r>
    </w:p>
    <w:tbl>
      <w:tblPr>
        <w:tblW w:w="7338" w:type="dxa"/>
        <w:jc w:val="left"/>
        <w:tblInd w:w="0" w:type="dxa"/>
        <w:tblLayout w:type="fixed"/>
        <w:tblCellMar>
          <w:top w:w="28" w:type="dxa"/>
          <w:left w:w="28" w:type="dxa"/>
          <w:bottom w:w="28" w:type="dxa"/>
          <w:right w:w="28" w:type="dxa"/>
        </w:tblCellMar>
      </w:tblPr>
      <w:tblGrid>
        <w:gridCol w:w="1406"/>
        <w:gridCol w:w="1236"/>
        <w:gridCol w:w="1242"/>
        <w:gridCol w:w="540"/>
        <w:gridCol w:w="541"/>
        <w:gridCol w:w="421"/>
        <w:gridCol w:w="109"/>
        <w:gridCol w:w="109"/>
        <w:gridCol w:w="109"/>
        <w:gridCol w:w="540"/>
        <w:gridCol w:w="541"/>
        <w:gridCol w:w="544"/>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3884"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Class B common stock </w:t>
            </w:r>
            <w:r>
              <w:rPr>
                <w:rFonts w:ascii="Times New Roman;sans-serif" w:hAnsi="Times New Roman;sans-serif"/>
                <w:b w:val="false"/>
                <w:color w:val="000000"/>
                <w:sz w:val="13"/>
              </w:rPr>
              <w:t>(1)</w:t>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23,093,860 </w:t>
            </w:r>
          </w:p>
        </w:tc>
        <w:tc>
          <w:tcPr>
            <w:tcW w:w="42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23,093,860 </w:t>
            </w:r>
          </w:p>
        </w:tc>
        <w:tc>
          <w:tcPr>
            <w:tcW w:w="54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options granted under the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9,095,439 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5,722,342 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3,214,503 </w:t>
            </w:r>
          </w:p>
        </w:tc>
        <w:tc>
          <w:tcPr>
            <w:tcW w:w="42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2,014,503 </w:t>
            </w:r>
          </w:p>
        </w:tc>
        <w:tc>
          <w:tcPr>
            <w:tcW w:w="544"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35,403,802 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30,830,705 </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53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Note 13: Fair Value of Financial Instruments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of certain of the Company’s financial instruments, including cash and cash equivalents, net accounts receivable, note receivable, accounts payable and other accrued liabilities approximate fair value due to their short-term 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the value of its equity investments without readily determinable fair values at cost minus impairment, if any, plus or minus changes resulting from observable price changes in orderly transactions for the identical or similar investment. During the year ended December 31, 2021, Reneo completed its initial public offering. As a result, the fair value of the Company’s investment in Reneo’s common stock now has a readily determinable market value and is no longer eligible for the practical expedient for investments without readily determinable fair market values.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financial assets and liabilities subject to fair value measurements on a recurring basis to determine the appropriate level in which to classify them for each reporting period. This determination requires significant judgments. The Company determined that the promissory note receivable was level 2 and the fair value measurement was based on the market yield curves. The following table summarizes the conclusions reached regarding fair value measurements as of March 31, 2023 and December 31, 2022 (in thousands):</w:t>
      </w:r>
    </w:p>
    <w:tbl>
      <w:tblPr>
        <w:tblW w:w="10205" w:type="dxa"/>
        <w:jc w:val="left"/>
        <w:tblInd w:w="0" w:type="dxa"/>
        <w:tblLayout w:type="fixed"/>
        <w:tblCellMar>
          <w:top w:w="28" w:type="dxa"/>
          <w:left w:w="28" w:type="dxa"/>
          <w:bottom w:w="28" w:type="dxa"/>
          <w:right w:w="28" w:type="dxa"/>
        </w:tblCellMar>
      </w:tblPr>
      <w:tblGrid>
        <w:gridCol w:w="1009"/>
        <w:gridCol w:w="888"/>
        <w:gridCol w:w="898"/>
        <w:gridCol w:w="337"/>
        <w:gridCol w:w="986"/>
        <w:gridCol w:w="174"/>
        <w:gridCol w:w="109"/>
        <w:gridCol w:w="109"/>
        <w:gridCol w:w="109"/>
        <w:gridCol w:w="344"/>
        <w:gridCol w:w="1006"/>
        <w:gridCol w:w="178"/>
        <w:gridCol w:w="109"/>
        <w:gridCol w:w="109"/>
        <w:gridCol w:w="109"/>
        <w:gridCol w:w="464"/>
        <w:gridCol w:w="894"/>
        <w:gridCol w:w="242"/>
        <w:gridCol w:w="109"/>
        <w:gridCol w:w="109"/>
        <w:gridCol w:w="109"/>
        <w:gridCol w:w="455"/>
        <w:gridCol w:w="1006"/>
        <w:gridCol w:w="343"/>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7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97"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with readily determinable fair value</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37"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74"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3,447 </w:t>
            </w:r>
          </w:p>
        </w:tc>
        <w:tc>
          <w:tcPr>
            <w:tcW w:w="178"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49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3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7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34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2"/>
        <w:gridCol w:w="874"/>
        <w:gridCol w:w="883"/>
        <w:gridCol w:w="360"/>
        <w:gridCol w:w="1052"/>
        <w:gridCol w:w="186"/>
        <w:gridCol w:w="109"/>
        <w:gridCol w:w="109"/>
        <w:gridCol w:w="109"/>
        <w:gridCol w:w="340"/>
        <w:gridCol w:w="995"/>
        <w:gridCol w:w="176"/>
        <w:gridCol w:w="109"/>
        <w:gridCol w:w="109"/>
        <w:gridCol w:w="109"/>
        <w:gridCol w:w="458"/>
        <w:gridCol w:w="884"/>
        <w:gridCol w:w="239"/>
        <w:gridCol w:w="109"/>
        <w:gridCol w:w="109"/>
        <w:gridCol w:w="109"/>
        <w:gridCol w:w="450"/>
        <w:gridCol w:w="996"/>
        <w:gridCol w:w="339"/>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Quoted Prices in Active </w:t>
              <w:br/>
              <w:t>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w:t>
              <w:br/>
              <w:t>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with readily determinable fair value</w:t>
            </w:r>
          </w:p>
        </w:tc>
        <w:tc>
          <w:tcPr>
            <w:tcW w:w="36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EBF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Warrant liability, related party </w:t>
            </w:r>
            <w:r>
              <w:rPr>
                <w:rFonts w:ascii="Times New Roman;sans-serif" w:hAnsi="Times New Roman;sans-serif"/>
                <w:b w:val="false"/>
                <w:color w:val="000000"/>
                <w:sz w:val="13"/>
              </w:rPr>
              <w:t>(1)</w:t>
            </w:r>
          </w:p>
        </w:tc>
        <w:tc>
          <w:tcPr>
            <w:tcW w:w="36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33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tc>
      </w:tr>
    </w:tbl>
    <w:tbl>
      <w:tblPr>
        <w:tblW w:w="10205" w:type="dxa"/>
        <w:jc w:val="left"/>
        <w:tblInd w:w="0" w:type="dxa"/>
        <w:tblLayout w:type="fixed"/>
        <w:tblCellMar>
          <w:top w:w="28" w:type="dxa"/>
          <w:left w:w="28" w:type="dxa"/>
          <w:bottom w:w="28" w:type="dxa"/>
          <w:right w:w="28" w:type="dxa"/>
        </w:tblCellMar>
      </w:tblPr>
      <w:tblGrid>
        <w:gridCol w:w="837"/>
        <w:gridCol w:w="733"/>
        <w:gridCol w:w="742"/>
        <w:gridCol w:w="350"/>
        <w:gridCol w:w="1023"/>
        <w:gridCol w:w="181"/>
        <w:gridCol w:w="109"/>
        <w:gridCol w:w="109"/>
        <w:gridCol w:w="109"/>
        <w:gridCol w:w="380"/>
        <w:gridCol w:w="968"/>
        <w:gridCol w:w="196"/>
        <w:gridCol w:w="109"/>
        <w:gridCol w:w="109"/>
        <w:gridCol w:w="109"/>
        <w:gridCol w:w="262"/>
        <w:gridCol w:w="503"/>
        <w:gridCol w:w="136"/>
        <w:gridCol w:w="109"/>
        <w:gridCol w:w="109"/>
        <w:gridCol w:w="109"/>
        <w:gridCol w:w="292"/>
        <w:gridCol w:w="562"/>
        <w:gridCol w:w="152"/>
        <w:gridCol w:w="109"/>
        <w:gridCol w:w="109"/>
        <w:gridCol w:w="109"/>
        <w:gridCol w:w="400"/>
        <w:gridCol w:w="884"/>
        <w:gridCol w:w="296"/>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Level 3 instruments for the three months ended March 31,</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January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Change in</w:t>
              <w:br/>
              <w:t xml:space="preserve">fair value included in </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w:t>
              <w:br/>
              <w:t>Issuance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Sales /</w:t>
              <w:br/>
              <w:t>Repurchases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March 31,</w:t>
            </w:r>
          </w:p>
        </w:tc>
      </w:tr>
      <w:tr>
        <w:trPr/>
        <w:tc>
          <w:tcPr>
            <w:tcW w:w="231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55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EBF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5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1"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296" w:type="dxa"/>
            <w:tcBorders>
              <w:top w:val="single" w:sz="8" w:space="0" w:color="000000"/>
            </w:tcBorders>
            <w:shd w:fill="EBF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55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related party</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5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8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1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29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into or out of level 3 instruments and/or between level 1 and level 2 instruments during the three months ended March 31, 2023. Gains and losses recognized due to the change in fair value of the warrant liability, related party are recognized as a component of other (expense) income, related party in the Company’s Condensed Consolidated Statements of Operations.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March 31, 2023 and December 31, 2022, were:</w:t>
      </w:r>
    </w:p>
    <w:tbl>
      <w:tblPr>
        <w:tblW w:w="8153" w:type="dxa"/>
        <w:jc w:val="left"/>
        <w:tblInd w:w="0" w:type="dxa"/>
        <w:tblLayout w:type="fixed"/>
        <w:tblCellMar>
          <w:top w:w="28" w:type="dxa"/>
          <w:left w:w="28" w:type="dxa"/>
          <w:bottom w:w="28" w:type="dxa"/>
          <w:right w:w="28" w:type="dxa"/>
        </w:tblCellMar>
      </w:tblPr>
      <w:tblGrid>
        <w:gridCol w:w="669"/>
        <w:gridCol w:w="587"/>
        <w:gridCol w:w="589"/>
        <w:gridCol w:w="545"/>
        <w:gridCol w:w="545"/>
        <w:gridCol w:w="424"/>
        <w:gridCol w:w="484"/>
        <w:gridCol w:w="484"/>
        <w:gridCol w:w="486"/>
        <w:gridCol w:w="109"/>
        <w:gridCol w:w="109"/>
        <w:gridCol w:w="109"/>
        <w:gridCol w:w="583"/>
        <w:gridCol w:w="479"/>
        <w:gridCol w:w="452"/>
        <w:gridCol w:w="433"/>
        <w:gridCol w:w="433"/>
        <w:gridCol w:w="633"/>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r>
          </w:p>
        </w:tc>
      </w:tr>
      <w:tr>
        <w:trPr/>
        <w:tc>
          <w:tcPr>
            <w:tcW w:w="18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73.22% - 83.59%</w:t>
            </w:r>
          </w:p>
        </w:tc>
        <w:tc>
          <w:tcPr>
            <w:tcW w:w="145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81.39%</w:t>
            </w:r>
          </w:p>
        </w:tc>
        <w:tc>
          <w:tcPr>
            <w:tcW w:w="32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76.94% - 85.88%</w:t>
            </w:r>
          </w:p>
        </w:tc>
        <w:tc>
          <w:tcPr>
            <w:tcW w:w="149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82.17%</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3.73% - 4.24%</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4.11% - 4.43%</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March 31, 2023, were:</w:t>
      </w:r>
    </w:p>
    <w:tbl>
      <w:tblPr>
        <w:tblW w:w="3572" w:type="dxa"/>
        <w:jc w:val="left"/>
        <w:tblInd w:w="0" w:type="dxa"/>
        <w:tblLayout w:type="fixed"/>
        <w:tblCellMar>
          <w:top w:w="28" w:type="dxa"/>
          <w:left w:w="28" w:type="dxa"/>
          <w:bottom w:w="28" w:type="dxa"/>
          <w:right w:w="28" w:type="dxa"/>
        </w:tblCellMar>
      </w:tblPr>
      <w:tblGrid>
        <w:gridCol w:w="994"/>
        <w:gridCol w:w="874"/>
        <w:gridCol w:w="877"/>
        <w:gridCol w:w="255"/>
        <w:gridCol w:w="256"/>
        <w:gridCol w:w="316"/>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volatility </w:t>
            </w:r>
          </w:p>
        </w:tc>
        <w:tc>
          <w:tcPr>
            <w:tcW w:w="5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74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weighted average expected volatility and risk-free interest rate was based on the relative fair values of the warrants.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Note 14: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subsequent events through May 11, 2023, and determined that there have been no events that have occurred that would require adjustments to our disclosures or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sans-serif" w:hAnsi="Times New Roman;sans-serif"/>
          <w:b w:val="false"/>
          <w:i/>
          <w:color w:val="000000"/>
          <w:sz w:val="20"/>
        </w:rPr>
        <w:t>TTP399</w:t>
      </w:r>
      <w:r>
        <w:rPr>
          <w:rFonts w:ascii="Times New Roman;sans-serif" w:hAnsi="Times New Roman;sans-serif"/>
          <w:b w:val="false"/>
          <w:color w:val="000000"/>
          <w:sz w:val="20"/>
        </w:rPr>
        <w:t>, an orally administered, small molecule, liver-selective glucokinase activator (“GKA”) as an adjunctive therapy to insulin for the treatment of type 1 diabetes (“T1D”).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February 24, 2023, the Company received written confirmation that the FDA is in agreement with the pediatric study plan for the study of </w:t>
      </w:r>
      <w:r>
        <w:rPr>
          <w:rFonts w:ascii="Times New Roman;sans-serif" w:hAnsi="Times New Roman;sans-serif"/>
          <w:b w:val="false"/>
          <w:i/>
          <w:color w:val="000000"/>
          <w:sz w:val="20"/>
        </w:rPr>
        <w:t xml:space="preserve">TTP399 </w:t>
      </w:r>
      <w:r>
        <w:rPr>
          <w:rFonts w:ascii="Times New Roman;sans-serif" w:hAnsi="Times New Roman;sans-serif"/>
          <w:b w:val="false"/>
          <w:color w:val="000000"/>
          <w:sz w:val="20"/>
        </w:rPr>
        <w:t>in T1D patients between 2 and 16 years of age.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28, 2023, the Company received approximately $12.0 million from G42 Investments in satisfaction of the promissory note issued in connection with the common stock purchase agreement entered into between vTv and G42 Investments in 2022. The amount received reflected a 3.75% discount to the full amount in exchange for acceleration of the payment from the due date of May 31, 2023.</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drug candidates, their partnership status and their respective stages of development:</w:t>
      </w:r>
    </w:p>
    <w:p>
      <w:pPr>
        <w:pStyle w:val="TextBody"/>
        <w:bidi w:val="0"/>
        <w:spacing w:before="0" w:after="0"/>
        <w:jc w:val="center"/>
        <w:rPr/>
      </w:pPr>
      <w:r>
        <w:rPr/>
        <w:drawing>
          <wp:inline distT="0" distB="0" distL="0" distR="0">
            <wp:extent cx="6667500" cy="3743325"/>
            <wp:effectExtent l="0" t="0" r="0" b="0"/>
            <wp:docPr id="2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 descr=""/>
                    <pic:cNvPicPr>
                      <a:picLocks noChangeAspect="1" noChangeArrowheads="1"/>
                    </pic:cNvPicPr>
                  </pic:nvPicPr>
                  <pic:blipFill>
                    <a:blip r:embed="rId2"/>
                    <a:stretch>
                      <a:fillRect/>
                    </a:stretch>
                  </pic:blipFill>
                  <pic:spPr bwMode="auto">
                    <a:xfrm>
                      <a:off x="0" y="0"/>
                      <a:ext cx="6667500" cy="37433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ans-serif" w:hAnsi="Times New Roman;sans-serif"/>
          <w:b/>
          <w:color w:val="000000"/>
          <w:sz w:val="20"/>
        </w:rPr>
        <w:t xml:space="preserve">Our Type 1 Diabetes Program – </w:t>
      </w:r>
      <w:r>
        <w:rPr>
          <w:rFonts w:ascii="Times New Roman;sans-serif" w:hAnsi="Times New Roman;sans-serif"/>
          <w:b/>
          <w:i/>
          <w:color w:val="000000"/>
          <w:sz w:val="20"/>
        </w:rPr>
        <w:t>TTP399</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has alignment with the FDA on trial designs that will support an efficient regulatory pathway to support registration of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as an adjunctive therapy to insulin for the treatment of type 1 diabetes consistent with the breakthrough therapy designation granted by the FDA and expects to initiate study activities in the second half of 2023. The FDA and the Company have agreed on the primary endpoint for the studies as the reduction in the number of hypoglycemic events between placebo and </w:t>
      </w:r>
      <w:r>
        <w:rPr>
          <w:rFonts w:ascii="Times New Roman;sans-serif" w:hAnsi="Times New Roman;sans-serif"/>
          <w:b w:val="false"/>
          <w:i/>
          <w:color w:val="000000"/>
          <w:sz w:val="20"/>
        </w:rPr>
        <w:t>TTP399</w:t>
      </w:r>
      <w:r>
        <w:rPr>
          <w:rFonts w:ascii="Times New Roman;sans-serif" w:hAnsi="Times New Roman;sans-serif"/>
          <w:b w:val="false"/>
          <w:color w:val="000000"/>
          <w:sz w:val="20"/>
        </w:rPr>
        <w:t xml:space="preserve">-treated groups.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October 2021, we announced positive results of a mechanistic study of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in patients with T1D. The study demonstrated that patients with T1D taking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experienced no increase in ketone levels relative to placebo during a period of acute insulin withdrawal, indicating no increased risk of ketoacidosis. Consistent with previous clinical studies, improved fasting plasma glucose levels and fewer hypoglycemic events were observed in the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treated group during the week of treatment prior to the insulin withdrawal test. The results of the mechanistic study provided additional evidence to support the idea that treatment with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will not increase the risk of diabetic ketoacidosis (“DKA”) in patients with T1D. The data demonstrate that in contrast to agents such as SGLT2 inhibitors and GLP-1RAs,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does not increase the risk of ketoacidosis when used as an adjunctive therapy to insulin in individuals with T1D. Moreover, these findings support prior studies that demonstrate that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improves glucose control and reduces hypoglycemia and suggests a protective effect of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 xml:space="preserve">against acidosis in people with T1D. Full study results were published in the </w:t>
      </w:r>
      <w:r>
        <w:rPr>
          <w:rFonts w:ascii="Times New Roman;sans-serif" w:hAnsi="Times New Roman;sans-serif"/>
          <w:b w:val="false"/>
          <w:i/>
          <w:color w:val="000000"/>
          <w:sz w:val="20"/>
        </w:rPr>
        <w:t>Diabetes Obesity and Metabolism</w:t>
      </w:r>
      <w:r>
        <w:rPr>
          <w:color w:val="000000"/>
        </w:rPr>
        <w:t xml:space="preserve"> </w:t>
      </w:r>
      <w:r>
        <w:rPr>
          <w:rFonts w:ascii="Times New Roman;sans-serif" w:hAnsi="Times New Roman;sans-serif"/>
          <w:b w:val="false"/>
          <w:color w:val="000000"/>
          <w:sz w:val="20"/>
        </w:rPr>
        <w:t xml:space="preserve">journal in conjunction with the 82nd American Diabetes Association Scientific Sessions on June 6, 2022.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April 2021, we announced that the FDA granted Breakthrough Therapy Designation (“BTD) for </w:t>
      </w:r>
      <w:r>
        <w:rPr>
          <w:rFonts w:ascii="Times New Roman;sans-serif" w:hAnsi="Times New Roman;sans-serif"/>
          <w:b w:val="false"/>
          <w:i/>
          <w:color w:val="000000"/>
          <w:sz w:val="20"/>
        </w:rPr>
        <w:t>TTP399</w:t>
      </w:r>
      <w:r>
        <w:rPr>
          <w:color w:val="000000"/>
        </w:rPr>
        <w:t xml:space="preserve"> </w:t>
      </w:r>
      <w:r>
        <w:rPr>
          <w:rFonts w:ascii="Times New Roman;sans-serif" w:hAnsi="Times New Roman;sans-serif"/>
          <w:b w:val="false"/>
          <w:color w:val="000000"/>
          <w:sz w:val="20"/>
        </w:rPr>
        <w:t>as an adjunctive therapy to insulin for the treatment of T1D. This designation provides a sponsor with added support and the potential to expedite development and review timelines for a promising new investigational medicine.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Holding Company Structure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vTv LLC’s economic performance. vTv Therapeutics Inc. has therefore consolidated vTv LLC’s results under the VIE accounting model in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sales. Our revenue has been primarily derived from up-front proceeds and research fees under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our inception, including our predecessor companies, through March 31, 2023, we have incurred approximately $616.4 million in research and development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by project for the three months ended March 31, 2023 and 2022 were as follows (in thousands):</w:t>
      </w:r>
    </w:p>
    <w:tbl>
      <w:tblPr>
        <w:tblW w:w="6494" w:type="dxa"/>
        <w:jc w:val="left"/>
        <w:tblInd w:w="0" w:type="dxa"/>
        <w:tblLayout w:type="fixed"/>
        <w:tblCellMar>
          <w:top w:w="28" w:type="dxa"/>
          <w:left w:w="28" w:type="dxa"/>
          <w:bottom w:w="28" w:type="dxa"/>
          <w:right w:w="28" w:type="dxa"/>
        </w:tblCellMar>
      </w:tblPr>
      <w:tblGrid>
        <w:gridCol w:w="1310"/>
        <w:gridCol w:w="1149"/>
        <w:gridCol w:w="1155"/>
        <w:gridCol w:w="230"/>
        <w:gridCol w:w="672"/>
        <w:gridCol w:w="119"/>
        <w:gridCol w:w="119"/>
        <w:gridCol w:w="119"/>
        <w:gridCol w:w="119"/>
        <w:gridCol w:w="230"/>
        <w:gridCol w:w="672"/>
        <w:gridCol w:w="119"/>
        <w:gridCol w:w="109"/>
        <w:gridCol w:w="109"/>
        <w:gridCol w:w="109"/>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research and development expense:</w:t>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TTP399</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HPP737</w:t>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Azeliragon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projects</w:t>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19"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 research and development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19"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We plan to continue to incur significant research and development expenses for the foreseeable future as we continue the development of </w:t>
      </w:r>
      <w:r>
        <w:rPr>
          <w:rFonts w:ascii="Times New Roman;sans-serif" w:hAnsi="Times New Roman;sans-serif"/>
          <w:b w:val="false"/>
          <w:i/>
          <w:color w:val="000000"/>
          <w:sz w:val="20"/>
        </w:rPr>
        <w:t xml:space="preserve">TTP399 </w:t>
      </w:r>
      <w:r>
        <w:rPr>
          <w:rFonts w:ascii="Times New Roman;sans-serif" w:hAnsi="Times New Roman;sans-serif"/>
          <w:b w:val="false"/>
          <w:color w:val="000000"/>
          <w:sz w:val="20"/>
        </w:rPr>
        <w:t>and further advance the development of our other drug candidates, subject to the availability of additional funding.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uncertainty of the scope, rate of progress and expense of our ongoing, as well as any additional, clinical trials and other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potential benefits of our candidates over other therapies;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market, commercialize and achieve market acceptance for any of our drug candidates that we are developing or may develop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future clinical trial results;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enroll patients in our clinical trials;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timing and receipt of any regulatory approvals;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filing, prosecuting, defending and enforcing of patent claims and other intellectual property rights, and the expense of doing so.</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represents non-cash interest income related to the imputed interest from our promissory note receivable, all of which are recognized in our Condensed Consolidated Statement of Operations using the effective interest method.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expense is immaterial.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income/expense primarily consists of unrealized gains or losses attributable to the changes in fair value of the equity investments held by our licensees, the recognition of changes in fair value of the warrants to purchase shares of our Class A common stock held by related parties and the loss from the G42 promissory note early redemption on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concerning our results of operations for the periods shown:</w:t>
      </w:r>
    </w:p>
    <w:tbl>
      <w:tblPr>
        <w:tblW w:w="8445" w:type="dxa"/>
        <w:jc w:val="left"/>
        <w:tblInd w:w="0" w:type="dxa"/>
        <w:tblLayout w:type="fixed"/>
        <w:tblCellMar>
          <w:top w:w="28" w:type="dxa"/>
          <w:left w:w="28" w:type="dxa"/>
          <w:bottom w:w="28" w:type="dxa"/>
          <w:right w:w="28" w:type="dxa"/>
        </w:tblCellMar>
      </w:tblPr>
      <w:tblGrid>
        <w:gridCol w:w="1603"/>
        <w:gridCol w:w="1408"/>
        <w:gridCol w:w="1413"/>
        <w:gridCol w:w="321"/>
        <w:gridCol w:w="354"/>
        <w:gridCol w:w="336"/>
        <w:gridCol w:w="155"/>
        <w:gridCol w:w="155"/>
        <w:gridCol w:w="155"/>
        <w:gridCol w:w="301"/>
        <w:gridCol w:w="354"/>
        <w:gridCol w:w="336"/>
        <w:gridCol w:w="155"/>
        <w:gridCol w:w="155"/>
        <w:gridCol w:w="155"/>
        <w:gridCol w:w="354"/>
        <w:gridCol w:w="303"/>
        <w:gridCol w:w="432"/>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40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1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EBF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noncontrolling interest</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noncontrolling interest</w:t>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w:t>
            </w:r>
          </w:p>
        </w:tc>
      </w:tr>
      <w:tr>
        <w:trPr/>
        <w:tc>
          <w:tcPr>
            <w:tcW w:w="4424"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101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w:t>
            </w:r>
          </w:p>
        </w:tc>
        <w:tc>
          <w:tcPr>
            <w:tcW w:w="465"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vTv Therapeutics Inc.</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revenue for the three months ended March 31, 2023. Revenue for the three months ended March 31, 2022 is related to the increase to the transaction price for the license performance obligations under the amended license agreement with Huadong due to the satisfaction of a development milestone.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Research and development expenses were $3.9 million and $3.1 million for the three months ended March 31, 2023 and 2022, respectively. The increase in research and development expenses during this period of $0.8 million or 25.8%, was primarily driven by i) higher spending on </w:t>
      </w:r>
      <w:r>
        <w:rPr>
          <w:rFonts w:ascii="Times New Roman;sans-serif" w:hAnsi="Times New Roman;sans-serif"/>
          <w:b w:val="false"/>
          <w:i/>
          <w:color w:val="000000"/>
          <w:sz w:val="20"/>
        </w:rPr>
        <w:t xml:space="preserve">TTP399 </w:t>
      </w:r>
      <w:r>
        <w:rPr>
          <w:rFonts w:ascii="Times New Roman;sans-serif" w:hAnsi="Times New Roman;sans-serif"/>
          <w:b w:val="false"/>
          <w:color w:val="000000"/>
          <w:sz w:val="20"/>
        </w:rPr>
        <w:t>of $0.5 million, due to increases in drug product related costs and ii) an increase in indirect costs and other projects of $0.3 million.</w:t>
      </w:r>
    </w:p>
    <w:p>
      <w:pPr>
        <w:pStyle w:val="TextBody"/>
        <w:bidi w:val="0"/>
        <w:spacing w:lineRule="auto" w:line="288" w:before="120" w:after="283"/>
        <w:jc w:val="both"/>
        <w:rPr/>
      </w:pPr>
      <w:r>
        <w:rPr>
          <w:rFonts w:ascii="Times New Roman;sans-serif" w:hAnsi="Times New Roman;sans-serif"/>
          <w:b/>
          <w:i/>
          <w:color w:val="000000"/>
          <w:sz w:val="20"/>
        </w:rPr>
        <w:t>General and Administrative Expense</w:t>
      </w:r>
      <w:r>
        <w:rPr>
          <w:rFonts w:ascii="Times New Roman;sans-serif" w:hAnsi="Times New Roman;sans-serif"/>
          <w:b w:val="false"/>
          <w:i/>
          <w:color w:val="000000"/>
          <w:sz w:val="20"/>
        </w:rPr>
        <w: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$3.5 million and $5.3 million for the three months ended March 31, 2023 and 2022, respectively. The decrease in general and administrative expenses during this period of $1.9 million, or 34.8%, was primarily driven by i) decreases of $2.0 million in legal expense, ii) decreases of $0.8 million in severance costs, iii) decreases of $0.1 million in share-based expense, partially offset by iv) increases of $0.9 million other general and administrative costs and v) increases in payroll costs of $0.1 million.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for the three months ended March 31, 2023, of $0.1 million is related to imputed interest on the promissory notes. Interest income for the three months ended March 31, 2022, was insignificant.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Income / (Expense), Net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Other income was $1.6 million for the three months ended March 31, 2023, and was driven by an unrealized gain related to our investment in Reneo, </w:t>
      </w:r>
      <w:r>
        <w:rPr>
          <w:rFonts w:ascii="Times New Roman;sans-serif" w:hAnsi="Times New Roman;sans-serif"/>
          <w:b w:val="false"/>
          <w:color w:val="000000"/>
          <w:sz w:val="20"/>
          <w:shd w:fill="FFFFFF" w:val="clear"/>
        </w:rPr>
        <w:t>losses rel</w:t>
      </w:r>
      <w:r>
        <w:rPr>
          <w:rFonts w:ascii="Times New Roman;sans-serif" w:hAnsi="Times New Roman;sans-serif"/>
          <w:b w:val="false"/>
          <w:color w:val="000000"/>
          <w:sz w:val="20"/>
        </w:rPr>
        <w:t>ated to the change in the fair value of the outstanding warrants to purchase shares of our own stock issued to related parties (“Related Party Warrants”) and the loss from the G42 promissory note early redemption. Other expense was $2.7 million for the three months ended March 31, 2022, and was related to the unrealized loss recognized related to our investment in Reneo as well as gains related to the change in the fair value of the outstanding warrants in our own stock held by a related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As of March 31, 2023, we had an accumulated deficit of $274.3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As of March 31, 2023, we had cash and cash equivalents of $18.8 million. In addition to available cash and cash equivalents, we are evaluating several financing strategies to fund the on-going and future clinical trials of </w:t>
      </w:r>
      <w:r>
        <w:rPr>
          <w:rFonts w:ascii="Times New Roman;sans-serif" w:hAnsi="Times New Roman;sans-serif"/>
          <w:b w:val="false"/>
          <w:i/>
          <w:color w:val="000000"/>
          <w:sz w:val="20"/>
        </w:rPr>
        <w:t>TTP399</w:t>
      </w:r>
      <w:r>
        <w:rPr>
          <w:rFonts w:ascii="Times New Roman;sans-serif" w:hAnsi="Times New Roman;sans-serif"/>
          <w:b w:val="false"/>
          <w:color w:val="000000"/>
          <w:sz w:val="20"/>
        </w:rPr>
        <w:t>, including direct equity investments and the potential licensing and monetization of other Company programs such. The Company received proceeds</w:t>
      </w:r>
      <w:r>
        <w:rPr>
          <w:color w:val="000000"/>
          <w:shd w:fill="FFFFFF" w:val="clear"/>
        </w:rPr>
        <w:t xml:space="preserve"> </w:t>
      </w:r>
      <w:r>
        <w:rPr>
          <w:rFonts w:ascii="Times New Roman;sans-serif" w:hAnsi="Times New Roman;sans-serif"/>
          <w:b w:val="false"/>
          <w:color w:val="000000"/>
          <w:sz w:val="20"/>
          <w:shd w:fill="FFFFFF" w:val="clear"/>
        </w:rPr>
        <w:t>of $12.0 million from the G42 promissory note on February 28, 2023 (see Note 9).</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Based on our current operating plan, we may rely on the remaining availability of $37.3 million under our Controlled Equity Offering</w:t>
      </w:r>
      <w:r>
        <w:rPr>
          <w:rFonts w:ascii="Times New Roman;sans-serif" w:hAnsi="Times New Roman;sans-serif"/>
          <w:b w:val="false"/>
          <w:color w:val="000000"/>
          <w:sz w:val="13"/>
          <w:shd w:fill="FFFFFF" w:val="clear"/>
        </w:rPr>
        <w:t>SM</w:t>
      </w:r>
      <w:r>
        <w:rPr>
          <w:color w:val="000000"/>
          <w:shd w:fill="FFFFFF" w:val="clear"/>
        </w:rPr>
        <w:t xml:space="preserve"> </w:t>
      </w:r>
      <w:r>
        <w:rPr>
          <w:rFonts w:ascii="Times New Roman;sans-serif" w:hAnsi="Times New Roman;sans-serif"/>
          <w:b w:val="false"/>
          <w:color w:val="000000"/>
          <w:sz w:val="20"/>
          <w:shd w:fill="FFFFFF" w:val="clear"/>
        </w:rPr>
        <w:t>Sales Agreement (the “Sales Agreement”) with Cantor Fitzgerald &amp; Co. (“Cantor Fitzgerald”) pursuant to which we could offer and sell, from time to time, shares of our Class A common stock (the “ATM Offering”) and our ability to sell approximately 9.4 million shares of Class A common stock to Lincoln Park Capital Fund, LLC (“Lincoln Park”) pursuant and subject to the limitations of the purchase agreement (the “LPC Purchase Agreement”). However, the ability to use these sources of capital is dependent on a number of factors, including the prevailing market price of and the volume of trading in our Class A common stock. I</w:t>
      </w:r>
      <w:r>
        <w:rPr>
          <w:rFonts w:ascii="Times New Roman;sans-serif" w:hAnsi="Times New Roman;sans-serif"/>
          <w:b w:val="false"/>
          <w:color w:val="000000"/>
          <w:sz w:val="20"/>
        </w:rPr>
        <w:t xml:space="preserve">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 We are currently in active discussion with respect to financing, partnering and licensing transactions for the future development of </w:t>
      </w:r>
      <w:r>
        <w:rPr>
          <w:rFonts w:ascii="Times New Roman;sans-serif" w:hAnsi="Times New Roman;sans-serif"/>
          <w:b w:val="false"/>
          <w:i/>
          <w:color w:val="000000"/>
          <w:sz w:val="20"/>
        </w:rPr>
        <w:t>TTP399</w:t>
      </w:r>
      <w:r>
        <w:rPr>
          <w:rFonts w:ascii="Times New Roman;sans-serif" w:hAnsi="Times New Roman;sans-serif"/>
          <w:b w:val="false"/>
          <w:color w:val="000000"/>
          <w:sz w:val="20"/>
        </w:rPr>
        <w:t>, but we may not be successful in completing such transactions. These factors raise substantial doubt about our ability to continue as a going concern.</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ATM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the Sales Agreement with Cantor Fitzgerald pursuant to which we may offer and sell, from time to time, through or to Cantor Fitzgerald, as sales agent or principal, shares of our Class A common stock having an aggregate offering price of up to $68.5 million. We are not obligated to sell any shares under the Sales Agreement. Under the terms of the Sales Agreement, we will pay Cantor Fitzgerald a commission of up to 3% of the aggregate proceeds from the sale of shares and reimburse certain legal fees or other disbursements. As of March 31, 2023, we have sold $31.2 million worth of Class A common stock under the ATM Offering for net proceeds of $30.3 million, leaving $37.3 million available to be sold. </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Lincoln Park Purchase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the LPC Purchase Agreement, pursuant to which we have the right to sell to Lincoln Park shares of the Company’s Class A common stock having an aggregate value of up to $47.0 million. As of March 31, 2023, we have issued 5,331,306 of these shares for gross proceeds of approximately $11.1 million, leaving $35.9 million available to be sold.</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Over the 36-month term of the LPC Purchase Agreement, we have the right, but not the obligation, from time to time, in our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If we direct Lincoln Park to purchase the maximum number of shares of Class A common stock that we may sell in a Regular Purchase, then in addition to such Regular Purchase, and subject to certain conditions and limitations in the LPC Purchase Agreement, we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we may direct Lincoln Park to purchase shares in multiple Accelerated Purchases on the same trading day.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LPC Purchase Agreement also prohibits us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778" w:type="dxa"/>
        <w:jc w:val="left"/>
        <w:tblInd w:w="0" w:type="dxa"/>
        <w:tblLayout w:type="fixed"/>
        <w:tblCellMar>
          <w:top w:w="28" w:type="dxa"/>
          <w:left w:w="28" w:type="dxa"/>
          <w:bottom w:w="28" w:type="dxa"/>
          <w:right w:w="28" w:type="dxa"/>
        </w:tblCellMar>
      </w:tblPr>
      <w:tblGrid>
        <w:gridCol w:w="1567"/>
        <w:gridCol w:w="1381"/>
        <w:gridCol w:w="1387"/>
        <w:gridCol w:w="215"/>
        <w:gridCol w:w="706"/>
        <w:gridCol w:w="111"/>
        <w:gridCol w:w="111"/>
        <w:gridCol w:w="111"/>
        <w:gridCol w:w="111"/>
        <w:gridCol w:w="215"/>
        <w:gridCol w:w="706"/>
        <w:gridCol w:w="157"/>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w:t>
            </w:r>
          </w:p>
        </w:tc>
        <w:tc>
          <w:tcPr>
            <w:tcW w:w="111"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EBF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57" w:type="dxa"/>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EBF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increase/(decrease) in cash and cash equivalents</w:t>
            </w:r>
          </w:p>
        </w:tc>
        <w:tc>
          <w:tcPr>
            <w:tcW w:w="21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6,640 </w:t>
            </w:r>
          </w:p>
        </w:tc>
        <w:tc>
          <w:tcPr>
            <w:tcW w:w="111"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BF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57" w:type="dxa"/>
            <w:tcBorders>
              <w:top w:val="single" w:sz="8" w:space="0" w:color="000000"/>
              <w:bottom w:val="double" w:sz="8" w:space="0" w:color="000000"/>
            </w:tcBorders>
            <w:shd w:fill="EBF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556"/>
        <w:jc w:val="both"/>
        <w:rPr/>
      </w:pPr>
      <w:r>
        <w:rPr>
          <w:rFonts w:ascii="Times New Roman;sans-serif" w:hAnsi="Times New Roman;sans-serif"/>
          <w:b w:val="false"/>
          <w:color w:val="000000"/>
          <w:sz w:val="20"/>
        </w:rPr>
        <w:t>For the three months ended March 31, 2023, our net cash used in operating activities increased by $4.1 million from the three months ended March 31, 2022</w:t>
      </w:r>
      <w:r>
        <w:rPr>
          <w:rFonts w:ascii="Times New Roman;sans-serif" w:hAnsi="Times New Roman;sans-serif"/>
          <w:b w:val="false"/>
          <w:color w:val="000000"/>
          <w:sz w:val="20"/>
          <w:shd w:fill="FFFFFF" w:val="clear"/>
        </w:rPr>
        <w:t>. The significant contributor to the change in cash used during the year was working capital changes.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cash flows from investing activities for the three months ended March 31, 2023 and 2022.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55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net cash provided by financing activities increased by $12.1 million from the three months ended March 31, 2022, driven by the receipt of proceeds of $12.0 million from the G42 promissory note early redemption during the three months ended March 31, 2023.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Funding Requirements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Based on our current operating plan, we believe that our current cash and cash equivalents will allow us to meet our liquidity requirements into the third quarter of 2023. We plan to finance our operations into the first quarter of 2024 through the use of our cash and cash equivalents and based on current operating plans, we are evaluating several financing strategies to fund the on-going and future clinical trials of </w:t>
      </w:r>
      <w:r>
        <w:rPr>
          <w:rFonts w:ascii="Times New Roman;sans-serif" w:hAnsi="Times New Roman;sans-serif"/>
          <w:b w:val="false"/>
          <w:i/>
          <w:color w:val="000000"/>
          <w:sz w:val="20"/>
        </w:rPr>
        <w:t>TTP399</w:t>
      </w:r>
      <w:r>
        <w:rPr>
          <w:rFonts w:ascii="Times New Roman;sans-serif" w:hAnsi="Times New Roman;sans-serif"/>
          <w:b w:val="false"/>
          <w:color w:val="000000"/>
          <w:sz w:val="20"/>
        </w:rPr>
        <w:t xml:space="preserve">,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it may contain restrictions on our operations or cause substantial dilution to our stockholders. We have based our estimates on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rPr>
        <w:t>that may prove to be wrong, and we may use our available capital resources sooner than we currently expect. Because of the numerous risks and uncertainties associated with the development and commercialization of our drug candidates, we are unable to</w:t>
      </w:r>
      <w:r>
        <w:rPr>
          <w:color w:val="000000"/>
          <w:shd w:fill="FFFFFF" w:val="clear"/>
        </w:rPr>
        <w:t xml:space="preserve"> </w:t>
      </w:r>
      <w:r>
        <w:rPr>
          <w:rFonts w:ascii="Times New Roman;sans-serif" w:hAnsi="Times New Roman;sans-serif"/>
          <w:b w:val="false"/>
          <w:color w:val="000000"/>
          <w:sz w:val="20"/>
          <w:shd w:fill="FFFFFF" w:val="clear"/>
        </w:rPr>
        <w:t>estimate the amounts of increased capital outlays and operating expenditures necessary to complete the development of our drug candidates. Additionally, we may rely on our ability to sell shares of our Class A common stock pursuant to the ATM Offering and LPC Purchase Agreement. However, the ability to use these sources of capital is dependent on a number of factors, including the prevailing market price of and the volume of trading in the Company’s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 xml:space="preserve">The progress, costs, results and timing of our planned trials to evaluate </w:t>
      </w:r>
      <w:r>
        <w:rPr>
          <w:rFonts w:ascii="Times New Roman;sans-serif" w:hAnsi="Times New Roman;sans-serif"/>
          <w:b w:val="false"/>
          <w:i/>
          <w:color w:val="000000"/>
          <w:sz w:val="20"/>
        </w:rPr>
        <w:t xml:space="preserve">TTP399 </w:t>
      </w:r>
      <w:r>
        <w:rPr>
          <w:rFonts w:ascii="Times New Roman;sans-serif" w:hAnsi="Times New Roman;sans-serif"/>
          <w:b w:val="false"/>
          <w:color w:val="000000"/>
          <w:sz w:val="20"/>
        </w:rPr>
        <w:t>as a potential adjunctive therapy for the treatment of type 1 diabetes;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willingness of the FDA to rely upon our completed and planned clinical and preclinical studies and other work, as the basis for review and approval of our drug candidates;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outcome, costs and timing of seeking and obtaining FDA and any other regulatory approvals;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number and characteristics of drug candidates that we pursue, including our drug candidates in preclinical development;</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ability of our drug candidates to progress through clinical development successfully;</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expand our research and development activities;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associated with securing, establishing and maintaining commercialization capabilities;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costs of acquiring, licensing or investing in businesses, products, drug candidates and technologies;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and ability to hire additional management and scientific and medical personnel;</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our need to implement additional internal systems and infrastructure, including financial and reporting systems;</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economic and other terms, timing and success of our existing licensing arrangements and any collaboration, licensing or other arrangements into which we may enter in the future;</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amount of any payments we are required to make to M&amp;F TTP Holdings Two LLC in the future under the Tax Receivable Agreement; and</w:t>
      </w:r>
    </w:p>
    <w:p>
      <w:pPr>
        <w:pStyle w:val="TextBody"/>
        <w:bidi w:val="0"/>
        <w:spacing w:lineRule="auto" w:line="288" w:before="120" w:after="283"/>
        <w:ind w:left="0" w:right="0" w:hanging="540"/>
        <w:jc w:val="both"/>
        <w:rPr/>
      </w:pPr>
      <w:r>
        <w:rPr>
          <w:color w:val="000000"/>
        </w:rPr>
        <w:t>•</w:t>
      </w:r>
      <w:r>
        <w:rPr>
          <w:rFonts w:ascii="Times New Roman;sans-serif" w:hAnsi="Times New Roman;sans-serif"/>
          <w:b w:val="false"/>
          <w:color w:val="000000"/>
          <w:sz w:val="20"/>
        </w:rPr>
        <w:t>the impact and duration of the COVID-19 outbreak / pandemic.</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w:t>
      </w:r>
      <w:r>
        <w:rPr>
          <w:rFonts w:ascii="Times New Roman;sans-serif" w:hAnsi="Times New Roman;sans-serif"/>
          <w:b w:val="false"/>
          <w:color w:val="000000"/>
          <w:sz w:val="20"/>
          <w:shd w:fill="FFFFFF" w:val="clear"/>
        </w:rPr>
        <w:t>s. We currently have committed external source of funds available through the ATM Offering and LPC Purchase Agreement. However, the ability to use these sources of capital is dependent on a number of factors, including the prevailing market price of and the volume of trading in the Company’s Class A common stock.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recurring losses, accumulated deficit and our current levels of cash and cash equivalents raise substantial doubt about our ability to continue as a going concern as of the date of this Quarterly Report on Form 10-Q.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pPr>
      <w:r>
        <w:rPr>
          <w:rFonts w:ascii="Times New Roman;sans-serif" w:hAnsi="Times New Roman;sans-serif"/>
          <w:b w:val="false"/>
          <w:color w:val="000000"/>
          <w:sz w:val="20"/>
          <w:shd w:fill="FFFFFF" w:val="clear"/>
        </w:rPr>
        <w:t>doubt about our ability to continue as a going concern, investors or other financing sources may be unwilling to provide additional funding to us on commercially reasonable terms or at all, and such additional funding may cause substantial dilution to our existing investors.</w:t>
      </w:r>
      <w:r>
        <w:rPr>
          <w:color w:val="000000"/>
        </w:rPr>
        <w:t xml:space="preserve"> </w:t>
      </w:r>
      <w:r>
        <w:rPr>
          <w:rFonts w:ascii="Times New Roman;sans-serif" w:hAnsi="Times New Roman;sans-serif"/>
          <w:b w:val="false"/>
          <w:color w:val="000000"/>
          <w:sz w:val="20"/>
        </w:rPr>
        <w:t>If we are unable to obtain additional funding, we could be forced to delay, reduce or eliminate our research and development programs or commercialization efforts, or pursue one or more alternative strategies, such as restructuring, any of which could adversely affect our business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did not have outstanding any off-balance sheet arrangements as defined under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Discussion of Critical Accounting Policies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 discussion of our critical accounting policies and estimates, please refer to Part II, Item 7. “Management’s Discussion and Analysis of Financial Condition and Results of Operations” in our Annual Report on Form 10-K for the year ended December 31, 2022. There have been no material changes to our critical accounting policies and estimates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Effect of Recent Accounting Pronouncements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of recent accounting pronouncements in Note 2, “Summary of Significant Accounting Policies”, to the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any material interest rate exposure.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in a financial institution that management believes to be of high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quality. Because of the short-term maturities of our investments, we do not believe that an increase in market rates would have a material negative impact on the value of our investment portfolio.</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material foreign currency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March 31, 2023. Based upon that evaluation, our Chief Executive Officer and Chief Financial Officer concluded that, as of March 31, 2023,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to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our most recent fiscal quarter that have materially affected, or are reasonably likely to materially affect, our internal control over financial reporting.</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Website Availability of Reports and other Corporate Governance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risk factors are set forth under the heading “Risk Factors” under Item 1A of Part I in our Annual Report on Form 10-K for the year ended December 31, 2022. There have been no material changes to our risk factors from those previously disclosed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equity securities during the three months ended March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54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653"/>
        <w:gridCol w:w="2653"/>
        <w:gridCol w:w="3791"/>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30331xexx311.htm">
              <w:r>
                <w:rPr>
                  <w:rStyle w:val="InternetLink"/>
                  <w:rFonts w:ascii="Times New Roman;sans-serif" w:hAnsi="Times New Roman;sans-serif"/>
                  <w:b w:val="false"/>
                  <w:color w:val="0000FF"/>
                  <w:sz w:val="20"/>
                  <w:u w:val="single"/>
                </w:rPr>
                <w:t>Certification of President and Chief Executive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30331xexx312.htm">
              <w:r>
                <w:rPr>
                  <w:rStyle w:val="InternetLink"/>
                  <w:rFonts w:ascii="Times New Roman;sans-serif" w:hAnsi="Times New Roman;sans-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tvt-20230331xexx321.htm">
              <w:r>
                <w:rPr>
                  <w:rStyle w:val="InternetLink"/>
                  <w:rFonts w:ascii="Times New Roman;sans-serif" w:hAnsi="Times New Roman;sans-serif"/>
                  <w:b w:val="false"/>
                  <w:color w:val="0000FF"/>
                  <w:sz w:val="20"/>
                  <w:u w:val="single"/>
                </w:rPr>
                <w:t>Certification of President and Chief Executive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vtvt-20230331xex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120" w:after="283"/>
        <w:ind w:left="0" w:right="0" w:hanging="540"/>
        <w:jc w:val="both"/>
        <w:rPr/>
      </w:pPr>
      <w:r>
        <w:rPr/>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both"/>
        <w:rPr/>
      </w:pPr>
      <w:hyperlink w:anchor="i3d4cef4cfd0f4084b01da710f3417ab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95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39"/>
        <w:gridCol w:w="939"/>
        <w:gridCol w:w="13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VTV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Paul J. Sekhri,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95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40"/>
        <w:gridCol w:w="940"/>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302 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Tuch, certify that: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vTv Therapeutics Inc. (the “registrant”);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27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March 31, 2023,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3955"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940"/>
        <w:gridCol w:w="940"/>
        <w:gridCol w:w="13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J. Sekhri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vTv Therapeutics Inc. (the “Company”) on Form 10-Q for the period ended March 31, 2023,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bl>
      <w:tblPr>
        <w:tblW w:w="275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Tuch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19436</Words>
  <Characters>106349</Characters>
  <CharactersWithSpaces>124882</CharactersWithSpaces>
  <Paragraphs>1390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