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600" w:hanging="3812"/>
        <w:spacing w:after="0" w:line="344" w:lineRule="auto"/>
        <w:tabs>
          <w:tab w:leader="none" w:pos="51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-97790</wp:posOffset>
            </wp:positionV>
            <wp:extent cx="9525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80" w:lineRule="exact"/>
        <w:rPr>
          <w:sz w:val="24"/>
          <w:szCs w:val="24"/>
          <w:color w:val="auto"/>
        </w:rPr>
      </w:pPr>
    </w:p>
    <w:p>
      <w:pPr>
        <w:ind w:left="34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vTv Therapeutics Inc.</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9"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80" w:type="dxa"/>
            <w:vAlign w:val="bottom"/>
          </w:tcPr>
          <w:p>
            <w:pPr>
              <w:jc w:val="right"/>
              <w:ind w:right="60"/>
              <w:spacing w:after="0"/>
              <w:rPr>
                <w:sz w:val="20"/>
                <w:szCs w:val="20"/>
                <w:color w:val="auto"/>
              </w:rPr>
            </w:pPr>
            <w:r>
              <w:rPr>
                <w:rFonts w:ascii="Arial" w:cs="Arial" w:eastAsia="Arial" w:hAnsi="Arial"/>
                <w:sz w:val="18"/>
                <w:szCs w:val="18"/>
                <w:b w:val="1"/>
                <w:bCs w:val="1"/>
                <w:color w:val="auto"/>
              </w:rPr>
              <w:t>47-3916571</w:t>
            </w:r>
          </w:p>
        </w:tc>
      </w:tr>
      <w:tr>
        <w:trPr>
          <w:trHeight w:val="148"/>
        </w:trPr>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80" w:type="dxa"/>
            <w:vAlign w:val="bottom"/>
          </w:tcPr>
          <w:p>
            <w:pPr>
              <w:jc w:val="center"/>
              <w:ind w:left="38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3980 Premier Dr, Suite 310</w:t>
            </w:r>
          </w:p>
        </w:tc>
        <w:tc>
          <w:tcPr>
            <w:tcW w:w="5080" w:type="dxa"/>
            <w:vAlign w:val="bottom"/>
          </w:tcPr>
          <w:p>
            <w:pPr>
              <w:spacing w:after="0"/>
              <w:rPr>
                <w:sz w:val="24"/>
                <w:szCs w:val="24"/>
                <w:color w:val="auto"/>
              </w:rPr>
            </w:pPr>
          </w:p>
        </w:tc>
      </w:tr>
      <w:tr>
        <w:trPr>
          <w:trHeight w:val="21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5"/>
              </w:rPr>
              <w:t>High Point, NC</w:t>
            </w:r>
          </w:p>
        </w:tc>
        <w:tc>
          <w:tcPr>
            <w:tcW w:w="5080" w:type="dxa"/>
            <w:vAlign w:val="bottom"/>
          </w:tcPr>
          <w:p>
            <w:pPr>
              <w:jc w:val="right"/>
              <w:ind w:right="260"/>
              <w:spacing w:after="0"/>
              <w:rPr>
                <w:sz w:val="20"/>
                <w:szCs w:val="20"/>
                <w:color w:val="auto"/>
              </w:rPr>
            </w:pPr>
            <w:r>
              <w:rPr>
                <w:rFonts w:ascii="Arial" w:cs="Arial" w:eastAsia="Arial" w:hAnsi="Arial"/>
                <w:sz w:val="18"/>
                <w:szCs w:val="18"/>
                <w:b w:val="1"/>
                <w:bCs w:val="1"/>
                <w:color w:val="auto"/>
              </w:rPr>
              <w:t>27265</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2400" w:type="dxa"/>
            <w:vAlign w:val="bottom"/>
          </w:tcPr>
          <w:p>
            <w:pPr>
              <w:spacing w:after="0"/>
              <w:rPr>
                <w:sz w:val="22"/>
                <w:szCs w:val="22"/>
                <w:color w:val="auto"/>
              </w:rPr>
            </w:pPr>
          </w:p>
        </w:tc>
        <w:tc>
          <w:tcPr>
            <w:tcW w:w="5080" w:type="dxa"/>
            <w:vAlign w:val="bottom"/>
          </w:tcPr>
          <w:p>
            <w:pPr>
              <w:jc w:val="right"/>
              <w:ind w:right="2800"/>
              <w:spacing w:after="0"/>
              <w:rPr>
                <w:sz w:val="20"/>
                <w:szCs w:val="20"/>
                <w:color w:val="auto"/>
              </w:rPr>
            </w:pPr>
            <w:r>
              <w:rPr>
                <w:rFonts w:ascii="Arial" w:cs="Arial" w:eastAsia="Arial" w:hAnsi="Arial"/>
                <w:sz w:val="18"/>
                <w:szCs w:val="18"/>
                <w:b w:val="1"/>
                <w:bCs w:val="1"/>
                <w:color w:val="auto"/>
              </w:rPr>
              <w:t>(336) 841-0300</w:t>
            </w:r>
          </w:p>
        </w:tc>
      </w:tr>
      <w:tr>
        <w:trPr>
          <w:trHeight w:val="186"/>
        </w:trPr>
        <w:tc>
          <w:tcPr>
            <w:tcW w:w="2400" w:type="dxa"/>
            <w:vAlign w:val="bottom"/>
          </w:tcPr>
          <w:p>
            <w:pPr>
              <w:spacing w:after="0"/>
              <w:rPr>
                <w:sz w:val="16"/>
                <w:szCs w:val="16"/>
                <w:color w:val="auto"/>
              </w:rPr>
            </w:pPr>
          </w:p>
        </w:tc>
        <w:tc>
          <w:tcPr>
            <w:tcW w:w="508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390" w:type="dxa"/>
        <w:tblCellMar>
          <w:top w:w="0" w:type="dxa"/>
          <w:left w:w="0" w:type="dxa"/>
          <w:bottom w:w="0" w:type="dxa"/>
          <w:right w:w="0" w:type="dxa"/>
        </w:tblCellMar>
      </w:tblPr>
      <w:tr>
        <w:trPr>
          <w:trHeight w:val="210"/>
        </w:trPr>
        <w:tc>
          <w:tcPr>
            <w:tcW w:w="4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19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09"/>
        </w:trPr>
        <w:tc>
          <w:tcPr>
            <w:tcW w:w="4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Class A common stock, par value $0.01 per share</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VTVT</w:t>
            </w:r>
          </w:p>
        </w:tc>
        <w:tc>
          <w:tcPr>
            <w:tcW w:w="4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67" w:lineRule="exact"/>
        <w:rPr>
          <w:sz w:val="24"/>
          <w:szCs w:val="24"/>
          <w:color w:val="auto"/>
        </w:rPr>
      </w:pPr>
    </w:p>
    <w:p>
      <w:pPr>
        <w:ind w:right="8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6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ind w:right="240" w:firstLine="59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00"/>
        <w:spacing w:after="0" w:line="207" w:lineRule="exact"/>
        <w:tabs>
          <w:tab w:leader="none" w:pos="8940" w:val="left"/>
          <w:tab w:leader="none" w:pos="96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200" w:type="dxa"/>
            <w:vAlign w:val="bottom"/>
            <w:gridSpan w:val="3"/>
          </w:tcPr>
          <w:p>
            <w:pPr>
              <w:ind w:left="1680"/>
              <w:spacing w:after="0"/>
              <w:rPr>
                <w:sz w:val="20"/>
                <w:szCs w:val="20"/>
                <w:color w:val="auto"/>
              </w:rPr>
            </w:pPr>
            <w:r>
              <w:rPr>
                <w:rFonts w:ascii="Arial" w:cs="Arial" w:eastAsia="Arial" w:hAnsi="Arial"/>
                <w:sz w:val="14"/>
                <w:szCs w:val="14"/>
                <w:b w:val="1"/>
                <w:bCs w:val="1"/>
                <w:color w:val="auto"/>
              </w:rPr>
              <w:t>Class of Stock</w:t>
            </w:r>
          </w:p>
        </w:tc>
        <w:tc>
          <w:tcPr>
            <w:tcW w:w="326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 as of May 7, 2020</w:t>
            </w: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680" w:type="dxa"/>
            <w:vAlign w:val="bottom"/>
          </w:tcPr>
          <w:p>
            <w:pPr>
              <w:spacing w:after="0"/>
              <w:rPr>
                <w:sz w:val="18"/>
                <w:szCs w:val="18"/>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00" w:type="dxa"/>
            <w:vAlign w:val="bottom"/>
          </w:tcPr>
          <w:p>
            <w:pPr>
              <w:spacing w:after="0"/>
              <w:rPr>
                <w:sz w:val="18"/>
                <w:szCs w:val="18"/>
                <w:color w:val="auto"/>
              </w:rPr>
            </w:pPr>
          </w:p>
        </w:tc>
        <w:tc>
          <w:tcPr>
            <w:tcW w:w="3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44,680,189</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200" w:type="dxa"/>
            <w:vAlign w:val="bottom"/>
            <w:gridSpan w:val="3"/>
          </w:tcPr>
          <w:p>
            <w:pPr>
              <w:ind w:left="1680"/>
              <w:spacing w:after="0"/>
              <w:rPr>
                <w:sz w:val="20"/>
                <w:szCs w:val="20"/>
                <w:color w:val="auto"/>
              </w:rPr>
            </w:pPr>
            <w:r>
              <w:rPr>
                <w:rFonts w:ascii="Arial" w:cs="Arial" w:eastAsia="Arial" w:hAnsi="Arial"/>
                <w:sz w:val="18"/>
                <w:szCs w:val="18"/>
                <w:color w:val="auto"/>
              </w:rPr>
              <w:t>Class B common stock, par value $0.01 per share</w:t>
            </w:r>
          </w:p>
        </w:tc>
        <w:tc>
          <w:tcPr>
            <w:tcW w:w="3260" w:type="dxa"/>
            <w:vAlign w:val="bottom"/>
          </w:tcPr>
          <w:p>
            <w:pPr>
              <w:jc w:val="right"/>
              <w:spacing w:after="0"/>
              <w:rPr>
                <w:sz w:val="20"/>
                <w:szCs w:val="20"/>
                <w:color w:val="auto"/>
              </w:rPr>
            </w:pPr>
            <w:r>
              <w:rPr>
                <w:rFonts w:ascii="Arial" w:cs="Arial" w:eastAsia="Arial" w:hAnsi="Arial"/>
                <w:sz w:val="18"/>
                <w:szCs w:val="18"/>
                <w:color w:val="auto"/>
              </w:rPr>
              <w:t>23,094,221</w:t>
            </w: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2"/>
        </w:trPr>
        <w:tc>
          <w:tcPr>
            <w:tcW w:w="168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6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vTv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MARCH 31,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PAGE</w:t>
            </w:r>
          </w:p>
        </w:tc>
      </w:tr>
      <w:tr>
        <w:trPr>
          <w:trHeight w:val="167"/>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NUMBER</w:t>
            </w:r>
          </w:p>
        </w:tc>
      </w:tr>
      <w:tr>
        <w:trPr>
          <w:trHeight w:val="331"/>
        </w:trPr>
        <w:tc>
          <w:tcPr>
            <w:tcW w:w="1038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March 31, 2020 (Unaudited) and December 31, 2019</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338"/>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Statements of Operations for the three months ended March 31, 2020 and 2019</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97"/>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 of Changes in Redeemable Noncontrolling Interest and Stockholders’ Deficit for</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three months ended March 31, 2020 and 2019</w:t>
              </w:r>
            </w:hyperlink>
          </w:p>
        </w:tc>
        <w:tc>
          <w:tcPr>
            <w:tcW w:w="300" w:type="dxa"/>
            <w:vAlign w:val="bottom"/>
          </w:tcPr>
          <w:p>
            <w:pPr>
              <w:spacing w:after="0"/>
              <w:rPr>
                <w:sz w:val="17"/>
                <w:szCs w:val="17"/>
                <w:color w:val="auto"/>
              </w:rPr>
            </w:pP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Condensed Consolidated Statements of Cash Flows for the three months ended March 31, 2020 and 2019</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338"/>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Consolidated Financial Statements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4"/>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gridSpan w:val="4"/>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Quantitative and Qualitative Disclosures About Market Risk</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4"/>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Controls and Procedures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338"/>
        </w:trPr>
        <w:tc>
          <w:tcPr>
            <w:tcW w:w="10380" w:type="dxa"/>
            <w:vAlign w:val="bottom"/>
            <w:gridSpan w:val="5"/>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PART II – OTHER INFORMATION</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4"/>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Proceedings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500" w:type="dxa"/>
            <w:vAlign w:val="bottom"/>
            <w:gridSpan w:val="4"/>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4"/>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Unregistered Sales of Equity Securities and Use of Proceeds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gridSpan w:val="4"/>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Defaults Upon Senior Securities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Mine Safety Disclosures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37"/>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50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Other Information</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50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338"/>
        </w:trPr>
        <w:tc>
          <w:tcPr>
            <w:tcW w:w="88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Signatures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837"/>
        </w:trPr>
        <w:tc>
          <w:tcPr>
            <w:tcW w:w="880" w:type="dxa"/>
            <w:vAlign w:val="bottom"/>
          </w:tcPr>
          <w:p>
            <w:pPr>
              <w:spacing w:after="0"/>
              <w:rPr>
                <w:sz w:val="24"/>
                <w:szCs w:val="24"/>
                <w:color w:val="auto"/>
              </w:rPr>
            </w:pPr>
          </w:p>
        </w:tc>
        <w:tc>
          <w:tcPr>
            <w:tcW w:w="9200" w:type="dxa"/>
            <w:vAlign w:val="bottom"/>
            <w:gridSpan w:val="3"/>
          </w:tcPr>
          <w:p>
            <w:pPr>
              <w:ind w:left="47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21" w:lineRule="exact"/>
        <w:rPr>
          <w:sz w:val="20"/>
          <w:szCs w:val="20"/>
          <w:color w:val="auto"/>
        </w:rPr>
      </w:pPr>
    </w:p>
    <w:p>
      <w:pPr>
        <w:ind w:right="640" w:firstLine="510"/>
        <w:spacing w:after="0" w:line="274" w:lineRule="auto"/>
        <w:rPr>
          <w:sz w:val="20"/>
          <w:szCs w:val="20"/>
          <w:color w:val="auto"/>
        </w:rPr>
      </w:pPr>
      <w:r>
        <w:rPr>
          <w:rFonts w:ascii="Arial" w:cs="Arial" w:eastAsia="Arial" w:hAnsi="Arial"/>
          <w:sz w:val="17"/>
          <w:szCs w:val="17"/>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w:t>
      </w:r>
    </w:p>
    <w:p>
      <w:pPr>
        <w:spacing w:after="0" w:line="260" w:lineRule="auto"/>
        <w:rPr>
          <w:sz w:val="20"/>
          <w:szCs w:val="20"/>
          <w:color w:val="auto"/>
        </w:rPr>
      </w:pPr>
      <w:r>
        <w:rPr>
          <w:rFonts w:ascii="Arial" w:cs="Arial" w:eastAsia="Arial" w:hAnsi="Arial"/>
          <w:sz w:val="18"/>
          <w:szCs w:val="18"/>
          <w:color w:val="auto"/>
        </w:rPr>
        <w:t>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156"/>
        </w:trPr>
        <w:tc>
          <w:tcPr>
            <w:tcW w:w="7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deposits</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and cash equivalents, long-term</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Long-term deposits</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FF0FC"/>
          </w:tcPr>
          <w:p>
            <w:pPr>
              <w:spacing w:after="0"/>
              <w:rPr>
                <w:sz w:val="19"/>
                <w:szCs w:val="19"/>
                <w:color w:val="auto"/>
              </w:rPr>
            </w:pPr>
          </w:p>
        </w:tc>
      </w:tr>
      <w:tr>
        <w:trPr>
          <w:trHeight w:val="263"/>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9,266</w:t>
            </w:r>
          </w:p>
        </w:tc>
        <w:tc>
          <w:tcPr>
            <w:tcW w:w="120" w:type="dxa"/>
            <w:vAlign w:val="bottom"/>
            <w:tcBorders>
              <w:bottom w:val="single" w:sz="8" w:color="CFF0FC"/>
            </w:tcBorders>
          </w:tcPr>
          <w:p>
            <w:pPr>
              <w:spacing w:after="0"/>
              <w:rPr>
                <w:sz w:val="22"/>
                <w:szCs w:val="22"/>
                <w:color w:val="auto"/>
              </w:rPr>
            </w:pPr>
          </w:p>
        </w:tc>
      </w:tr>
      <w:tr>
        <w:trPr>
          <w:trHeight w:val="21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contract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notes payable</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13,381</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Contract liabilities, net of current portion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Warrant liability, related party</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17,014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18,106</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52,196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40,183</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Class A Common Stock, $0.01 par value; 100,000,000 shares authorized, 44,680,189</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tcPr>
          <w:p>
            <w:pPr>
              <w:ind w:left="380"/>
              <w:spacing w:after="0"/>
              <w:rPr>
                <w:sz w:val="20"/>
                <w:szCs w:val="20"/>
                <w:color w:val="auto"/>
              </w:rPr>
            </w:pPr>
            <w:r>
              <w:rPr>
                <w:rFonts w:ascii="Arial" w:cs="Arial" w:eastAsia="Arial" w:hAnsi="Arial"/>
                <w:sz w:val="18"/>
                <w:szCs w:val="18"/>
                <w:color w:val="auto"/>
              </w:rPr>
              <w:t>and 40,918,522 shares outstanding as of March 31, 2020 and December 31, 2019,</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8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B Common Stock, $0.01 par value; 100,000,000 shares authorized, and 23,094,221</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8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outstanding as of March 31, 2020 and December 31, 2019</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20"/>
                <w:szCs w:val="20"/>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190,200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183,858</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(252,700)</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(233,522)</w:t>
            </w:r>
          </w:p>
        </w:tc>
      </w:tr>
      <w:tr>
        <w:trPr>
          <w:trHeight w:val="223"/>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(61,821)</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(49,023)</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7,389</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60" w:type="dxa"/>
            <w:vAlign w:val="bottom"/>
            <w:gridSpan w:val="4"/>
          </w:tcPr>
          <w:p>
            <w:pPr>
              <w:jc w:val="right"/>
              <w:ind w:right="327"/>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30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3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Operating loss</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Other (expense) income – related party</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Interest expense</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3"/>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13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Income tax provision</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13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23"/>
        </w:trPr>
        <w:tc>
          <w:tcPr>
            <w:tcW w:w="6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Net loss attributable to vTv Therapeutics Inc. common shareholders</w:t>
            </w:r>
          </w:p>
        </w:tc>
        <w:tc>
          <w:tcPr>
            <w:tcW w:w="17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FF0FC"/>
            </w:tcBorders>
            <w:vMerge w:val="continue"/>
          </w:tcPr>
          <w:p>
            <w:pPr>
              <w:spacing w:after="0"/>
              <w:rPr>
                <w:sz w:val="21"/>
                <w:szCs w:val="21"/>
                <w:color w:val="auto"/>
              </w:rPr>
            </w:pPr>
          </w:p>
        </w:tc>
        <w:tc>
          <w:tcPr>
            <w:tcW w:w="138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Net loss per share of vTv Therapeutics Inc. Class A Common</w:t>
            </w:r>
          </w:p>
        </w:tc>
        <w:tc>
          <w:tcPr>
            <w:tcW w:w="13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basic and diluted</w:t>
            </w:r>
          </w:p>
        </w:tc>
        <w:tc>
          <w:tcPr>
            <w:tcW w:w="17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(0.11)</w:t>
            </w:r>
          </w:p>
        </w:tc>
        <w:tc>
          <w:tcPr>
            <w:tcW w:w="68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3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Weighted-average number of vTv Therapeutics Inc. Class A</w:t>
            </w:r>
          </w:p>
        </w:tc>
        <w:tc>
          <w:tcPr>
            <w:tcW w:w="13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80"/>
              <w:spacing w:after="0"/>
              <w:rPr>
                <w:sz w:val="20"/>
                <w:szCs w:val="20"/>
                <w:color w:val="auto"/>
              </w:rPr>
            </w:pPr>
            <w:r>
              <w:rPr>
                <w:rFonts w:ascii="Arial" w:cs="Arial" w:eastAsia="Arial" w:hAnsi="Arial"/>
                <w:sz w:val="18"/>
                <w:szCs w:val="18"/>
                <w:color w:val="auto"/>
              </w:rPr>
              <w:t>Common Stock, basic and diluted</w:t>
            </w:r>
          </w:p>
        </w:tc>
        <w:tc>
          <w:tcPr>
            <w:tcW w:w="1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43,462,551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22,862,907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Changes in Redeemable Noncontrolling Interest and Stockholders’ Deficit -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388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Balances at December 31, 2019</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Net loss</w:t>
      </w:r>
    </w:p>
    <w:p>
      <w:pPr>
        <w:ind w:left="260"/>
        <w:spacing w:after="0"/>
        <w:rPr>
          <w:sz w:val="20"/>
          <w:szCs w:val="20"/>
          <w:color w:val="auto"/>
        </w:rPr>
      </w:pPr>
      <w:r>
        <w:rPr>
          <w:rFonts w:ascii="Arial" w:cs="Arial" w:eastAsia="Arial" w:hAnsi="Arial"/>
          <w:sz w:val="13"/>
          <w:szCs w:val="13"/>
          <w:color w:val="auto"/>
        </w:rPr>
        <w:t>Share-based compensation</w:t>
      </w:r>
    </w:p>
    <w:p>
      <w:pPr>
        <w:jc w:val="right"/>
        <w:spacing w:after="0" w:line="216" w:lineRule="auto"/>
        <w:rPr>
          <w:sz w:val="20"/>
          <w:szCs w:val="20"/>
          <w:color w:val="auto"/>
        </w:rPr>
      </w:pPr>
      <w:r>
        <w:rPr>
          <w:rFonts w:ascii="Arial" w:cs="Arial" w:eastAsia="Arial" w:hAnsi="Arial"/>
          <w:sz w:val="13"/>
          <w:szCs w:val="13"/>
          <w:color w:val="auto"/>
        </w:rPr>
        <w:t>Issuance of Class A Common Stock</w:t>
      </w:r>
    </w:p>
    <w:p>
      <w:pPr>
        <w:ind w:left="340" w:right="40"/>
        <w:spacing w:after="0" w:line="227" w:lineRule="auto"/>
        <w:rPr>
          <w:sz w:val="20"/>
          <w:szCs w:val="20"/>
          <w:color w:val="auto"/>
        </w:rPr>
      </w:pPr>
      <w:r>
        <w:rPr>
          <w:rFonts w:ascii="Arial" w:cs="Arial" w:eastAsia="Arial" w:hAnsi="Arial"/>
          <w:sz w:val="13"/>
          <w:szCs w:val="13"/>
          <w:color w:val="auto"/>
        </w:rPr>
        <w:t>to a related party under the Letter Agreements</w:t>
      </w:r>
    </w:p>
    <w:p>
      <w:pPr>
        <w:ind w:left="260"/>
        <w:spacing w:after="0"/>
        <w:rPr>
          <w:sz w:val="20"/>
          <w:szCs w:val="20"/>
          <w:color w:val="auto"/>
        </w:rPr>
      </w:pPr>
      <w:r>
        <w:rPr>
          <w:rFonts w:ascii="Arial" w:cs="Arial" w:eastAsia="Arial" w:hAnsi="Arial"/>
          <w:sz w:val="13"/>
          <w:szCs w:val="13"/>
          <w:color w:val="auto"/>
        </w:rPr>
        <w:t>Vesting of restricted stock units</w:t>
      </w:r>
    </w:p>
    <w:p>
      <w:pPr>
        <w:ind w:left="340" w:right="260" w:hanging="93"/>
        <w:spacing w:after="0" w:line="248" w:lineRule="auto"/>
        <w:rPr>
          <w:sz w:val="20"/>
          <w:szCs w:val="20"/>
          <w:color w:val="auto"/>
        </w:rPr>
      </w:pPr>
      <w:r>
        <w:rPr>
          <w:rFonts w:ascii="Arial" w:cs="Arial" w:eastAsia="Arial" w:hAnsi="Arial"/>
          <w:sz w:val="12"/>
          <w:szCs w:val="12"/>
          <w:color w:val="auto"/>
        </w:rPr>
        <w:t>Change in redemption value of noncontrolling interest</w:t>
      </w:r>
    </w:p>
    <w:p>
      <w:pPr>
        <w:spacing w:after="0"/>
        <w:rPr>
          <w:sz w:val="20"/>
          <w:szCs w:val="20"/>
          <w:color w:val="auto"/>
        </w:rPr>
      </w:pPr>
      <w:r>
        <w:rPr>
          <w:rFonts w:ascii="Arial" w:cs="Arial" w:eastAsia="Arial" w:hAnsi="Arial"/>
          <w:sz w:val="13"/>
          <w:szCs w:val="13"/>
          <w:b w:val="1"/>
          <w:bCs w:val="1"/>
          <w:color w:val="auto"/>
        </w:rPr>
        <w:t>Balances at March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Redeemable</w:t>
      </w:r>
    </w:p>
    <w:p>
      <w:pPr>
        <w:jc w:val="center"/>
        <w:ind w:right="60"/>
        <w:spacing w:after="0" w:line="216" w:lineRule="auto"/>
        <w:rPr>
          <w:sz w:val="20"/>
          <w:szCs w:val="20"/>
          <w:color w:val="auto"/>
        </w:rPr>
      </w:pPr>
      <w:r>
        <w:rPr>
          <w:rFonts w:ascii="Arial" w:cs="Arial" w:eastAsia="Arial" w:hAnsi="Arial"/>
          <w:sz w:val="13"/>
          <w:szCs w:val="13"/>
          <w:b w:val="1"/>
          <w:bCs w:val="1"/>
          <w:color w:val="auto"/>
        </w:rPr>
        <w:t>Noncontrolling</w:t>
      </w:r>
    </w:p>
    <w:p>
      <w:pPr>
        <w:jc w:val="center"/>
        <w:ind w:right="60"/>
        <w:spacing w:after="0"/>
        <w:rPr>
          <w:sz w:val="20"/>
          <w:szCs w:val="20"/>
          <w:color w:val="auto"/>
        </w:rPr>
      </w:pPr>
      <w:r>
        <w:rPr>
          <w:rFonts w:ascii="Arial" w:cs="Arial" w:eastAsia="Arial" w:hAnsi="Arial"/>
          <w:sz w:val="13"/>
          <w:szCs w:val="13"/>
          <w:b w:val="1"/>
          <w:bCs w:val="1"/>
          <w:color w:val="auto"/>
        </w:rPr>
        <w:t>Interest</w:t>
      </w:r>
    </w:p>
    <w:p>
      <w:pPr>
        <w:spacing w:after="0" w:line="1" w:lineRule="exact"/>
        <w:rPr>
          <w:sz w:val="20"/>
          <w:szCs w:val="20"/>
          <w:color w:val="auto"/>
        </w:rPr>
      </w:pPr>
    </w:p>
    <w:p>
      <w:pPr>
        <w:ind w:left="640" w:hanging="634"/>
        <w:spacing w:after="0"/>
        <w:tabs>
          <w:tab w:leader="none" w:pos="64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40,183</w:t>
      </w:r>
    </w:p>
    <w:p>
      <w:pPr>
        <w:spacing w:after="0" w:line="10" w:lineRule="exact"/>
        <w:rPr>
          <w:rFonts w:ascii="Arial" w:cs="Arial" w:eastAsia="Arial" w:hAnsi="Arial"/>
          <w:sz w:val="13"/>
          <w:szCs w:val="13"/>
          <w:b w:val="1"/>
          <w:bCs w:val="1"/>
          <w:color w:val="auto"/>
        </w:rPr>
      </w:pPr>
    </w:p>
    <w:p>
      <w:pPr>
        <w:ind w:left="660"/>
        <w:spacing w:after="0"/>
        <w:rPr>
          <w:rFonts w:ascii="Arial" w:cs="Arial" w:eastAsia="Arial" w:hAnsi="Arial"/>
          <w:sz w:val="13"/>
          <w:szCs w:val="13"/>
          <w:b w:val="1"/>
          <w:bCs w:val="1"/>
          <w:color w:val="auto"/>
        </w:rPr>
      </w:pPr>
      <w:r>
        <w:rPr>
          <w:rFonts w:ascii="Arial" w:cs="Arial" w:eastAsia="Arial" w:hAnsi="Arial"/>
          <w:sz w:val="10"/>
          <w:szCs w:val="10"/>
          <w:color w:val="auto"/>
        </w:rPr>
        <w:t>(2,441)</w:t>
      </w:r>
    </w:p>
    <w:p>
      <w:pPr>
        <w:spacing w:after="0" w:line="33" w:lineRule="exact"/>
        <w:rPr>
          <w:rFonts w:ascii="Arial" w:cs="Arial" w:eastAsia="Arial" w:hAnsi="Arial"/>
          <w:sz w:val="13"/>
          <w:szCs w:val="13"/>
          <w:b w:val="1"/>
          <w:bCs w:val="1"/>
          <w:color w:val="auto"/>
        </w:rPr>
      </w:pPr>
    </w:p>
    <w:p>
      <w:pPr>
        <w:ind w:left="860"/>
        <w:spacing w:after="0"/>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25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14,454</w:t>
      </w:r>
    </w:p>
    <w:p>
      <w:pPr>
        <w:spacing w:after="0" w:line="11" w:lineRule="exact"/>
        <w:rPr>
          <w:sz w:val="20"/>
          <w:szCs w:val="20"/>
          <w:color w:val="auto"/>
        </w:rPr>
      </w:pPr>
    </w:p>
    <w:p>
      <w:pPr>
        <w:ind w:left="640" w:hanging="634"/>
        <w:spacing w:after="0"/>
        <w:tabs>
          <w:tab w:leader="none" w:pos="64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52,196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040" w:type="dxa"/>
            <w:vAlign w:val="bottom"/>
            <w:gridSpan w:val="5"/>
          </w:tcPr>
          <w:p>
            <w:pPr>
              <w:ind w:left="260"/>
              <w:spacing w:after="0"/>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4"/>
              </w:rPr>
              <w:t>Additional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4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1"/>
        </w:trPr>
        <w:tc>
          <w:tcPr>
            <w:tcW w:w="8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40,918,522</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409</w:t>
            </w:r>
          </w:p>
        </w:tc>
        <w:tc>
          <w:tcPr>
            <w:tcW w:w="240" w:type="dxa"/>
            <w:vAlign w:val="bottom"/>
          </w:tcPr>
          <w:p>
            <w:pPr>
              <w:spacing w:after="0"/>
              <w:rPr>
                <w:sz w:val="12"/>
                <w:szCs w:val="12"/>
                <w:color w:val="auto"/>
              </w:rPr>
            </w:pPr>
          </w:p>
        </w:tc>
        <w:tc>
          <w:tcPr>
            <w:tcW w:w="8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23,094,221</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183,858</w:t>
            </w:r>
          </w:p>
        </w:tc>
        <w:tc>
          <w:tcPr>
            <w:tcW w:w="2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(233,522)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(49,023)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(4,724)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(4,724)</w:t>
            </w:r>
          </w:p>
        </w:tc>
        <w:tc>
          <w:tcPr>
            <w:tcW w:w="0" w:type="dxa"/>
            <w:vAlign w:val="bottom"/>
          </w:tcPr>
          <w:p>
            <w:pPr>
              <w:spacing w:after="0"/>
              <w:rPr>
                <w:sz w:val="1"/>
                <w:szCs w:val="1"/>
                <w:color w:val="auto"/>
              </w:rPr>
            </w:pPr>
          </w:p>
        </w:tc>
      </w:tr>
      <w:tr>
        <w:trPr>
          <w:trHeight w:val="160"/>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7"/>
        </w:trPr>
        <w:tc>
          <w:tcPr>
            <w:tcW w:w="820" w:type="dxa"/>
            <w:vAlign w:val="bottom"/>
          </w:tcPr>
          <w:p>
            <w:pPr>
              <w:jc w:val="right"/>
              <w:spacing w:after="0"/>
              <w:rPr>
                <w:sz w:val="20"/>
                <w:szCs w:val="20"/>
                <w:color w:val="auto"/>
              </w:rPr>
            </w:pPr>
            <w:r>
              <w:rPr>
                <w:rFonts w:ascii="Arial" w:cs="Arial" w:eastAsia="Arial" w:hAnsi="Arial"/>
                <w:sz w:val="13"/>
                <w:szCs w:val="13"/>
                <w:color w:val="auto"/>
              </w:rPr>
              <w:t>3,750,000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5,962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20" w:type="dxa"/>
            <w:vAlign w:val="bottom"/>
          </w:tcPr>
          <w:p>
            <w:pPr>
              <w:jc w:val="right"/>
              <w:spacing w:after="0"/>
              <w:rPr>
                <w:sz w:val="20"/>
                <w:szCs w:val="20"/>
                <w:color w:val="auto"/>
              </w:rPr>
            </w:pPr>
            <w:r>
              <w:rPr>
                <w:rFonts w:ascii="Arial" w:cs="Arial" w:eastAsia="Arial" w:hAnsi="Arial"/>
                <w:sz w:val="13"/>
                <w:szCs w:val="13"/>
                <w:color w:val="auto"/>
              </w:rPr>
              <w:t>11,667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3"/>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(14,454)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(14,454)</w:t>
            </w:r>
          </w:p>
        </w:tc>
        <w:tc>
          <w:tcPr>
            <w:tcW w:w="0" w:type="dxa"/>
            <w:vAlign w:val="bottom"/>
          </w:tcPr>
          <w:p>
            <w:pPr>
              <w:spacing w:after="0"/>
              <w:rPr>
                <w:sz w:val="1"/>
                <w:szCs w:val="1"/>
                <w:color w:val="auto"/>
              </w:rPr>
            </w:pPr>
          </w:p>
        </w:tc>
      </w:tr>
      <w:tr>
        <w:trPr>
          <w:trHeight w:val="142"/>
        </w:trPr>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44,680,189</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447</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190,200</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(252,700)</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(61,821)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2080" w:space="500"/>
            <w:col w:w="1040" w:space="200"/>
            <w:col w:w="7420"/>
          </w:cols>
          <w:pgMar w:left="320" w:top="337"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three months ended March 31, 2019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4"/>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b w:val="1"/>
                <w:bCs w:val="1"/>
                <w:color w:val="auto"/>
                <w:w w:val="94"/>
              </w:rPr>
              <w:t>Additional</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4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2018</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62,482</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20,347,065</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203</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150,595</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(233,883)</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(82,853)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(1,827)</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(2,155)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(2,155)</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under registered direct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3,636,364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5,406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3,260,868</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5,967</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11,666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(15,549)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15,549</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at March 31, 2019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45,106</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27,255,963</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273</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162,249</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(220,489)</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(57,735)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6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Net loss before noncontrolling interest</w:t>
            </w:r>
          </w:p>
        </w:tc>
        <w:tc>
          <w:tcPr>
            <w:tcW w:w="104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(7,165)</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143"/>
        </w:trPr>
        <w:tc>
          <w:tcPr>
            <w:tcW w:w="7720" w:type="dxa"/>
            <w:vAlign w:val="bottom"/>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120"/>
              <w:spacing w:after="0"/>
              <w:rPr>
                <w:sz w:val="20"/>
                <w:szCs w:val="20"/>
                <w:color w:val="auto"/>
              </w:rPr>
            </w:pPr>
            <w:r>
              <w:rPr>
                <w:rFonts w:ascii="Arial" w:cs="Arial" w:eastAsia="Arial" w:hAnsi="Arial"/>
                <w:sz w:val="14"/>
                <w:szCs w:val="14"/>
                <w:color w:val="auto"/>
              </w:rPr>
              <w:t>activities:</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Depreciation expense</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380</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warrants, related party</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Amortization of debt discount</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Changes in assets and liabilities:</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Prepaid expenses and other assets</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465</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and accrued expenses</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Contract liabilities</w:t>
            </w:r>
          </w:p>
        </w:tc>
        <w:tc>
          <w:tcPr>
            <w:tcW w:w="10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(8)</w:t>
            </w:r>
          </w:p>
        </w:tc>
        <w:tc>
          <w:tcPr>
            <w:tcW w:w="10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Net cash used in operating activities</w:t>
            </w:r>
          </w:p>
        </w:tc>
        <w:tc>
          <w:tcPr>
            <w:tcW w:w="10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(5,560)</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(5,450)</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Proceeds from issuance of Class A Common Stock to a related party under the Letter</w:t>
            </w: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Agreements</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6,000</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Proceeds from issuance of Class A Common Stock, net of offering costs</w:t>
            </w:r>
          </w:p>
        </w:tc>
        <w:tc>
          <w:tcPr>
            <w:tcW w:w="10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Repayment of notes payable</w:t>
            </w:r>
          </w:p>
        </w:tc>
        <w:tc>
          <w:tcPr>
            <w:tcW w:w="10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(1,811)</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(2,717)</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cash provided by financing activities</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4,189</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8,726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Net (decrease) increase in cash, cash equivalents and restricted cash and cash equivalents</w:t>
            </w:r>
          </w:p>
        </w:tc>
        <w:tc>
          <w:tcPr>
            <w:tcW w:w="10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(1,371)</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Total cash, cash equivalents and restricted cash and cash equivalents, beginning of period</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4,277</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Total cash, cash equivalents and restricted cash and cash equivalents, end of period</w:t>
            </w:r>
          </w:p>
        </w:tc>
        <w:tc>
          <w:tcPr>
            <w:tcW w:w="104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2,906</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Non-cash activities:</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20" w:type="dxa"/>
            <w:vAlign w:val="bottom"/>
          </w:tcPr>
          <w:p>
            <w:pPr>
              <w:ind w:left="260"/>
              <w:spacing w:after="0"/>
              <w:rPr>
                <w:sz w:val="20"/>
                <w:szCs w:val="20"/>
                <w:color w:val="auto"/>
              </w:rPr>
            </w:pPr>
            <w:r>
              <w:rPr>
                <w:rFonts w:ascii="Arial" w:cs="Arial" w:eastAsia="Arial" w:hAnsi="Arial"/>
                <w:sz w:val="14"/>
                <w:szCs w:val="14"/>
                <w:color w:val="auto"/>
              </w:rPr>
              <w:t>Change in redemption value of noncontrolling interest</w:t>
            </w: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14,454</w:t>
            </w:r>
          </w:p>
        </w:tc>
        <w:tc>
          <w:tcPr>
            <w:tcW w:w="280" w:type="dxa"/>
            <w:vAlign w:val="bottom"/>
          </w:tcPr>
          <w:p>
            <w:pPr>
              <w:spacing w:after="0"/>
              <w:rPr>
                <w:sz w:val="15"/>
                <w:szCs w:val="15"/>
                <w:color w:val="auto"/>
              </w:rPr>
            </w:pP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(15,549)</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vTv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ind w:right="5600"/>
        <w:spacing w:after="0" w:line="377" w:lineRule="auto"/>
        <w:rPr>
          <w:sz w:val="20"/>
          <w:szCs w:val="20"/>
          <w:color w:val="auto"/>
        </w:rPr>
      </w:pPr>
      <w:r>
        <w:rPr>
          <w:rFonts w:ascii="Arial" w:cs="Arial" w:eastAsia="Arial" w:hAnsi="Arial"/>
          <w:sz w:val="18"/>
          <w:szCs w:val="18"/>
          <w:b w:val="1"/>
          <w:bCs w:val="1"/>
          <w:color w:val="auto"/>
        </w:rPr>
        <w:t xml:space="preserve">Note 1:Description of Business, Basis of Presentation and Going Concern </w:t>
      </w:r>
      <w:r>
        <w:rPr>
          <w:rFonts w:ascii="Arial" w:cs="Arial" w:eastAsia="Arial" w:hAnsi="Arial"/>
          <w:sz w:val="18"/>
          <w:szCs w:val="18"/>
          <w:b w:val="1"/>
          <w:bCs w:val="1"/>
          <w:i w:val="1"/>
          <w:iCs w:val="1"/>
          <w:color w:val="auto"/>
        </w:rPr>
        <w:t>Description of Business</w:t>
      </w:r>
    </w:p>
    <w:p>
      <w:pPr>
        <w:spacing w:after="0" w:line="2"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vTv Therapeutics Inc. (the “Company,” the “Registrant,” “we” or “us”) was incorporated in the state of Delaware in April 2015. The Company is a clinical-stage pharmaceutical company focused on treating metabolic diseases to minimize their long-term complications through end-organ protection.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right="540" w:firstLine="510"/>
        <w:spacing w:after="0" w:line="263"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clinical-stage biopharmaceutical company engaged in the discovery and development of orally administered small molecule drug candidates to fill significant unmet medical needs.</w:t>
      </w:r>
    </w:p>
    <w:p>
      <w:pPr>
        <w:spacing w:after="0" w:line="7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March 31, 2020, various holders own non-voting interests in vTv LLC, representing a 34.1% economic interest in vTv LLC, effectively restricting vTv Therapeutics Inc.’s interest to 65.9%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9). vTv Therapeutics Inc. has provided financial and other support to vTv LLC in the form of its purchase of vTv Units with the net proceeds of the Company’s initial public offering (“IPO”) in 2015 and its registered direct offering in March 2019, its agreeing to be a co-borrower under the Venture Loan and Security Agreement (the “Loan Agreement”) with Horizon Technology Finance Corporation and Silicon Valley Bank (together, the “Lenders”) which was entered into in 2016, and its entrance into the letter agreements, dated as of December 5, 2017, July 30, 2018, December 11, 2018, March 18, 2019, September 26, 2019 and December 23, 2019 with MacAndrews and Forbes Group LLC (the “Letter Agreements”). vTv Therapeutics Inc. will not be required to provide financial or other support for vTv LLC outside of its obligations pertaining to the Loan Agreement as a co-borrower. However, vTv Therapeutics Inc. will control its business and other activities through its managing member interest in vTv LLC, and its management is the management of vTv LLC. The creditors of vTv LLC do not have any recourse to the general credit of vTv Therapeutics Inc. except as allowed under the provisions of the Loan Agreement. Nevertheless, because vTv Therapeutics Inc. will have no material assets other than its interests in vTv LLC, any financial difficulties at vTv LLC could result in vTv Therapeutics Inc. recognizing a loss.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225"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To date, the Company has not generated any product revenue and has not achieved profitable operations. The continuing development of our drug candidates will require additional financing. From its inception through March 31, 2020,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March 31, 2020, the Company had an accumulated deficit of $252.7 million and has generated net losses in each year of its existence.</w:t>
      </w:r>
    </w:p>
    <w:p>
      <w:pPr>
        <w:spacing w:after="0" w:line="80"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As of March 31, 2020, the Company’s liquidity sources included cash and cash equivalents of $0.4 million and $4.0 million of remaining funds available under the Letter Agreements. In connection with the amendment to the Company’s Loan Agreement on April 1, 2020, the Company is no longer required to maintain a minimum cash balance until July 1, 2020 and is required to make payments of interest only during this time. This will provide additional funding to the Company on a short-term basis. See Note 14 for further details. Based on the Company’s current operating plan, management believes that its current cash and cash equivalents and the remaining funds available under the Letter Agreements will allow the Company to meet its liquidity requirements into June 2020, which is less than twelve months from the issuance of these Condensed Consolidated Financial Statements. These conditions raise substantial doubt about the Company’s ability to continue as a going concern. The Company is evaluating several financing strategies to provide continued funding which may include additional direct equity investments or future public offerings of our common stock. The timing and availability of such financing is not yet known.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right="20" w:firstLine="510"/>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79"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full extent to which the COVID-19 outbreak / pandemic will directly or indirectly impact our business, results of operations and financial condition, including licensing revenues,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it or treat COVID-19, as well as the economic impact on local, regional, national and international suppliers and markets.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(“GAAP”). The accompanying Condensed Consolidated Balance Sheet as of March 31, 2020, Condensed Consolidated Statements of Operations for the three months ended March 31, 2020 and 2019, Condensed Consolidated Statement of Changes in Redeemable Noncontrolling Interest and Stockholders’ Deficit for the three months ended March 31, 2020 and 2019 and Condensed Consolidated Statements of Cash Flows for the three months ended March 31, 2020 and 2019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2019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March 31, 2020, the results of operations for the three months ended March 31, 2020 and 2019 and cash flows for the three months ended March 31, 2020 and 2019. The December 31, 2019 Condensed Consolidated Balance Sheet included herein was derived from the audited financial statements but does not include all disclosures or notes required by GAAP for complete financial statements.</w:t>
      </w:r>
    </w:p>
    <w:p>
      <w:pPr>
        <w:spacing w:after="0" w:line="7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financial data and other information disclosed in these notes to the financial statements related to the three months ended March 31, 2020 and 2019 are unaudited. Interim results are not necessarily indicative of results for an entire year.</w:t>
      </w:r>
    </w:p>
    <w:p>
      <w:pPr>
        <w:spacing w:after="0" w:line="62"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6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Two customers represented 100% of the revenue earned during the three months ended March 31, 2019. Revenue for the three months ended March 31, 2020 was insignificant.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considers any highly liquid investments with an original maturity of three months or less to be cash and cash equivalents.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Restricted cash and cash equivalents as of March 31, 2020 and December 31, 2019 was $2.5 million at each date. These amounts relate to the minimum balance that the Company must maintain in a deposit account that is pledged to secure the Loan Agreement and is subject to an account control agreement pursuant to the Loan Agreement.</w:t>
      </w:r>
    </w:p>
    <w:p>
      <w:pPr>
        <w:spacing w:after="0" w:line="76"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and cash equivalents reported within the Condensed Consolidated Balance Sheets as of March 31, 2020 and December 31, 2019 that sum to the total of the same such amounts shown in the Condensed Consolidated Statements of Cash Flows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and cash equivalents, long-term</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FF0FC"/>
          </w:tcPr>
          <w:p>
            <w:pPr>
              <w:spacing w:after="0"/>
              <w:rPr>
                <w:sz w:val="19"/>
                <w:szCs w:val="19"/>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w w:val="95"/>
              </w:rPr>
              <w:t>Total cash, cash equivalents and restricted cash and cash</w:t>
            </w: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equivalents shown in the consolidated statement of</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cash flows</w:t>
            </w:r>
          </w:p>
        </w:tc>
        <w:tc>
          <w:tcPr>
            <w:tcW w:w="6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2,906</w:t>
            </w:r>
          </w:p>
        </w:tc>
        <w:tc>
          <w:tcPr>
            <w:tcW w:w="220" w:type="dxa"/>
            <w:vAlign w:val="bottom"/>
          </w:tcPr>
          <w:p>
            <w:pPr>
              <w:spacing w:after="0"/>
              <w:rPr>
                <w:sz w:val="20"/>
                <w:szCs w:val="20"/>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4,277</w:t>
            </w:r>
          </w:p>
        </w:tc>
        <w:tc>
          <w:tcPr>
            <w:tcW w:w="8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In connection with the license agreement with Reneo Pharmaceuticals, Inc. (“Reneo”) (the “Reneo License Agreement”), the Company received common stock representing a minority equity interest in Reneo that is classified as a long-term investment in the Company’s Condensed Consolidated Balance Sheets as of March 31, 2020 and December 31, 2019. The Company owns less than 20% of the voting equity of Reneo and does not have the ability to exercise significant influence over Reneo. Since it does not have a readily determinable market value, the Company has elected to measure its investment in Reneo at cost minus impairment, if any, plus or minus changes resulting from observable price changes in orderly transactions for the identical or similar investment.</w:t>
      </w:r>
    </w:p>
    <w:p>
      <w:pPr>
        <w:spacing w:after="0" w:line="84"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No adjustments were made to the value of the Company’s investment in Reneo for the three months ended March 31, 2020 and 2019 either due to impairment or based on observable price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uses the revenue recognition guidance established by ASC Topic 606, “Revenue From Contracts With Customers” (“ASC Topic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103"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3"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Major components of research and development costs include cash and share-based compensation, costs of preclinical studies, clinical trials and related clinical manufacturing, costs of drug development, costs of materials and supplies, regulatory and compliance costs, fees paid to consultants and other entities that conduct certain research and development activities on the Company’s behalf, facilities costs, and overhead costs. Research and development costs are expensed as incurred.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 w:name="page11"/>
    <w:bookmarkEnd w:id="10"/>
    <w:p>
      <w:pPr>
        <w:ind w:firstLine="510"/>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69" w:lineRule="exact"/>
        <w:rPr>
          <w:sz w:val="20"/>
          <w:szCs w:val="20"/>
          <w:color w:val="auto"/>
        </w:rPr>
      </w:pPr>
    </w:p>
    <w:p>
      <w:pPr>
        <w:jc w:val="both"/>
        <w:ind w:right="540" w:firstLine="510"/>
        <w:spacing w:after="0" w:line="375" w:lineRule="auto"/>
        <w:rPr>
          <w:sz w:val="20"/>
          <w:szCs w:val="20"/>
          <w:color w:val="auto"/>
        </w:rPr>
      </w:pPr>
      <w:r>
        <w:rPr>
          <w:rFonts w:ascii="Arial" w:cs="Arial" w:eastAsia="Arial" w:hAnsi="Arial"/>
          <w:sz w:val="15"/>
          <w:szCs w:val="15"/>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1"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have been no recently accounting pronouncements which are expected to have a material impact on the Company’s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Reneo License Agreement</w:t>
      </w:r>
    </w:p>
    <w:p>
      <w:pPr>
        <w:spacing w:after="0" w:line="117" w:lineRule="exact"/>
        <w:rPr>
          <w:sz w:val="20"/>
          <w:szCs w:val="20"/>
          <w:color w:val="auto"/>
        </w:rPr>
      </w:pPr>
    </w:p>
    <w:p>
      <w:pPr>
        <w:ind w:right="100" w:firstLine="468"/>
        <w:spacing w:after="0" w:line="263" w:lineRule="auto"/>
        <w:rPr>
          <w:sz w:val="20"/>
          <w:szCs w:val="20"/>
          <w:color w:val="auto"/>
        </w:rPr>
      </w:pPr>
      <w:r>
        <w:rPr>
          <w:rFonts w:ascii="Arial" w:cs="Arial" w:eastAsia="Arial" w:hAnsi="Arial"/>
          <w:sz w:val="18"/>
          <w:szCs w:val="18"/>
          <w:color w:val="auto"/>
        </w:rPr>
        <w:t xml:space="preserve">The Company is party to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8"/>
          <w:szCs w:val="18"/>
          <w:i w:val="1"/>
          <w:iCs w:val="1"/>
          <w:color w:val="auto"/>
        </w:rPr>
        <w:t>HPP593</w:t>
      </w:r>
      <w:r>
        <w:rPr>
          <w:rFonts w:ascii="Arial" w:cs="Arial" w:eastAsia="Arial" w:hAnsi="Arial"/>
          <w:sz w:val="18"/>
          <w:szCs w:val="18"/>
          <w:color w:val="auto"/>
        </w:rPr>
        <w:t>, for therapeutic, prophylactic or diagnostic application in humans.</w:t>
      </w:r>
    </w:p>
    <w:p>
      <w:pPr>
        <w:spacing w:after="0" w:line="76" w:lineRule="exact"/>
        <w:rPr>
          <w:sz w:val="20"/>
          <w:szCs w:val="20"/>
          <w:color w:val="auto"/>
        </w:rPr>
      </w:pPr>
    </w:p>
    <w:p>
      <w:pPr>
        <w:ind w:right="200" w:firstLine="468"/>
        <w:spacing w:after="0" w:line="263"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combined performance obligation because they were not capable of being distinct on their own. The revenue related to this performance obligation was recognized on a straight-line basis over the technology transfer service period.</w:t>
      </w:r>
    </w:p>
    <w:p>
      <w:pPr>
        <w:spacing w:after="0" w:line="76" w:lineRule="exact"/>
        <w:rPr>
          <w:sz w:val="20"/>
          <w:szCs w:val="20"/>
          <w:color w:val="auto"/>
        </w:rPr>
      </w:pPr>
    </w:p>
    <w:p>
      <w:pPr>
        <w:ind w:right="200" w:firstLine="468"/>
        <w:spacing w:after="0" w:line="259" w:lineRule="auto"/>
        <w:rPr>
          <w:sz w:val="20"/>
          <w:szCs w:val="20"/>
          <w:color w:val="auto"/>
        </w:rPr>
      </w:pPr>
      <w:r>
        <w:rPr>
          <w:rFonts w:ascii="Arial" w:cs="Arial" w:eastAsia="Arial" w:hAnsi="Arial"/>
          <w:sz w:val="18"/>
          <w:szCs w:val="18"/>
          <w:color w:val="auto"/>
        </w:rPr>
        <w:t>The revenue related to this performance obligation has been fully recognized as of March 31, 2020. No revenue related to this performance obligation was recognized for the three months ended March 31, 2020. For the three months ended March 31, 2019, the Company recognized revenue related to this performance obligation of $0.9 million. There have been no adjustments to the transaction price for this performance obligation during the three months ended March 31, 2020 and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40" w:firstLine="468"/>
        <w:spacing w:after="0" w:line="293" w:lineRule="auto"/>
        <w:rPr>
          <w:sz w:val="20"/>
          <w:szCs w:val="20"/>
          <w:color w:val="auto"/>
        </w:rPr>
      </w:pPr>
      <w:r>
        <w:rPr>
          <w:rFonts w:ascii="Arial" w:cs="Arial" w:eastAsia="Arial" w:hAnsi="Arial"/>
          <w:sz w:val="16"/>
          <w:szCs w:val="16"/>
          <w:color w:val="auto"/>
        </w:rPr>
        <w:t xml:space="preserve">The Company is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w:t>
      </w:r>
    </w:p>
    <w:p>
      <w:pPr>
        <w:spacing w:after="0" w:line="56" w:lineRule="exact"/>
        <w:rPr>
          <w:sz w:val="20"/>
          <w:szCs w:val="20"/>
          <w:color w:val="auto"/>
        </w:rPr>
      </w:pPr>
    </w:p>
    <w:p>
      <w:pPr>
        <w:ind w:right="60" w:firstLine="468"/>
        <w:spacing w:after="0" w:line="275" w:lineRule="auto"/>
        <w:rPr>
          <w:sz w:val="20"/>
          <w:szCs w:val="20"/>
          <w:color w:val="auto"/>
        </w:rPr>
      </w:pPr>
      <w:r>
        <w:rPr>
          <w:rFonts w:ascii="Arial" w:cs="Arial" w:eastAsia="Arial" w:hAnsi="Arial"/>
          <w:sz w:val="17"/>
          <w:szCs w:val="17"/>
          <w:color w:val="auto"/>
        </w:rPr>
        <w:t xml:space="preserve">Under the Huadong License Agreement, the Company is also responsible for conducting a Phase 2 multi-region clinical trial (the “Phase 2 MRCT”), should Huadong require it to do so. If conducted, the Phase 2 MRCT will include sites in both the United States and Huadong License Territory for the purpose of assessing the safety and efficacy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in patients with type 2 diabetes. The Phase 2 MRCT will be designed to satisfy the requirements of the China Food and Drug Administration necessary in order for Huadong to begin a Phase 3 clinical trial in China. The Company will also be responsible for contributing up to $3.0 million in connection with the Phase 2 MRCT.</w:t>
      </w:r>
    </w:p>
    <w:p>
      <w:pPr>
        <w:spacing w:after="0" w:line="68" w:lineRule="exact"/>
        <w:rPr>
          <w:sz w:val="20"/>
          <w:szCs w:val="20"/>
          <w:color w:val="auto"/>
        </w:rPr>
      </w:pPr>
    </w:p>
    <w:p>
      <w:pPr>
        <w:ind w:firstLine="468"/>
        <w:spacing w:after="0" w:line="259" w:lineRule="auto"/>
        <w:rPr>
          <w:sz w:val="20"/>
          <w:szCs w:val="20"/>
          <w:color w:val="auto"/>
        </w:rPr>
      </w:pPr>
      <w:r>
        <w:rPr>
          <w:rFonts w:ascii="Arial" w:cs="Arial" w:eastAsia="Arial" w:hAnsi="Arial"/>
          <w:sz w:val="18"/>
          <w:szCs w:val="18"/>
          <w:color w:val="auto"/>
        </w:rPr>
        <w:t>The significant performance obligations under this license agreement were determined to be (i) the exclusive license to develop and commercialize the Company’s GLP-1r program, (ii) technology transfer services related to the chemistry and manufacturing know-how for a defined period after the effective date, (iii) the obligation to sponsor and conduct the Phase 2 MRCT, (iv) the Company’s obligation to participate on a joint development committee (the “JDC”), and (v) other obligations considered to be de minimis in nature.</w:t>
      </w:r>
    </w:p>
    <w:p>
      <w:pPr>
        <w:spacing w:after="0" w:line="79" w:lineRule="exact"/>
        <w:rPr>
          <w:sz w:val="20"/>
          <w:szCs w:val="20"/>
          <w:color w:val="auto"/>
        </w:rPr>
      </w:pPr>
    </w:p>
    <w:p>
      <w:pPr>
        <w:ind w:right="320" w:firstLine="468"/>
        <w:spacing w:after="0" w:line="277" w:lineRule="auto"/>
        <w:rPr>
          <w:sz w:val="20"/>
          <w:szCs w:val="20"/>
          <w:color w:val="auto"/>
        </w:rPr>
      </w:pPr>
      <w:r>
        <w:rPr>
          <w:rFonts w:ascii="Arial" w:cs="Arial" w:eastAsia="Arial" w:hAnsi="Arial"/>
          <w:sz w:val="18"/>
          <w:szCs w:val="18"/>
          <w:color w:val="auto"/>
        </w:rPr>
        <w:t>The Company has determined that the license and technology transfer services related to the chemistry and manufacturing know-how represent a combined performance obligation because they were not capable of being distinct on their own. The Company also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right="180"/>
        <w:spacing w:after="0" w:line="259" w:lineRule="auto"/>
        <w:rPr>
          <w:sz w:val="20"/>
          <w:szCs w:val="20"/>
          <w:color w:val="auto"/>
        </w:rPr>
      </w:pPr>
      <w:r>
        <w:rPr>
          <w:rFonts w:ascii="Arial" w:cs="Arial" w:eastAsia="Arial" w:hAnsi="Arial"/>
          <w:sz w:val="18"/>
          <w:szCs w:val="18"/>
          <w:color w:val="auto"/>
        </w:rPr>
        <w:t>determined that there was no discernable pattern in which the technology transfer services would be provided during the transfer service period. As such, the Company recognized the revenue related to this combined performance obligation using the straight-line method over the transfer service period. The revenue related to this combined performance obligation has been fully recognized as of March 31, 2020. No revenue related to this combined performance obligation was recognized during the three months ended March 31, 2020 and 2019.</w:t>
      </w:r>
    </w:p>
    <w:p>
      <w:pPr>
        <w:spacing w:after="0" w:line="79" w:lineRule="exact"/>
        <w:rPr>
          <w:sz w:val="20"/>
          <w:szCs w:val="20"/>
          <w:color w:val="auto"/>
        </w:rPr>
      </w:pPr>
    </w:p>
    <w:p>
      <w:pPr>
        <w:ind w:right="40" w:firstLine="468"/>
        <w:spacing w:after="0" w:line="279" w:lineRule="auto"/>
        <w:rPr>
          <w:sz w:val="20"/>
          <w:szCs w:val="20"/>
          <w:color w:val="auto"/>
        </w:rPr>
      </w:pPr>
      <w:r>
        <w:rPr>
          <w:rFonts w:ascii="Arial" w:cs="Arial" w:eastAsia="Arial" w:hAnsi="Arial"/>
          <w:sz w:val="17"/>
          <w:szCs w:val="17"/>
          <w:color w:val="auto"/>
        </w:rPr>
        <w:t>The portion of the transaction price allocated to the obligation to sponsor and conduct a portion of the Phase 2 MRCT was $1.0 million and remained deferred as of March 31, 2020. Revenue for this performance obligation will be recognized using the proportional performance model over the period during which the Company conducts the Phase 2 MRCT trial. Since the Company has not yet begun the Phase 2 MRCT trial, no revenue for this performance obligation has yet been recognized. The expectation of when, or if, the Phase 2 MRCT trial will begin remains indeterminate.</w:t>
      </w:r>
    </w:p>
    <w:p>
      <w:pPr>
        <w:spacing w:after="0" w:line="63" w:lineRule="exact"/>
        <w:rPr>
          <w:sz w:val="20"/>
          <w:szCs w:val="20"/>
          <w:color w:val="auto"/>
        </w:rPr>
      </w:pPr>
    </w:p>
    <w:p>
      <w:pPr>
        <w:ind w:right="240" w:firstLine="468"/>
        <w:spacing w:after="0" w:line="275" w:lineRule="auto"/>
        <w:rPr>
          <w:sz w:val="20"/>
          <w:szCs w:val="20"/>
          <w:color w:val="auto"/>
        </w:rPr>
      </w:pPr>
      <w:r>
        <w:rPr>
          <w:rFonts w:ascii="Arial" w:cs="Arial" w:eastAsia="Arial" w:hAnsi="Arial"/>
          <w:sz w:val="17"/>
          <w:szCs w:val="17"/>
          <w:color w:val="auto"/>
        </w:rPr>
        <w:t>The portion of the transaction price allocated to the obligation to participate in the joint development committee (the “JDC”) to oversee the development of products and the Phase 2 MRCT in accordance with the development plan remained deferred as of March 31, 2020 and revenue will be recognized using the proportional performance model over the period of the Company’s participation on the JDC. The unrecognized amount of the transaction price allocated to this performance obligation as of March 31, 2020 was $0.1 million. An immaterial amount of revenue for this performance obligation has been recognized during the three months ended March 31, 2020 and 2019.</w:t>
      </w:r>
    </w:p>
    <w:p>
      <w:pPr>
        <w:spacing w:after="0" w:line="68" w:lineRule="exact"/>
        <w:rPr>
          <w:sz w:val="20"/>
          <w:szCs w:val="20"/>
          <w:color w:val="auto"/>
        </w:rPr>
      </w:pPr>
    </w:p>
    <w:p>
      <w:pPr>
        <w:ind w:right="400" w:firstLine="468"/>
        <w:spacing w:after="0" w:line="277" w:lineRule="auto"/>
        <w:rPr>
          <w:sz w:val="20"/>
          <w:szCs w:val="20"/>
          <w:color w:val="auto"/>
        </w:rPr>
      </w:pPr>
      <w:r>
        <w:rPr>
          <w:rFonts w:ascii="Arial" w:cs="Arial" w:eastAsia="Arial" w:hAnsi="Arial"/>
          <w:sz w:val="18"/>
          <w:szCs w:val="18"/>
          <w:color w:val="auto"/>
        </w:rPr>
        <w:t>There have been no adjustments to the transaction price for the performance obligations under the Huadong License Agreement during the three months ended March 31,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Newsoara License Agreement</w:t>
      </w:r>
    </w:p>
    <w:p>
      <w:pPr>
        <w:spacing w:after="0" w:line="117" w:lineRule="exact"/>
        <w:rPr>
          <w:sz w:val="20"/>
          <w:szCs w:val="20"/>
          <w:color w:val="auto"/>
        </w:rPr>
      </w:pPr>
    </w:p>
    <w:p>
      <w:pPr>
        <w:ind w:right="80" w:firstLine="468"/>
        <w:spacing w:after="0" w:line="255" w:lineRule="auto"/>
        <w:rPr>
          <w:sz w:val="20"/>
          <w:szCs w:val="20"/>
          <w:color w:val="auto"/>
        </w:rPr>
      </w:pPr>
      <w:r>
        <w:rPr>
          <w:rFonts w:ascii="Arial" w:cs="Arial" w:eastAsia="Arial" w:hAnsi="Arial"/>
          <w:sz w:val="18"/>
          <w:szCs w:val="18"/>
          <w:color w:val="auto"/>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Arial" w:cs="Arial" w:eastAsia="Arial" w:hAnsi="Arial"/>
          <w:sz w:val="18"/>
          <w:szCs w:val="18"/>
          <w:i w:val="1"/>
          <w:iCs w:val="1"/>
          <w:color w:val="auto"/>
        </w:rPr>
        <w:t>HPP737</w:t>
      </w:r>
      <w:r>
        <w:rPr>
          <w:rFonts w:ascii="Arial" w:cs="Arial" w:eastAsia="Arial" w:hAnsi="Arial"/>
          <w:sz w:val="18"/>
          <w:szCs w:val="18"/>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84" w:lineRule="exact"/>
        <w:rPr>
          <w:sz w:val="20"/>
          <w:szCs w:val="20"/>
          <w:color w:val="auto"/>
        </w:rPr>
      </w:pPr>
    </w:p>
    <w:p>
      <w:pPr>
        <w:ind w:right="360" w:firstLine="555"/>
        <w:spacing w:after="0" w:line="301" w:lineRule="auto"/>
        <w:rPr>
          <w:sz w:val="20"/>
          <w:szCs w:val="20"/>
          <w:color w:val="auto"/>
        </w:rPr>
      </w:pPr>
      <w:r>
        <w:rPr>
          <w:rFonts w:ascii="Arial" w:cs="Arial" w:eastAsia="Arial" w:hAnsi="Arial"/>
          <w:sz w:val="16"/>
          <w:szCs w:val="16"/>
          <w:color w:val="auto"/>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 revenue for this performance obligation has been fully recognized as of March 31, 2020. No revenue related to this performance obligation was recognized during the three months ended March 31, 2020 and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JDRF Agreement</w:t>
      </w:r>
    </w:p>
    <w:p>
      <w:pPr>
        <w:spacing w:after="0" w:line="117"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 xml:space="preserve">In August 2017, the Company entered into a research and collaboration agreement with JDRF International (the “JDRF Agreement”) to support the funding of the Simplici-T1 Study, a Phase 2 study to explore the effects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patients with type 1 diabetes.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treatment for type 1 diabetes.</w:t>
      </w:r>
    </w:p>
    <w:p>
      <w:pPr>
        <w:spacing w:after="0" w:line="53"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Payments that the Company receives from JDRF under this agreement will be recorded as restricted cash and current liabilities and recognized as an offset to research and development expense, based on the progress of the project, and only to the extent that the restricted cash is utilized to fund such development activities. As of March 31, 2020, the Company had received funding under this agreement of $2.7 million. Research and development costs have been offset by a total of $2.7 million over the course of this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275"/>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contract liabilities</w:t>
            </w:r>
          </w:p>
        </w:tc>
        <w:tc>
          <w:tcPr>
            <w:tcW w:w="17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liabilities, net of current portion</w:t>
            </w:r>
          </w:p>
        </w:tc>
        <w:tc>
          <w:tcPr>
            <w:tcW w:w="1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1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00" w:type="dxa"/>
            <w:vAlign w:val="bottom"/>
            <w:vMerge w:val="restart"/>
          </w:tcPr>
          <w:p>
            <w:pPr>
              <w:jc w:val="right"/>
              <w:ind w:right="71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2" w:name="page13"/>
    <w:bookmarkEnd w:id="12"/>
    <w:p>
      <w:pPr>
        <w:ind w:right="140" w:firstLine="510"/>
        <w:spacing w:after="0" w:line="277" w:lineRule="auto"/>
        <w:rPr>
          <w:sz w:val="20"/>
          <w:szCs w:val="20"/>
          <w:color w:val="auto"/>
        </w:rPr>
      </w:pPr>
      <w:r>
        <w:rPr>
          <w:rFonts w:ascii="Arial" w:cs="Arial" w:eastAsia="Arial" w:hAnsi="Arial"/>
          <w:sz w:val="18"/>
          <w:szCs w:val="18"/>
          <w:color w:val="auto"/>
        </w:rPr>
        <w:t>The change in the Company’s contract liabilities for the three months ended March 31, 2020 of an immaterial amount was due to the recognition of amounts included in the contract liability at the beginning of the period.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4:Share-Based Compensation</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has issued non-qualified stock option awards to certain employees of the Company. These option awards vest ratably over a three-year period and the option awards expire after a term of ten years from the date of grant. As of March 31, 2020, the Company had total unrecognized stock-based compensation expense for its outstanding stock option awards of approximately $1.2 million, which is expected to be recognized over a weighted average period of 1.8 years. There were no stock option awards granted during the three months ended March 31, 2020. The weighted average grant date fair value of option grants during the three months ended March 31, 2019 was $1.97 per option. The aggregate intrinsic value of the in-the-money awards outstanding at March 31, 2020 was a de minimis amount.</w:t>
      </w:r>
    </w:p>
    <w:p>
      <w:pPr>
        <w:spacing w:after="0" w:line="84"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granted. The fair value of stock options granted was estimated using the following assumptions: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29"/>
        </w:trPr>
        <w:tc>
          <w:tcPr>
            <w:tcW w:w="6260" w:type="dxa"/>
            <w:vAlign w:val="bottom"/>
          </w:tcPr>
          <w:p>
            <w:pPr>
              <w:spacing w:after="0"/>
              <w:rPr>
                <w:sz w:val="19"/>
                <w:szCs w:val="19"/>
                <w:color w:val="auto"/>
              </w:rPr>
            </w:pPr>
          </w:p>
        </w:tc>
        <w:tc>
          <w:tcPr>
            <w:tcW w:w="2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6260" w:type="dxa"/>
            <w:vAlign w:val="bottom"/>
            <w:tcBorders>
              <w:bottom w:val="single" w:sz="8" w:color="CFF0FC"/>
            </w:tcBorders>
          </w:tcPr>
          <w:p>
            <w:pPr>
              <w:spacing w:after="0"/>
              <w:rPr>
                <w:sz w:val="20"/>
                <w:szCs w:val="20"/>
                <w:color w:val="auto"/>
              </w:rPr>
            </w:pPr>
          </w:p>
        </w:tc>
        <w:tc>
          <w:tcPr>
            <w:tcW w:w="2640" w:type="dxa"/>
            <w:vAlign w:val="bottom"/>
            <w:tcBorders>
              <w:bottom w:val="single" w:sz="8" w:color="auto"/>
            </w:tcBorders>
            <w:gridSpan w:val="2"/>
          </w:tcPr>
          <w:p>
            <w:pPr>
              <w:jc w:val="right"/>
              <w:ind w:right="10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1420" w:type="dxa"/>
            <w:vAlign w:val="bottom"/>
            <w:shd w:val="clear" w:color="auto" w:fill="CFF0FC"/>
          </w:tcPr>
          <w:p>
            <w:pPr>
              <w:ind w:left="60"/>
              <w:spacing w:after="0"/>
              <w:rPr>
                <w:sz w:val="20"/>
                <w:szCs w:val="20"/>
                <w:color w:val="auto"/>
              </w:rPr>
            </w:pPr>
            <w:r>
              <w:rPr>
                <w:rFonts w:ascii="Arial" w:cs="Arial" w:eastAsia="Arial" w:hAnsi="Arial"/>
                <w:sz w:val="18"/>
                <w:szCs w:val="18"/>
                <w:color w:val="auto"/>
              </w:rPr>
              <w:t>- 115.88%</w:t>
            </w:r>
          </w:p>
        </w:tc>
        <w:tc>
          <w:tcPr>
            <w:tcW w:w="80" w:type="dxa"/>
            <w:vAlign w:val="bottom"/>
            <w:shd w:val="clear" w:color="auto" w:fill="CFF0FC"/>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1220" w:type="dxa"/>
            <w:vAlign w:val="bottom"/>
          </w:tcPr>
          <w:p>
            <w:pPr>
              <w:spacing w:after="0"/>
              <w:rPr>
                <w:sz w:val="19"/>
                <w:szCs w:val="19"/>
                <w:color w:val="auto"/>
              </w:rPr>
            </w:pPr>
          </w:p>
        </w:tc>
        <w:tc>
          <w:tcPr>
            <w:tcW w:w="1420" w:type="dxa"/>
            <w:vAlign w:val="bottom"/>
          </w:tcPr>
          <w:p>
            <w:pPr>
              <w:jc w:val="right"/>
              <w:ind w:right="1090"/>
              <w:spacing w:after="0"/>
              <w:rPr>
                <w:sz w:val="20"/>
                <w:szCs w:val="20"/>
                <w:color w:val="auto"/>
              </w:rPr>
            </w:pPr>
            <w:r>
              <w:rPr>
                <w:rFonts w:ascii="Arial" w:cs="Arial" w:eastAsia="Arial" w:hAnsi="Arial"/>
                <w:sz w:val="18"/>
                <w:szCs w:val="18"/>
                <w:color w:val="auto"/>
                <w:w w:val="87"/>
              </w:rPr>
              <w:t>6.0</w:t>
            </w:r>
          </w:p>
        </w:tc>
        <w:tc>
          <w:tcPr>
            <w:tcW w:w="8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420" w:type="dxa"/>
            <w:vAlign w:val="bottom"/>
            <w:shd w:val="clear" w:color="auto" w:fill="CFF0FC"/>
          </w:tcPr>
          <w:p>
            <w:pPr>
              <w:ind w:left="60"/>
              <w:spacing w:after="0"/>
              <w:rPr>
                <w:sz w:val="20"/>
                <w:szCs w:val="20"/>
                <w:color w:val="auto"/>
              </w:rPr>
            </w:pPr>
            <w:r>
              <w:rPr>
                <w:rFonts w:ascii="Arial" w:cs="Arial" w:eastAsia="Arial" w:hAnsi="Arial"/>
                <w:sz w:val="18"/>
                <w:szCs w:val="18"/>
                <w:color w:val="auto"/>
              </w:rPr>
              <w:t>- 2.64%</w:t>
            </w:r>
          </w:p>
        </w:tc>
        <w:tc>
          <w:tcPr>
            <w:tcW w:w="8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640" w:type="dxa"/>
            <w:vAlign w:val="bottom"/>
            <w:gridSpan w:val="2"/>
          </w:tcPr>
          <w:p>
            <w:pPr>
              <w:jc w:val="right"/>
              <w:ind w:right="101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stock option awards for the three months ended March 31, 2020:</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Average Exercise Price</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2019</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2,531,143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Awards outstanding at March 31, 2020</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2,531,143</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6.19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at March 31, 2020</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1,821,596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1800" w:type="dxa"/>
            <w:vAlign w:val="bottom"/>
          </w:tcPr>
          <w:p>
            <w:pPr>
              <w:jc w:val="right"/>
              <w:spacing w:after="0"/>
              <w:rPr>
                <w:sz w:val="20"/>
                <w:szCs w:val="20"/>
                <w:color w:val="auto"/>
              </w:rPr>
            </w:pPr>
            <w:r>
              <w:rPr>
                <w:rFonts w:ascii="Arial" w:cs="Arial" w:eastAsia="Arial" w:hAnsi="Arial"/>
                <w:sz w:val="18"/>
                <w:szCs w:val="18"/>
                <w:color w:val="auto"/>
              </w:rPr>
              <w:t>6.7 Years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expected to vest at March 31, 2020</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2,461,037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1800" w:type="dxa"/>
            <w:vAlign w:val="bottom"/>
          </w:tcPr>
          <w:p>
            <w:pPr>
              <w:jc w:val="right"/>
              <w:spacing w:after="0"/>
              <w:rPr>
                <w:sz w:val="20"/>
                <w:szCs w:val="20"/>
                <w:color w:val="auto"/>
              </w:rPr>
            </w:pPr>
            <w:r>
              <w:rPr>
                <w:rFonts w:ascii="Arial" w:cs="Arial" w:eastAsia="Arial" w:hAnsi="Arial"/>
                <w:sz w:val="18"/>
                <w:szCs w:val="18"/>
                <w:color w:val="auto"/>
              </w:rPr>
              <w:t>7.2 Years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RSU awards for the three months ended March 31, 2020:</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1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Average Grant Date Fair Value</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2019</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Vested</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March 31, 2020</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RSUs expected to vest at March 31, 2020</w:t>
            </w: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vMerge w:val="continue"/>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400" w:firstLine="568"/>
        <w:spacing w:after="0" w:line="277" w:lineRule="auto"/>
        <w:rPr>
          <w:sz w:val="20"/>
          <w:szCs w:val="20"/>
          <w:color w:val="auto"/>
        </w:rPr>
      </w:pPr>
      <w:r>
        <w:rPr>
          <w:rFonts w:ascii="Arial" w:cs="Arial" w:eastAsia="Arial" w:hAnsi="Arial"/>
          <w:sz w:val="18"/>
          <w:szCs w:val="18"/>
          <w:color w:val="auto"/>
        </w:rPr>
        <w:t>Compensation expense related to the grants of stock options and RSUs is included in research and development and general and administrative expense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0" w:type="dxa"/>
            <w:vAlign w:val="bottom"/>
            <w:gridSpan w:val="4"/>
          </w:tcPr>
          <w:p>
            <w:pPr>
              <w:jc w:val="right"/>
              <w:ind w:right="227"/>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800" w:type="dxa"/>
            <w:vAlign w:val="bottom"/>
            <w:gridSpan w:val="2"/>
          </w:tcPr>
          <w:p>
            <w:pPr>
              <w:jc w:val="right"/>
              <w:ind w:right="107"/>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8"/>
                <w:szCs w:val="18"/>
                <w:color w:val="auto"/>
              </w:rPr>
            </w:pPr>
          </w:p>
        </w:tc>
        <w:tc>
          <w:tcPr>
            <w:tcW w:w="142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share-based compensation expense</w:t>
            </w:r>
          </w:p>
        </w:tc>
        <w:tc>
          <w:tcPr>
            <w:tcW w:w="17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3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00" w:type="dxa"/>
            <w:vAlign w:val="bottom"/>
            <w:vMerge w:val="restart"/>
          </w:tcPr>
          <w:p>
            <w:pPr>
              <w:jc w:val="right"/>
              <w:ind w:right="759"/>
              <w:spacing w:after="0"/>
              <w:rPr>
                <w:sz w:val="20"/>
                <w:szCs w:val="20"/>
                <w:color w:val="auto"/>
              </w:rPr>
            </w:pPr>
            <w:r>
              <w:rPr>
                <w:rFonts w:ascii="Arial" w:cs="Arial" w:eastAsia="Arial" w:hAnsi="Arial"/>
                <w:sz w:val="18"/>
                <w:szCs w:val="18"/>
                <w:color w:val="auto"/>
              </w:rPr>
              <w:t>13</w:t>
            </w: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5:Notes Payable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Notes payable consist of the following (in thousands):</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r>
      <w:tr>
        <w:trPr>
          <w:trHeight w:val="223"/>
        </w:trPr>
        <w:tc>
          <w:tcPr>
            <w:tcW w:w="620" w:type="dxa"/>
            <w:vAlign w:val="bottom"/>
          </w:tcPr>
          <w:p>
            <w:pPr>
              <w:spacing w:after="0"/>
              <w:rPr>
                <w:sz w:val="19"/>
                <w:szCs w:val="19"/>
                <w:color w:val="auto"/>
              </w:rPr>
            </w:pPr>
          </w:p>
        </w:tc>
        <w:tc>
          <w:tcPr>
            <w:tcW w:w="414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March 31, 2020</w:t>
            </w: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2019</w:t>
            </w:r>
          </w:p>
        </w:tc>
        <w:tc>
          <w:tcPr>
            <w:tcW w:w="100" w:type="dxa"/>
            <w:vAlign w:val="bottom"/>
            <w:tcBorders>
              <w:bottom w:val="single" w:sz="8" w:color="CFF0FC"/>
            </w:tcBorders>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Notes payable under the Loan Agreement</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4,896</w:t>
            </w:r>
          </w:p>
        </w:tc>
        <w:tc>
          <w:tcPr>
            <w:tcW w:w="100" w:type="dxa"/>
            <w:vAlign w:val="bottom"/>
            <w:shd w:val="clear" w:color="auto" w:fill="CFF0FC"/>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Short-term financing</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Accreted final payment</w:t>
            </w:r>
          </w:p>
        </w:tc>
        <w:tc>
          <w:tcPr>
            <w:tcW w:w="8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FF0FC"/>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Total notes payable</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(4,408)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(6,172)</w:t>
            </w:r>
          </w:p>
        </w:tc>
      </w:tr>
      <w:tr>
        <w:trPr>
          <w:trHeight w:val="223"/>
        </w:trPr>
        <w:tc>
          <w:tcPr>
            <w:tcW w:w="4760" w:type="dxa"/>
            <w:vAlign w:val="bottom"/>
            <w:gridSpan w:val="2"/>
          </w:tcPr>
          <w:p>
            <w:pPr>
              <w:ind w:left="620"/>
              <w:spacing w:after="0"/>
              <w:rPr>
                <w:sz w:val="20"/>
                <w:szCs w:val="20"/>
                <w:color w:val="auto"/>
              </w:rPr>
            </w:pPr>
            <w:r>
              <w:rPr>
                <w:rFonts w:ascii="Arial" w:cs="Arial" w:eastAsia="Arial" w:hAnsi="Arial"/>
                <w:sz w:val="18"/>
                <w:szCs w:val="18"/>
                <w:color w:val="auto"/>
              </w:rPr>
              <w:t>Total notes payable, net of current portion</w:t>
            </w: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340" w:firstLine="510"/>
        <w:spacing w:after="0" w:line="279" w:lineRule="auto"/>
        <w:rPr>
          <w:sz w:val="20"/>
          <w:szCs w:val="20"/>
          <w:color w:val="auto"/>
        </w:rPr>
      </w:pPr>
      <w:r>
        <w:rPr>
          <w:rFonts w:ascii="Arial" w:cs="Arial" w:eastAsia="Arial" w:hAnsi="Arial"/>
          <w:sz w:val="17"/>
          <w:szCs w:val="17"/>
          <w:color w:val="auto"/>
        </w:rPr>
        <w:t>In October 2016, the Company entered into the Loan Agreement with Horizon Technology Finance Corporation and Silicon Valley Bank, under which the Company and vTv LLC borrowed $20.0 million. On April 1, 2020, the Company entered into an amendment to the Loan Agreement which extended the maturity dates of the loans and adjusted the minimum cash balance requirements (the “April Amendment”). The details of the April Amendment have been incorporated into these disclosures and are more fully described below and in Note 14.</w:t>
      </w:r>
    </w:p>
    <w:p>
      <w:pPr>
        <w:spacing w:after="0" w:line="63"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Each loan tranche bears interest at a floating rate equal to 10.5% plus the amount by which the one-month London Interbank Offer Rate (“LIBOR”) exceeds 0.5%.</w:t>
      </w:r>
    </w:p>
    <w:p>
      <w:pPr>
        <w:spacing w:after="0" w:line="62"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The Company borrowed the first tranche of $12.5 million upon close of the Loan Agreement in October 2016. The first tranche originally required only monthly interest payments until May 1, 2018 followed by equal monthly payments of principal plus accrued interest through the scheduled maturity date on May 1, 2020. In connection with the April Amendment, the maturity date of the first tranche was extended to August 1, 2020. In addition, a final payment for the first tranche loan equal to $0.8 million originally due on May 1, 2020 was extended to August 1, 2020 as part of the April Amendment, or such earlier date specified in the Loan Agreement. The Company borrowed the second tranche of $7.5 million in March 2017. The second tranche required only monthly interest payments until October 1, 2018 followed by equal monthly payments of principal plus accrued interest through the scheduled maturity date on October 1, 2020. In connection with the April Amendment, the maturity date of the second tranche was extended to January 1, 2021. In addition, a final payment for the second tranche loan equal to $0.5 million was originally due on October 1, 2020, or such earlier date specified in the Loan Agreement. In connection with the April Amendment, the due date for this final payment was extended to January 1, 2021, or such earlier date specified in the Loan Agreement, and the total amount of the payment was increased to $0.6 million. For each of the first and second tranches, the April Amendment requires only monthly interest payments on the outstanding principal balance for the amounts due on April 1, 2020, May 1, 2020 and June 1,</w:t>
      </w:r>
    </w:p>
    <w:p>
      <w:pPr>
        <w:spacing w:after="0" w:line="4"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2020. Beginning with the amounts due on July 1, 2020, the Company will resume payment of the principal portion of these loans in accordance with the original amounts due.</w:t>
      </w:r>
    </w:p>
    <w:p>
      <w:pPr>
        <w:spacing w:after="0" w:line="7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If the Company repays all or a portion of the loan prior to the applicable maturity dates, as amended, it will pay the Lenders a prepayment penalty fee, based on a percentage of the then outstanding principal balance equal to 2.0%.</w:t>
      </w:r>
    </w:p>
    <w:p>
      <w:pPr>
        <w:spacing w:after="0" w:line="6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Company’s obligations under the Loan Agreement are secured by a first priority security interest in substantially all of its assets. The Company has granted the Lenders a first priority security interest in all of the Company’s intellectual property, subject to certain limited exceptions. The Company has agreed not to pledge or otherwise encumber its intellectual property assets, subject to certain exceptions.</w:t>
      </w:r>
    </w:p>
    <w:p>
      <w:pPr>
        <w:spacing w:after="0" w:line="76"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As of March 31, 2020, the Company was required to maintain a cash balance of not less than $2.5 million in a deposit account pledged to secure the Loan Agreement and subject to an account control agreement. In connection with the April Amendment, this requirement was temporarily eliminated for the period beginning April 1, 2020 and ending June 30, 2020. Beginning July 1, 2020, until the repayment of the full amounts due under the Loan Agreement, the Company must maintain a minimum cash balance equal to the lesser of (i) $1.0 million or (ii) the then-current aggregate outstanding principal balance of the loans.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w:t>
      </w:r>
    </w:p>
    <w:p>
      <w:pPr>
        <w:spacing w:after="0" w:line="8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costs incurred in connection with the Loan Agreement, along with the allocated fair value of the Warrants issued of $0.9 million were treated as a debt discount and are offset against the carrying value of the notes payable in the Company’s Condensed Consolidated Balance Sheet as of March 31, 2020 and December 31, 2019. These costs will be recognized as interest expense over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ind w:right="120"/>
        <w:spacing w:after="0" w:line="277" w:lineRule="auto"/>
        <w:rPr>
          <w:sz w:val="20"/>
          <w:szCs w:val="20"/>
          <w:color w:val="auto"/>
        </w:rPr>
      </w:pPr>
      <w:r>
        <w:rPr>
          <w:rFonts w:ascii="Arial" w:cs="Arial" w:eastAsia="Arial" w:hAnsi="Arial"/>
          <w:sz w:val="18"/>
          <w:szCs w:val="18"/>
          <w:color w:val="auto"/>
        </w:rPr>
        <w:t>the term of the first tranche using the effective interest method. The final payments for the first and second loan tranches are accrued as additional interest expense, using the effective interest method, over the term of the relevant tranche.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 xml:space="preserve">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8"/>
          <w:szCs w:val="18"/>
          <w:i w:val="1"/>
          <w:iCs w:val="1"/>
          <w:color w:val="auto"/>
        </w:rPr>
        <w:t>TTP399</w:t>
      </w:r>
      <w:r>
        <w:rPr>
          <w:rFonts w:ascii="Arial" w:cs="Arial" w:eastAsia="Arial" w:hAnsi="Arial"/>
          <w:sz w:val="18"/>
          <w:szCs w:val="18"/>
          <w:color w:val="auto"/>
        </w:rPr>
        <w:t>.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$115.0 million for approval of a product. The Company may also be obligated to pay an additional $75.0 million in potential sales-based milestones, as well as royalty payments, at mid-single digit royalty rates, based on tiered sales of commercialized licensed products.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Under the terms of the Huadong License Agreement, vTv LLC is obligated to act as the sponsor of the Phase 2 MRCT should Huadong require it to do so. If conducted, the Phase 2 MRCT will include sites in both US and the Huadong License Territory for the purpose of assessing the safety and efficacy of TTP273 in patients with type 2 diabetes and will be designed to satisfy the requirements of the China Food and Drug Administration necessary in order for Huadong to begin a Phase 3 clinical trial in China. vTv LLC will be responsible for contributing up to $3.0 million in connection with the Phase 2 MRCT. The expectation of when, or if, the Phase 2 MRCT trial will begin remains indeterminate.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7:Leases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leased its former headquarters location under an operating lease that expired in December 2019. In connection with its adoption of ASC Topic 842, the Company recognized a right of use asset and corresponding operating lease liability of $0.3 million related to this lease as of January 1, 2019. The Company elected to use the package of practical expedients in implementing ASC Topic 842 under which the Company did not reassess the operating or finance lease classification of its previously existing leases. Further, the Company did not reassess whether expired or existing contracts include leases.</w:t>
      </w:r>
    </w:p>
    <w:p>
      <w:pPr>
        <w:spacing w:after="0" w:line="80"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In August 2019, the Company leased new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Further, this lease does not include any material residual value guarantee or restrictive covenants.</w:t>
      </w:r>
    </w:p>
    <w:p>
      <w:pPr>
        <w:spacing w:after="0" w:line="4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At each of March 31, 2020 and December 31, 2019, the weighted average incremental borrowing rate for the operating leases held by the Company was 13.1%. At March 31, 2020 and December 31, 2019, the weighted average remaining lease terms for the operating leases held by the Company were 4.8 years and 5.1 years,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Maturities of lease liabilities for the Company’s operating leases as of March 31, 2020 were as follows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2020 (remaining nine months)</w:t>
            </w:r>
          </w:p>
        </w:tc>
        <w:tc>
          <w:tcPr>
            <w:tcW w:w="190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2021</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2023</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1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FF0FC"/>
            </w:tcBorders>
          </w:tcPr>
          <w:p>
            <w:pPr>
              <w:spacing w:after="0"/>
              <w:rPr>
                <w:sz w:val="19"/>
                <w:szCs w:val="19"/>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r>
      <w:tr>
        <w:trPr>
          <w:trHeight w:val="223"/>
        </w:trPr>
        <w:tc>
          <w:tcPr>
            <w:tcW w:w="3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Operating lease cost and the related operating cash flows for the three months ended March 31, 2020 and 2019 were immaterial amounts.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8:Redeemable Noncontrolling Interest</w:t>
      </w:r>
    </w:p>
    <w:p>
      <w:pPr>
        <w:spacing w:after="0" w:line="121"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The Company is subject to the Exchange Agreement with respect to the vTv Units representing the 34.1% noncontrolling interest in vTv LLC outstanding as of March 31, 2020 (see Note 9).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7"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The redeemable noncontrolling interest is recognized at the higher of (1) its initial fair value plus accumulated earnings/losses associated with the noncontrolling interest or (2) the redemption value as of the balance sheet date. At March 31, 2020 and December 31, 2019, the redeemable noncontrolling interest was recorded based on the redemption value as of the balance sheet date of $52.2 million and $40.2 million, respectively.</w:t>
      </w:r>
    </w:p>
    <w:p>
      <w:pPr>
        <w:spacing w:after="0" w:line="5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39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34"/>
        </w:trPr>
        <w:tc>
          <w:tcPr>
            <w:tcW w:w="612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09"/>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1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11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(4,724)</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(5,883)</w:t>
            </w:r>
          </w:p>
        </w:tc>
      </w:tr>
      <w:tr>
        <w:trPr>
          <w:trHeight w:val="215"/>
        </w:trPr>
        <w:tc>
          <w:tcPr>
            <w:tcW w:w="6120" w:type="dxa"/>
            <w:vAlign w:val="bottom"/>
          </w:tcPr>
          <w:p>
            <w:pPr>
              <w:spacing w:after="0"/>
              <w:rPr>
                <w:sz w:val="20"/>
                <w:szCs w:val="20"/>
                <w:color w:val="auto"/>
              </w:rPr>
            </w:pPr>
            <w:r>
              <w:rPr>
                <w:rFonts w:ascii="Arial" w:cs="Arial" w:eastAsia="Arial" w:hAnsi="Arial"/>
                <w:sz w:val="18"/>
                <w:szCs w:val="18"/>
                <w:color w:val="auto"/>
              </w:rPr>
              <w:t>Increase in vTv Therapeutics Inc. accumulated</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ind w:left="140"/>
              <w:spacing w:after="0"/>
              <w:rPr>
                <w:sz w:val="20"/>
                <w:szCs w:val="20"/>
                <w:color w:val="auto"/>
              </w:rPr>
            </w:pPr>
            <w:r>
              <w:rPr>
                <w:rFonts w:ascii="Arial" w:cs="Arial" w:eastAsia="Arial" w:hAnsi="Arial"/>
                <w:sz w:val="18"/>
                <w:szCs w:val="18"/>
                <w:color w:val="auto"/>
              </w:rPr>
              <w:t>deficit for purchase of LLC Units as a result</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20" w:type="dxa"/>
            <w:vAlign w:val="bottom"/>
          </w:tcPr>
          <w:p>
            <w:pPr>
              <w:ind w:left="140"/>
              <w:spacing w:after="0"/>
              <w:rPr>
                <w:sz w:val="20"/>
                <w:szCs w:val="20"/>
                <w:color w:val="auto"/>
              </w:rPr>
            </w:pPr>
            <w:r>
              <w:rPr>
                <w:rFonts w:ascii="Arial" w:cs="Arial" w:eastAsia="Arial" w:hAnsi="Arial"/>
                <w:sz w:val="18"/>
                <w:szCs w:val="18"/>
                <w:color w:val="auto"/>
              </w:rPr>
              <w:t>of common stock issuances</w:t>
            </w:r>
          </w:p>
        </w:tc>
        <w:tc>
          <w:tcPr>
            <w:tcW w:w="1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(2,423)</w:t>
            </w:r>
          </w:p>
        </w:tc>
        <w:tc>
          <w:tcPr>
            <w:tcW w:w="40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(7,429)</w:t>
            </w:r>
          </w:p>
        </w:tc>
      </w:tr>
      <w:tr>
        <w:trPr>
          <w:trHeight w:val="209"/>
        </w:trPr>
        <w:tc>
          <w:tcPr>
            <w:tcW w:w="6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Change from net loss attributable to</w:t>
            </w:r>
          </w:p>
        </w:tc>
        <w:tc>
          <w:tcPr>
            <w:tcW w:w="11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vTv Therapeutics Inc. common shareholders</w:t>
            </w:r>
          </w:p>
        </w:tc>
        <w:tc>
          <w:tcPr>
            <w:tcW w:w="1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transfers to noncontrolling interest</w:t>
            </w:r>
          </w:p>
        </w:tc>
        <w:tc>
          <w:tcPr>
            <w:tcW w:w="11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(7,147)</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(13,312)</w:t>
            </w:r>
          </w:p>
        </w:tc>
      </w:tr>
      <w:tr>
        <w:trPr>
          <w:trHeight w:val="20"/>
        </w:trPr>
        <w:tc>
          <w:tcPr>
            <w:tcW w:w="61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As of March 31, 2020, subsidiaries and affiliates of MacAndrews &amp; Forbes Incorporated (collectively “MacAndrews”) indirectly controlled 23,084,267 shares of the Company’s Class B Common Stock and 34,106,212 shares of the Company’s Class A Common Stock. As a result, MacAndrews’ holdings represent approximately 84.4% of the combined voting power of the Company’s outstanding common stock.</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20" w:firstLine="468"/>
        <w:spacing w:after="0" w:line="257" w:lineRule="auto"/>
        <w:rPr>
          <w:sz w:val="20"/>
          <w:szCs w:val="20"/>
          <w:color w:val="auto"/>
        </w:rPr>
      </w:pPr>
      <w:r>
        <w:rPr>
          <w:rFonts w:ascii="Arial" w:cs="Arial" w:eastAsia="Arial" w:hAnsi="Arial"/>
          <w:sz w:val="18"/>
          <w:szCs w:val="18"/>
          <w:color w:val="auto"/>
        </w:rPr>
        <w:t>The Company has entered into the Letter Agreements with MacAndrews. Under the terms of the Letter Agreements, the Company has the right to sell to MacAndrews shares of its Class A Common Stock at a specified price per share, and MacAndrews has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terms of these Letter Agreements are set forth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December 11, 2018 Letter</w:t>
            </w:r>
          </w:p>
        </w:tc>
        <w:tc>
          <w:tcPr>
            <w:tcW w:w="200" w:type="dxa"/>
            <w:vAlign w:val="bottom"/>
          </w:tcPr>
          <w:p>
            <w:pPr>
              <w:spacing w:after="0"/>
              <w:rPr>
                <w:sz w:val="14"/>
                <w:szCs w:val="14"/>
                <w:color w:val="auto"/>
              </w:rPr>
            </w:pPr>
          </w:p>
        </w:tc>
        <w:tc>
          <w:tcPr>
            <w:tcW w:w="1760" w:type="dxa"/>
            <w:vAlign w:val="bottom"/>
          </w:tcPr>
          <w:p>
            <w:pPr>
              <w:jc w:val="right"/>
              <w:ind w:right="214"/>
              <w:spacing w:after="0"/>
              <w:rPr>
                <w:sz w:val="20"/>
                <w:szCs w:val="20"/>
                <w:color w:val="auto"/>
              </w:rPr>
            </w:pPr>
            <w:r>
              <w:rPr>
                <w:rFonts w:ascii="Arial" w:cs="Arial" w:eastAsia="Arial" w:hAnsi="Arial"/>
                <w:sz w:val="14"/>
                <w:szCs w:val="14"/>
                <w:b w:val="1"/>
                <w:bCs w:val="1"/>
                <w:color w:val="auto"/>
              </w:rPr>
              <w:t>March 18, 2019 Letter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September 26, 2019 Letter</w:t>
            </w:r>
          </w:p>
        </w:tc>
        <w:tc>
          <w:tcPr>
            <w:tcW w:w="140" w:type="dxa"/>
            <w:vAlign w:val="bottom"/>
          </w:tcPr>
          <w:p>
            <w:pPr>
              <w:spacing w:after="0"/>
              <w:rPr>
                <w:sz w:val="14"/>
                <w:szCs w:val="14"/>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December 23, 2019 Letter</w:t>
            </w:r>
          </w:p>
        </w:tc>
      </w:tr>
      <w:tr>
        <w:trPr>
          <w:trHeight w:val="171"/>
        </w:trPr>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Agreement</w:t>
            </w:r>
          </w:p>
        </w:tc>
        <w:tc>
          <w:tcPr>
            <w:tcW w:w="200" w:type="dxa"/>
            <w:vAlign w:val="bottom"/>
          </w:tcPr>
          <w:p>
            <w:pPr>
              <w:spacing w:after="0"/>
              <w:rPr>
                <w:sz w:val="14"/>
                <w:szCs w:val="14"/>
                <w:color w:val="auto"/>
              </w:rPr>
            </w:pPr>
          </w:p>
        </w:tc>
        <w:tc>
          <w:tcPr>
            <w:tcW w:w="1760" w:type="dxa"/>
            <w:vAlign w:val="bottom"/>
          </w:tcPr>
          <w:p>
            <w:pPr>
              <w:jc w:val="right"/>
              <w:ind w:right="554"/>
              <w:spacing w:after="0"/>
              <w:rPr>
                <w:sz w:val="20"/>
                <w:szCs w:val="20"/>
                <w:color w:val="auto"/>
              </w:rPr>
            </w:pPr>
            <w:r>
              <w:rPr>
                <w:rFonts w:ascii="Arial" w:cs="Arial" w:eastAsia="Arial" w:hAnsi="Arial"/>
                <w:sz w:val="14"/>
                <w:szCs w:val="14"/>
                <w:b w:val="1"/>
                <w:bCs w:val="1"/>
                <w:color w:val="auto"/>
              </w:rPr>
              <w:t>Agreement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Agreement</w:t>
            </w: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Agreement</w:t>
            </w:r>
          </w:p>
        </w:tc>
      </w:tr>
      <w:tr>
        <w:trPr>
          <w:trHeight w:val="209"/>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 million</w:t>
            </w:r>
          </w:p>
        </w:tc>
        <w:tc>
          <w:tcPr>
            <w:tcW w:w="2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 million</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 million</w:t>
            </w:r>
          </w:p>
        </w:tc>
        <w:tc>
          <w:tcPr>
            <w:tcW w:w="1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 million</w:t>
            </w: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Specified purchase price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December 11, 2019</w:t>
            </w:r>
          </w:p>
        </w:tc>
        <w:tc>
          <w:tcPr>
            <w:tcW w:w="2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18, 2020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September 26, 2020</w:t>
            </w:r>
          </w:p>
        </w:tc>
        <w:tc>
          <w:tcPr>
            <w:tcW w:w="1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December 23, 2020</w:t>
            </w: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Shares available to be issued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under related warrants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340,534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400,990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365,472</w:t>
            </w:r>
          </w:p>
        </w:tc>
        <w:tc>
          <w:tcPr>
            <w:tcW w:w="6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FF0FC"/>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December 11, 2025</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September 26, 2026</w:t>
            </w:r>
          </w:p>
        </w:tc>
        <w:tc>
          <w:tcPr>
            <w:tcW w:w="140" w:type="dxa"/>
            <w:vAlign w:val="bottom"/>
          </w:tcPr>
          <w:p>
            <w:pPr>
              <w:spacing w:after="0"/>
              <w:rPr>
                <w:sz w:val="20"/>
                <w:szCs w:val="20"/>
                <w:color w:val="auto"/>
              </w:rPr>
            </w:pP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December 23, 2026</w:t>
            </w: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2020</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5,434,783</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5,454,546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6,849,316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3,750,000</w:t>
            </w:r>
          </w:p>
        </w:tc>
        <w:tc>
          <w:tcPr>
            <w:tcW w:w="60" w:type="dxa"/>
            <w:vAlign w:val="bottom"/>
            <w:shd w:val="clear" w:color="auto" w:fill="CFF0FC"/>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w w:val="97"/>
              </w:rPr>
              <w:t>Remaining shares to be issued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as of March 31, 2020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tcPr>
          <w:p>
            <w:pPr>
              <w:spacing w:after="0"/>
              <w:rPr>
                <w:sz w:val="20"/>
                <w:szCs w:val="20"/>
                <w:color w:val="auto"/>
              </w:rPr>
            </w:pPr>
          </w:p>
        </w:tc>
      </w:tr>
    </w:tbl>
    <w:p>
      <w:pPr>
        <w:spacing w:after="0" w:line="20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March 18, 2019 Letter Agreement resulted in a deemed distribution to MacAndrews of $3.7 million. This deemed distribution was the result of the fair value of the financial instruments issued to MacAndrews exceeding the fair value of the financial instrument received by the Company. This deemed distribution has been reflected as an increase to the net loss attributable to common shareholders of vTv Therapeutics Inc. for computing net loss per share.</w:t>
      </w:r>
    </w:p>
    <w:p>
      <w:pPr>
        <w:spacing w:after="0" w:line="7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March 31, 2020, MacAndrews had not exchanged any shares under the provisions of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160" w:firstLine="510"/>
        <w:spacing w:after="0" w:line="277" w:lineRule="auto"/>
        <w:rPr>
          <w:sz w:val="20"/>
          <w:szCs w:val="20"/>
          <w:color w:val="auto"/>
        </w:rPr>
      </w:pPr>
      <w:r>
        <w:rPr>
          <w:rFonts w:ascii="Arial" w:cs="Arial" w:eastAsia="Arial" w:hAnsi="Arial"/>
          <w:sz w:val="18"/>
          <w:szCs w:val="18"/>
          <w:color w:val="auto"/>
        </w:rPr>
        <w:t>As no shares have been exchanged by MacAndrews pursuant to the Exchange Agreement (discussed above), the Company has not recognized any liability nor has it made any payments pursuant to the Tax Receivable Agreement as of March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121"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Company is subject to U.S. federal income taxes as well as state taxes. The Company did not record an income tax provision for the three months ended March 31, 2020 and 2019.</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at March 31, 2020 is due to the valuation allowance against the Company’s expected net operating losses.</w:t>
      </w:r>
    </w:p>
    <w:p>
      <w:pPr>
        <w:spacing w:after="0" w:line="7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 xml:space="preserve">On March 27, 2020, the Coronavirus Aid, Relief and Economic Security Act (“CARES Act”) was enacted in response to the COVID-19 outbreak / pandemic. </w:t>
      </w:r>
      <w:r>
        <w:rPr>
          <w:rFonts w:ascii="Arial" w:cs="Arial" w:eastAsia="Arial" w:hAnsi="Arial"/>
          <w:sz w:val="16"/>
          <w:szCs w:val="16"/>
          <w:color w:val="252525"/>
        </w:rPr>
        <w:t>The CARES Act made various tax law changes including among other things (i) increased the limitation under IRC Section 163(j) for 2019 and</w:t>
      </w:r>
      <w:r>
        <w:rPr>
          <w:rFonts w:ascii="Arial" w:cs="Arial" w:eastAsia="Arial" w:hAnsi="Arial"/>
          <w:sz w:val="16"/>
          <w:szCs w:val="16"/>
          <w:color w:val="auto"/>
        </w:rPr>
        <w:t xml:space="preserve"> </w:t>
      </w:r>
      <w:r>
        <w:rPr>
          <w:rFonts w:ascii="Arial" w:cs="Arial" w:eastAsia="Arial" w:hAnsi="Arial"/>
          <w:sz w:val="16"/>
          <w:szCs w:val="16"/>
          <w:color w:val="252525"/>
        </w:rPr>
        <w:t>2020 to permit additional expensing of interest (ii) enacted a technical correction so that qualified improvement property can be immediately expensed under IRC Section 168(k) and (iii) made modifications to the federal net operating loss rules including permitting federal net operating losses incurred in 2018, 2019, and 2020 to be carried back to each of the five preceding taxable years in order to generate a refund of previously paid income taxes. The Company is currently evaluating the impact of the CARES Act but does not expect it to have a material impact on its financial statements as the Company has historically generated federal net operating losses and maintains a full valuation allowance against its deferred tax assets.</w:t>
      </w:r>
    </w:p>
    <w:p>
      <w:pPr>
        <w:spacing w:after="0" w:line="58" w:lineRule="exact"/>
        <w:rPr>
          <w:sz w:val="20"/>
          <w:szCs w:val="20"/>
          <w:color w:val="auto"/>
        </w:rPr>
      </w:pPr>
    </w:p>
    <w:p>
      <w:pPr>
        <w:jc w:val="both"/>
        <w:ind w:right="60" w:firstLine="510"/>
        <w:spacing w:after="0" w:line="257" w:lineRule="auto"/>
        <w:rPr>
          <w:sz w:val="20"/>
          <w:szCs w:val="20"/>
          <w:color w:val="auto"/>
        </w:rPr>
      </w:pPr>
      <w:r>
        <w:rPr>
          <w:rFonts w:ascii="Arial" w:cs="Arial" w:eastAsia="Arial" w:hAnsi="Arial"/>
          <w:sz w:val="18"/>
          <w:szCs w:val="18"/>
          <w:color w:val="auto"/>
        </w:rPr>
        <w:t>As discussed in Note 9,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March 31, 2020.</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11:Net Loss per Share</w:t>
      </w:r>
    </w:p>
    <w:p>
      <w:pPr>
        <w:spacing w:after="0" w:line="121"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 w:name="page19"/>
    <w:bookmarkEnd w:id="18"/>
    <w:p>
      <w:pPr>
        <w:ind w:right="220" w:firstLine="510"/>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40" w:type="dxa"/>
            <w:vAlign w:val="bottom"/>
            <w:gridSpan w:val="10"/>
          </w:tcPr>
          <w:p>
            <w:pPr>
              <w:jc w:val="right"/>
              <w:ind w:right="380"/>
              <w:spacing w:after="0"/>
              <w:rPr>
                <w:sz w:val="20"/>
                <w:szCs w:val="20"/>
                <w:color w:val="auto"/>
              </w:rPr>
            </w:pPr>
            <w:r>
              <w:rPr>
                <w:rFonts w:ascii="Arial" w:cs="Arial" w:eastAsia="Arial" w:hAnsi="Arial"/>
                <w:sz w:val="18"/>
                <w:szCs w:val="18"/>
                <w:b w:val="1"/>
                <w:bCs w:val="1"/>
                <w:color w:val="auto"/>
                <w:w w:val="94"/>
              </w:rPr>
              <w:t>For the Three Months Ended March 31,</w:t>
            </w:r>
          </w:p>
        </w:tc>
      </w:tr>
      <w:tr>
        <w:trPr>
          <w:trHeight w:val="234"/>
        </w:trPr>
        <w:tc>
          <w:tcPr>
            <w:tcW w:w="580" w:type="dxa"/>
            <w:vAlign w:val="bottom"/>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49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62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260" w:type="dxa"/>
            <w:vAlign w:val="bottom"/>
            <w:gridSpan w:val="3"/>
          </w:tcPr>
          <w:p>
            <w:pPr>
              <w:ind w:left="240"/>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(7,165)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ind w:right="60"/>
              <w:spacing w:after="0"/>
              <w:rPr>
                <w:sz w:val="20"/>
                <w:szCs w:val="20"/>
                <w:color w:val="auto"/>
              </w:rPr>
            </w:pPr>
            <w:r>
              <w:rPr>
                <w:rFonts w:ascii="Arial" w:cs="Arial" w:eastAsia="Arial" w:hAnsi="Arial"/>
                <w:sz w:val="18"/>
                <w:szCs w:val="18"/>
                <w:color w:val="auto"/>
              </w:rPr>
              <w:t>(3,982)</w:t>
            </w:r>
          </w:p>
        </w:tc>
      </w:tr>
      <w:tr>
        <w:trPr>
          <w:trHeight w:val="215"/>
        </w:trPr>
        <w:tc>
          <w:tcPr>
            <w:tcW w:w="580" w:type="dxa"/>
            <w:vAlign w:val="bottom"/>
          </w:tcPr>
          <w:p>
            <w:pPr>
              <w:spacing w:after="0"/>
              <w:rPr>
                <w:sz w:val="18"/>
                <w:szCs w:val="18"/>
                <w:color w:val="auto"/>
              </w:rPr>
            </w:pPr>
          </w:p>
        </w:tc>
        <w:tc>
          <w:tcPr>
            <w:tcW w:w="626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Less: Net loss attributable to noncontrolling</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2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(1,827)</w:t>
            </w:r>
          </w:p>
        </w:tc>
      </w:tr>
      <w:tr>
        <w:trPr>
          <w:trHeight w:val="223"/>
        </w:trPr>
        <w:tc>
          <w:tcPr>
            <w:tcW w:w="580" w:type="dxa"/>
            <w:vAlign w:val="bottom"/>
          </w:tcPr>
          <w:p>
            <w:pPr>
              <w:spacing w:after="0"/>
              <w:rPr>
                <w:sz w:val="19"/>
                <w:szCs w:val="19"/>
                <w:color w:val="auto"/>
              </w:rPr>
            </w:pPr>
          </w:p>
        </w:tc>
        <w:tc>
          <w:tcPr>
            <w:tcW w:w="626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(4,724)</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bottom w:val="single" w:sz="8" w:color="CFF0FC"/>
            </w:tcBorders>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626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Less: Deemed distribution to related</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2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party (Note 9)</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(3,728)</w:t>
            </w:r>
          </w:p>
        </w:tc>
      </w:tr>
      <w:tr>
        <w:trPr>
          <w:trHeight w:val="209"/>
        </w:trPr>
        <w:tc>
          <w:tcPr>
            <w:tcW w:w="58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Arial" w:cs="Arial" w:eastAsia="Arial" w:hAnsi="Arial"/>
                <w:sz w:val="18"/>
                <w:szCs w:val="18"/>
                <w:color w:val="auto"/>
              </w:rPr>
              <w:t>Net loss attributable to common shareholders of</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260" w:type="dxa"/>
            <w:vAlign w:val="bottom"/>
            <w:gridSpan w:val="3"/>
          </w:tcPr>
          <w:p>
            <w:pPr>
              <w:ind w:left="380"/>
              <w:spacing w:after="0"/>
              <w:rPr>
                <w:sz w:val="20"/>
                <w:szCs w:val="20"/>
                <w:color w:val="auto"/>
              </w:rPr>
            </w:pPr>
            <w:r>
              <w:rPr>
                <w:rFonts w:ascii="Arial" w:cs="Arial" w:eastAsia="Arial" w:hAnsi="Arial"/>
                <w:sz w:val="18"/>
                <w:szCs w:val="18"/>
                <w:color w:val="auto"/>
              </w:rPr>
              <w:t>vTv Therapeutics Inc., basic and diluted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(4,724)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4"/>
          </w:tcPr>
          <w:p>
            <w:pPr>
              <w:jc w:val="right"/>
              <w:ind w:right="60"/>
              <w:spacing w:after="0"/>
              <w:rPr>
                <w:sz w:val="20"/>
                <w:szCs w:val="20"/>
                <w:color w:val="auto"/>
              </w:rPr>
            </w:pPr>
            <w:r>
              <w:rPr>
                <w:rFonts w:ascii="Arial" w:cs="Arial" w:eastAsia="Arial" w:hAnsi="Arial"/>
                <w:sz w:val="18"/>
                <w:szCs w:val="18"/>
                <w:color w:val="auto"/>
              </w:rPr>
              <w:t>(5,883)</w:t>
            </w:r>
          </w:p>
        </w:tc>
      </w:tr>
      <w:tr>
        <w:trPr>
          <w:trHeight w:val="223"/>
        </w:trPr>
        <w:tc>
          <w:tcPr>
            <w:tcW w:w="580" w:type="dxa"/>
            <w:vAlign w:val="bottom"/>
          </w:tcPr>
          <w:p>
            <w:pPr>
              <w:spacing w:after="0"/>
              <w:rPr>
                <w:sz w:val="19"/>
                <w:szCs w:val="19"/>
                <w:color w:val="auto"/>
              </w:rPr>
            </w:pPr>
          </w:p>
        </w:tc>
        <w:tc>
          <w:tcPr>
            <w:tcW w:w="62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Arial" w:cs="Arial" w:eastAsia="Arial" w:hAnsi="Arial"/>
                <w:sz w:val="18"/>
                <w:szCs w:val="18"/>
                <w:color w:val="auto"/>
              </w:rPr>
              <w:t>Weighted-average vTv Therapeutics Inc. Class 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260" w:type="dxa"/>
            <w:vAlign w:val="bottom"/>
            <w:tcBorders>
              <w:bottom w:val="single" w:sz="8" w:color="CFF0FC"/>
            </w:tcBorders>
            <w:gridSpan w:val="3"/>
          </w:tcPr>
          <w:p>
            <w:pPr>
              <w:ind w:left="380"/>
              <w:spacing w:after="0"/>
              <w:rPr>
                <w:sz w:val="20"/>
                <w:szCs w:val="20"/>
                <w:color w:val="auto"/>
              </w:rPr>
            </w:pPr>
            <w:r>
              <w:rPr>
                <w:rFonts w:ascii="Arial" w:cs="Arial" w:eastAsia="Arial" w:hAnsi="Arial"/>
                <w:sz w:val="18"/>
                <w:szCs w:val="18"/>
                <w:color w:val="auto"/>
              </w:rPr>
              <w:t>Common Stock, basic and diluted</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43,462,551</w:t>
            </w: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22,862,907</w:t>
            </w:r>
          </w:p>
        </w:tc>
        <w:tc>
          <w:tcPr>
            <w:tcW w:w="120" w:type="dxa"/>
            <w:vAlign w:val="bottom"/>
            <w:tcBorders>
              <w:bottom w:val="single" w:sz="8" w:color="CFF0FC"/>
            </w:tcBorders>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62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Net loss per share of vTv Therapeutics Inc. Class A</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26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(0.26)</w:t>
            </w:r>
          </w:p>
        </w:tc>
      </w:tr>
      <w:tr>
        <w:trPr>
          <w:trHeight w:val="20"/>
        </w:trPr>
        <w:tc>
          <w:tcPr>
            <w:tcW w:w="58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5080" w:type="dxa"/>
            <w:vAlign w:val="bottom"/>
            <w:tcBorders>
              <w:top w:val="single" w:sz="8" w:color="CFF0FC"/>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453"/>
        </w:trPr>
        <w:tc>
          <w:tcPr>
            <w:tcW w:w="8680" w:type="dxa"/>
            <w:vAlign w:val="bottom"/>
            <w:gridSpan w:val="10"/>
          </w:tcPr>
          <w:p>
            <w:pPr>
              <w:jc w:val="right"/>
              <w:ind w:right="720"/>
              <w:spacing w:after="0"/>
              <w:rPr>
                <w:sz w:val="20"/>
                <w:szCs w:val="20"/>
                <w:color w:val="auto"/>
              </w:rPr>
            </w:pPr>
            <w:r>
              <w:rPr>
                <w:rFonts w:ascii="Arial" w:cs="Arial" w:eastAsia="Arial" w:hAnsi="Arial"/>
                <w:sz w:val="18"/>
                <w:szCs w:val="18"/>
                <w:color w:val="auto"/>
                <w:w w:val="97"/>
              </w:rPr>
              <w:t>Potentially dilutive securities not included in the calculation of diluted net loss per share are as follows: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5"/>
          </w:tcPr>
          <w:p>
            <w:pPr>
              <w:spacing w:after="0"/>
              <w:rPr>
                <w:sz w:val="20"/>
                <w:szCs w:val="20"/>
                <w:color w:val="auto"/>
              </w:rPr>
            </w:pPr>
            <w:r>
              <w:rPr>
                <w:rFonts w:ascii="Arial" w:cs="Arial" w:eastAsia="Arial" w:hAnsi="Arial"/>
                <w:sz w:val="18"/>
                <w:szCs w:val="18"/>
                <w:b w:val="1"/>
                <w:bCs w:val="1"/>
                <w:color w:val="auto"/>
              </w:rPr>
              <w:t>March 31, 2020</w:t>
            </w:r>
          </w:p>
        </w:tc>
        <w:tc>
          <w:tcPr>
            <w:tcW w:w="20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w w:val="92"/>
              </w:rPr>
              <w:t>March 31, 2019</w:t>
            </w: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23,094,221</w:t>
            </w: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2,531,143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2,665,860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Common stock options granted under Letter Agreements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2,500,000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6,813,244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2,014,503</w:t>
            </w:r>
          </w:p>
        </w:tc>
        <w:tc>
          <w:tcPr>
            <w:tcW w:w="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1,248,041</w:t>
            </w:r>
          </w:p>
        </w:tc>
        <w:tc>
          <w:tcPr>
            <w:tcW w:w="10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30,139,867</w:t>
            </w:r>
          </w:p>
        </w:tc>
        <w:tc>
          <w:tcPr>
            <w:tcW w:w="2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33,833,033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134" w:lineRule="exact"/>
        <w:rPr>
          <w:sz w:val="20"/>
          <w:szCs w:val="20"/>
          <w:color w:val="auto"/>
        </w:rPr>
      </w:pPr>
    </w:p>
    <w:p>
      <w:pPr>
        <w:ind w:left="880" w:right="120" w:hanging="373"/>
        <w:spacing w:after="0" w:line="286"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12:Restructuring</w:t>
      </w:r>
    </w:p>
    <w:p>
      <w:pPr>
        <w:spacing w:after="0" w:line="121" w:lineRule="exact"/>
        <w:rPr>
          <w:sz w:val="20"/>
          <w:szCs w:val="20"/>
          <w:color w:val="auto"/>
        </w:rPr>
      </w:pPr>
    </w:p>
    <w:p>
      <w:pPr>
        <w:ind w:right="320" w:firstLine="510"/>
        <w:spacing w:after="0" w:line="257" w:lineRule="auto"/>
        <w:rPr>
          <w:sz w:val="20"/>
          <w:szCs w:val="20"/>
          <w:color w:val="auto"/>
        </w:rPr>
      </w:pPr>
      <w:r>
        <w:rPr>
          <w:rFonts w:ascii="Arial" w:cs="Arial" w:eastAsia="Arial" w:hAnsi="Arial"/>
          <w:sz w:val="18"/>
          <w:szCs w:val="18"/>
          <w:color w:val="auto"/>
        </w:rPr>
        <w:t>In December 2018, the Company initiated a corporate restructuring to align with a strategic decision to continue the development of its drug candidates using external resources rather than internal resources. The restructuring allowed the Company to reduce costs while continuing to conduct clinical trials, to support existing partnerships that are advancing development of additional assets, and to pursue new licensing and partnership opportunities. This restructuring included a significant reduction in its workforce. The Company completed these restructuring activities in the second quarter of 2019.</w:t>
      </w:r>
    </w:p>
    <w:p>
      <w:pPr>
        <w:spacing w:after="0" w:line="80"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During the three months ended March 31, 2019, the Company made cash payments of $0.3 million related to these severance benefits and recognized an immaterial amount of expense related to this plan. No such amounts were paid nor was any expense recognized related to restructuring activities during the three months ended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13:Fair Value of Financial Instruments</w:t>
      </w:r>
    </w:p>
    <w:p>
      <w:pPr>
        <w:spacing w:after="0" w:line="12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 of the Company’s Loan Agreement is considered to approximate its carrying value because it bears interest at a variable interest rate.</w:t>
      </w:r>
    </w:p>
    <w:p>
      <w:pPr>
        <w:spacing w:after="0" w:line="14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 measures the value of its investment in Reneo at cost minus impairment, if any, plus or minus changes resulting from observable price changes in orderly transactions for the identical or similar investment. During the three months ended March 31, 2020, there were no observable price changes in identical or similar investments, nor were there any indications of impairment. As such, the value of the Company’s investment in Reneo was not remeasured.</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March 31, 2020 and December 31, 2019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March 31, 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24"/>
                <w:szCs w:val="2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 determined using the Black-Scholes option pricing model. Expected volatility is based on a portfolio of selected stocks of companies believed to have market and economic characteristics similar to its own. The risk-free rate is based on the U.S. Treasury yield curve in effect at the time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1912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20" w:type="dxa"/>
            <w:vAlign w:val="bottom"/>
            <w:gridSpan w:val="15"/>
          </w:tcPr>
          <w:p>
            <w:pPr>
              <w:jc w:val="center"/>
              <w:ind w:right="240"/>
              <w:spacing w:after="0"/>
              <w:rPr>
                <w:sz w:val="20"/>
                <w:szCs w:val="20"/>
                <w:color w:val="auto"/>
              </w:rPr>
            </w:pPr>
            <w:r>
              <w:rPr>
                <w:rFonts w:ascii="Arial" w:cs="Arial" w:eastAsia="Arial" w:hAnsi="Arial"/>
                <w:sz w:val="14"/>
                <w:szCs w:val="14"/>
                <w:b w:val="1"/>
                <w:bCs w:val="1"/>
                <w:color w:val="auto"/>
                <w:w w:val="92"/>
              </w:rPr>
              <w:t>Changes in Level 3 instruments for the three months ended March 31,</w:t>
            </w: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Change 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fair value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Purchases /</w:t>
            </w:r>
          </w:p>
        </w:tc>
        <w:tc>
          <w:tcPr>
            <w:tcW w:w="160" w:type="dxa"/>
            <w:vAlign w:val="bottom"/>
          </w:tcPr>
          <w:p>
            <w:pPr>
              <w:spacing w:after="0"/>
              <w:rPr>
                <w:sz w:val="12"/>
                <w:szCs w:val="12"/>
                <w:color w:val="auto"/>
              </w:rPr>
            </w:pP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Sales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Issuance</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Repurchases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tcBorders>
            <w:shd w:val="clear" w:color="auto" w:fill="CFF0FC"/>
          </w:tcPr>
          <w:p>
            <w:pPr>
              <w:jc w:val="right"/>
              <w:ind w:right="3030"/>
              <w:spacing w:after="0"/>
              <w:rPr>
                <w:sz w:val="20"/>
                <w:szCs w:val="20"/>
                <w:color w:val="auto"/>
              </w:rPr>
            </w:pPr>
            <w:r>
              <w:rPr>
                <w:rFonts w:ascii="Arial" w:cs="Arial" w:eastAsia="Arial" w:hAnsi="Arial"/>
                <w:sz w:val="18"/>
                <w:szCs w:val="18"/>
                <w:b w:val="1"/>
                <w:bCs w:val="1"/>
                <w:color w:val="auto"/>
                <w:w w:val="84"/>
              </w:rPr>
              <w:t>2020</w:t>
            </w:r>
          </w:p>
        </w:tc>
        <w:tc>
          <w:tcPr>
            <w:tcW w:w="1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jc w:val="right"/>
              <w:ind w:right="990"/>
              <w:spacing w:after="0"/>
              <w:rPr>
                <w:sz w:val="20"/>
                <w:szCs w:val="20"/>
                <w:color w:val="auto"/>
              </w:rPr>
            </w:pPr>
            <w:r>
              <w:rPr>
                <w:rFonts w:ascii="Arial" w:cs="Arial" w:eastAsia="Arial" w:hAnsi="Arial"/>
                <w:sz w:val="18"/>
                <w:szCs w:val="18"/>
                <w:color w:val="auto"/>
              </w:rPr>
              <w:t>Warrant liability, related party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jc w:val="right"/>
              <w:ind w:right="3030"/>
              <w:spacing w:after="0"/>
              <w:rPr>
                <w:sz w:val="20"/>
                <w:szCs w:val="20"/>
                <w:color w:val="auto"/>
              </w:rPr>
            </w:pPr>
            <w:r>
              <w:rPr>
                <w:rFonts w:ascii="Arial" w:cs="Arial" w:eastAsia="Arial" w:hAnsi="Arial"/>
                <w:sz w:val="18"/>
                <w:szCs w:val="18"/>
                <w:b w:val="1"/>
                <w:bCs w:val="1"/>
                <w:color w:val="auto"/>
                <w:w w:val="84"/>
              </w:rPr>
              <w:t>2019</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jc w:val="right"/>
              <w:ind w:right="990"/>
              <w:spacing w:after="0"/>
              <w:rPr>
                <w:sz w:val="20"/>
                <w:szCs w:val="20"/>
                <w:color w:val="auto"/>
              </w:rPr>
            </w:pPr>
            <w:r>
              <w:rPr>
                <w:rFonts w:ascii="Arial" w:cs="Arial" w:eastAsia="Arial" w:hAnsi="Arial"/>
                <w:sz w:val="18"/>
                <w:szCs w:val="18"/>
                <w:color w:val="auto"/>
              </w:rPr>
              <w:t>Warrant liability, related party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(921)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During the three months ended March 31, 2020 and 2019, the Company recognized a loss of $0.4 million and a gain of $0.9 million, respectively related to the change in fair value of the Letter Agreement Warrants. These amounts were recognized as a component of other (expense) income – related party in the Condensed Consolidated Statements of Operations. Significant inputs utilized in the valuation of the Letter Agreement Warrants as of March 31, 2020 and [December 31, 2019] were:</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80" w:type="dxa"/>
            <w:vAlign w:val="bottom"/>
            <w:vMerge w:val="restart"/>
          </w:tcPr>
          <w:p>
            <w:pPr>
              <w:spacing w:after="0"/>
              <w:rPr>
                <w:sz w:val="20"/>
                <w:szCs w:val="20"/>
                <w:color w:val="auto"/>
              </w:rPr>
            </w:pPr>
            <w:r>
              <w:rPr>
                <w:rFonts w:ascii="Arial" w:cs="Arial" w:eastAsia="Arial" w:hAnsi="Arial"/>
                <w:sz w:val="18"/>
                <w:szCs w:val="18"/>
                <w:color w:val="auto"/>
              </w:rPr>
              <w:t>Expected volatility</w:t>
            </w:r>
          </w:p>
        </w:tc>
        <w:tc>
          <w:tcPr>
            <w:tcW w:w="2040" w:type="dxa"/>
            <w:vAlign w:val="bottom"/>
            <w:gridSpan w:val="3"/>
          </w:tcPr>
          <w:p>
            <w:pPr>
              <w:ind w:left="500"/>
              <w:spacing w:after="0"/>
              <w:rPr>
                <w:sz w:val="20"/>
                <w:szCs w:val="20"/>
                <w:color w:val="auto"/>
              </w:rPr>
            </w:pPr>
            <w:r>
              <w:rPr>
                <w:rFonts w:ascii="Arial" w:cs="Arial" w:eastAsia="Arial" w:hAnsi="Arial"/>
                <w:sz w:val="14"/>
                <w:szCs w:val="14"/>
                <w:b w:val="1"/>
                <w:bCs w:val="1"/>
                <w:color w:val="auto"/>
              </w:rPr>
              <w:t>March 31, 2020</w:t>
            </w:r>
          </w:p>
        </w:tc>
        <w:tc>
          <w:tcPr>
            <w:tcW w:w="188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115.04%</w:t>
            </w: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- 130.17%</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- 123.83%</w:t>
            </w: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- 0.53%</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Increases (decreases) in the estimates of the Company’s annual volatility would increase (decrease) the liability and an increase (decrease) in the annual risk-free rate would increase (decrease) the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14:Subsequent Events</w:t>
      </w:r>
    </w:p>
    <w:p>
      <w:pPr>
        <w:spacing w:after="0" w:line="121"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On April 1, 2020, the Company entered into the April Amendment of the Loan Agreement. The April Amendment provides for a three-month extension in the maturity date of both of the first and second tranches to August 1, 2020 and January 1, 2021, respectively. Further, the Second Amendment requires only monthly interest payments on the outstanding principal balance for the</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665" w:right="459" w:bottom="1440" w:gutter="0" w:footer="0" w:header="0"/>
        </w:sectPr>
      </w:pPr>
    </w:p>
    <w:bookmarkStart w:id="20" w:name="page21"/>
    <w:bookmarkEnd w:id="20"/>
    <w:p>
      <w:pPr>
        <w:ind w:right="60"/>
        <w:spacing w:after="0" w:line="277" w:lineRule="auto"/>
        <w:rPr>
          <w:sz w:val="20"/>
          <w:szCs w:val="20"/>
          <w:color w:val="auto"/>
        </w:rPr>
      </w:pPr>
      <w:r>
        <w:rPr>
          <w:rFonts w:ascii="Arial" w:cs="Arial" w:eastAsia="Arial" w:hAnsi="Arial"/>
          <w:sz w:val="18"/>
          <w:szCs w:val="18"/>
          <w:color w:val="auto"/>
        </w:rPr>
        <w:t>amounts due on April 1, 2020, May 1, 2020 and June 1, 2020. Beginning with the amounts due on July 1, 2020, the Company will resume payment of the principal portion of these loans in accordance with the original amounts due.</w:t>
      </w:r>
    </w:p>
    <w:p>
      <w:pPr>
        <w:spacing w:after="0" w:line="62"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The April Amendment also temporarily eliminates the requirement for the Company to maintain a minimum cash balance for the period beginning April 1, 2020 and ending June 30, 2020. Beginning July 1, 2020, until the repayment of the full amounts due under the Loan Agreement, the Company must maintain a minimum cash balance equal to the lesser of (i) $1.0 million or (ii) the then-current aggregate outstanding principal balance of the loans.</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consideration for these amendments, the final payment for the second tranche, due upon maturity, has been increased by approximately $0.2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April 24, 2020, the Company entered into a Controlled Equity Offering</w:t>
      </w:r>
      <w:r>
        <w:rPr>
          <w:rFonts w:ascii="Arial" w:cs="Arial" w:eastAsia="Arial" w:hAnsi="Arial"/>
          <w:sz w:val="13"/>
          <w:szCs w:val="13"/>
          <w:color w:val="auto"/>
        </w:rPr>
        <w:t>SM</w:t>
      </w:r>
      <w:r>
        <w:rPr>
          <w:rFonts w:ascii="Arial" w:cs="Arial" w:eastAsia="Arial" w:hAnsi="Arial"/>
          <w:sz w:val="16"/>
          <w:szCs w:val="16"/>
          <w:color w:val="auto"/>
        </w:rPr>
        <w:t xml:space="preserve"> Sales Agreement (the “Sales Agreement”) with Cantor Fitzgerald</w:t>
      </w:r>
    </w:p>
    <w:p>
      <w:pPr>
        <w:spacing w:after="0" w:line="46" w:lineRule="exact"/>
        <w:rPr>
          <w:sz w:val="20"/>
          <w:szCs w:val="20"/>
          <w:color w:val="auto"/>
        </w:rPr>
      </w:pPr>
    </w:p>
    <w:p>
      <w:pPr>
        <w:ind w:right="40" w:firstLine="8"/>
        <w:spacing w:after="0" w:line="295" w:lineRule="auto"/>
        <w:tabs>
          <w:tab w:leader="none" w:pos="185" w:val="left"/>
        </w:tabs>
        <w:numPr>
          <w:ilvl w:val="0"/>
          <w:numId w:val="7"/>
        </w:numPr>
        <w:rPr>
          <w:rFonts w:ascii="Arial" w:cs="Arial" w:eastAsia="Arial" w:hAnsi="Arial"/>
          <w:sz w:val="16"/>
          <w:szCs w:val="16"/>
          <w:color w:val="auto"/>
        </w:rPr>
      </w:pPr>
      <w:r>
        <w:rPr>
          <w:rFonts w:ascii="Arial" w:cs="Arial" w:eastAsia="Arial" w:hAnsi="Arial"/>
          <w:sz w:val="16"/>
          <w:szCs w:val="16"/>
          <w:color w:val="auto"/>
        </w:rPr>
        <w:t>Co. (“Cantor Fitzgerald”) pursuant to which the Company may offer and sell, from time to time, through or to Cantor Fitzgerald, as sales agent or principal, shares of the Company’s Class A common stock, par value $0.01 per share, having an aggregate offering price of up to $13.0 million (the “ATM Offering”). The Company is not obligated to sell any shares under the Sales Agreement. Under the terms of the Sales Agreement, the Company will pay Cantor Fitzgerald a commission of up to 3% of the aggregate proceeds from the sale of shares and reimburse certain legal fees or other disbursements.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1" w:name="page22"/>
    <w:bookmarkEnd w:id="21"/>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are a clinical-stage pharmaceutical company focused on treating metabolic diseases to minimize their long-term complications through end-organ protection. We have an innovative pipeline of first-in-class small molecule clinical and pre-clinical drug candidates for the treatment of a wide range of metabolic diseases and their long-term complications. Our pipeline is led by our programs for the treatment of type 1 diabetes (</w:t>
      </w:r>
      <w:r>
        <w:rPr>
          <w:rFonts w:ascii="Arial" w:cs="Arial" w:eastAsia="Arial" w:hAnsi="Arial"/>
          <w:sz w:val="18"/>
          <w:szCs w:val="18"/>
          <w:i w:val="1"/>
          <w:iCs w:val="1"/>
          <w:color w:val="auto"/>
        </w:rPr>
        <w:t>TTP399</w:t>
      </w:r>
      <w:r>
        <w:rPr>
          <w:rFonts w:ascii="Arial" w:cs="Arial" w:eastAsia="Arial" w:hAnsi="Arial"/>
          <w:sz w:val="18"/>
          <w:szCs w:val="18"/>
          <w:color w:val="auto"/>
        </w:rPr>
        <w:t>) and for Alzheimer’s disease (“AD”)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We have recently completed the Simplici-T1 Study, an adaptive Phase 1b/2 study supported by JDRF International (“JDRF”), to explore the effects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type 1 diabetes. In February 2020, we reported positive results from the Phase 2 - Part 2 confirming phase of this study which achieved its primary objective by demonstrating statistically significant improvements in HbA1c (long-term blood sugar) for TTP399 compared to placebo.</w:t>
      </w:r>
    </w:p>
    <w:p>
      <w:pPr>
        <w:spacing w:after="0" w:line="87" w:lineRule="exact"/>
        <w:rPr>
          <w:sz w:val="20"/>
          <w:szCs w:val="20"/>
          <w:color w:val="auto"/>
        </w:rPr>
      </w:pPr>
    </w:p>
    <w:p>
      <w:pPr>
        <w:ind w:right="120" w:firstLine="510"/>
        <w:spacing w:after="0" w:line="285" w:lineRule="auto"/>
        <w:rPr>
          <w:sz w:val="20"/>
          <w:szCs w:val="20"/>
          <w:color w:val="auto"/>
        </w:rPr>
      </w:pPr>
      <w:r>
        <w:rPr>
          <w:rFonts w:ascii="Arial" w:cs="Arial" w:eastAsia="Arial" w:hAnsi="Arial"/>
          <w:sz w:val="16"/>
          <w:szCs w:val="16"/>
          <w:color w:val="auto"/>
        </w:rPr>
        <w:t xml:space="preserve">Our second clinical drug candidate in Phase 2 development is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w:t>
      </w:r>
      <w:r>
        <w:rPr>
          <w:rFonts w:ascii="Arial" w:cs="Arial" w:eastAsia="Arial" w:hAnsi="Arial"/>
          <w:sz w:val="16"/>
          <w:szCs w:val="16"/>
          <w:i w:val="1"/>
          <w:iCs w:val="1"/>
          <w:color w:val="auto"/>
        </w:rPr>
        <w:t>TTP488</w:t>
      </w:r>
      <w:r>
        <w:rPr>
          <w:rFonts w:ascii="Arial" w:cs="Arial" w:eastAsia="Arial" w:hAnsi="Arial"/>
          <w:sz w:val="16"/>
          <w:szCs w:val="16"/>
          <w:color w:val="auto"/>
        </w:rPr>
        <w:t xml:space="preserve">), an orally administered, small molecule antagonist targeting the receptor for advanced glycation endproducts (“RAGE”). We are currently enrolling patients in a Phase 2 study to evaluate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as a potential treatment of mild-AD in patients with type 2 diabetes (the “Elevage Study”). However, the ongoing effects of the Coronavirus (“COVID-19”) pandemic/outbreak may impact the conduct and timing of the Elevage Study as some of the clinical trial sites at which the Elevage Study is taking place have reduced, delayed or suspended activities as precautionary measures, as more further described in the “Impact of COVID-19” section</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below. Nonetheless, we expect to report some topline results from the Phase 2 portion of the Elevage Study in the first half of 2021 and are considering various strategies to maintain this timeline despite the effects of COVID-19.</w:t>
      </w:r>
    </w:p>
    <w:p>
      <w:pPr>
        <w:spacing w:after="0" w:line="77"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 xml:space="preserve">We are also planning an adaptive Phase 1b/2 clinical trial assessing the pharmacokinetics, pharmacodynamics, safety and tolerability of </w:t>
      </w:r>
      <w:r>
        <w:rPr>
          <w:rFonts w:ascii="Arial" w:cs="Arial" w:eastAsia="Arial" w:hAnsi="Arial"/>
          <w:sz w:val="16"/>
          <w:szCs w:val="16"/>
          <w:i w:val="1"/>
          <w:iCs w:val="1"/>
          <w:color w:val="auto"/>
        </w:rPr>
        <w:t>TTP273</w:t>
      </w:r>
      <w:r>
        <w:rPr>
          <w:rFonts w:ascii="Arial" w:cs="Arial" w:eastAsia="Arial" w:hAnsi="Arial"/>
          <w:sz w:val="16"/>
          <w:szCs w:val="16"/>
          <w:color w:val="auto"/>
        </w:rPr>
        <w:t>, an orally administered non-peptidic agonist that targets the glucagon-like peptide 1 receptor (“GLP-1r”), in patients with cystic fibrosis related</w:t>
      </w:r>
    </w:p>
    <w:p>
      <w:pPr>
        <w:ind w:right="540"/>
        <w:spacing w:after="0" w:line="260" w:lineRule="auto"/>
        <w:rPr>
          <w:sz w:val="20"/>
          <w:szCs w:val="20"/>
          <w:color w:val="auto"/>
        </w:rPr>
      </w:pPr>
      <w:r>
        <w:rPr>
          <w:rFonts w:ascii="Arial" w:cs="Arial" w:eastAsia="Arial" w:hAnsi="Arial"/>
          <w:sz w:val="18"/>
          <w:szCs w:val="18"/>
          <w:color w:val="auto"/>
        </w:rPr>
        <w:t>diabetes. Finally, we are advancing the non-clinical development of our Nrf2/Bach1 modulators (</w:t>
      </w:r>
      <w:r>
        <w:rPr>
          <w:rFonts w:ascii="Arial" w:cs="Arial" w:eastAsia="Arial" w:hAnsi="Arial"/>
          <w:sz w:val="18"/>
          <w:szCs w:val="18"/>
          <w:i w:val="1"/>
          <w:iCs w:val="1"/>
          <w:color w:val="auto"/>
        </w:rPr>
        <w:t>HPP971</w:t>
      </w:r>
      <w:r>
        <w:rPr>
          <w:rFonts w:ascii="Arial" w:cs="Arial" w:eastAsia="Arial" w:hAnsi="Arial"/>
          <w:sz w:val="18"/>
          <w:szCs w:val="18"/>
          <w:color w:val="auto"/>
        </w:rPr>
        <w:t xml:space="preserve"> and </w:t>
      </w:r>
      <w:r>
        <w:rPr>
          <w:rFonts w:ascii="Arial" w:cs="Arial" w:eastAsia="Arial" w:hAnsi="Arial"/>
          <w:sz w:val="18"/>
          <w:szCs w:val="18"/>
          <w:i w:val="1"/>
          <w:iCs w:val="1"/>
          <w:color w:val="auto"/>
        </w:rPr>
        <w:t>HPP3033</w:t>
      </w:r>
      <w:r>
        <w:rPr>
          <w:rFonts w:ascii="Arial" w:cs="Arial" w:eastAsia="Arial" w:hAnsi="Arial"/>
          <w:sz w:val="18"/>
          <w:szCs w:val="18"/>
          <w:color w:val="auto"/>
        </w:rPr>
        <w:t>) as a potential treatment of NASH.</w:t>
      </w:r>
    </w:p>
    <w:p>
      <w:pPr>
        <w:spacing w:after="0" w:line="77" w:lineRule="exact"/>
        <w:rPr>
          <w:sz w:val="20"/>
          <w:szCs w:val="20"/>
          <w:color w:val="auto"/>
        </w:rPr>
      </w:pPr>
    </w:p>
    <w:p>
      <w:pPr>
        <w:ind w:right="380" w:firstLine="510"/>
        <w:spacing w:after="0" w:line="308" w:lineRule="auto"/>
        <w:rPr>
          <w:sz w:val="20"/>
          <w:szCs w:val="20"/>
          <w:color w:val="auto"/>
        </w:rPr>
      </w:pPr>
      <w:r>
        <w:rPr>
          <w:rFonts w:ascii="Arial" w:cs="Arial" w:eastAsia="Arial" w:hAnsi="Arial"/>
          <w:sz w:val="17"/>
          <w:szCs w:val="17"/>
          <w:color w:val="auto"/>
        </w:rPr>
        <w:t>In addition to our internal development programs, we are furthering the clinical development of three other programs, a small molecule GLP-1r agonist, a PDE4 inhibitor, and a PPAR-delta agonist, through partnerships with pharmaceutical partners via licensing arrangements.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have been actively monitoring the COVID-19 situation and its impact on our business, employees, patients, partners, suppliers and vendors. Our financial results for the three months ended March 31, 2020 were not significantly impacted by COVID-19. While we are continuing the on-going Elevage Study that is underway at sites in the United States and Canada, we expect that COVID-19 precautions may directly and indirectly impact the timeline for this clinical trial, as it has for many other clinical trials. In particular, the reduced, delayed or suspended activities of the clinical trial sites participating in the Elevage Study as precautionary measures in response to COVID-19 may delay screening and enrollment of potential subjects into the study which in turn would have an impact on the timing of completion and announcement of study results. In response, we have worked closely with our IRB and clinical trial sites to implement appropriate responses in light of the remote working arrangements and travel restrictions imposed by various governments. Separately, vTv has made adjustments that allow us to maintain our business operations during the quarter despite current circumstances. Given the scope of the pandemic, we cannot predict the impact of the progression of the COVID-19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right="100"/>
        <w:spacing w:after="0" w:line="259" w:lineRule="auto"/>
        <w:rPr>
          <w:sz w:val="20"/>
          <w:szCs w:val="20"/>
          <w:color w:val="auto"/>
        </w:rPr>
      </w:pPr>
      <w:r>
        <w:rPr>
          <w:rFonts w:ascii="Arial" w:cs="Arial" w:eastAsia="Arial" w:hAnsi="Arial"/>
          <w:sz w:val="18"/>
          <w:szCs w:val="18"/>
          <w:color w:val="auto"/>
        </w:rPr>
        <w:t>outbreak on future clinical trial and financial results due to a variety of factors, including the continued good health of our employees, the ability of our third party suppliers, vendors, manufacturers and partners to continue to operate and provide services, the ability of our clinical trial sites to continue or resume operations, any further government and/or public actions taken in response to the pandemic and the ultimate duration of the COVID-19 outbreak/pandemic.</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83185</wp:posOffset>
            </wp:positionV>
            <wp:extent cx="6035040" cy="33864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5040" cy="338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Chronic obstructive pulmonary disease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Type 1 Diabetes Program –TTP399</w:t>
      </w:r>
    </w:p>
    <w:p>
      <w:pPr>
        <w:spacing w:after="0" w:line="121" w:lineRule="exact"/>
        <w:rPr>
          <w:sz w:val="20"/>
          <w:szCs w:val="20"/>
          <w:color w:val="auto"/>
        </w:rPr>
      </w:pPr>
    </w:p>
    <w:p>
      <w:pPr>
        <w:jc w:val="both"/>
        <w:ind w:right="240" w:firstLine="510"/>
        <w:spacing w:after="0" w:line="286" w:lineRule="auto"/>
        <w:rPr>
          <w:sz w:val="20"/>
          <w:szCs w:val="20"/>
          <w:color w:val="auto"/>
        </w:rPr>
      </w:pPr>
      <w:r>
        <w:rPr>
          <w:rFonts w:ascii="Arial" w:cs="Arial" w:eastAsia="Arial" w:hAnsi="Arial"/>
          <w:sz w:val="17"/>
          <w:szCs w:val="17"/>
          <w:color w:val="auto"/>
        </w:rPr>
        <w:t xml:space="preserve">In light of the positive results of our Simplici-T1 Study, an adaptive Phase 2 clinical trial of TTP399 in adult patients with type 1 diabetes, we requested a Type C meeting with the FDA to discuss the trial design and other requirements for the next stage of development for </w:t>
      </w:r>
      <w:r>
        <w:rPr>
          <w:rFonts w:ascii="Arial" w:cs="Arial" w:eastAsia="Arial" w:hAnsi="Arial"/>
          <w:sz w:val="17"/>
          <w:szCs w:val="17"/>
          <w:i w:val="1"/>
          <w:iCs w:val="1"/>
          <w:color w:val="auto"/>
        </w:rPr>
        <w:t>TTP399</w:t>
      </w:r>
      <w:r>
        <w:rPr>
          <w:rFonts w:ascii="Arial" w:cs="Arial" w:eastAsia="Arial" w:hAnsi="Arial"/>
          <w:sz w:val="17"/>
          <w:szCs w:val="17"/>
          <w:color w:val="auto"/>
        </w:rPr>
        <w:t>. The FDA accepted the Company’s request for a meeting, which will be conducted in the form of written responses.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320" w:top="449" w:right="559" w:bottom="1440" w:gutter="0" w:footer="0" w:header="0"/>
        </w:sectPr>
      </w:pPr>
    </w:p>
    <w:bookmarkStart w:id="23" w:name="page24"/>
    <w:bookmarkEnd w:id="23"/>
    <w:p>
      <w:pPr>
        <w:ind w:firstLine="510"/>
        <w:spacing w:after="0" w:line="296"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5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From our inception, including our predecessor companies, through March 31, 2020, we have incurred approximately $584.2 million in research and development expenses.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research and development expenses by project for the three months ended March 31, 2020 and 2019 were as follows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350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8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8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240" w:type="dxa"/>
            <w:vAlign w:val="bottom"/>
          </w:tcPr>
          <w:p>
            <w:pPr>
              <w:jc w:val="right"/>
              <w:ind w:right="105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2,401</w:t>
            </w:r>
          </w:p>
        </w:tc>
        <w:tc>
          <w:tcPr>
            <w:tcW w:w="380" w:type="dxa"/>
            <w:vAlign w:val="bottom"/>
          </w:tcPr>
          <w:p>
            <w:pPr>
              <w:spacing w:after="0"/>
              <w:rPr>
                <w:sz w:val="19"/>
                <w:szCs w:val="19"/>
                <w:color w:val="auto"/>
              </w:rPr>
            </w:pPr>
          </w:p>
        </w:tc>
        <w:tc>
          <w:tcPr>
            <w:tcW w:w="1260" w:type="dxa"/>
            <w:vAlign w:val="bottom"/>
          </w:tcPr>
          <w:p>
            <w:pPr>
              <w:jc w:val="right"/>
              <w:ind w:right="10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19"/>
                <w:szCs w:val="19"/>
                <w:color w:val="auto"/>
              </w:rPr>
            </w:pPr>
          </w:p>
        </w:tc>
      </w:tr>
      <w:tr>
        <w:trPr>
          <w:trHeight w:val="229"/>
        </w:trPr>
        <w:tc>
          <w:tcPr>
            <w:tcW w:w="5880" w:type="dxa"/>
            <w:vAlign w:val="bottom"/>
          </w:tcPr>
          <w:p>
            <w:pPr>
              <w:ind w:left="120"/>
              <w:spacing w:after="0"/>
              <w:rPr>
                <w:sz w:val="20"/>
                <w:szCs w:val="20"/>
                <w:color w:val="auto"/>
              </w:rPr>
            </w:pPr>
            <w:r>
              <w:rPr>
                <w:rFonts w:ascii="Arial" w:cs="Arial" w:eastAsia="Arial" w:hAnsi="Arial"/>
                <w:sz w:val="18"/>
                <w:szCs w:val="18"/>
                <w:color w:val="auto"/>
              </w:rPr>
              <w:t>Other projects</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Indirect research and development expense</w:t>
            </w:r>
          </w:p>
        </w:tc>
        <w:tc>
          <w:tcPr>
            <w:tcW w:w="1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38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380" w:type="dxa"/>
            <w:vAlign w:val="bottom"/>
          </w:tcPr>
          <w:p>
            <w:pPr>
              <w:spacing w:after="0"/>
              <w:rPr>
                <w:sz w:val="19"/>
                <w:szCs w:val="19"/>
                <w:color w:val="auto"/>
              </w:rPr>
            </w:pPr>
          </w:p>
        </w:tc>
        <w:tc>
          <w:tcPr>
            <w:tcW w:w="1260" w:type="dxa"/>
            <w:vAlign w:val="bottom"/>
            <w:tcBorders>
              <w:bottom w:val="single" w:sz="8" w:color="auto"/>
            </w:tcBorders>
          </w:tcPr>
          <w:p>
            <w:pPr>
              <w:jc w:val="right"/>
              <w:ind w:right="10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12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 xml:space="preserve">We plan to continue to incur significant research and development expenses for the foreseeable future as we continue the development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and further advance the development of our other drug candidates, subject to the availability of additional funding.</w:t>
      </w:r>
    </w:p>
    <w:p>
      <w:pPr>
        <w:spacing w:after="0" w:line="38" w:lineRule="exact"/>
        <w:rPr>
          <w:sz w:val="20"/>
          <w:szCs w:val="20"/>
          <w:color w:val="auto"/>
        </w:rPr>
      </w:pPr>
    </w:p>
    <w:p>
      <w:pPr>
        <w:ind w:right="440" w:firstLine="510"/>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1000" w:right="42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receipt of regulatory approvals, if any;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filing, prosecuting, defending and enforcing of patent claims and other intellectual property rights, and the expense of doing so.</w:t>
      </w:r>
    </w:p>
    <w:p>
      <w:pPr>
        <w:spacing w:after="0" w:line="129"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ind w:right="140"/>
        <w:spacing w:after="0" w:line="277" w:lineRule="auto"/>
        <w:rPr>
          <w:sz w:val="20"/>
          <w:szCs w:val="20"/>
          <w:color w:val="auto"/>
        </w:rPr>
      </w:pPr>
      <w:r>
        <w:rPr>
          <w:rFonts w:ascii="Arial" w:cs="Arial" w:eastAsia="Arial" w:hAnsi="Arial"/>
          <w:sz w:val="18"/>
          <w:szCs w:val="18"/>
          <w:color w:val="auto"/>
        </w:rPr>
        <w:t>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00" w:firstLine="510"/>
        <w:spacing w:after="0" w:line="291" w:lineRule="auto"/>
        <w:rPr>
          <w:sz w:val="20"/>
          <w:szCs w:val="20"/>
          <w:color w:val="auto"/>
        </w:rPr>
      </w:pPr>
      <w:r>
        <w:rPr>
          <w:rFonts w:ascii="Arial" w:cs="Arial" w:eastAsia="Arial" w:hAnsi="Arial"/>
          <w:sz w:val="16"/>
          <w:szCs w:val="16"/>
          <w:color w:val="auto"/>
        </w:rPr>
        <w:t>Interest expense primarily consists of cash and non-cash interest expense related to our Loan Agreement. Cash interest on the Loan Agreement is recognized at a floating interest rate equal to 10.5% plus the amount by which the one-month London Interbank Offer Rate (“LIBOR”) exceeds</w:t>
      </w:r>
    </w:p>
    <w:p>
      <w:pPr>
        <w:ind w:right="180"/>
        <w:spacing w:after="0" w:line="253" w:lineRule="auto"/>
        <w:rPr>
          <w:sz w:val="20"/>
          <w:szCs w:val="20"/>
          <w:color w:val="auto"/>
        </w:rPr>
      </w:pPr>
      <w:r>
        <w:rPr>
          <w:rFonts w:ascii="Arial" w:cs="Arial" w:eastAsia="Arial" w:hAnsi="Arial"/>
          <w:sz w:val="18"/>
          <w:szCs w:val="18"/>
          <w:color w:val="auto"/>
        </w:rPr>
        <w:t>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payments (which will be paid in cash upon loan maturity), all of which are recognized in our Condensed Consolidated Statement of Operations using the effective interest method.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8"/>
          </w:tcPr>
          <w:p>
            <w:pPr>
              <w:jc w:val="right"/>
              <w:ind w:right="29"/>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54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General and administrative</w:t>
            </w:r>
          </w:p>
        </w:tc>
        <w:tc>
          <w:tcPr>
            <w:tcW w:w="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w:t>
            </w:r>
          </w:p>
        </w:tc>
        <w:tc>
          <w:tcPr>
            <w:tcW w:w="80" w:type="dxa"/>
            <w:vAlign w:val="bottom"/>
            <w:shd w:val="clear" w:color="auto" w:fill="CFF0FC"/>
          </w:tcPr>
          <w:p>
            <w:pPr>
              <w:spacing w:after="0"/>
              <w:rPr>
                <w:sz w:val="19"/>
                <w:szCs w:val="19"/>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(2,359)</w:t>
            </w:r>
          </w:p>
        </w:tc>
        <w:tc>
          <w:tcPr>
            <w:tcW w:w="80" w:type="dxa"/>
            <w:vAlign w:val="bottom"/>
          </w:tcPr>
          <w:p>
            <w:pPr>
              <w:spacing w:after="0"/>
              <w:rPr>
                <w:sz w:val="19"/>
                <w:szCs w:val="19"/>
                <w:color w:val="auto"/>
              </w:rPr>
            </w:pPr>
          </w:p>
        </w:tc>
      </w:tr>
      <w:tr>
        <w:trPr>
          <w:trHeight w:val="229"/>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income, net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(1,284)</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(3,183)</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(3,183)</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(2,441)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(1,827)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(614)</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8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Revenue was insignificant for the three months ended March 31, 2020 and $0.9 million for the three months ended March 31, 2019. During each of these periods, our revenue was related to the recognition of amounts realized from license performance obligations. For the three months ended March 31, 2019, the revenue recognized related to the amortization of amounts deferred at the initiation of our license agreement with Reneo Pharmaceuticals, Inc which were related to the transfer of technology performance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 xml:space="preserve">Research and development expenses were $4.2 million and $2.8 million for the three months ended March 31, 2020 and 2019, respectively. The increase in research and development expenses during the period of $1.4 million, or 49.0%, was primarily due to an increase in clinical trial costs of $1.7 million for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which was mainly driven by the increased cost for the Elevage study as we have continued to enroll patients in this study since its initiation in the second quarter of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General and administrative expenses were consistent between the three-month periods at $2.5 million and $2.4 million for the three months ended March 31, 2020 and 2019, respectively.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Interest expense was $0.2 million and $0.6 million for the three months ended March 31, 2020 and 2019, respectively. The decrease in interest expense was driven by lower principal balances outstanding in the 2020 period based on the scheduled monthly principal payments under the Loan Agreement. Interest expense relates to the cash and non-cash interest for our Loan Agreement which bears interest at 10.5% plus the amount by which the one-month LIBOR exceeds 0.5%.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Going Concern</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6"/>
          <w:szCs w:val="16"/>
          <w:color w:val="auto"/>
        </w:rPr>
        <w:t>As of March 31, 2020, we have an accumulated deficit of $252.7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As of March 31, 2020, our liquidity sources included cash and cash equivalents of $0.4 million and $4.0 million of remaining funds available under the letter agreement entered into with MacAndrews and Forbes Group LLC (“MacAndrews”) in December 2019. Note however, that we entered into a Second Amendment to the Loan Agreement on April 1, 2020 which temporarily eliminated the minimum cash balance requirement until July 1, 2020 thereby enabling the use of an additional $2.5 million of funds in the short-term. See the “Debt Transaction” section below for further details of the effect of this amendment. Further, on April 24, 2020, we entered into a Controlled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(the “Sales Agreement”) with Cantor Fitzgerald &amp; Co. (“Cantor Fitzgerald”) pursuant to which the Company may offer and sell, from time to time shares of the Company’s Class A Common Stock having an aggregate value of up to $13.0 million (the “ATM Offering”). See the “ATM Offering” section below for further details. Based on our current operating plan, we believe that our current cash and cash equivalents, remaining funds available under the Letter Agreements, and availability under the ATM Offering, if utilized, will allow us to meet our liquidity requirements into September 2020. Consequentially, there is substantial doubt about our ability to continue as a going concern. 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w:t>
      </w:r>
    </w:p>
    <w:p>
      <w:pPr>
        <w:spacing w:after="0" w:line="6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 xml:space="preserve">We are currently enrolling patients in the Elevage Study and are planning additional trial(s)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type 1 diabetes. In order to complete these trials and continue the Company’s operations, we will require additional financing. We are evaluating several financing strategies to provide continued funding which may include additional direct equity investments or future public offerings of our common stock. The timing and availability of such financing is not yet known.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Offering</w:t>
      </w:r>
    </w:p>
    <w:p>
      <w:pPr>
        <w:spacing w:after="0" w:line="225" w:lineRule="exact"/>
        <w:rPr>
          <w:sz w:val="20"/>
          <w:szCs w:val="20"/>
          <w:color w:val="auto"/>
        </w:rPr>
      </w:pPr>
    </w:p>
    <w:p>
      <w:pPr>
        <w:ind w:right="80" w:firstLine="562"/>
        <w:spacing w:after="0" w:line="301" w:lineRule="auto"/>
        <w:rPr>
          <w:sz w:val="20"/>
          <w:szCs w:val="20"/>
          <w:color w:val="auto"/>
        </w:rPr>
      </w:pPr>
      <w:r>
        <w:rPr>
          <w:rFonts w:ascii="Arial" w:cs="Arial" w:eastAsia="Arial" w:hAnsi="Arial"/>
          <w:sz w:val="16"/>
          <w:szCs w:val="16"/>
          <w:color w:val="auto"/>
        </w:rPr>
        <w:t>On April 24, 2020, we entered into the Sales Agreement with Cantor Fitzgerald pursuant to which the Company may offer and sell, from time to time, through or to Cantor Fitzgerald, as sales agent or principal, shares of the Company’s Class A common stock having an aggregate offering price of up to $13.0 million. The Company is not obligated to sell any shares under the Sales Agreement. Under the terms of the Sales Agreement, the Company will pay Cantor Fitzgerald a commission of up to 3% of the aggregate proceeds from the sale of shares and reimburse certain legal fees or other disbursements.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40" w:firstLine="468"/>
        <w:spacing w:after="0" w:line="279" w:lineRule="auto"/>
        <w:rPr>
          <w:sz w:val="20"/>
          <w:szCs w:val="20"/>
          <w:color w:val="auto"/>
        </w:rPr>
      </w:pPr>
      <w:r>
        <w:rPr>
          <w:rFonts w:ascii="Arial" w:cs="Arial" w:eastAsia="Arial" w:hAnsi="Arial"/>
          <w:sz w:val="17"/>
          <w:szCs w:val="17"/>
          <w:color w:val="auto"/>
        </w:rPr>
        <w:t>We have entered into the Letter Agreements with MacAndrews. Under the terms of the Letter Agreements, we have the right to sell to MacAndrews shares of Class A Common Stock at a specified price per share, and MacAndrews has the right (exercisable up to three times) to require us to sell to it shares of Class A Common Stock at the same price. In addition, in connection with the entrance into certain of these Letter Agreements, we also issued MacAndrews warrants (the “Letter Agreement Warrants”) to purchase additional shares of our Class A Common Stock.</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ind w:left="480"/>
        <w:spacing w:after="0"/>
        <w:rPr>
          <w:sz w:val="20"/>
          <w:szCs w:val="20"/>
          <w:color w:val="auto"/>
        </w:rPr>
      </w:pPr>
      <w:r>
        <w:rPr>
          <w:rFonts w:ascii="Arial" w:cs="Arial" w:eastAsia="Arial" w:hAnsi="Arial"/>
          <w:sz w:val="18"/>
          <w:szCs w:val="18"/>
          <w:color w:val="auto"/>
        </w:rPr>
        <w:t>Certain terms of these Letter Agreements are set forth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December 11, 2018 Letter</w:t>
            </w:r>
          </w:p>
        </w:tc>
        <w:tc>
          <w:tcPr>
            <w:tcW w:w="200" w:type="dxa"/>
            <w:vAlign w:val="bottom"/>
          </w:tcPr>
          <w:p>
            <w:pPr>
              <w:spacing w:after="0"/>
              <w:rPr>
                <w:sz w:val="14"/>
                <w:szCs w:val="14"/>
                <w:color w:val="auto"/>
              </w:rPr>
            </w:pPr>
          </w:p>
        </w:tc>
        <w:tc>
          <w:tcPr>
            <w:tcW w:w="17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18, 2019 Letter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September 26, 2019 Letter</w:t>
            </w: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December 23, 2019 Letter</w:t>
            </w:r>
          </w:p>
        </w:tc>
      </w:tr>
      <w:tr>
        <w:trPr>
          <w:trHeight w:val="171"/>
        </w:trPr>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Agreement</w:t>
            </w:r>
          </w:p>
        </w:tc>
        <w:tc>
          <w:tcPr>
            <w:tcW w:w="200" w:type="dxa"/>
            <w:vAlign w:val="bottom"/>
          </w:tcPr>
          <w:p>
            <w:pPr>
              <w:spacing w:after="0"/>
              <w:rPr>
                <w:sz w:val="14"/>
                <w:szCs w:val="14"/>
                <w:color w:val="auto"/>
              </w:rPr>
            </w:pPr>
          </w:p>
        </w:tc>
        <w:tc>
          <w:tcPr>
            <w:tcW w:w="1780" w:type="dxa"/>
            <w:vAlign w:val="bottom"/>
          </w:tcPr>
          <w:p>
            <w:pPr>
              <w:jc w:val="right"/>
              <w:ind w:right="574"/>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Agreement</w:t>
            </w: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Agreement</w:t>
            </w:r>
          </w:p>
        </w:tc>
      </w:tr>
      <w:tr>
        <w:trPr>
          <w:trHeight w:val="209"/>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 million</w:t>
            </w: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 million</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 million</w:t>
            </w:r>
          </w:p>
        </w:tc>
        <w:tc>
          <w:tcPr>
            <w:tcW w:w="1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 million</w:t>
            </w: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Specified purchase price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December 11, 2019</w:t>
            </w: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18, 2020</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September 26, 2020</w:t>
            </w:r>
          </w:p>
        </w:tc>
        <w:tc>
          <w:tcPr>
            <w:tcW w:w="1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December 23, 2020</w:t>
            </w: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Shares available to be issued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under related warrants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340,534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400,990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365,472</w:t>
            </w:r>
          </w:p>
        </w:tc>
        <w:tc>
          <w:tcPr>
            <w:tcW w:w="1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December 11, 2025</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September 26, 2026</w:t>
            </w:r>
          </w:p>
        </w:tc>
        <w:tc>
          <w:tcPr>
            <w:tcW w:w="14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23, 2026</w:t>
            </w: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2020</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5,434,783</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5,454,546</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6,849,316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3,750,000</w:t>
            </w:r>
          </w:p>
        </w:tc>
        <w:tc>
          <w:tcPr>
            <w:tcW w:w="120" w:type="dxa"/>
            <w:vAlign w:val="bottom"/>
            <w:shd w:val="clear" w:color="auto" w:fill="CFF0FC"/>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w w:val="97"/>
              </w:rPr>
              <w:t>Remaining shares to be issued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as of March 31, 2020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Transaction</w:t>
      </w:r>
    </w:p>
    <w:p>
      <w:pPr>
        <w:spacing w:after="0" w:line="117" w:lineRule="exact"/>
        <w:rPr>
          <w:sz w:val="20"/>
          <w:szCs w:val="20"/>
          <w:color w:val="auto"/>
        </w:rPr>
      </w:pPr>
    </w:p>
    <w:p>
      <w:pPr>
        <w:ind w:right="60" w:firstLine="838"/>
        <w:spacing w:after="0" w:line="275" w:lineRule="auto"/>
        <w:rPr>
          <w:sz w:val="20"/>
          <w:szCs w:val="20"/>
          <w:color w:val="auto"/>
        </w:rPr>
      </w:pPr>
      <w:r>
        <w:rPr>
          <w:rFonts w:ascii="Arial" w:cs="Arial" w:eastAsia="Arial" w:hAnsi="Arial"/>
          <w:sz w:val="17"/>
          <w:szCs w:val="17"/>
          <w:color w:val="auto"/>
        </w:rPr>
        <w:t>In October 2016, we and vTv LLC entered into the Loan Agreement with Horizon Technology Finance Corporation and Silicon Valley Bank, under which we have borrowed $20.0 million. This agreement was amended on April 1, 2020 to extend the maturity dates of the loans and adjusted the minimum cash balance requirements (the “April Amendment”). Each loan tranche bears interest at a floating rate equal to 10.5% plus the amount by which the one-month LIBOR exceeds 0.5%. As of May 7, 2020, $3.2 million aggregate principal balance remains outstanding under the Loan Agreement. Additionally, each tranche includes a final interest payment due at its maturity which are further detailed below.</w:t>
      </w:r>
    </w:p>
    <w:p>
      <w:pPr>
        <w:spacing w:after="0" w:line="68" w:lineRule="exact"/>
        <w:rPr>
          <w:sz w:val="20"/>
          <w:szCs w:val="20"/>
          <w:color w:val="auto"/>
        </w:rPr>
      </w:pPr>
    </w:p>
    <w:p>
      <w:pPr>
        <w:ind w:right="140" w:firstLine="838"/>
        <w:spacing w:after="0" w:line="287" w:lineRule="auto"/>
        <w:rPr>
          <w:sz w:val="20"/>
          <w:szCs w:val="20"/>
          <w:color w:val="auto"/>
        </w:rPr>
      </w:pPr>
      <w:r>
        <w:rPr>
          <w:rFonts w:ascii="Arial" w:cs="Arial" w:eastAsia="Arial" w:hAnsi="Arial"/>
          <w:sz w:val="16"/>
          <w:szCs w:val="16"/>
          <w:color w:val="auto"/>
        </w:rPr>
        <w:t>We borrowed the first tranche of $12.5 million upon the close of the Loan Agreement in October 2016. The first tranche originally required only monthly interest payments until May 1, 2018, followed by equal monthly payments of principal plus accrued interest through the scheduled maturity date on May 1, 2020. In connection with the April Amendment, the maturity date of the first tranche was extended to August 1, 2020. In addition, a final payment for the first tranche loan equal to $0.8 million will be due on August 1, 2020, or such earlier date specified in the Loan Agreement, as amended. We borrowed the second tranche of $7.5 million in March 2017. The second tranche required only monthly interest payments until October 1, 2018, followed by equal monthly payments of principal plus accrued interest through the scheduled maturity date on October 1, 2020. In connection with the April Amendment, the maturity date of the second tranche was extended to January 1, 2021. In addition, a final payment for the second tranche loan equal to $0.5 million was originally due on October 1, 2020, or such earlier date specified in the Loan Agreement. In connection with the April Amendment, the due date for this final payment was extended to January 1, 2021, or such earlier date specified in the Loan Agreement, and the total amount of the payment was increased to $0.6 million. For each of the first and second tranches, the April Amendment requires only monthly interest payments on the outstanding principal balance for the amounts due on April 1, 2020, May 1, 2020 and June 1, 2020. Beginning with the amounts due on July 1, 2020, the Company will resume payment of the principal portion of these loans in accordance with the original amounts due</w:t>
      </w:r>
    </w:p>
    <w:p>
      <w:pPr>
        <w:spacing w:after="0" w:line="60" w:lineRule="exact"/>
        <w:rPr>
          <w:sz w:val="20"/>
          <w:szCs w:val="20"/>
          <w:color w:val="auto"/>
        </w:rPr>
      </w:pPr>
    </w:p>
    <w:p>
      <w:pPr>
        <w:ind w:right="500" w:firstLine="838"/>
        <w:spacing w:after="0" w:line="277" w:lineRule="auto"/>
        <w:rPr>
          <w:sz w:val="20"/>
          <w:szCs w:val="20"/>
          <w:color w:val="auto"/>
        </w:rPr>
      </w:pPr>
      <w:r>
        <w:rPr>
          <w:rFonts w:ascii="Arial" w:cs="Arial" w:eastAsia="Arial" w:hAnsi="Arial"/>
          <w:sz w:val="18"/>
          <w:szCs w:val="18"/>
          <w:color w:val="auto"/>
        </w:rPr>
        <w:t>If we repay all or a portion of the loan prior to the applicable maturity date, we will pay the Lenders a prepayment penalty fee, based on a percentage of the then outstanding principal balance equal to 2.0%.</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connection with the Loan Agreement, we issued to the Lenders warrants to purchase shares of our Class A common stock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“Warrants”). On October 28, 2016, we issued Warrants to purchase 152,580 shares of our Class A common stock at a per share exercise price of $6.39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which aggregate exercise price represents 6.0% of the principal amount borrowed under the first tranche of the Loan Agreement and 3.0%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available under the second tranche of the Loan Agreement. On March 24, 2017, in connection with the funding of the second tranche, we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to purchase 38,006 shares of our Class A common stock at a per share exercise price of $5.92 per share, which aggregate exercise price represents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of the principal amount of the second tranche. The Warrants will expire seven years from their date of issuance.</w:t>
      </w:r>
    </w:p>
    <w:p>
      <w:pPr>
        <w:spacing w:after="0" w:line="103"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As of March 31, 2020, the Company was required to maintain a cash balance of not less than $2.5 million in a deposit account pledged to secure the Loan Agreement and subject to an account control agreement. In connection with the April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right="40"/>
        <w:spacing w:after="0" w:line="291" w:lineRule="auto"/>
        <w:rPr>
          <w:sz w:val="20"/>
          <w:szCs w:val="20"/>
          <w:color w:val="auto"/>
        </w:rPr>
      </w:pPr>
      <w:r>
        <w:rPr>
          <w:rFonts w:ascii="Arial" w:cs="Arial" w:eastAsia="Arial" w:hAnsi="Arial"/>
          <w:sz w:val="16"/>
          <w:szCs w:val="16"/>
          <w:color w:val="auto"/>
        </w:rPr>
        <w:t>Amendment, this requirement was temporarily eliminated for the period beginning April 1, 2020 and ending June 30, 2020. Beginning July 1, 2020, until the repayment of the full amounts due under the Loan Agreement, the Company must maintain a minimum cash balance equal to the lesser of (i) $1.0 million or (ii) the then-current aggregate outstanding principal balance of the loans. The Loan Agreement includes customary events of default, including payment defaults, covenant defaults and material adverse change default. Upon the occurrence of an event of default and following any applicable cure periods, a default interest rate of an additional 5% will be applied to the outstanding loan balances, and the Lenders may declare all outstanding obligations immediately due and payable and take such other actions as set forth in the Loan Agreement. As a result of the termination of the STEADFAST Study, we granted the Lenders a first priority security interest in all of our intellectual property, subject to certain limited exceptions.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2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(5,560)</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Net cash provided by investing activities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360"/>
              <w:spacing w:after="0"/>
              <w:rPr>
                <w:sz w:val="20"/>
                <w:szCs w:val="20"/>
                <w:color w:val="auto"/>
              </w:rPr>
            </w:pPr>
            <w:r>
              <w:rPr>
                <w:rFonts w:ascii="Arial" w:cs="Arial" w:eastAsia="Arial" w:hAnsi="Arial"/>
                <w:sz w:val="18"/>
                <w:szCs w:val="18"/>
                <w:color w:val="auto"/>
              </w:rPr>
              <w:t>Net (decrease) increase in cash and cash equivalents</w:t>
            </w:r>
          </w:p>
        </w:tc>
        <w:tc>
          <w:tcPr>
            <w:tcW w:w="6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For the three months ended March 31, 2020, our net cash used in operating activities increased $0.1 million from the three months ended March 31, 2019 as increased losses in the 2020 period were offset by working capital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cash flows from investing activities for the three months ended March 31, 2020 and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For the three months ended March 31, 2020, net cash provided by financing activities decreased by $4.5 million from the three months ended March 31, 2019, driven by decreases in funding from equity issuances given the registered direct offering that occurred in the first quarter of 2019. Further, repayments under the Loan Agreement decreased as fewer principal payments were made in the 2020 period due to the impact of April Amendment to the Loan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164"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 xml:space="preserve">Based on our current operating plan, we believe that our current cash and cash equivalents, the remaining funding committed under the Letter Agreements and the amounts available under our ATM Offering, if fully utilized, will allow us to meet our liquidity requirements into September 2020. In addition to the available cash and cash equivalents and other sources of liquidity, we are seeking possible additional partnering opportunities for our GKA, GLP-1r and other drug candidates which we believe may provide additional cash for use in our operations and the continuation of the clinical trials for our drug candidates. We are also evaluating several financing strategies to fund the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w:t>
      </w:r>
      <w:r>
        <w:rPr>
          <w:rFonts w:ascii="Arial" w:cs="Arial" w:eastAsia="Arial" w:hAnsi="Arial"/>
          <w:sz w:val="16"/>
          <w:szCs w:val="16"/>
          <w:i w:val="1"/>
          <w:iCs w:val="1"/>
          <w:color w:val="auto"/>
        </w:rPr>
        <w:t>azeliragon</w:t>
      </w:r>
      <w:r>
        <w:rPr>
          <w:rFonts w:ascii="Arial" w:cs="Arial" w:eastAsia="Arial" w:hAnsi="Arial"/>
          <w:sz w:val="16"/>
          <w:szCs w:val="16"/>
          <w:color w:val="auto"/>
        </w:rPr>
        <w:t>, including direct equity investments and future public offerings of our common stock. The timing and availability of such financing are not yet known.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right="60" w:hanging="493"/>
        <w:spacing w:after="0" w:line="308"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progress, costs, results and timing of our planned registrational trial(s) to evaluate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potential treatment of type 1 diabetes and our sequential Phase 2/3 trials to evaluate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potential treatment of mild-AD in patients with type 2 diabetes;</w:t>
      </w:r>
    </w:p>
    <w:p>
      <w:pPr>
        <w:spacing w:after="0" w:line="3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the FDA to rely upon our completed and planned clinical and preclinical studies and other work, as the basis for review and approval of our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00" w:right="9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any payments we are required to make to M&amp;F TTP Holdings Two LLC in the future under the Tax Receivable Agreement;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and duration of the COVID-19 outbreak / pandemic.</w:t>
      </w:r>
    </w:p>
    <w:p>
      <w:pPr>
        <w:spacing w:after="0" w:line="11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 xml:space="preserve">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Letter Agreements. We may however, be able to utilize our ATM Offering to provide an additional $13.0 million of funds upon the sale of our Class A common stock. In addition, we are evaluating several financing strategies to fund the on-going and future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w:t>
      </w:r>
      <w:r>
        <w:rPr>
          <w:rFonts w:ascii="Arial" w:cs="Arial" w:eastAsia="Arial" w:hAnsi="Arial"/>
          <w:sz w:val="17"/>
          <w:szCs w:val="17"/>
          <w:i w:val="1"/>
          <w:iCs w:val="1"/>
          <w:color w:val="auto"/>
        </w:rPr>
        <w:t>azeliragon</w:t>
      </w:r>
      <w:r>
        <w:rPr>
          <w:rFonts w:ascii="Arial" w:cs="Arial" w:eastAsia="Arial" w:hAnsi="Arial"/>
          <w:sz w:val="17"/>
          <w:szCs w:val="17"/>
          <w:color w:val="auto"/>
        </w:rPr>
        <w:t>, including direct equity investments and future public offerings of our common stock.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which could adversely affect our business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60" w:firstLine="513"/>
        <w:spacing w:after="0" w:line="301" w:lineRule="auto"/>
        <w:rPr>
          <w:sz w:val="20"/>
          <w:szCs w:val="20"/>
          <w:color w:val="auto"/>
        </w:rPr>
      </w:pPr>
      <w:r>
        <w:rPr>
          <w:rFonts w:ascii="Arial" w:cs="Arial" w:eastAsia="Arial" w:hAnsi="Arial"/>
          <w:sz w:val="16"/>
          <w:szCs w:val="16"/>
          <w:color w:val="auto"/>
        </w:rPr>
        <w:t>We have entered into the Letter Agreements with MacAndrews and Forbes Group LLC which, as of March 31, 2020, provide us the right to sell to MacAndrews an additional 2,500,000 shares of our Class A Common Stock at a price of $1.60 per share. Further, MacAndrews has the right (exercisable up to three times) to require us to sell to it an equal number of shares of Class A Common Stock at the same price. As of March 31, 2020, we had received funding of $55.0 million under the Letter Agreements and, in exchange, had issued a total of 31,290,546 shares of our Class A Common Stock.</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For a discussion of our critical accounting policies and estimates, please refer to Part II, Item 7. “Management’s Discussion and Analysis of Financial Condition and Results of Operations” in our Annual Report on Form 10-K for the year ended December 31, 2019. There have been no material changes to our critical accounting policies and estimates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“outlook”,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76"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Condensed Consolidated Financial Statements in this Form 10-Q.</w:t>
      </w: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Our Loan Agreement bears interest at a floating rate equal to 10.5% plus the amount by which the one-month LIBOR exceeds 0.5%. A one percent increase in the variable rate of interest on the Loan Agreement would increase interest expense by an insignificant amount on an annual basis based on the amounts currently outstanding. We do not currently hedge our interest rate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The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material foreign currency exposure.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0" w:name="page31"/>
    <w:bookmarkEnd w:id="30"/>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March 31, 2020. Based upon that evaluation, our Chief Executive Officer and Chief Financial Officer concluded that, as of March 31, 2020,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8"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In addition to the risk factors listed below and the other information in this report, investors should carefully consider the risk factors set forth under the heading “Risk Factors” under Item 1A of Part I in our Annual Report on Form 10-K for the year ended December 31, 2019.</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widespread outbreak of an illness or any other communicable disease, or any other public health crisis, could adversely affect our business, results of operations and financial condition.</w:t>
      </w:r>
    </w:p>
    <w:p>
      <w:pPr>
        <w:spacing w:after="0" w:line="62" w:lineRule="exact"/>
        <w:rPr>
          <w:sz w:val="20"/>
          <w:szCs w:val="20"/>
          <w:color w:val="auto"/>
        </w:rPr>
      </w:pPr>
    </w:p>
    <w:p>
      <w:pPr>
        <w:ind w:right="240" w:firstLine="464"/>
        <w:spacing w:after="0" w:line="291" w:lineRule="auto"/>
        <w:rPr>
          <w:sz w:val="20"/>
          <w:szCs w:val="20"/>
          <w:color w:val="auto"/>
        </w:rPr>
      </w:pPr>
      <w:r>
        <w:rPr>
          <w:rFonts w:ascii="Arial" w:cs="Arial" w:eastAsia="Arial" w:hAnsi="Arial"/>
          <w:sz w:val="16"/>
          <w:szCs w:val="16"/>
          <w:color w:val="auto"/>
        </w:rPr>
        <w:t>We could be negatively affected by the widespread outbreak of an illness or any other communicable disease, or any other public health crisis that results in economic and trade disruptions, including the disruption of global supply chains. In March 2020, the World Health Organization</w:t>
      </w:r>
    </w:p>
    <w:p>
      <w:pPr>
        <w:ind w:right="480"/>
        <w:spacing w:after="0" w:line="260" w:lineRule="auto"/>
        <w:rPr>
          <w:sz w:val="20"/>
          <w:szCs w:val="20"/>
          <w:color w:val="auto"/>
        </w:rPr>
      </w:pPr>
      <w:r>
        <w:rPr>
          <w:rFonts w:ascii="Arial" w:cs="Arial" w:eastAsia="Arial" w:hAnsi="Arial"/>
          <w:sz w:val="18"/>
          <w:szCs w:val="18"/>
          <w:color w:val="auto"/>
        </w:rPr>
        <w:t>declared COVID-19 a pandemic. The COVID-19 pandemic has negatively impacted the global economy, disrupted global supply chains, and created significant volatility and disruption of financial markets. Due to the spread of COVID-19,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ind w:right="60"/>
        <w:spacing w:after="0" w:line="308" w:lineRule="auto"/>
        <w:rPr>
          <w:sz w:val="20"/>
          <w:szCs w:val="20"/>
          <w:color w:val="auto"/>
        </w:rPr>
      </w:pPr>
      <w:r>
        <w:rPr>
          <w:rFonts w:ascii="Arial" w:cs="Arial" w:eastAsia="Arial" w:hAnsi="Arial"/>
          <w:sz w:val="17"/>
          <w:szCs w:val="17"/>
          <w:color w:val="auto"/>
        </w:rPr>
        <w:t>many countries around the world and jurisdictions in the United States have imposed quarantines and restrictions on travel and mass gatherings to slow the spread of the virus. Further, “non-essential” businesses have been required to close operations or shift to a remote working environment.</w:t>
      </w:r>
    </w:p>
    <w:p>
      <w:pPr>
        <w:spacing w:after="0" w:line="38" w:lineRule="exact"/>
        <w:rPr>
          <w:sz w:val="20"/>
          <w:szCs w:val="20"/>
          <w:color w:val="auto"/>
        </w:rPr>
      </w:pPr>
    </w:p>
    <w:p>
      <w:pPr>
        <w:ind w:right="240" w:firstLine="464"/>
        <w:spacing w:after="0" w:line="311" w:lineRule="auto"/>
        <w:rPr>
          <w:sz w:val="20"/>
          <w:szCs w:val="20"/>
          <w:color w:val="auto"/>
        </w:rPr>
      </w:pPr>
      <w:r>
        <w:rPr>
          <w:rFonts w:ascii="Arial" w:cs="Arial" w:eastAsia="Arial" w:hAnsi="Arial"/>
          <w:sz w:val="16"/>
          <w:szCs w:val="16"/>
          <w:color w:val="auto"/>
        </w:rPr>
        <w:t>Due to the various restrictions put into effect by governments around the world, including the United States and Canada, health professionals may reduce staffing and reduce or postpone meetings with clients in response to the spread of an infectious disease. Such events may result in a period of business disruption, and in reduced operations, any of which could materially affect our business, financial condition and results of operations.</w:t>
      </w:r>
    </w:p>
    <w:p>
      <w:pPr>
        <w:spacing w:after="0" w:line="41" w:lineRule="exact"/>
        <w:rPr>
          <w:sz w:val="20"/>
          <w:szCs w:val="20"/>
          <w:color w:val="auto"/>
        </w:rPr>
      </w:pPr>
    </w:p>
    <w:p>
      <w:pPr>
        <w:ind w:right="180" w:firstLine="464"/>
        <w:spacing w:after="0" w:line="259" w:lineRule="auto"/>
        <w:rPr>
          <w:sz w:val="20"/>
          <w:szCs w:val="20"/>
          <w:color w:val="auto"/>
        </w:rPr>
      </w:pPr>
      <w:r>
        <w:rPr>
          <w:rFonts w:ascii="Arial" w:cs="Arial" w:eastAsia="Arial" w:hAnsi="Arial"/>
          <w:sz w:val="18"/>
          <w:szCs w:val="18"/>
          <w:color w:val="auto"/>
        </w:rPr>
        <w:t>Quarantines, stay-at-home orders and other limitations can disrupt our research and administrative functions, regardless of whether we are actually forced to close our own facilities. Similar disruptions may also affect other organizations and persons that we collaborate with or whose services we are dependent on. The need for our employees and business partners to work remotely also creates greater potential for risks related to cybersecurity, confidentiality and data privacy.</w:t>
      </w:r>
    </w:p>
    <w:p>
      <w:pPr>
        <w:spacing w:after="0" w:line="79" w:lineRule="exact"/>
        <w:rPr>
          <w:sz w:val="20"/>
          <w:szCs w:val="20"/>
          <w:color w:val="auto"/>
        </w:rPr>
      </w:pPr>
    </w:p>
    <w:p>
      <w:pPr>
        <w:ind w:right="40" w:firstLine="464"/>
        <w:spacing w:after="0" w:line="279" w:lineRule="auto"/>
        <w:rPr>
          <w:sz w:val="20"/>
          <w:szCs w:val="20"/>
          <w:color w:val="auto"/>
        </w:rPr>
      </w:pPr>
      <w:r>
        <w:rPr>
          <w:rFonts w:ascii="Arial" w:cs="Arial" w:eastAsia="Arial" w:hAnsi="Arial"/>
          <w:sz w:val="17"/>
          <w:szCs w:val="17"/>
          <w:color w:val="auto"/>
        </w:rPr>
        <w:t>With respect to the COVID-19 outbreak specifically, such outbreak could also potentially affect the operations of the FDA, EMA or other health authorities, which could result in delays in meetings related to planned clinical trials. Further, it may also slow potential enrollment of our ongoing clinical trials. The COVID-19 outbreak and mitigation measures also have had, and may continue to have, an adverse impact on global economic conditions which could have an adverse effect on our business and financial condition, including impairing our ability to raise capital when needed.</w:t>
      </w:r>
    </w:p>
    <w:p>
      <w:pPr>
        <w:spacing w:after="0" w:line="63" w:lineRule="exact"/>
        <w:rPr>
          <w:sz w:val="20"/>
          <w:szCs w:val="20"/>
          <w:color w:val="auto"/>
        </w:rPr>
      </w:pPr>
    </w:p>
    <w:p>
      <w:pPr>
        <w:ind w:firstLine="464"/>
        <w:spacing w:after="0" w:line="301" w:lineRule="auto"/>
        <w:rPr>
          <w:sz w:val="20"/>
          <w:szCs w:val="20"/>
          <w:color w:val="auto"/>
        </w:rPr>
      </w:pPr>
      <w:r>
        <w:rPr>
          <w:rFonts w:ascii="Arial" w:cs="Arial" w:eastAsia="Arial" w:hAnsi="Arial"/>
          <w:sz w:val="16"/>
          <w:szCs w:val="16"/>
          <w:color w:val="auto"/>
        </w:rPr>
        <w:t>Although, as of the date of this Quarterly Report on Form 10-Q, we do not expect any material impact on our long-term activity, the extent to which the COVID-19 outbreak impacts our business and operations will depend on future developments that are highly uncertain and cannot be predicted, including new information that may emerge concerning the severity of the virus and the actions to contain its impact. As a result, there can be no assurance as to the manner and extent to which the COVID-19 outbreak (or other large-scale disruption) could impact our operations, results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recent outbreak of COVID-19 may materially and adversely affect our clinical trials, the operations of our licensees and our financial results.</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extent to which COVID-19 may impact our clinical trials will depend on future developments, which are highly uncertain and cannot be</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predicted with confidence, such as the duration of the outbreak, the severity of COVID-19, or the effectiveness of actions to contain and treat for COVID-</w:t>
      </w:r>
    </w:p>
    <w:p>
      <w:pPr>
        <w:spacing w:after="0" w:line="32" w:lineRule="exact"/>
        <w:rPr>
          <w:sz w:val="20"/>
          <w:szCs w:val="20"/>
          <w:color w:val="auto"/>
        </w:rPr>
      </w:pPr>
    </w:p>
    <w:p>
      <w:pPr>
        <w:ind w:right="40" w:firstLine="8"/>
        <w:spacing w:after="0" w:line="252"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spread of COVID-19 globally could adversely impact our clinical trial operations in the United States and Canada, including our ability to recruit and retain patients in our ongoing Elevage trial. COVID-19 may also affect the employees and operations of third-party contract research organizations located in affected geographies that we rely upon to carry out such enrollments and trials. Further, it may delay the initiation of any additional clinical trials we are planning for which we require additional approval or are seeking guidance from the FDA or other regulatory agencies. The negative impacts of COVID-19 in these instances may result in delays to our operational plans, increases in our operating expenses, and may have a material adverse effect on our financial results.</w:t>
      </w:r>
    </w:p>
    <w:p>
      <w:pPr>
        <w:spacing w:after="0" w:line="86" w:lineRule="exact"/>
        <w:rPr>
          <w:sz w:val="20"/>
          <w:szCs w:val="20"/>
          <w:color w:val="auto"/>
        </w:rPr>
      </w:pPr>
    </w:p>
    <w:p>
      <w:pPr>
        <w:jc w:val="both"/>
        <w:ind w:right="160" w:firstLine="464"/>
        <w:spacing w:after="0" w:line="301" w:lineRule="auto"/>
        <w:rPr>
          <w:sz w:val="20"/>
          <w:szCs w:val="20"/>
          <w:color w:val="auto"/>
        </w:rPr>
      </w:pPr>
      <w:r>
        <w:rPr>
          <w:rFonts w:ascii="Arial" w:cs="Arial" w:eastAsia="Arial" w:hAnsi="Arial"/>
          <w:sz w:val="16"/>
          <w:szCs w:val="16"/>
          <w:color w:val="auto"/>
        </w:rPr>
        <w:t>Additionally, COVID-19 may hinder the ability of our license partners to continue the development of our licensed product candidates. This may result in the delay or the inability of the partners to execute on their development plans which, in turn, may cause delays in or the inability to achieve the clinical, regulatory and sales milestones which trigger payments to us under the terms of our license agreements. This may have a material adverse effect on our financial results and operations as the related milestone payments may not be received at the expected time, if at all.</w:t>
      </w:r>
    </w:p>
    <w:p>
      <w:pPr>
        <w:spacing w:after="0" w:line="3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There were no sales of unregistered equity securities during the three months ended March 31, 2020 that have not previously been included in a Current Report on Form 8-K.</w:t>
      </w:r>
    </w:p>
    <w:p>
      <w:pPr>
        <w:spacing w:after="0" w:line="6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Our ability to pay dividends is restricted by our Loan Agreement. See “Management's Discussion and Analysis of Financial Condition and Results of Operations”.</w:t>
      </w:r>
    </w:p>
    <w:p>
      <w:pPr>
        <w:spacing w:after="0" w:line="35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12"/>
          </w:tcPr>
          <w:p>
            <w:pPr>
              <w:ind w:left="60"/>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100" w:type="dxa"/>
            <w:vAlign w:val="bottom"/>
            <w:gridSpan w:val="9"/>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8100" w:type="dxa"/>
            <w:vAlign w:val="bottom"/>
            <w:tcBorders>
              <w:bottom w:val="single" w:sz="8" w:color="auto"/>
            </w:tcBorders>
            <w:gridSpan w:val="9"/>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gridSpan w:val="2"/>
          </w:tcPr>
          <w:p>
            <w:pPr>
              <w:ind w:lef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2"/>
                <w:szCs w:val="22"/>
                <w:color w:val="auto"/>
              </w:rPr>
            </w:pPr>
          </w:p>
        </w:tc>
        <w:tc>
          <w:tcPr>
            <w:tcW w:w="10200" w:type="dxa"/>
            <w:vAlign w:val="bottom"/>
            <w:gridSpan w:val="11"/>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Second Amendment of Venture Loan and Security Agreement and Consent, dated as of April 1, 2020, by and among the Company, vTv</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Therapeutics LLC, Horizon Funding Trust 2019-1 and Silicon Valley Bank.</w:t>
              </w:r>
            </w:hyperlink>
          </w:p>
        </w:tc>
        <w:tc>
          <w:tcPr>
            <w:tcW w:w="4320" w:type="dxa"/>
            <w:vAlign w:val="bottom"/>
            <w:tcBorders>
              <w:top w:val="single" w:sz="8" w:color="0000EE"/>
            </w:tcBorders>
            <w:gridSpan w:val="3"/>
          </w:tcPr>
          <w:p>
            <w:pPr>
              <w:spacing w:after="0"/>
              <w:rPr>
                <w:sz w:val="17"/>
                <w:szCs w:val="17"/>
                <w:color w:val="auto"/>
              </w:rPr>
            </w:pPr>
          </w:p>
        </w:tc>
        <w:tc>
          <w:tcPr>
            <w:tcW w:w="4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00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President and Chief Executive Officer required by Rule 13a-14(a)/15d-14(a) under the Securities Exchange Act of 1934, as</w:t>
              </w:r>
            </w:hyperlink>
          </w:p>
        </w:tc>
        <w:tc>
          <w:tcPr>
            <w:tcW w:w="1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amended, as adopted pursuant to Section 302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99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Certification of Chief Financial Officer required by Rule 13a-14(a)/15d-14(a) under the Securities Exchange Act of 1934, as amended, as</w:t>
              </w:r>
            </w:hyperlink>
          </w:p>
        </w:tc>
        <w:tc>
          <w:tcPr>
            <w:tcW w:w="3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adopted pursuant to Section 302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95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Certification of President and Chief Executive Officer pursuant to 18 U.S.C. Section 1350, as adopted pursuant to Section 906 of the</w:t>
              </w:r>
            </w:hyperlink>
          </w:p>
        </w:tc>
        <w:tc>
          <w:tcPr>
            <w:tcW w:w="6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of Chief Financial Officer pursuant to 18 U.S.C. Section 1350, as adopted pursuant to Section 906 of the Sarbanes-Oxley Act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2002.</w:t>
              </w:r>
            </w:hyperlink>
          </w:p>
        </w:tc>
        <w:tc>
          <w:tcPr>
            <w:tcW w:w="1680" w:type="dxa"/>
            <w:vAlign w:val="bottom"/>
            <w:tcBorders>
              <w:top w:val="single" w:sz="8" w:color="0000EE"/>
            </w:tcBorders>
          </w:tcPr>
          <w:p>
            <w:pPr>
              <w:spacing w:after="0"/>
              <w:rPr>
                <w:sz w:val="17"/>
                <w:szCs w:val="17"/>
                <w:color w:val="auto"/>
              </w:rPr>
            </w:pPr>
          </w:p>
        </w:tc>
        <w:tc>
          <w:tcPr>
            <w:tcW w:w="28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Schema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0" w:type="dxa"/>
            <w:vAlign w:val="bottom"/>
            <w:gridSpan w:val="4"/>
          </w:tcPr>
          <w:p>
            <w:pPr>
              <w:jc w:val="right"/>
              <w:ind w:right="168"/>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-7620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80"/>
          </w:cols>
          <w:pgMar w:left="300" w:top="337" w:right="31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920" w:type="dxa"/>
            <w:vAlign w:val="bottom"/>
          </w:tcPr>
          <w:p>
            <w:pPr>
              <w:ind w:left="900"/>
              <w:spacing w:after="0"/>
              <w:rPr>
                <w:sz w:val="20"/>
                <w:szCs w:val="20"/>
                <w:color w:val="auto"/>
              </w:rPr>
            </w:pPr>
            <w:r>
              <w:rPr>
                <w:rFonts w:ascii="Arial" w:cs="Arial" w:eastAsia="Arial" w:hAnsi="Arial"/>
                <w:sz w:val="18"/>
                <w:szCs w:val="18"/>
                <w:color w:val="auto"/>
              </w:rPr>
              <w:t>VTV THERAPEUTICS INC.</w:t>
            </w:r>
          </w:p>
        </w:tc>
      </w:tr>
      <w:tr>
        <w:trPr>
          <w:trHeight w:val="230"/>
        </w:trPr>
        <w:tc>
          <w:tcPr>
            <w:tcW w:w="560" w:type="dxa"/>
            <w:vAlign w:val="bottom"/>
          </w:tcPr>
          <w:p>
            <w:pPr>
              <w:spacing w:after="0"/>
              <w:rPr>
                <w:sz w:val="20"/>
                <w:szCs w:val="20"/>
                <w:color w:val="auto"/>
              </w:rPr>
            </w:pPr>
          </w:p>
        </w:tc>
        <w:tc>
          <w:tcPr>
            <w:tcW w:w="3920" w:type="dxa"/>
            <w:vAlign w:val="bottom"/>
          </w:tcPr>
          <w:p>
            <w:pPr>
              <w:ind w:left="1540"/>
              <w:spacing w:after="0"/>
              <w:rPr>
                <w:sz w:val="20"/>
                <w:szCs w:val="20"/>
                <w:color w:val="auto"/>
              </w:rPr>
            </w:pPr>
            <w:r>
              <w:rPr>
                <w:rFonts w:ascii="Arial" w:cs="Arial" w:eastAsia="Arial" w:hAnsi="Arial"/>
                <w:sz w:val="18"/>
                <w:szCs w:val="18"/>
                <w:color w:val="auto"/>
              </w:rPr>
              <w:t>(Registrant)</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37" w:right="339" w:bottom="1440" w:gutter="0" w:footer="0" w:header="0"/>
        </w:sectPr>
      </w:pPr>
    </w:p>
    <w:bookmarkStart w:id="35" w:name="page36"/>
    <w:bookmarkEnd w:id="35"/>
    <w:p>
      <w:pPr>
        <w:ind w:left="10120"/>
        <w:spacing w:after="0"/>
        <w:rPr>
          <w:sz w:val="20"/>
          <w:szCs w:val="20"/>
          <w:color w:val="auto"/>
        </w:rPr>
      </w:pPr>
      <w:r>
        <w:rPr>
          <w:rFonts w:ascii="Arial" w:cs="Arial" w:eastAsia="Arial" w:hAnsi="Arial"/>
          <w:sz w:val="19"/>
          <w:szCs w:val="19"/>
          <w:b w:val="1"/>
          <w:bCs w:val="1"/>
          <w:color w:val="auto"/>
        </w:rPr>
        <w:t>Exhibit 10.1</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OF VENTURE LOAN AND SECURITY AGREEMENT</w:t>
      </w:r>
    </w:p>
    <w:p>
      <w:pPr>
        <w:spacing w:after="0" w:line="200" w:lineRule="exact"/>
        <w:rPr>
          <w:sz w:val="20"/>
          <w:szCs w:val="20"/>
          <w:color w:val="auto"/>
        </w:rPr>
      </w:pPr>
    </w:p>
    <w:p>
      <w:pPr>
        <w:spacing w:after="0" w:line="204"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This SECOND AMENDMENT OF VENTURE LOAN AND SECURITY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April 1, 2020, is entered into by and among vTv THERAPEUTICS INC. (“</w:t>
      </w:r>
      <w:r>
        <w:rPr>
          <w:rFonts w:ascii="Arial" w:cs="Arial" w:eastAsia="Arial" w:hAnsi="Arial"/>
          <w:sz w:val="22"/>
          <w:szCs w:val="22"/>
          <w:u w:val="single" w:color="auto"/>
          <w:color w:val="auto"/>
        </w:rPr>
        <w:t>VTV INC</w:t>
      </w:r>
      <w:r>
        <w:rPr>
          <w:rFonts w:ascii="Arial" w:cs="Arial" w:eastAsia="Arial" w:hAnsi="Arial"/>
          <w:sz w:val="22"/>
          <w:szCs w:val="22"/>
          <w:color w:val="auto"/>
        </w:rPr>
        <w:t>”), vTv THERAPEUTICS LLC (“</w:t>
      </w:r>
      <w:r>
        <w:rPr>
          <w:rFonts w:ascii="Arial" w:cs="Arial" w:eastAsia="Arial" w:hAnsi="Arial"/>
          <w:sz w:val="22"/>
          <w:szCs w:val="22"/>
          <w:u w:val="single" w:color="auto"/>
          <w:color w:val="auto"/>
        </w:rPr>
        <w:t>VTV</w:t>
      </w:r>
      <w:r>
        <w:rPr>
          <w:rFonts w:ascii="Arial" w:cs="Arial" w:eastAsia="Arial" w:hAnsi="Arial"/>
          <w:sz w:val="22"/>
          <w:szCs w:val="22"/>
          <w:color w:val="auto"/>
        </w:rPr>
        <w:t xml:space="preserve"> </w:t>
      </w:r>
      <w:r>
        <w:rPr>
          <w:rFonts w:ascii="Arial" w:cs="Arial" w:eastAsia="Arial" w:hAnsi="Arial"/>
          <w:sz w:val="22"/>
          <w:szCs w:val="22"/>
          <w:u w:val="single" w:color="auto"/>
          <w:color w:val="auto"/>
        </w:rPr>
        <w:t>LLC</w:t>
      </w:r>
      <w:r>
        <w:rPr>
          <w:rFonts w:ascii="Arial" w:cs="Arial" w:eastAsia="Arial" w:hAnsi="Arial"/>
          <w:sz w:val="22"/>
          <w:szCs w:val="22"/>
          <w:color w:val="auto"/>
        </w:rPr>
        <w:t>” and collectively with VTV INC, “</w:t>
      </w:r>
      <w:r>
        <w:rPr>
          <w:rFonts w:ascii="Arial" w:cs="Arial" w:eastAsia="Arial" w:hAnsi="Arial"/>
          <w:sz w:val="22"/>
          <w:szCs w:val="22"/>
          <w:u w:val="single" w:color="auto"/>
          <w:color w:val="auto"/>
        </w:rPr>
        <w:t>Co-Borrowers</w:t>
      </w:r>
      <w:r>
        <w:rPr>
          <w:rFonts w:ascii="Arial" w:cs="Arial" w:eastAsia="Arial" w:hAnsi="Arial"/>
          <w:sz w:val="22"/>
          <w:szCs w:val="22"/>
          <w:color w:val="auto"/>
        </w:rPr>
        <w:t>”), HORIZON FUNDING TRUST 2019-1 (“</w:t>
      </w:r>
      <w:r>
        <w:rPr>
          <w:rFonts w:ascii="Arial" w:cs="Arial" w:eastAsia="Arial" w:hAnsi="Arial"/>
          <w:sz w:val="22"/>
          <w:szCs w:val="22"/>
          <w:u w:val="single" w:color="auto"/>
          <w:color w:val="auto"/>
        </w:rPr>
        <w:t>Horizon Trust</w:t>
      </w:r>
      <w:r>
        <w:rPr>
          <w:rFonts w:ascii="Arial" w:cs="Arial" w:eastAsia="Arial" w:hAnsi="Arial"/>
          <w:sz w:val="22"/>
          <w:szCs w:val="22"/>
          <w:color w:val="auto"/>
        </w:rPr>
        <w:t>”), as assignee of HORIZON TECHNOLOGY FINANCE CORPORATION (“</w:t>
      </w:r>
      <w:r>
        <w:rPr>
          <w:rFonts w:ascii="Arial" w:cs="Arial" w:eastAsia="Arial" w:hAnsi="Arial"/>
          <w:sz w:val="22"/>
          <w:szCs w:val="22"/>
          <w:u w:val="single" w:color="auto"/>
          <w:color w:val="auto"/>
        </w:rPr>
        <w:t>Horizon</w:t>
      </w:r>
      <w:r>
        <w:rPr>
          <w:rFonts w:ascii="Arial" w:cs="Arial" w:eastAsia="Arial" w:hAnsi="Arial"/>
          <w:sz w:val="22"/>
          <w:szCs w:val="22"/>
          <w:color w:val="auto"/>
        </w:rPr>
        <w:t>”), SILICON VALLEY BANK, (“</w:t>
      </w:r>
      <w:r>
        <w:rPr>
          <w:rFonts w:ascii="Arial" w:cs="Arial" w:eastAsia="Arial" w:hAnsi="Arial"/>
          <w:sz w:val="22"/>
          <w:szCs w:val="22"/>
          <w:u w:val="single" w:color="auto"/>
          <w:color w:val="auto"/>
        </w:rPr>
        <w:t>SVB</w:t>
      </w:r>
      <w:r>
        <w:rPr>
          <w:rFonts w:ascii="Arial" w:cs="Arial" w:eastAsia="Arial" w:hAnsi="Arial"/>
          <w:sz w:val="22"/>
          <w:szCs w:val="22"/>
          <w:color w:val="auto"/>
        </w:rPr>
        <w:t>”, and collectively with Horizon Trust “</w:t>
      </w:r>
      <w:r>
        <w:rPr>
          <w:rFonts w:ascii="Arial" w:cs="Arial" w:eastAsia="Arial" w:hAnsi="Arial"/>
          <w:sz w:val="22"/>
          <w:szCs w:val="22"/>
          <w:u w:val="single" w:color="auto"/>
          <w:color w:val="auto"/>
        </w:rPr>
        <w:t>Lenders</w:t>
      </w:r>
      <w:r>
        <w:rPr>
          <w:rFonts w:ascii="Arial" w:cs="Arial" w:eastAsia="Arial" w:hAnsi="Arial"/>
          <w:sz w:val="22"/>
          <w:szCs w:val="22"/>
          <w:color w:val="auto"/>
        </w:rPr>
        <w:t>”) and Horizon as Collateral Agent</w:t>
      </w:r>
      <w:r>
        <w:rPr>
          <w:rFonts w:ascii="Arial" w:cs="Arial" w:eastAsia="Arial" w:hAnsi="Arial"/>
          <w:sz w:val="19"/>
          <w:szCs w:val="19"/>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left="860" w:hanging="784"/>
        <w:spacing w:after="0" w:line="271"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Co-Borrowers, Lenders and Collateral Agent are parties to a certain Venture Loan and Security Agreement dated as of October 28, 2016 (as amended, restated, supplemented or otherwise modified from time to time, the “</w:t>
      </w:r>
      <w:r>
        <w:rPr>
          <w:rFonts w:ascii="Arial" w:cs="Arial" w:eastAsia="Arial" w:hAnsi="Arial"/>
          <w:sz w:val="19"/>
          <w:szCs w:val="19"/>
          <w:u w:val="single" w:color="auto"/>
          <w:color w:val="auto"/>
        </w:rPr>
        <w:t>Loan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pursuant to which, among other things, (i) Horizon provided a loan to Co-Borrowers as evidenced by a certain Secured Promissory Note (Loan A) executed by Co-Borrowers in favor of Horizon, dated October 28, 2016, in the original principal amount of Six Million Two Hundred Fifty Thousand and 00/100 Dollars ($6,250,000.00) (“</w:t>
      </w:r>
      <w:r>
        <w:rPr>
          <w:rFonts w:ascii="Arial" w:cs="Arial" w:eastAsia="Arial" w:hAnsi="Arial"/>
          <w:sz w:val="19"/>
          <w:szCs w:val="19"/>
          <w:u w:val="single" w:color="auto"/>
          <w:color w:val="auto"/>
        </w:rPr>
        <w:t>Loan</w:t>
      </w:r>
      <w:r>
        <w:rPr>
          <w:rFonts w:ascii="Arial" w:cs="Arial" w:eastAsia="Arial" w:hAnsi="Arial"/>
          <w:sz w:val="19"/>
          <w:szCs w:val="19"/>
          <w:color w:val="auto"/>
        </w:rPr>
        <w:t xml:space="preserve"> </w:t>
      </w:r>
      <w:r>
        <w:rPr>
          <w:rFonts w:ascii="Arial" w:cs="Arial" w:eastAsia="Arial" w:hAnsi="Arial"/>
          <w:sz w:val="19"/>
          <w:szCs w:val="19"/>
          <w:u w:val="single" w:color="auto"/>
          <w:color w:val="auto"/>
        </w:rPr>
        <w:t>A Note</w:t>
      </w:r>
      <w:r>
        <w:rPr>
          <w:rFonts w:ascii="Arial" w:cs="Arial" w:eastAsia="Arial" w:hAnsi="Arial"/>
          <w:sz w:val="19"/>
          <w:szCs w:val="19"/>
          <w:color w:val="auto"/>
        </w:rPr>
        <w:t>”), (ii) SVB provided a loan to Co-Borrowers as evidenced by a certain Secured Promissory Note (Loan B) executed by Co-Borrowers in favor of SVB dated October 28, 2016, in the original principal amount of Six Million Two Hundred Fifty Thousand and 00/100 Dollars ($6,250,000.00) (“</w:t>
      </w:r>
      <w:r>
        <w:rPr>
          <w:rFonts w:ascii="Arial" w:cs="Arial" w:eastAsia="Arial" w:hAnsi="Arial"/>
          <w:sz w:val="19"/>
          <w:szCs w:val="19"/>
          <w:u w:val="single" w:color="auto"/>
          <w:color w:val="auto"/>
        </w:rPr>
        <w:t>Loan B Note</w:t>
      </w:r>
      <w:r>
        <w:rPr>
          <w:rFonts w:ascii="Arial" w:cs="Arial" w:eastAsia="Arial" w:hAnsi="Arial"/>
          <w:sz w:val="19"/>
          <w:szCs w:val="19"/>
          <w:color w:val="auto"/>
        </w:rPr>
        <w:t>”), (iii) Horizon provided a loan to Co-Borrowers as evidenced by a certain Secured Promissory Note (Loan C) executed by Co-Borrowers in favor of Horizon, dated March 24, 2017, in the original principal amount of Three Million Seven Hundred Fifty Thousand and 00/100 Dollars ($3,750,000.00) (“</w:t>
      </w:r>
      <w:r>
        <w:rPr>
          <w:rFonts w:ascii="Arial" w:cs="Arial" w:eastAsia="Arial" w:hAnsi="Arial"/>
          <w:sz w:val="19"/>
          <w:szCs w:val="19"/>
          <w:u w:val="single" w:color="auto"/>
          <w:color w:val="auto"/>
        </w:rPr>
        <w:t>Loan C Note</w:t>
      </w:r>
      <w:r>
        <w:rPr>
          <w:rFonts w:ascii="Arial" w:cs="Arial" w:eastAsia="Arial" w:hAnsi="Arial"/>
          <w:sz w:val="19"/>
          <w:szCs w:val="19"/>
          <w:color w:val="auto"/>
        </w:rPr>
        <w:t>”), (iv) SVB provided a loan to Co-Borrowers as evidenced by a certain Secured Promissory Note (Loan D) executed by Co-Borrowers in favor of SVB, dated March 24, 2017, in the original principal amount of Three Million Seven Hundred Fifty Thousand and 00/100 Dollars ($3,750,000.00) (“</w:t>
      </w:r>
      <w:r>
        <w:rPr>
          <w:rFonts w:ascii="Arial" w:cs="Arial" w:eastAsia="Arial" w:hAnsi="Arial"/>
          <w:sz w:val="19"/>
          <w:szCs w:val="19"/>
          <w:u w:val="single" w:color="auto"/>
          <w:color w:val="auto"/>
        </w:rPr>
        <w:t>Loan D Note</w:t>
      </w:r>
      <w:r>
        <w:rPr>
          <w:rFonts w:ascii="Arial" w:cs="Arial" w:eastAsia="Arial" w:hAnsi="Arial"/>
          <w:sz w:val="19"/>
          <w:szCs w:val="19"/>
          <w:color w:val="auto"/>
        </w:rPr>
        <w:t>” and collectively with the Loan A Note, the Loan B Note and the Loan C Note, the “</w:t>
      </w:r>
      <w:r>
        <w:rPr>
          <w:rFonts w:ascii="Arial" w:cs="Arial" w:eastAsia="Arial" w:hAnsi="Arial"/>
          <w:sz w:val="19"/>
          <w:szCs w:val="19"/>
          <w:u w:val="single" w:color="auto"/>
          <w:color w:val="auto"/>
        </w:rPr>
        <w:t>Notes</w:t>
      </w:r>
      <w:r>
        <w:rPr>
          <w:rFonts w:ascii="Arial" w:cs="Arial" w:eastAsia="Arial" w:hAnsi="Arial"/>
          <w:sz w:val="19"/>
          <w:szCs w:val="19"/>
          <w:color w:val="auto"/>
        </w:rPr>
        <w:t>”) and (v) Lenders and Horizon have been granted a security interest in all assets of the Co-Borrowers.</w:t>
      </w:r>
    </w:p>
    <w:p>
      <w:pPr>
        <w:spacing w:after="0" w:line="200" w:lineRule="exact"/>
        <w:rPr>
          <w:sz w:val="20"/>
          <w:szCs w:val="20"/>
          <w:color w:val="auto"/>
        </w:rPr>
      </w:pPr>
    </w:p>
    <w:p>
      <w:pPr>
        <w:spacing w:after="0" w:line="207" w:lineRule="exact"/>
        <w:rPr>
          <w:sz w:val="20"/>
          <w:szCs w:val="20"/>
          <w:color w:val="auto"/>
        </w:rPr>
      </w:pPr>
    </w:p>
    <w:p>
      <w:pPr>
        <w:jc w:val="both"/>
        <w:ind w:left="860" w:hanging="784"/>
        <w:spacing w:after="0" w:line="250"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Horizon assigned all of its right, title and interest in and to the Loan A Note and the Loan C Note to Horizon Funding 2019-1 LLC pursuant to that certain Assignment dated as of August 13, 2019.</w:t>
      </w:r>
    </w:p>
    <w:p>
      <w:pPr>
        <w:spacing w:after="0" w:line="175" w:lineRule="exact"/>
        <w:rPr>
          <w:sz w:val="20"/>
          <w:szCs w:val="20"/>
          <w:color w:val="auto"/>
        </w:rPr>
      </w:pPr>
    </w:p>
    <w:p>
      <w:pPr>
        <w:ind w:firstLine="872"/>
        <w:spacing w:after="0" w:line="250" w:lineRule="auto"/>
        <w:tabs>
          <w:tab w:leader="none" w:pos="2034" w:val="left"/>
        </w:tabs>
        <w:numPr>
          <w:ilvl w:val="0"/>
          <w:numId w:val="11"/>
        </w:numPr>
        <w:rPr>
          <w:rFonts w:ascii="Arial" w:cs="Arial" w:eastAsia="Arial" w:hAnsi="Arial"/>
          <w:sz w:val="22"/>
          <w:szCs w:val="22"/>
          <w:color w:val="auto"/>
        </w:rPr>
      </w:pPr>
      <w:r>
        <w:rPr>
          <w:rFonts w:ascii="Arial" w:cs="Arial" w:eastAsia="Arial" w:hAnsi="Arial"/>
          <w:sz w:val="22"/>
          <w:szCs w:val="22"/>
          <w:color w:val="auto"/>
        </w:rPr>
        <w:t>Horizon Funding 2019-1 LLC assigned all of its right, title and interest in and to the Loan A Note and the Loan C Note to Horizon Trust pursuant to that certain Assignment dated as of August 13, 2019.</w:t>
      </w:r>
    </w:p>
    <w:p>
      <w:pPr>
        <w:spacing w:after="0" w:line="175"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Co-Borrowers have now requested that Lenders revise the repayment schedule of the Notes.</w:t>
      </w:r>
    </w:p>
    <w:p>
      <w:pPr>
        <w:spacing w:after="0" w:line="206" w:lineRule="exact"/>
        <w:rPr>
          <w:sz w:val="20"/>
          <w:szCs w:val="20"/>
          <w:color w:val="auto"/>
        </w:rPr>
      </w:pPr>
    </w:p>
    <w:p>
      <w:pPr>
        <w:ind w:left="860" w:hanging="784"/>
        <w:spacing w:after="0" w:line="250" w:lineRule="auto"/>
        <w:tabs>
          <w:tab w:leader="none" w:pos="8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Lenders are willing to grant such request, but only to the extent, and in accordance with the terms, and subject to the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firstLine="864"/>
        <w:spacing w:after="0" w:line="274" w:lineRule="auto"/>
        <w:rPr>
          <w:sz w:val="20"/>
          <w:szCs w:val="20"/>
          <w:color w:val="auto"/>
        </w:rPr>
      </w:pPr>
      <w:r>
        <w:rPr>
          <w:rFonts w:ascii="Arial" w:cs="Arial" w:eastAsia="Arial" w:hAnsi="Arial"/>
          <w:sz w:val="21"/>
          <w:szCs w:val="21"/>
          <w:color w:val="auto"/>
        </w:rPr>
        <w:t>NOW, THEREFORE, in consideration of the above recitals and for other good and valuable consideration, the receipt and adequacy of which are hereby acknowledged, Co-Borrowers, Lenders and Horizon hereby agree as follows:</w:t>
      </w:r>
    </w:p>
    <w:p>
      <w:pPr>
        <w:spacing w:after="0" w:line="151" w:lineRule="exact"/>
        <w:rPr>
          <w:sz w:val="20"/>
          <w:szCs w:val="20"/>
          <w:color w:val="auto"/>
        </w:rPr>
      </w:pPr>
    </w:p>
    <w:p>
      <w:pPr>
        <w:jc w:val="both"/>
        <w:ind w:left="880"/>
        <w:spacing w:after="0" w:line="238" w:lineRule="auto"/>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Definitions; Interpretation</w:t>
      </w:r>
      <w:r>
        <w:rPr>
          <w:rFonts w:ascii="Arial" w:cs="Arial" w:eastAsia="Arial" w:hAnsi="Arial"/>
          <w:sz w:val="22"/>
          <w:szCs w:val="22"/>
          <w:color w:val="auto"/>
        </w:rPr>
        <w:t>. Unless otherwise defined herein, all capitalized terms used herein and defined in the Loan Agreement shall have the respective meanings given to those terms in the Loan Agreement. Other rules of construction set forth in the Loan Agreement, to the extent not inconsistent with this Agreement, apply to this Agreement and are hereby incorporated by reference.</w:t>
      </w:r>
    </w:p>
    <w:p>
      <w:pPr>
        <w:spacing w:after="0" w:line="185" w:lineRule="exact"/>
        <w:rPr>
          <w:sz w:val="20"/>
          <w:szCs w:val="20"/>
          <w:color w:val="auto"/>
        </w:rPr>
      </w:pPr>
    </w:p>
    <w:p>
      <w:pPr>
        <w:jc w:val="both"/>
        <w:ind w:left="880"/>
        <w:spacing w:after="0" w:line="245" w:lineRule="auto"/>
        <w:rPr>
          <w:sz w:val="20"/>
          <w:szCs w:val="20"/>
          <w:color w:val="auto"/>
        </w:rPr>
      </w:pPr>
      <w:r>
        <w:rPr>
          <w:rFonts w:ascii="Arial" w:cs="Arial" w:eastAsia="Arial" w:hAnsi="Arial"/>
          <w:sz w:val="21"/>
          <w:szCs w:val="21"/>
          <w:color w:val="auto"/>
        </w:rPr>
        <w:t xml:space="preserve">2. </w:t>
      </w:r>
      <w:r>
        <w:rPr>
          <w:rFonts w:ascii="Arial" w:cs="Arial" w:eastAsia="Arial" w:hAnsi="Arial"/>
          <w:sz w:val="21"/>
          <w:szCs w:val="21"/>
          <w:u w:val="single" w:color="auto"/>
          <w:color w:val="auto"/>
        </w:rPr>
        <w:t>Confirmation</w:t>
      </w:r>
      <w:r>
        <w:rPr>
          <w:rFonts w:ascii="Arial" w:cs="Arial" w:eastAsia="Arial" w:hAnsi="Arial"/>
          <w:sz w:val="21"/>
          <w:szCs w:val="21"/>
          <w:color w:val="auto"/>
        </w:rPr>
        <w:t>. Each Co-Borrower hereby acknowledges and agrees that: (i) the Loan Agreement sets forth the legal, valid, binding and continuing obligations of such Co-Borrower to Lenders, (ii) the Obligations to Lenders under the Loan Agreement are secured by validly perfected security interests in all assets of such Co-Borrower, the effectiveness and validity of which are hereby confirmed and (iii) no Co-Borrower has any cause of action, claim, defense or set-off against any Lender or any of their respective affiliates and subsidiaries, officers, directors, employees, shareholders, agents and representatives (“</w:t>
      </w:r>
      <w:r>
        <w:rPr>
          <w:rFonts w:ascii="Arial" w:cs="Arial" w:eastAsia="Arial" w:hAnsi="Arial"/>
          <w:sz w:val="21"/>
          <w:szCs w:val="21"/>
          <w:u w:val="single" w:color="auto"/>
          <w:color w:val="auto"/>
        </w:rPr>
        <w:t>Related Parties</w:t>
      </w:r>
      <w:r>
        <w:rPr>
          <w:rFonts w:ascii="Arial" w:cs="Arial" w:eastAsia="Arial" w:hAnsi="Arial"/>
          <w:sz w:val="21"/>
          <w:szCs w:val="21"/>
          <w:color w:val="auto"/>
        </w:rPr>
        <w:t>”) in any way regarding or relating to the Loan Agreement or such Lender’s or their respective Related Parties’ actions thereunder and to the extent any such cause of action, claim, defense or set-off ever existed, whether foreseen or unforeseen, it is waived and such Lender and their respective Related Parties are released from any such causes of action, claims, defenses or rights of set-off of each Co-Borrower.</w:t>
      </w:r>
    </w:p>
    <w:p>
      <w:pPr>
        <w:spacing w:after="0" w:line="181" w:lineRule="exact"/>
        <w:rPr>
          <w:sz w:val="20"/>
          <w:szCs w:val="20"/>
          <w:color w:val="auto"/>
        </w:rPr>
      </w:pPr>
    </w:p>
    <w:p>
      <w:pPr>
        <w:ind w:left="880"/>
        <w:spacing w:after="0"/>
        <w:tabs>
          <w:tab w:leader="none" w:pos="230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2"/>
          <w:szCs w:val="22"/>
          <w:u w:val="single" w:color="auto"/>
          <w:color w:val="auto"/>
        </w:rPr>
        <w:t>Amendments to Loan Agreement</w:t>
      </w:r>
      <w:r>
        <w:rPr>
          <w:rFonts w:ascii="Arial" w:cs="Arial" w:eastAsia="Arial" w:hAnsi="Arial"/>
          <w:sz w:val="22"/>
          <w:szCs w:val="22"/>
          <w:color w:val="auto"/>
        </w:rPr>
        <w:t>.</w:t>
      </w:r>
    </w:p>
    <w:p>
      <w:pPr>
        <w:spacing w:after="0" w:line="206" w:lineRule="exact"/>
        <w:rPr>
          <w:sz w:val="20"/>
          <w:szCs w:val="20"/>
          <w:color w:val="auto"/>
        </w:rPr>
      </w:pPr>
    </w:p>
    <w:p>
      <w:pPr>
        <w:ind w:left="1700" w:right="20" w:hanging="842"/>
        <w:spacing w:after="0" w:line="274" w:lineRule="auto"/>
        <w:tabs>
          <w:tab w:leader="none" w:pos="170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Co-Borrowers and Lenders hereby agree that the definition of “Maturity Date” appearing in Section 1.1 of the Loan Agreement is hereby deleted in its entirety and is replaced with the following:</w:t>
      </w:r>
    </w:p>
    <w:p>
      <w:pPr>
        <w:spacing w:after="0" w:line="151" w:lineRule="exact"/>
        <w:rPr>
          <w:sz w:val="20"/>
          <w:szCs w:val="20"/>
          <w:color w:val="auto"/>
        </w:rPr>
      </w:pPr>
    </w:p>
    <w:p>
      <w:pPr>
        <w:jc w:val="both"/>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(a) with respect to Loan A and Loan B, August 1, 2020, and (b) with respect to Loan C and Loan D, January 1, 2021, or if earlier, the date of acceleration of such Loan following an Event of Default or the date of prepayment, whichever is applicable.”</w:t>
      </w:r>
    </w:p>
    <w:p>
      <w:pPr>
        <w:spacing w:after="0" w:line="186" w:lineRule="exact"/>
        <w:rPr>
          <w:sz w:val="20"/>
          <w:szCs w:val="20"/>
          <w:color w:val="auto"/>
        </w:rPr>
      </w:pPr>
    </w:p>
    <w:p>
      <w:pPr>
        <w:ind w:left="1700" w:hanging="842"/>
        <w:spacing w:after="0" w:line="250" w:lineRule="auto"/>
        <w:tabs>
          <w:tab w:leader="none" w:pos="17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Co-Borrowers and Lenders hereby agree that Section 2.2(a) of the Loan Agreement is hereby deleted in its entirety and replaced with the following:</w:t>
      </w:r>
    </w:p>
    <w:p>
      <w:pPr>
        <w:spacing w:after="0" w:line="175" w:lineRule="exact"/>
        <w:rPr>
          <w:sz w:val="20"/>
          <w:szCs w:val="20"/>
          <w:color w:val="auto"/>
        </w:rPr>
      </w:pPr>
    </w:p>
    <w:p>
      <w:pPr>
        <w:jc w:val="both"/>
        <w:ind w:left="1740"/>
        <w:spacing w:after="0" w:line="246"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Scheduled Payments</w:t>
      </w:r>
      <w:r>
        <w:rPr>
          <w:rFonts w:ascii="Arial" w:cs="Arial" w:eastAsia="Arial" w:hAnsi="Arial"/>
          <w:sz w:val="21"/>
          <w:szCs w:val="21"/>
          <w:color w:val="auto"/>
        </w:rPr>
        <w:t>. Co-Borrowers shall make a payment of accrued interest and principal in repayment of each Loan in the amounts and on the Payment Dates as set forth in the Note applicable to such Loan (collectively, the “</w:t>
      </w:r>
      <w:r>
        <w:rPr>
          <w:rFonts w:ascii="Arial" w:cs="Arial" w:eastAsia="Arial" w:hAnsi="Arial"/>
          <w:sz w:val="21"/>
          <w:szCs w:val="21"/>
          <w:u w:val="single" w:color="auto"/>
          <w:color w:val="auto"/>
        </w:rPr>
        <w:t>Scheduled Payments</w:t>
      </w:r>
      <w:r>
        <w:rPr>
          <w:rFonts w:ascii="Arial" w:cs="Arial" w:eastAsia="Arial" w:hAnsi="Arial"/>
          <w:sz w:val="21"/>
          <w:szCs w:val="21"/>
          <w:color w:val="auto"/>
        </w:rPr>
        <w:t>”). Co-Borrowers shall make such Scheduled Payments commencing on the date set forth in the Note applicable to such Loan and continuing thereafter on the first Business Day of each calendar month (each a “</w:t>
      </w:r>
      <w:r>
        <w:rPr>
          <w:rFonts w:ascii="Arial" w:cs="Arial" w:eastAsia="Arial" w:hAnsi="Arial"/>
          <w:sz w:val="21"/>
          <w:szCs w:val="21"/>
          <w:u w:val="single" w:color="auto"/>
          <w:color w:val="auto"/>
        </w:rPr>
        <w:t>Payment Date</w:t>
      </w:r>
      <w:r>
        <w:rPr>
          <w:rFonts w:ascii="Arial" w:cs="Arial" w:eastAsia="Arial" w:hAnsi="Arial"/>
          <w:sz w:val="21"/>
          <w:szCs w:val="21"/>
          <w:color w:val="auto"/>
        </w:rPr>
        <w:t>”) through the Maturity Date applicable to such Loan. In any event, all unpaid principal and accrued interest on each Loan shall be due and payable in full on the Maturity Date applicable to each Loan.”</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ind w:left="1620" w:hanging="842"/>
        <w:spacing w:after="0" w:line="250" w:lineRule="auto"/>
        <w:tabs>
          <w:tab w:leader="none" w:pos="16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Co-Borrowers and Lender hereby agree that Section 2.2(g) of the Loan Agreement is hereby deleted in its entirety and replaced with the following:</w:t>
      </w:r>
    </w:p>
    <w:p>
      <w:pPr>
        <w:spacing w:after="0" w:line="175"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u w:val="single" w:color="auto"/>
          <w:color w:val="auto"/>
        </w:rPr>
        <w:t>Final Payment</w:t>
      </w:r>
      <w:r>
        <w:rPr>
          <w:rFonts w:ascii="Arial" w:cs="Arial" w:eastAsia="Arial" w:hAnsi="Arial"/>
          <w:sz w:val="22"/>
          <w:szCs w:val="22"/>
          <w:color w:val="auto"/>
        </w:rPr>
        <w:t>.</w:t>
      </w:r>
    </w:p>
    <w:p>
      <w:pPr>
        <w:spacing w:after="0" w:line="206" w:lineRule="exact"/>
        <w:rPr>
          <w:sz w:val="20"/>
          <w:szCs w:val="20"/>
          <w:color w:val="auto"/>
        </w:rPr>
      </w:pPr>
    </w:p>
    <w:p>
      <w:pPr>
        <w:jc w:val="both"/>
        <w:ind w:left="1660" w:hanging="5"/>
        <w:spacing w:after="0" w:line="252" w:lineRule="auto"/>
        <w:tabs>
          <w:tab w:leader="none" w:pos="2512"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Loan A Final Payment</w:t>
      </w:r>
      <w:r>
        <w:rPr>
          <w:rFonts w:ascii="Arial" w:cs="Arial" w:eastAsia="Arial" w:hAnsi="Arial"/>
          <w:sz w:val="21"/>
          <w:szCs w:val="21"/>
          <w:color w:val="auto"/>
        </w:rPr>
        <w:t>. Co-Borrowers shall pay to Horizon a payment in the amount of Three Hundred Seventy Five Thousand Dollars ($375,000) (the “</w:t>
      </w:r>
      <w:r>
        <w:rPr>
          <w:rFonts w:ascii="Arial" w:cs="Arial" w:eastAsia="Arial" w:hAnsi="Arial"/>
          <w:sz w:val="21"/>
          <w:szCs w:val="21"/>
          <w:u w:val="single" w:color="auto"/>
          <w:color w:val="auto"/>
        </w:rPr>
        <w:t>Loan A Final Payment</w:t>
      </w:r>
      <w:r>
        <w:rPr>
          <w:rFonts w:ascii="Arial" w:cs="Arial" w:eastAsia="Arial" w:hAnsi="Arial"/>
          <w:sz w:val="21"/>
          <w:szCs w:val="21"/>
          <w:color w:val="auto"/>
        </w:rPr>
        <w:t>”) upon the earlier of (A) payment in full of the principal balance of Loan A, (B) an Event of Default and demand by any Lender of payment in full of Loan A or (C) the Maturity Date applicable to Loan A, as applicable.</w:t>
      </w:r>
    </w:p>
    <w:p>
      <w:pPr>
        <w:spacing w:after="0" w:line="173" w:lineRule="exact"/>
        <w:rPr>
          <w:rFonts w:ascii="Arial" w:cs="Arial" w:eastAsia="Arial" w:hAnsi="Arial"/>
          <w:sz w:val="21"/>
          <w:szCs w:val="21"/>
          <w:color w:val="auto"/>
        </w:rPr>
      </w:pPr>
    </w:p>
    <w:p>
      <w:pPr>
        <w:jc w:val="both"/>
        <w:ind w:left="1660" w:hanging="5"/>
        <w:spacing w:after="0" w:line="252" w:lineRule="auto"/>
        <w:tabs>
          <w:tab w:leader="none" w:pos="2670" w:val="left"/>
        </w:tabs>
        <w:numPr>
          <w:ilvl w:val="0"/>
          <w:numId w:val="15"/>
        </w:numPr>
        <w:rPr>
          <w:rFonts w:ascii="Arial" w:cs="Arial" w:eastAsia="Arial" w:hAnsi="Arial"/>
          <w:sz w:val="21"/>
          <w:szCs w:val="21"/>
          <w:color w:val="auto"/>
        </w:rPr>
      </w:pPr>
      <w:r>
        <w:rPr>
          <w:rFonts w:ascii="Arial" w:cs="Arial" w:eastAsia="Arial" w:hAnsi="Arial"/>
          <w:sz w:val="21"/>
          <w:szCs w:val="21"/>
          <w:color w:val="auto"/>
        </w:rPr>
        <w:t>Loan B Final Payment. Co-Borrowers shall pay to SVB a payment in the amount of Three Hundred Seventy Five Thousand Dollars ($375,000) (the “</w:t>
      </w:r>
      <w:r>
        <w:rPr>
          <w:rFonts w:ascii="Arial" w:cs="Arial" w:eastAsia="Arial" w:hAnsi="Arial"/>
          <w:sz w:val="21"/>
          <w:szCs w:val="21"/>
          <w:u w:val="single" w:color="auto"/>
          <w:color w:val="auto"/>
        </w:rPr>
        <w:t>Loan B Final Payment</w:t>
      </w:r>
      <w:r>
        <w:rPr>
          <w:rFonts w:ascii="Arial" w:cs="Arial" w:eastAsia="Arial" w:hAnsi="Arial"/>
          <w:sz w:val="21"/>
          <w:szCs w:val="21"/>
          <w:color w:val="auto"/>
        </w:rPr>
        <w:t>”) upon the earlier of (A) payment in full of the principal balance of Loan B, (B) an Event of Default and demand by any Lender of payment in full of Loan B or (C) the Maturity Date applicable to Loan B, as applicable.</w:t>
      </w:r>
    </w:p>
    <w:p>
      <w:pPr>
        <w:spacing w:after="0" w:line="173" w:lineRule="exact"/>
        <w:rPr>
          <w:rFonts w:ascii="Arial" w:cs="Arial" w:eastAsia="Arial" w:hAnsi="Arial"/>
          <w:sz w:val="21"/>
          <w:szCs w:val="21"/>
          <w:color w:val="auto"/>
        </w:rPr>
      </w:pPr>
    </w:p>
    <w:p>
      <w:pPr>
        <w:jc w:val="both"/>
        <w:ind w:left="1660" w:hanging="5"/>
        <w:spacing w:after="0" w:line="287" w:lineRule="auto"/>
        <w:tabs>
          <w:tab w:leader="none" w:pos="2632"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Loan C Final Payment</w:t>
      </w:r>
      <w:r>
        <w:rPr>
          <w:rFonts w:ascii="Arial" w:cs="Arial" w:eastAsia="Arial" w:hAnsi="Arial"/>
          <w:sz w:val="19"/>
          <w:szCs w:val="19"/>
          <w:color w:val="auto"/>
        </w:rPr>
        <w:t>. Co-Borrowers shall pay to Horizon a payment in the amount of Three Hundred Eighteen Thousand Seven Hundred Fifty Dollars ($318,750) (the “Loan C Final Payment”) upon the earlier of (A) payment in full of the principal balance of Loan C, (B) an Event of Default and demand by any Lender of payment in full of Loan C or (C) the Maturity Date applicable to Loan C, as applicable.</w:t>
      </w:r>
    </w:p>
    <w:p>
      <w:pPr>
        <w:spacing w:after="0" w:line="142" w:lineRule="exact"/>
        <w:rPr>
          <w:rFonts w:ascii="Arial" w:cs="Arial" w:eastAsia="Arial" w:hAnsi="Arial"/>
          <w:sz w:val="19"/>
          <w:szCs w:val="19"/>
          <w:color w:val="auto"/>
        </w:rPr>
      </w:pPr>
    </w:p>
    <w:p>
      <w:pPr>
        <w:jc w:val="both"/>
        <w:ind w:left="1660" w:hanging="5"/>
        <w:spacing w:after="0" w:line="287" w:lineRule="auto"/>
        <w:tabs>
          <w:tab w:leader="none" w:pos="262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Loan D Final Payment</w:t>
      </w:r>
      <w:r>
        <w:rPr>
          <w:rFonts w:ascii="Arial" w:cs="Arial" w:eastAsia="Arial" w:hAnsi="Arial"/>
          <w:sz w:val="19"/>
          <w:szCs w:val="19"/>
          <w:color w:val="auto"/>
        </w:rPr>
        <w:t>. Co-Borrowers shall pay to SVB a payment in the amount of Three Hundred Eighteen Thousand Seven Hundred Fifty Dollars ($318,750) (the “</w:t>
      </w:r>
      <w:r>
        <w:rPr>
          <w:rFonts w:ascii="Arial" w:cs="Arial" w:eastAsia="Arial" w:hAnsi="Arial"/>
          <w:sz w:val="19"/>
          <w:szCs w:val="19"/>
          <w:u w:val="single" w:color="auto"/>
          <w:color w:val="auto"/>
        </w:rPr>
        <w:t>Loan D Final Payment</w:t>
      </w:r>
      <w:r>
        <w:rPr>
          <w:rFonts w:ascii="Arial" w:cs="Arial" w:eastAsia="Arial" w:hAnsi="Arial"/>
          <w:sz w:val="19"/>
          <w:szCs w:val="19"/>
          <w:color w:val="auto"/>
        </w:rPr>
        <w:t>”) upon the earlier of (A) payment in full of the principal balance of Loan D, (B) an Event of Default and demand by any Lender of payment in full of Loan D or (C) the Maturity Date applicable to Loan 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-2029460</wp:posOffset>
            </wp:positionV>
            <wp:extent cx="13836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123" w:lineRule="exact"/>
        <w:rPr>
          <w:sz w:val="20"/>
          <w:szCs w:val="20"/>
          <w:color w:val="auto"/>
        </w:rPr>
      </w:pPr>
    </w:p>
    <w:p>
      <w:pPr>
        <w:ind w:left="1660" w:right="20"/>
        <w:spacing w:after="0" w:line="250" w:lineRule="auto"/>
        <w:rPr>
          <w:sz w:val="20"/>
          <w:szCs w:val="20"/>
          <w:color w:val="auto"/>
        </w:rPr>
      </w:pPr>
      <w:r>
        <w:rPr>
          <w:rFonts w:ascii="Arial" w:cs="Arial" w:eastAsia="Arial" w:hAnsi="Arial"/>
          <w:sz w:val="22"/>
          <w:szCs w:val="22"/>
          <w:color w:val="auto"/>
        </w:rPr>
        <w:t>All final payments under this subsection (g) shall be fully earned as of April 1, 2020, constitute a portion of the Obligations, and be secured by all Collateral.”</w:t>
      </w:r>
    </w:p>
    <w:p>
      <w:pPr>
        <w:spacing w:after="0" w:line="175" w:lineRule="exact"/>
        <w:rPr>
          <w:sz w:val="20"/>
          <w:szCs w:val="20"/>
          <w:color w:val="auto"/>
        </w:rPr>
      </w:pPr>
    </w:p>
    <w:p>
      <w:pPr>
        <w:ind w:left="1620" w:right="20" w:hanging="842"/>
        <w:spacing w:after="0" w:line="250" w:lineRule="auto"/>
        <w:tabs>
          <w:tab w:leader="none" w:pos="16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Co-Borrowers and Lenders hereby agree that Section 6.15 of the Loan Agreement shall be deleted in its entirety and replaced with the following:</w:t>
      </w:r>
    </w:p>
    <w:p>
      <w:pPr>
        <w:spacing w:after="0" w:line="175"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 xml:space="preserve">“6.15 </w:t>
      </w:r>
      <w:r>
        <w:rPr>
          <w:rFonts w:ascii="Arial" w:cs="Arial" w:eastAsia="Arial" w:hAnsi="Arial"/>
          <w:sz w:val="22"/>
          <w:szCs w:val="22"/>
          <w:u w:val="single" w:color="auto"/>
          <w:color w:val="auto"/>
        </w:rPr>
        <w:t>Minimum Cash Covenant</w:t>
      </w:r>
      <w:r>
        <w:rPr>
          <w:rFonts w:ascii="Arial" w:cs="Arial" w:eastAsia="Arial" w:hAnsi="Arial"/>
          <w:sz w:val="22"/>
          <w:szCs w:val="22"/>
          <w:color w:val="auto"/>
        </w:rPr>
        <w:t>.</w:t>
      </w:r>
    </w:p>
    <w:p>
      <w:pPr>
        <w:spacing w:after="0" w:line="206" w:lineRule="exact"/>
        <w:rPr>
          <w:sz w:val="20"/>
          <w:szCs w:val="20"/>
          <w:color w:val="auto"/>
        </w:rPr>
      </w:pPr>
    </w:p>
    <w:p>
      <w:pPr>
        <w:jc w:val="both"/>
        <w:ind w:left="2500" w:hanging="858"/>
        <w:spacing w:after="0" w:line="238" w:lineRule="auto"/>
        <w:tabs>
          <w:tab w:leader="none" w:pos="25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Co-Borrowers shall, during the period commencing as of December 20, 2017 and continuing through March 31, 2020, maintain at all times not less than Two Million Five Hundred Thousand and 00/100 Dollars ($2,500,000.00) in the aggregate on deposit in deposit accounts subject to Account Control Agreements.</w:t>
      </w:r>
    </w:p>
    <w:p>
      <w:pPr>
        <w:spacing w:after="0" w:line="184" w:lineRule="exact"/>
        <w:rPr>
          <w:rFonts w:ascii="Arial" w:cs="Arial" w:eastAsia="Arial" w:hAnsi="Arial"/>
          <w:sz w:val="22"/>
          <w:szCs w:val="22"/>
          <w:color w:val="auto"/>
        </w:rPr>
      </w:pPr>
    </w:p>
    <w:p>
      <w:pPr>
        <w:ind w:left="2500" w:hanging="858"/>
        <w:spacing w:after="0" w:line="250" w:lineRule="auto"/>
        <w:tabs>
          <w:tab w:leader="none" w:pos="25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Co-Borrowers shall, during the period commencing on April 1, 2020 and continuing through June 30, 2020, not be required to maintain any specified</w:t>
      </w:r>
    </w:p>
    <w:p>
      <w:pPr>
        <w:spacing w:after="0" w:line="391"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187325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334" w:right="339" w:bottom="1440" w:gutter="0" w:footer="0" w:header="0"/>
        </w:sectPr>
      </w:pPr>
    </w:p>
    <w:bookmarkStart w:id="38" w:name="page39"/>
    <w:bookmarkEnd w:id="38"/>
    <w:p>
      <w:pPr>
        <w:ind w:left="1722"/>
        <w:spacing w:after="0"/>
        <w:rPr>
          <w:sz w:val="20"/>
          <w:szCs w:val="20"/>
          <w:color w:val="auto"/>
        </w:rPr>
      </w:pPr>
      <w:r>
        <w:rPr>
          <w:rFonts w:ascii="Arial" w:cs="Arial" w:eastAsia="Arial" w:hAnsi="Arial"/>
          <w:sz w:val="22"/>
          <w:szCs w:val="22"/>
          <w:color w:val="auto"/>
        </w:rPr>
        <w:t>amount of cash on deposit in deposit accounts subject to Account Control Agreements.</w:t>
      </w:r>
    </w:p>
    <w:p>
      <w:pPr>
        <w:spacing w:after="0" w:line="206" w:lineRule="exact"/>
        <w:rPr>
          <w:sz w:val="20"/>
          <w:szCs w:val="20"/>
          <w:color w:val="auto"/>
        </w:rPr>
      </w:pPr>
    </w:p>
    <w:p>
      <w:pPr>
        <w:jc w:val="both"/>
        <w:ind w:left="1722" w:hanging="858"/>
        <w:spacing w:after="0" w:line="287" w:lineRule="auto"/>
        <w:tabs>
          <w:tab w:leader="none" w:pos="1722" w:val="left"/>
        </w:tabs>
        <w:numPr>
          <w:ilvl w:val="0"/>
          <w:numId w:val="18"/>
        </w:numPr>
        <w:rPr>
          <w:rFonts w:ascii="Arial" w:cs="Arial" w:eastAsia="Arial" w:hAnsi="Arial"/>
          <w:sz w:val="19"/>
          <w:szCs w:val="19"/>
          <w:color w:val="auto"/>
        </w:rPr>
      </w:pPr>
      <w:r>
        <w:rPr>
          <w:rFonts w:ascii="Arial" w:cs="Arial" w:eastAsia="Arial" w:hAnsi="Arial"/>
          <w:sz w:val="19"/>
          <w:szCs w:val="19"/>
          <w:color w:val="auto"/>
        </w:rPr>
        <w:t>Co-Borrowers shall, during the period commencing on July 1, 2020 and continuing until the repayment in full of the Obligations, maintain at all times aggregate cash on deposit in deposit accounts subject to Account Control Agreements in amounts equal to the lesser of (i) One Million Dollars ($1,000,000) or (ii) the then-current aggregate outstanding principal balance of all Loans.”</w:t>
      </w:r>
    </w:p>
    <w:p>
      <w:pPr>
        <w:spacing w:after="0" w:line="143" w:lineRule="exact"/>
        <w:rPr>
          <w:sz w:val="20"/>
          <w:szCs w:val="20"/>
          <w:color w:val="auto"/>
        </w:rPr>
      </w:pPr>
    </w:p>
    <w:p>
      <w:pPr>
        <w:jc w:val="both"/>
        <w:ind w:left="22"/>
        <w:spacing w:after="0" w:line="257" w:lineRule="auto"/>
        <w:rPr>
          <w:sz w:val="20"/>
          <w:szCs w:val="20"/>
          <w:color w:val="auto"/>
        </w:rPr>
      </w:pPr>
      <w:r>
        <w:rPr>
          <w:rFonts w:ascii="Arial" w:cs="Arial" w:eastAsia="Arial" w:hAnsi="Arial"/>
          <w:sz w:val="21"/>
          <w:szCs w:val="21"/>
          <w:color w:val="auto"/>
        </w:rPr>
        <w:t xml:space="preserve">4. </w:t>
      </w:r>
      <w:r>
        <w:rPr>
          <w:rFonts w:ascii="Arial" w:cs="Arial" w:eastAsia="Arial" w:hAnsi="Arial"/>
          <w:sz w:val="21"/>
          <w:szCs w:val="21"/>
          <w:u w:val="single" w:color="auto"/>
          <w:color w:val="auto"/>
        </w:rPr>
        <w:t>Amended and Restated Notes</w:t>
      </w:r>
      <w:r>
        <w:rPr>
          <w:rFonts w:ascii="Arial" w:cs="Arial" w:eastAsia="Arial" w:hAnsi="Arial"/>
          <w:sz w:val="21"/>
          <w:szCs w:val="21"/>
          <w:color w:val="auto"/>
        </w:rPr>
        <w:t>. The Notes are hereby amended and restated in their entirety as set forth in Exhibit A attached hereto and made a part hereof (the “</w:t>
      </w:r>
      <w:r>
        <w:rPr>
          <w:rFonts w:ascii="Arial" w:cs="Arial" w:eastAsia="Arial" w:hAnsi="Arial"/>
          <w:sz w:val="21"/>
          <w:szCs w:val="21"/>
          <w:u w:val="single" w:color="auto"/>
          <w:color w:val="auto"/>
        </w:rPr>
        <w:t>Amended and Restated Notes</w:t>
      </w:r>
      <w:r>
        <w:rPr>
          <w:rFonts w:ascii="Arial" w:cs="Arial" w:eastAsia="Arial" w:hAnsi="Arial"/>
          <w:sz w:val="21"/>
          <w:szCs w:val="21"/>
          <w:color w:val="auto"/>
        </w:rPr>
        <w:t>”). All references to Note or Notes in the Loan Agreement and the other Loan Documents shall mean the Amended and Restated Notes.</w:t>
      </w:r>
    </w:p>
    <w:p>
      <w:pPr>
        <w:spacing w:after="0" w:line="169" w:lineRule="exact"/>
        <w:rPr>
          <w:sz w:val="20"/>
          <w:szCs w:val="20"/>
          <w:color w:val="auto"/>
        </w:rPr>
      </w:pPr>
    </w:p>
    <w:p>
      <w:pPr>
        <w:ind w:left="22"/>
        <w:spacing w:after="0"/>
        <w:tabs>
          <w:tab w:leader="none" w:pos="1441"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6" w:lineRule="exact"/>
        <w:rPr>
          <w:sz w:val="20"/>
          <w:szCs w:val="20"/>
          <w:color w:val="auto"/>
        </w:rPr>
      </w:pPr>
    </w:p>
    <w:p>
      <w:pPr>
        <w:jc w:val="both"/>
        <w:ind w:left="842" w:hanging="842"/>
        <w:spacing w:after="0" w:line="287" w:lineRule="auto"/>
        <w:tabs>
          <w:tab w:leader="none" w:pos="842" w:val="left"/>
        </w:tabs>
        <w:numPr>
          <w:ilvl w:val="0"/>
          <w:numId w:val="19"/>
        </w:numPr>
        <w:rPr>
          <w:rFonts w:ascii="Arial" w:cs="Arial" w:eastAsia="Arial" w:hAnsi="Arial"/>
          <w:sz w:val="19"/>
          <w:szCs w:val="19"/>
          <w:color w:val="auto"/>
        </w:rPr>
      </w:pPr>
      <w:r>
        <w:rPr>
          <w:rFonts w:ascii="Arial" w:cs="Arial" w:eastAsia="Arial" w:hAnsi="Arial"/>
          <w:sz w:val="19"/>
          <w:szCs w:val="19"/>
          <w:color w:val="auto"/>
        </w:rPr>
        <w:t>At and as of the date of this Agreement and both prior to and after giving effect to this Agreement, each of the representations and warranties contained in the Loan Agreement is true and correct in all material respects (except where such representations and warranties expressly relate to an earlier date, in which case such representations and warranties are true and correct in all material respects as of such earlier date).</w:t>
      </w:r>
    </w:p>
    <w:p>
      <w:pPr>
        <w:spacing w:after="0" w:line="142" w:lineRule="exact"/>
        <w:rPr>
          <w:rFonts w:ascii="Arial" w:cs="Arial" w:eastAsia="Arial" w:hAnsi="Arial"/>
          <w:sz w:val="19"/>
          <w:szCs w:val="19"/>
          <w:color w:val="auto"/>
        </w:rPr>
      </w:pPr>
    </w:p>
    <w:p>
      <w:pPr>
        <w:jc w:val="both"/>
        <w:ind w:left="842" w:hanging="842"/>
        <w:spacing w:after="0"/>
        <w:tabs>
          <w:tab w:leader="none" w:pos="842" w:val="left"/>
        </w:tabs>
        <w:numPr>
          <w:ilvl w:val="0"/>
          <w:numId w:val="19"/>
        </w:numPr>
        <w:rPr>
          <w:rFonts w:ascii="Arial" w:cs="Arial" w:eastAsia="Arial" w:hAnsi="Arial"/>
          <w:sz w:val="22"/>
          <w:szCs w:val="22"/>
          <w:color w:val="auto"/>
        </w:rPr>
      </w:pPr>
      <w:r>
        <w:rPr>
          <w:rFonts w:ascii="Arial" w:cs="Arial" w:eastAsia="Arial" w:hAnsi="Arial"/>
          <w:sz w:val="22"/>
          <w:szCs w:val="22"/>
          <w:color w:val="auto"/>
        </w:rPr>
        <w:t>Each Co-Borrower has all necessary power and authority to execute, deliver, and perform in accordance with the terms thereof, this Agreement. Each Co-Borrower has all requisite power and authority to own and operate its Property and to carry on its business as now conducted.</w:t>
      </w:r>
    </w:p>
    <w:p>
      <w:pPr>
        <w:spacing w:after="0" w:line="186" w:lineRule="exact"/>
        <w:rPr>
          <w:rFonts w:ascii="Arial" w:cs="Arial" w:eastAsia="Arial" w:hAnsi="Arial"/>
          <w:sz w:val="22"/>
          <w:szCs w:val="22"/>
          <w:color w:val="auto"/>
        </w:rPr>
      </w:pPr>
    </w:p>
    <w:p>
      <w:pPr>
        <w:ind w:left="842" w:hanging="842"/>
        <w:spacing w:after="0" w:line="250" w:lineRule="auto"/>
        <w:tabs>
          <w:tab w:leader="none" w:pos="842" w:val="left"/>
        </w:tabs>
        <w:numPr>
          <w:ilvl w:val="0"/>
          <w:numId w:val="19"/>
        </w:numPr>
        <w:rPr>
          <w:rFonts w:ascii="Arial" w:cs="Arial" w:eastAsia="Arial" w:hAnsi="Arial"/>
          <w:sz w:val="22"/>
          <w:szCs w:val="22"/>
          <w:color w:val="auto"/>
        </w:rPr>
      </w:pPr>
      <w:r>
        <w:rPr>
          <w:rFonts w:ascii="Arial" w:cs="Arial" w:eastAsia="Arial" w:hAnsi="Arial"/>
          <w:sz w:val="22"/>
          <w:szCs w:val="22"/>
          <w:color w:val="auto"/>
        </w:rPr>
        <w:t>No Default or Event of Default has occurred under the Loan Agreement or the other Loan Documents and is continuing or will exist after giving effect to this Agreement.</w:t>
      </w:r>
    </w:p>
    <w:p>
      <w:pPr>
        <w:spacing w:after="0" w:line="175" w:lineRule="exact"/>
        <w:rPr>
          <w:sz w:val="20"/>
          <w:szCs w:val="20"/>
          <w:color w:val="auto"/>
        </w:rPr>
      </w:pPr>
    </w:p>
    <w:p>
      <w:pPr>
        <w:ind w:left="22"/>
        <w:spacing w:after="0" w:line="250" w:lineRule="auto"/>
        <w:rPr>
          <w:sz w:val="20"/>
          <w:szCs w:val="20"/>
          <w:color w:val="auto"/>
        </w:rPr>
      </w:pPr>
      <w:r>
        <w:rPr>
          <w:rFonts w:ascii="Arial" w:cs="Arial" w:eastAsia="Arial" w:hAnsi="Arial"/>
          <w:sz w:val="22"/>
          <w:szCs w:val="22"/>
          <w:color w:val="auto"/>
        </w:rPr>
        <w:t xml:space="preserve">6. </w:t>
      </w:r>
      <w:r>
        <w:rPr>
          <w:rFonts w:ascii="Arial" w:cs="Arial" w:eastAsia="Arial" w:hAnsi="Arial"/>
          <w:sz w:val="22"/>
          <w:szCs w:val="22"/>
          <w:u w:val="single" w:color="auto"/>
          <w:color w:val="auto"/>
        </w:rPr>
        <w:t>Conditions to Effectiveness</w:t>
      </w:r>
      <w:r>
        <w:rPr>
          <w:rFonts w:ascii="Arial" w:cs="Arial" w:eastAsia="Arial" w:hAnsi="Arial"/>
          <w:sz w:val="22"/>
          <w:szCs w:val="22"/>
          <w:color w:val="auto"/>
        </w:rPr>
        <w:t>. Each Lender’s consent and agreement herein is expressly conditioned on the following:</w:t>
      </w:r>
    </w:p>
    <w:p>
      <w:pPr>
        <w:spacing w:after="0" w:line="175" w:lineRule="exact"/>
        <w:rPr>
          <w:sz w:val="20"/>
          <w:szCs w:val="20"/>
          <w:color w:val="auto"/>
        </w:rPr>
      </w:pPr>
    </w:p>
    <w:p>
      <w:pPr>
        <w:ind w:left="842" w:hanging="842"/>
        <w:spacing w:after="0"/>
        <w:tabs>
          <w:tab w:leader="none" w:pos="842" w:val="left"/>
        </w:tabs>
        <w:numPr>
          <w:ilvl w:val="0"/>
          <w:numId w:val="20"/>
        </w:numPr>
        <w:rPr>
          <w:rFonts w:ascii="Arial" w:cs="Arial" w:eastAsia="Arial" w:hAnsi="Arial"/>
          <w:sz w:val="22"/>
          <w:szCs w:val="22"/>
          <w:color w:val="auto"/>
        </w:rPr>
      </w:pPr>
      <w:r>
        <w:rPr>
          <w:rFonts w:ascii="Arial" w:cs="Arial" w:eastAsia="Arial" w:hAnsi="Arial"/>
          <w:sz w:val="22"/>
          <w:szCs w:val="22"/>
          <w:color w:val="auto"/>
        </w:rPr>
        <w:t>Each Co-Borrower executing and delivering to Lenders a duly executed copy of this Agreement;</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20"/>
        </w:numPr>
        <w:rPr>
          <w:rFonts w:ascii="Arial" w:cs="Arial" w:eastAsia="Arial" w:hAnsi="Arial"/>
          <w:sz w:val="21"/>
          <w:szCs w:val="21"/>
          <w:color w:val="auto"/>
        </w:rPr>
      </w:pPr>
      <w:r>
        <w:rPr>
          <w:rFonts w:ascii="Arial" w:cs="Arial" w:eastAsia="Arial" w:hAnsi="Arial"/>
          <w:sz w:val="21"/>
          <w:szCs w:val="21"/>
          <w:color w:val="auto"/>
        </w:rPr>
        <w:t>Each Co-Borrower executing and delivering to Lenders each original Amended and Restated Note;</w:t>
      </w:r>
    </w:p>
    <w:p>
      <w:pPr>
        <w:spacing w:after="0" w:line="217" w:lineRule="exact"/>
        <w:rPr>
          <w:rFonts w:ascii="Arial" w:cs="Arial" w:eastAsia="Arial" w:hAnsi="Arial"/>
          <w:sz w:val="21"/>
          <w:szCs w:val="21"/>
          <w:color w:val="auto"/>
        </w:rPr>
      </w:pPr>
    </w:p>
    <w:p>
      <w:pPr>
        <w:ind w:left="842" w:hanging="842"/>
        <w:spacing w:after="0" w:line="328" w:lineRule="auto"/>
        <w:tabs>
          <w:tab w:leader="none" w:pos="842" w:val="left"/>
        </w:tabs>
        <w:numPr>
          <w:ilvl w:val="0"/>
          <w:numId w:val="20"/>
        </w:numPr>
        <w:rPr>
          <w:rFonts w:ascii="Arial" w:cs="Arial" w:eastAsia="Arial" w:hAnsi="Arial"/>
          <w:sz w:val="19"/>
          <w:szCs w:val="19"/>
          <w:color w:val="auto"/>
        </w:rPr>
      </w:pPr>
      <w:r>
        <w:rPr>
          <w:rFonts w:ascii="Arial" w:cs="Arial" w:eastAsia="Arial" w:hAnsi="Arial"/>
          <w:sz w:val="19"/>
          <w:szCs w:val="19"/>
          <w:color w:val="auto"/>
        </w:rPr>
        <w:t>Each of the representations and warranties made in this Agreement shall be true and correct on and as of the date hereof as if made on and as of such date, both before and after giving effect to this Agreement;</w:t>
      </w:r>
    </w:p>
    <w:p>
      <w:pPr>
        <w:spacing w:after="0" w:line="320" w:lineRule="exact"/>
        <w:rPr>
          <w:rFonts w:ascii="Arial" w:cs="Arial" w:eastAsia="Arial" w:hAnsi="Arial"/>
          <w:sz w:val="19"/>
          <w:szCs w:val="19"/>
          <w:color w:val="auto"/>
        </w:rPr>
      </w:pPr>
    </w:p>
    <w:p>
      <w:pPr>
        <w:ind w:left="142" w:hanging="128"/>
        <w:spacing w:after="0"/>
        <w:tabs>
          <w:tab w:leader="none" w:pos="142" w:val="left"/>
        </w:tabs>
        <w:numPr>
          <w:ilvl w:val="1"/>
          <w:numId w:val="20"/>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187325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34" w:right="339" w:bottom="1440" w:gutter="0" w:footer="0" w:header="0"/>
        </w:sectPr>
      </w:pPr>
    </w:p>
    <w:bookmarkStart w:id="39" w:name="page40"/>
    <w:bookmarkEnd w:id="39"/>
    <w:p>
      <w:pPr>
        <w:jc w:val="both"/>
        <w:ind w:left="842" w:hanging="842"/>
        <w:spacing w:after="0"/>
        <w:tabs>
          <w:tab w:leader="none" w:pos="842" w:val="left"/>
        </w:tabs>
        <w:numPr>
          <w:ilvl w:val="0"/>
          <w:numId w:val="21"/>
        </w:numPr>
        <w:rPr>
          <w:rFonts w:ascii="Arial" w:cs="Arial" w:eastAsia="Arial" w:hAnsi="Arial"/>
          <w:sz w:val="22"/>
          <w:szCs w:val="22"/>
          <w:color w:val="auto"/>
        </w:rPr>
      </w:pPr>
      <w:r>
        <w:rPr>
          <w:rFonts w:ascii="Arial" w:cs="Arial" w:eastAsia="Arial" w:hAnsi="Arial"/>
          <w:sz w:val="22"/>
          <w:szCs w:val="22"/>
          <w:color w:val="auto"/>
        </w:rPr>
        <w:t>Co-Borrower’s payment of each Lender’s legal expenses incurred in connection with the drafting, negotiation and execution of this Agreement in an amount not to exceed Four Thousand Five Hundred Dollars ($4,500); and</w:t>
      </w:r>
    </w:p>
    <w:p>
      <w:pPr>
        <w:spacing w:after="0" w:line="186" w:lineRule="exact"/>
        <w:rPr>
          <w:rFonts w:ascii="Arial" w:cs="Arial" w:eastAsia="Arial" w:hAnsi="Arial"/>
          <w:sz w:val="22"/>
          <w:szCs w:val="22"/>
          <w:color w:val="auto"/>
        </w:rPr>
      </w:pPr>
    </w:p>
    <w:p>
      <w:pPr>
        <w:ind w:left="842" w:hanging="842"/>
        <w:spacing w:after="0"/>
        <w:tabs>
          <w:tab w:leader="none" w:pos="842" w:val="left"/>
        </w:tabs>
        <w:numPr>
          <w:ilvl w:val="0"/>
          <w:numId w:val="21"/>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206" w:lineRule="exact"/>
        <w:rPr>
          <w:sz w:val="20"/>
          <w:szCs w:val="20"/>
          <w:color w:val="auto"/>
        </w:rPr>
      </w:pPr>
    </w:p>
    <w:p>
      <w:pPr>
        <w:jc w:val="both"/>
        <w:ind w:left="22"/>
        <w:spacing w:after="0" w:line="274" w:lineRule="auto"/>
        <w:rPr>
          <w:sz w:val="20"/>
          <w:szCs w:val="20"/>
          <w:color w:val="auto"/>
        </w:rPr>
      </w:pPr>
      <w:r>
        <w:rPr>
          <w:rFonts w:ascii="Arial" w:cs="Arial" w:eastAsia="Arial" w:hAnsi="Arial"/>
          <w:sz w:val="19"/>
          <w:szCs w:val="19"/>
          <w:color w:val="auto"/>
        </w:rPr>
        <w:t xml:space="preserve">7. </w:t>
      </w:r>
      <w:r>
        <w:rPr>
          <w:rFonts w:ascii="Arial" w:cs="Arial" w:eastAsia="Arial" w:hAnsi="Arial"/>
          <w:sz w:val="19"/>
          <w:szCs w:val="19"/>
          <w:u w:val="single" w:color="auto"/>
          <w:color w:val="auto"/>
        </w:rPr>
        <w:t>Effect of Agreement</w:t>
      </w:r>
      <w:r>
        <w:rPr>
          <w:rFonts w:ascii="Arial" w:cs="Arial" w:eastAsia="Arial" w:hAnsi="Arial"/>
          <w:sz w:val="19"/>
          <w:szCs w:val="19"/>
          <w:color w:val="auto"/>
        </w:rPr>
        <w:t>. On and after the date hereof, each reference to the Loan Agreement in the Loan Agreement or in any other document shall mean the Loan Agreement as amended by this Agreement. Except as expressly provided hereunder, the execution, delivery and effectiveness of this Agreement shall not operate as a waiver of any right, power, or remedy of any Lender, nor constitute a waiver of any provision of the Loan Agreement. Except to the limited extent expressly provided herein, nothing contained herein shall, or shall be construed to (nor shall the Co-Borrowers ever argue to the contrary) (i) modify the Loan Agreement or any other Loan Document (ii) modify, waive, impair, or affect any of the covenants, agreements, terms, and conditions thereof, or (iii) waive the due keeping, observance and/or performance thereof, each of which is hereby ratified and confirmed by the Co-Borrowers. Except as amended above, the Loan Agreement remains in full force and effect.</w:t>
      </w:r>
    </w:p>
    <w:p>
      <w:pPr>
        <w:spacing w:after="0" w:line="158" w:lineRule="exact"/>
        <w:rPr>
          <w:sz w:val="20"/>
          <w:szCs w:val="20"/>
          <w:color w:val="auto"/>
        </w:rPr>
      </w:pPr>
    </w:p>
    <w:p>
      <w:pPr>
        <w:jc w:val="both"/>
        <w:ind w:left="22"/>
        <w:spacing w:after="0" w:line="250" w:lineRule="auto"/>
        <w:rPr>
          <w:sz w:val="20"/>
          <w:szCs w:val="20"/>
          <w:color w:val="auto"/>
        </w:rPr>
      </w:pPr>
      <w:r>
        <w:rPr>
          <w:rFonts w:ascii="Arial" w:cs="Arial" w:eastAsia="Arial" w:hAnsi="Arial"/>
          <w:sz w:val="22"/>
          <w:szCs w:val="22"/>
          <w:color w:val="auto"/>
        </w:rPr>
        <w:t xml:space="preserve">8. </w:t>
      </w:r>
      <w:r>
        <w:rPr>
          <w:rFonts w:ascii="Arial" w:cs="Arial" w:eastAsia="Arial" w:hAnsi="Arial"/>
          <w:sz w:val="22"/>
          <w:szCs w:val="22"/>
          <w:u w:val="single" w:color="auto"/>
          <w:color w:val="auto"/>
        </w:rPr>
        <w:t>Headings</w:t>
      </w:r>
      <w:r>
        <w:rPr>
          <w:rFonts w:ascii="Arial" w:cs="Arial" w:eastAsia="Arial" w:hAnsi="Arial"/>
          <w:sz w:val="22"/>
          <w:szCs w:val="22"/>
          <w:color w:val="auto"/>
        </w:rPr>
        <w:t>. Headings in this Agreement are for convenience of reference only and are not part of the substance hereof.</w:t>
      </w:r>
    </w:p>
    <w:p>
      <w:pPr>
        <w:spacing w:after="0" w:line="175" w:lineRule="exact"/>
        <w:rPr>
          <w:sz w:val="20"/>
          <w:szCs w:val="20"/>
          <w:color w:val="auto"/>
        </w:rPr>
      </w:pPr>
    </w:p>
    <w:p>
      <w:pPr>
        <w:jc w:val="both"/>
        <w:ind w:left="22" w:right="20"/>
        <w:spacing w:after="0" w:line="250" w:lineRule="auto"/>
        <w:rPr>
          <w:sz w:val="20"/>
          <w:szCs w:val="20"/>
          <w:color w:val="auto"/>
        </w:rPr>
      </w:pPr>
      <w:r>
        <w:rPr>
          <w:rFonts w:ascii="Arial" w:cs="Arial" w:eastAsia="Arial" w:hAnsi="Arial"/>
          <w:sz w:val="22"/>
          <w:szCs w:val="22"/>
          <w:color w:val="auto"/>
        </w:rPr>
        <w:t xml:space="preserve">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 without reference to conflicts of law rules.</w:t>
      </w:r>
    </w:p>
    <w:p>
      <w:pPr>
        <w:spacing w:after="0" w:line="175" w:lineRule="exact"/>
        <w:rPr>
          <w:sz w:val="20"/>
          <w:szCs w:val="20"/>
          <w:color w:val="auto"/>
        </w:rPr>
      </w:pPr>
    </w:p>
    <w:p>
      <w:pPr>
        <w:jc w:val="both"/>
        <w:ind w:left="22"/>
        <w:spacing w:after="0"/>
        <w:rPr>
          <w:sz w:val="20"/>
          <w:szCs w:val="20"/>
          <w:color w:val="auto"/>
        </w:rPr>
      </w:pPr>
      <w:r>
        <w:rPr>
          <w:rFonts w:ascii="Arial" w:cs="Arial" w:eastAsia="Arial" w:hAnsi="Arial"/>
          <w:sz w:val="22"/>
          <w:szCs w:val="22"/>
          <w:color w:val="auto"/>
        </w:rPr>
        <w:t xml:space="preserve">10.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including by electronic or facsimile transmission, each of which when so delivered shall be deemed an original, but all such counterparts taken together shall constitute but one and the same instrument.</w:t>
      </w:r>
    </w:p>
    <w:p>
      <w:pPr>
        <w:spacing w:after="0" w:line="186" w:lineRule="exact"/>
        <w:rPr>
          <w:sz w:val="20"/>
          <w:szCs w:val="20"/>
          <w:color w:val="auto"/>
        </w:rPr>
      </w:pPr>
    </w:p>
    <w:p>
      <w:pPr>
        <w:jc w:val="both"/>
        <w:ind w:left="22"/>
        <w:spacing w:after="0"/>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Loan Documents constitute and contain the entire agreement of Co-Borrowers, Horizon and Lenders with respect to their respective subject matters, and supersede any and all prior agreements, correspondence and communications.</w:t>
      </w:r>
    </w:p>
    <w:p>
      <w:pPr>
        <w:spacing w:after="0" w:line="186" w:lineRule="exact"/>
        <w:rPr>
          <w:sz w:val="20"/>
          <w:szCs w:val="20"/>
          <w:color w:val="auto"/>
        </w:rPr>
      </w:pPr>
    </w:p>
    <w:p>
      <w:pPr>
        <w:ind w:left="286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187325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34" w:right="339" w:bottom="1440" w:gutter="0" w:footer="0" w:header="0"/>
        </w:sectPr>
      </w:pPr>
    </w:p>
    <w:bookmarkStart w:id="40" w:name="page41"/>
    <w:bookmarkEnd w:id="40"/>
    <w:p>
      <w:pPr>
        <w:ind w:firstLine="864"/>
        <w:spacing w:after="0" w:line="250" w:lineRule="auto"/>
        <w:rPr>
          <w:sz w:val="20"/>
          <w:szCs w:val="20"/>
          <w:color w:val="auto"/>
        </w:rPr>
      </w:pPr>
      <w:r>
        <w:rPr>
          <w:rFonts w:ascii="Arial" w:cs="Arial" w:eastAsia="Arial" w:hAnsi="Arial"/>
          <w:sz w:val="22"/>
          <w:szCs w:val="22"/>
          <w:color w:val="auto"/>
        </w:rPr>
        <w:t>IN WITNESS WHEREOF, Co-Borrowers and Lenders have caused this SECOND AMENDMENT OF VENTURE LOAN AND SECURITY AGREEMENT to be executed as of the day and year first above written.</w:t>
      </w:r>
    </w:p>
    <w:p>
      <w:pPr>
        <w:sectPr>
          <w:pgSz w:w="11900" w:h="16838" w:orient="portrait"/>
          <w:cols w:equalWidth="0" w:num="1">
            <w:col w:w="11240"/>
          </w:cols>
          <w:pgMar w:left="320" w:top="334" w:right="339" w:bottom="1440" w:gutter="0" w:footer="0" w:header="0"/>
        </w:sect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CO-BORROWER: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vTv THERAPEUTICS INC.</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2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Rudy C. Howard</w:t>
            </w:r>
          </w:p>
        </w:tc>
      </w:tr>
      <w:tr>
        <w:trPr>
          <w:trHeight w:val="215"/>
        </w:trPr>
        <w:tc>
          <w:tcPr>
            <w:tcW w:w="8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780" w:type="dxa"/>
            <w:vAlign w:val="bottom"/>
          </w:tcPr>
          <w:p>
            <w:pPr>
              <w:spacing w:after="0" w:line="216" w:lineRule="exact"/>
              <w:rPr>
                <w:sz w:val="20"/>
                <w:szCs w:val="20"/>
                <w:color w:val="auto"/>
              </w:rPr>
            </w:pPr>
            <w:r>
              <w:rPr>
                <w:rFonts w:ascii="Arial" w:cs="Arial" w:eastAsia="Arial" w:hAnsi="Arial"/>
                <w:sz w:val="22"/>
                <w:szCs w:val="22"/>
                <w:color w:val="auto"/>
              </w:rPr>
              <w:t>Rudy C. Howard</w:t>
            </w:r>
          </w:p>
        </w:tc>
      </w:tr>
      <w:tr>
        <w:trPr>
          <w:trHeight w:val="274"/>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278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w:t>
      </w:r>
    </w:p>
    <w:p>
      <w:pPr>
        <w:spacing w:after="0" w:line="212"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HORIZON FUNDING TRUST 2019-1 By: Horizon Technology Finance Corporation, its agent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2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D. Pomeroy, Jr.</w:t>
            </w:r>
          </w:p>
        </w:tc>
      </w:tr>
      <w:tr>
        <w:trPr>
          <w:trHeight w:val="215"/>
        </w:trPr>
        <w:tc>
          <w:tcPr>
            <w:tcW w:w="8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780" w:type="dxa"/>
            <w:vAlign w:val="bottom"/>
          </w:tcPr>
          <w:p>
            <w:pPr>
              <w:spacing w:after="0" w:line="216" w:lineRule="exact"/>
              <w:rPr>
                <w:sz w:val="20"/>
                <w:szCs w:val="20"/>
                <w:color w:val="auto"/>
              </w:rPr>
            </w:pPr>
            <w:r>
              <w:rPr>
                <w:rFonts w:ascii="Arial" w:cs="Arial" w:eastAsia="Arial" w:hAnsi="Arial"/>
                <w:sz w:val="22"/>
                <w:szCs w:val="22"/>
                <w:color w:val="auto"/>
              </w:rPr>
              <w:t>Robert D. Pomeroy, Jr.</w:t>
            </w:r>
          </w:p>
        </w:tc>
      </w:tr>
      <w:tr>
        <w:trPr>
          <w:trHeight w:val="274"/>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278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COLLATERAL AGENT:</w:t>
      </w:r>
    </w:p>
    <w:p>
      <w:pPr>
        <w:spacing w:after="0" w:line="212"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HORIZON TECHNOLOGY FINANCE CORPORATION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2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D. Pomeroy, Jr.</w:t>
            </w:r>
          </w:p>
        </w:tc>
      </w:tr>
      <w:tr>
        <w:trPr>
          <w:trHeight w:val="215"/>
        </w:trPr>
        <w:tc>
          <w:tcPr>
            <w:tcW w:w="8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780" w:type="dxa"/>
            <w:vAlign w:val="bottom"/>
          </w:tcPr>
          <w:p>
            <w:pPr>
              <w:spacing w:after="0" w:line="216" w:lineRule="exact"/>
              <w:rPr>
                <w:sz w:val="20"/>
                <w:szCs w:val="20"/>
                <w:color w:val="auto"/>
              </w:rPr>
            </w:pPr>
            <w:r>
              <w:rPr>
                <w:rFonts w:ascii="Arial" w:cs="Arial" w:eastAsia="Arial" w:hAnsi="Arial"/>
                <w:sz w:val="22"/>
                <w:szCs w:val="22"/>
                <w:color w:val="auto"/>
              </w:rPr>
              <w:t>Robert D. Pomeroy, Jr.</w:t>
            </w:r>
          </w:p>
        </w:tc>
      </w:tr>
      <w:tr>
        <w:trPr>
          <w:trHeight w:val="274"/>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278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CO-BORROWER: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vTv THERAPEUTICS LLC</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2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Rudy C. Howard</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580" w:type="dxa"/>
            <w:vAlign w:val="bottom"/>
          </w:tcPr>
          <w:p>
            <w:pPr>
              <w:spacing w:after="0" w:line="216" w:lineRule="exact"/>
              <w:rPr>
                <w:sz w:val="20"/>
                <w:szCs w:val="20"/>
                <w:color w:val="auto"/>
              </w:rPr>
            </w:pPr>
            <w:r>
              <w:rPr>
                <w:rFonts w:ascii="Arial" w:cs="Arial" w:eastAsia="Arial" w:hAnsi="Arial"/>
                <w:sz w:val="22"/>
                <w:szCs w:val="22"/>
                <w:color w:val="auto"/>
              </w:rPr>
              <w:t>Rudy C. Howard</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258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2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Jocelyn Hartmann</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580" w:type="dxa"/>
            <w:vAlign w:val="bottom"/>
          </w:tcPr>
          <w:p>
            <w:pPr>
              <w:spacing w:after="0" w:line="216" w:lineRule="exact"/>
              <w:rPr>
                <w:sz w:val="20"/>
                <w:szCs w:val="20"/>
                <w:color w:val="auto"/>
              </w:rPr>
            </w:pPr>
            <w:r>
              <w:rPr>
                <w:rFonts w:ascii="Arial" w:cs="Arial" w:eastAsia="Arial" w:hAnsi="Arial"/>
                <w:sz w:val="22"/>
                <w:szCs w:val="22"/>
                <w:color w:val="auto"/>
              </w:rPr>
              <w:t>Jocelyn Hartmann</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2580" w:type="dxa"/>
            <w:vAlign w:val="bottom"/>
          </w:tcPr>
          <w:p>
            <w:pPr>
              <w:spacing w:after="0"/>
              <w:rPr>
                <w:sz w:val="20"/>
                <w:szCs w:val="20"/>
                <w:color w:val="auto"/>
              </w:rPr>
            </w:pPr>
            <w:r>
              <w:rPr>
                <w:rFonts w:ascii="Arial" w:cs="Arial" w:eastAsia="Arial" w:hAnsi="Arial"/>
                <w:sz w:val="22"/>
                <w:szCs w:val="22"/>
                <w:color w:val="auto"/>
              </w:rPr>
              <w:t>Director</w:t>
            </w:r>
          </w:p>
        </w:tc>
      </w:tr>
    </w:tbl>
    <w:p>
      <w:pPr>
        <w:spacing w:after="0" w:line="2319" w:lineRule="exact"/>
        <w:rPr>
          <w:sz w:val="20"/>
          <w:szCs w:val="20"/>
          <w:color w:val="auto"/>
        </w:rPr>
      </w:pPr>
    </w:p>
    <w:p>
      <w:pPr>
        <w:sectPr>
          <w:pgSz w:w="11900" w:h="16838" w:orient="portrait"/>
          <w:cols w:equalWidth="0" w:num="2">
            <w:col w:w="3660" w:space="720"/>
            <w:col w:w="6860"/>
          </w:cols>
          <w:pgMar w:left="320" w:top="3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Amendment of Venture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41" w:name="page42"/>
    <w:bookmarkEnd w:id="41"/>
    <w:p>
      <w:pPr>
        <w:jc w:val="center"/>
        <w:ind w:right="-220"/>
        <w:spacing w:after="0"/>
        <w:rPr>
          <w:sz w:val="20"/>
          <w:szCs w:val="20"/>
          <w:color w:val="auto"/>
        </w:rPr>
      </w:pPr>
      <w:r>
        <w:rPr>
          <w:rFonts w:ascii="Arial" w:cs="Arial" w:eastAsia="Arial" w:hAnsi="Arial"/>
          <w:sz w:val="22"/>
          <w:szCs w:val="22"/>
          <w:u w:val="single" w:color="auto"/>
          <w:color w:val="auto"/>
        </w:rPr>
        <w:t>EXHIBIT A</w:t>
      </w:r>
    </w:p>
    <w:p>
      <w:pPr>
        <w:spacing w:after="0" w:line="206" w:lineRule="exact"/>
        <w:rPr>
          <w:sz w:val="20"/>
          <w:szCs w:val="20"/>
          <w:color w:val="auto"/>
        </w:rPr>
      </w:pPr>
    </w:p>
    <w:p>
      <w:pPr>
        <w:jc w:val="center"/>
        <w:ind w:right="-220"/>
        <w:spacing w:after="0"/>
        <w:rPr>
          <w:sz w:val="20"/>
          <w:szCs w:val="20"/>
          <w:color w:val="auto"/>
        </w:rPr>
      </w:pPr>
      <w:r>
        <w:rPr>
          <w:rFonts w:ascii="Arial" w:cs="Arial" w:eastAsia="Arial" w:hAnsi="Arial"/>
          <w:sz w:val="19"/>
          <w:szCs w:val="19"/>
          <w:u w:val="single" w:color="auto"/>
          <w:color w:val="auto"/>
        </w:rPr>
        <w:t>Amended and Restated Notes</w:t>
      </w:r>
    </w:p>
    <w:p>
      <w:pPr>
        <w:spacing w:after="0" w:line="241"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9259"/>
          </w:cols>
          <w:pgMar w:left="1200" w:top="334"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L. Holcombe, certify that:</w:t>
      </w:r>
    </w:p>
    <w:p>
      <w:pPr>
        <w:spacing w:after="0" w:line="117"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Stephen L. Holcombe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Rudy C. Howard, certify that:</w:t>
      </w:r>
    </w:p>
    <w:p>
      <w:pPr>
        <w:spacing w:after="0" w:line="117"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140" w:hanging="500"/>
        <w:spacing w:after="0" w:line="263" w:lineRule="auto"/>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00" w:right="44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Rudy C. Howard</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March 31, 2020 as filed with the Securities and Exchange Commission on the date hereof (the “Report”), I, Stephen L. Holcombe,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March 31, 2020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amp;"/>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9"/>
    </w:lvl>
  </w:abstractNum>
  <w:abstractNum w:abstractNumId="10">
    <w:nsid w:val="431BD7B7"/>
    <w:multiLevelType w:val="hybridMultilevel"/>
    <w:lvl w:ilvl="0">
      <w:lvlJc w:val="left"/>
      <w:lvlText w:val="%1."/>
      <w:numFmt w:val="upperLetter"/>
      <w:start w:val="3"/>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2"/>
    </w:lvl>
  </w:abstractNum>
  <w:abstractNum w:abstractNumId="13">
    <w:nsid w:val="257130A3"/>
    <w:multiLevelType w:val="hybridMultilevel"/>
    <w:lvl w:ilvl="0">
      <w:lvlJc w:val="left"/>
      <w:lvlText w:val="(%1)"/>
      <w:numFmt w:val="lowerLetter"/>
      <w:start w:val="3"/>
    </w:lvl>
  </w:abstractNum>
  <w:abstractNum w:abstractNumId="14">
    <w:nsid w:val="62BBD95A"/>
    <w:multiLevelType w:val="hybridMultilevel"/>
    <w:lvl w:ilvl="0">
      <w:lvlJc w:val="left"/>
      <w:lvlText w:val="(%1)"/>
      <w:numFmt w:val="lowerRoman"/>
      <w:start w:val="1"/>
    </w:lvl>
  </w:abstractNum>
  <w:abstractNum w:abstractNumId="15">
    <w:nsid w:val="436C6125"/>
    <w:multiLevelType w:val="hybridMultilevel"/>
    <w:lvl w:ilvl="0">
      <w:lvlJc w:val="left"/>
      <w:lvlText w:val="(%1)"/>
      <w:numFmt w:val="lowerLetter"/>
      <w:start w:val="4"/>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3"/>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lvl w:ilvl="1">
      <w:lvlJc w:val="left"/>
      <w:lvlText w:val="-"/>
      <w:numFmt w:val="bullet"/>
      <w:start w:val="1"/>
    </w:lvl>
  </w:abstractNum>
  <w:abstractNum w:abstractNumId="20">
    <w:nsid w:val="2D1D5AE9"/>
    <w:multiLevelType w:val="hybridMultilevel"/>
    <w:lvl w:ilvl="0">
      <w:lvlJc w:val="left"/>
      <w:lvlText w:val="(%1)"/>
      <w:numFmt w:val="lowerLetter"/>
      <w:start w:val="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2020-05-07T15:59:00Z</dcterms:created>
  <dcterms:modified xsi:type="dcterms:W3CDTF">2020-05-07T15:59:00Z</dcterms:modified>
</cp:coreProperties>
</file>