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510540</wp:posOffset>
            </wp:positionH>
            <wp:positionV relativeFrom="paragraph">
              <wp:posOffset>368935</wp:posOffset>
            </wp:positionV>
            <wp:extent cx="6120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394335</wp:posOffset>
            </wp:positionV>
            <wp:extent cx="6120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76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0"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001-37524</w:t>
      </w:r>
    </w:p>
    <w:p>
      <w:pPr>
        <w:spacing w:after="0" w:line="54"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4"/>
          <w:szCs w:val="24"/>
          <w:color w:val="auto"/>
        </w:rPr>
      </w:pPr>
    </w:p>
    <w:tbl>
      <w:tblPr>
        <w:tblLayout w:type="fixed"/>
        <w:tblInd w:w="1220" w:type="dxa"/>
        <w:tblCellMar>
          <w:top w:w="0" w:type="dxa"/>
          <w:left w:w="0" w:type="dxa"/>
          <w:bottom w:w="0" w:type="dxa"/>
          <w:right w:w="0" w:type="dxa"/>
        </w:tblCellMar>
      </w:tblPr>
      <w:tr>
        <w:trPr>
          <w:trHeight w:val="334"/>
        </w:trPr>
        <w:tc>
          <w:tcPr>
            <w:tcW w:w="2400" w:type="dxa"/>
            <w:vAlign w:val="bottom"/>
          </w:tcPr>
          <w:p>
            <w:pPr>
              <w:spacing w:after="0"/>
              <w:rPr>
                <w:sz w:val="24"/>
                <w:szCs w:val="24"/>
                <w:color w:val="auto"/>
              </w:rPr>
            </w:pPr>
          </w:p>
        </w:tc>
        <w:tc>
          <w:tcPr>
            <w:tcW w:w="4180" w:type="dxa"/>
            <w:vAlign w:val="bottom"/>
          </w:tcPr>
          <w:p>
            <w:pPr>
              <w:jc w:val="center"/>
              <w:ind w:right="92"/>
              <w:spacing w:after="0"/>
              <w:rPr>
                <w:sz w:val="20"/>
                <w:szCs w:val="20"/>
                <w:color w:val="auto"/>
              </w:rPr>
            </w:pPr>
            <w:r>
              <w:rPr>
                <w:rFonts w:ascii="Times New Roman" w:cs="Times New Roman" w:eastAsia="Times New Roman" w:hAnsi="Times New Roman"/>
                <w:sz w:val="25"/>
                <w:szCs w:val="25"/>
                <w:b w:val="1"/>
                <w:bCs w:val="1"/>
                <w:color w:val="auto"/>
              </w:rPr>
              <w:t>vTv Therapeutics Inc.</w:t>
            </w:r>
          </w:p>
        </w:tc>
      </w:tr>
      <w:tr>
        <w:trPr>
          <w:trHeight w:val="246"/>
        </w:trPr>
        <w:tc>
          <w:tcPr>
            <w:tcW w:w="2400" w:type="dxa"/>
            <w:vAlign w:val="bottom"/>
          </w:tcPr>
          <w:p>
            <w:pPr>
              <w:spacing w:after="0"/>
              <w:rPr>
                <w:sz w:val="21"/>
                <w:szCs w:val="21"/>
                <w:color w:val="auto"/>
              </w:rPr>
            </w:pPr>
          </w:p>
        </w:tc>
        <w:tc>
          <w:tcPr>
            <w:tcW w:w="41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56"/>
        </w:trPr>
        <w:tc>
          <w:tcPr>
            <w:tcW w:w="2400" w:type="dxa"/>
            <w:vAlign w:val="bottom"/>
          </w:tcPr>
          <w:p>
            <w:pPr>
              <w:spacing w:after="0"/>
              <w:rPr>
                <w:sz w:val="22"/>
                <w:szCs w:val="22"/>
                <w:color w:val="auto"/>
              </w:rPr>
            </w:pPr>
          </w:p>
        </w:tc>
        <w:tc>
          <w:tcPr>
            <w:tcW w:w="41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_____________________________</w:t>
            </w:r>
          </w:p>
        </w:tc>
      </w:tr>
      <w:tr>
        <w:trPr>
          <w:trHeight w:val="311"/>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1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47-3916571</w:t>
            </w:r>
          </w:p>
        </w:tc>
      </w:tr>
      <w:tr>
        <w:trPr>
          <w:trHeight w:val="205"/>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180" w:type="dxa"/>
            <w:vAlign w:val="bottom"/>
          </w:tcPr>
          <w:p>
            <w:pPr>
              <w:jc w:val="center"/>
              <w:ind w:left="297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180" w:type="dxa"/>
            <w:vAlign w:val="bottom"/>
          </w:tcPr>
          <w:p>
            <w:pPr>
              <w:jc w:val="center"/>
              <w:ind w:left="295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3980 Premier Dr, Suite 310</w:t>
            </w:r>
          </w:p>
        </w:tc>
        <w:tc>
          <w:tcPr>
            <w:tcW w:w="4180" w:type="dxa"/>
            <w:vAlign w:val="bottom"/>
          </w:tcPr>
          <w:p>
            <w:pPr>
              <w:spacing w:after="0"/>
              <w:rPr>
                <w:sz w:val="24"/>
                <w:szCs w:val="24"/>
                <w:color w:val="auto"/>
              </w:rPr>
            </w:pPr>
          </w:p>
        </w:tc>
      </w:tr>
      <w:tr>
        <w:trPr>
          <w:trHeight w:val="238"/>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High Point, NC</w:t>
            </w:r>
          </w:p>
        </w:tc>
        <w:tc>
          <w:tcPr>
            <w:tcW w:w="418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27265</w:t>
            </w:r>
          </w:p>
        </w:tc>
      </w:tr>
      <w:tr>
        <w:trPr>
          <w:trHeight w:val="219"/>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180" w:type="dxa"/>
            <w:vAlign w:val="bottom"/>
          </w:tcPr>
          <w:p>
            <w:pPr>
              <w:jc w:val="center"/>
              <w:ind w:left="2952"/>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(336) 841-0300</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54"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350" w:type="dxa"/>
        <w:tblCellMar>
          <w:top w:w="0" w:type="dxa"/>
          <w:left w:w="0" w:type="dxa"/>
          <w:bottom w:w="0" w:type="dxa"/>
          <w:right w:w="0" w:type="dxa"/>
        </w:tblCellMar>
      </w:tblPr>
      <w:tr>
        <w:trPr>
          <w:trHeight w:val="257"/>
        </w:trPr>
        <w:tc>
          <w:tcPr>
            <w:tcW w:w="39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Title of each class</w:t>
            </w:r>
          </w:p>
        </w:tc>
        <w:tc>
          <w:tcPr>
            <w:tcW w:w="16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Symbol(s)</w:t>
            </w:r>
          </w:p>
        </w:tc>
        <w:tc>
          <w:tcPr>
            <w:tcW w:w="38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37"/>
        </w:trPr>
        <w:tc>
          <w:tcPr>
            <w:tcW w:w="39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$0.01 per share</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VTVT</w:t>
            </w:r>
          </w:p>
        </w:tc>
        <w:tc>
          <w:tcPr>
            <w:tcW w:w="3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NASDAQ Capital Market</w:t>
            </w:r>
          </w:p>
        </w:tc>
      </w:tr>
      <w:tr>
        <w:trPr>
          <w:trHeight w:val="27"/>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bl>
    <w:p>
      <w:pPr>
        <w:spacing w:after="0" w:line="130"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 w:lineRule="exact"/>
        <w:rPr>
          <w:sz w:val="24"/>
          <w:szCs w:val="24"/>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2" w:lineRule="exact"/>
        <w:rPr>
          <w:sz w:val="24"/>
          <w:szCs w:val="24"/>
          <w:color w:val="auto"/>
        </w:rPr>
      </w:pPr>
    </w:p>
    <w:p>
      <w:pPr>
        <w:jc w:val="both"/>
        <w:ind w:firstLine="486"/>
        <w:spacing w:after="0" w:line="22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3" w:lineRule="exact"/>
        <w:rPr>
          <w:sz w:val="24"/>
          <w:szCs w:val="24"/>
          <w:color w:val="auto"/>
        </w:rPr>
      </w:pPr>
    </w:p>
    <w:p>
      <w:pPr>
        <w:jc w:val="both"/>
        <w:ind w:firstLine="486"/>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60" w:type="dxa"/>
            <w:vAlign w:val="bottom"/>
          </w:tcPr>
          <w:p>
            <w:pPr>
              <w:ind w:left="500"/>
              <w:spacing w:after="0"/>
              <w:rPr>
                <w:sz w:val="20"/>
                <w:szCs w:val="20"/>
                <w:color w:val="auto"/>
              </w:rPr>
            </w:pPr>
            <w:r>
              <w:rPr>
                <w:rFonts w:ascii="Wingdings" w:cs="Wingdings" w:eastAsia="Wingdings" w:hAnsi="Wingdings"/>
                <w:sz w:val="18"/>
                <w:szCs w:val="18"/>
                <w:b w:val="1"/>
                <w:bCs w:val="1"/>
                <w:color w:val="auto"/>
              </w:rPr>
              <w:t>o</w:t>
            </w:r>
          </w:p>
        </w:tc>
        <w:tc>
          <w:tcPr>
            <w:tcW w:w="4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20"/>
              <w:spacing w:after="0"/>
              <w:rPr>
                <w:sz w:val="20"/>
                <w:szCs w:val="20"/>
                <w:color w:val="auto"/>
              </w:rPr>
            </w:pPr>
            <w:r>
              <w:rPr>
                <w:rFonts w:ascii="Wingdings" w:cs="Wingdings" w:eastAsia="Wingdings" w:hAnsi="Wingdings"/>
                <w:sz w:val="18"/>
                <w:szCs w:val="18"/>
                <w:b w:val="1"/>
                <w:bCs w:val="1"/>
                <w:color w:val="auto"/>
                <w:w w:val="99"/>
              </w:rPr>
              <w:t>o</w:t>
            </w: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60" w:type="dxa"/>
            <w:vAlign w:val="bottom"/>
          </w:tcPr>
          <w:p>
            <w:pPr>
              <w:ind w:left="500"/>
              <w:spacing w:after="0"/>
              <w:rPr>
                <w:sz w:val="20"/>
                <w:szCs w:val="20"/>
                <w:color w:val="auto"/>
              </w:rPr>
            </w:pPr>
            <w:r>
              <w:rPr>
                <w:rFonts w:ascii="Wingdings" w:cs="Wingdings" w:eastAsia="Wingdings" w:hAnsi="Wingdings"/>
                <w:sz w:val="18"/>
                <w:szCs w:val="18"/>
                <w:b w:val="1"/>
                <w:bCs w:val="1"/>
                <w:color w:val="auto"/>
              </w:rPr>
              <w:t>x</w:t>
            </w:r>
          </w:p>
        </w:tc>
        <w:tc>
          <w:tcPr>
            <w:tcW w:w="4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20"/>
              <w:spacing w:after="0"/>
              <w:rPr>
                <w:sz w:val="20"/>
                <w:szCs w:val="20"/>
                <w:color w:val="auto"/>
              </w:rPr>
            </w:pPr>
            <w:r>
              <w:rPr>
                <w:rFonts w:ascii="Wingdings" w:cs="Wingdings" w:eastAsia="Wingdings" w:hAnsi="Wingdings"/>
                <w:sz w:val="18"/>
                <w:szCs w:val="18"/>
                <w:b w:val="1"/>
                <w:bCs w:val="1"/>
                <w:color w:val="auto"/>
                <w:w w:val="83"/>
              </w:rPr>
              <w:t>x</w:t>
            </w: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260" w:type="dxa"/>
            <w:vAlign w:val="bottom"/>
          </w:tcPr>
          <w:p>
            <w:pPr>
              <w:ind w:left="500"/>
              <w:spacing w:after="0"/>
              <w:rPr>
                <w:sz w:val="20"/>
                <w:szCs w:val="20"/>
                <w:color w:val="auto"/>
              </w:rPr>
            </w:pPr>
            <w:r>
              <w:rPr>
                <w:rFonts w:ascii="Wingdings" w:cs="Wingdings" w:eastAsia="Wingdings" w:hAnsi="Wingdings"/>
                <w:sz w:val="18"/>
                <w:szCs w:val="18"/>
                <w:b w:val="1"/>
                <w:bCs w:val="1"/>
                <w:color w:val="auto"/>
              </w:rPr>
              <w:t>o</w:t>
            </w:r>
          </w:p>
        </w:tc>
        <w:tc>
          <w:tcPr>
            <w:tcW w:w="404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157" w:lineRule="exact"/>
        <w:rPr>
          <w:sz w:val="24"/>
          <w:szCs w:val="24"/>
          <w:color w:val="auto"/>
        </w:rPr>
      </w:pPr>
    </w:p>
    <w:p>
      <w:pPr>
        <w:ind w:right="20" w:firstLine="486"/>
        <w:spacing w:after="0" w:line="25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of Stock</w:t>
            </w:r>
          </w:p>
        </w:tc>
        <w:tc>
          <w:tcPr>
            <w:tcW w:w="558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Shares Outstanding as of November 12, 2024</w:t>
            </w:r>
          </w:p>
        </w:tc>
      </w:tr>
      <w:tr>
        <w:trPr>
          <w:trHeight w:val="37"/>
        </w:trPr>
        <w:tc>
          <w:tcPr>
            <w:tcW w:w="800" w:type="dxa"/>
            <w:vAlign w:val="bottom"/>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250"/>
        </w:trPr>
        <w:tc>
          <w:tcPr>
            <w:tcW w:w="800" w:type="dxa"/>
            <w:vAlign w:val="bottom"/>
          </w:tcPr>
          <w:p>
            <w:pPr>
              <w:spacing w:after="0"/>
              <w:rPr>
                <w:sz w:val="21"/>
                <w:szCs w:val="21"/>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$0.01 per share</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2,612,257</w:t>
            </w: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56"/>
        </w:trPr>
        <w:tc>
          <w:tcPr>
            <w:tcW w:w="800" w:type="dxa"/>
            <w:vAlign w:val="bottom"/>
          </w:tcPr>
          <w:p>
            <w:pPr>
              <w:spacing w:after="0"/>
              <w:rPr>
                <w:sz w:val="22"/>
                <w:szCs w:val="22"/>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common stock, par value $0.01 per share</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577,349</w:t>
            </w: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6"/>
        </w:trPr>
        <w:tc>
          <w:tcPr>
            <w:tcW w:w="800" w:type="dxa"/>
            <w:vAlign w:val="bottom"/>
            <w:tcBorders>
              <w:bottom w:val="single" w:sz="8" w:color="auto"/>
            </w:tcBorders>
          </w:tcPr>
          <w:p>
            <w:pPr>
              <w:spacing w:after="0"/>
              <w:rPr>
                <w:sz w:val="22"/>
                <w:szCs w:val="22"/>
                <w:color w:val="auto"/>
              </w:rPr>
            </w:pPr>
          </w:p>
        </w:tc>
        <w:tc>
          <w:tcPr>
            <w:tcW w:w="4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7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r>
      <w:tr>
        <w:trPr>
          <w:trHeight w:val="21"/>
        </w:trPr>
        <w:tc>
          <w:tcPr>
            <w:tcW w:w="80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24"/>
        </w:trPr>
        <w:tc>
          <w:tcPr>
            <w:tcW w:w="80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vTv THERAPEUTICS INC. AND SUBSIDIARIES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2024</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6920" w:type="dxa"/>
            <w:vAlign w:val="bottom"/>
            <w:gridSpan w:val="11"/>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(Unaudited) and December 31, 202</w:t>
            </w:r>
            <w:r>
              <w:rPr>
                <w:rFonts w:ascii="Times New Roman" w:cs="Times New Roman" w:eastAsia="Times New Roman" w:hAnsi="Times New Roman"/>
                <w:sz w:val="18"/>
                <w:szCs w:val="18"/>
                <w:color w:val="000000"/>
              </w:rPr>
              <w:t>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and nine months ended September 30, 2024 and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202</w:t>
            </w:r>
            <w:r>
              <w:rPr>
                <w:rFonts w:ascii="Times New Roman" w:cs="Times New Roman" w:eastAsia="Times New Roman" w:hAnsi="Times New Roman"/>
                <w:sz w:val="18"/>
                <w:szCs w:val="18"/>
                <w:color w:val="000000"/>
              </w:rPr>
              <w:t>3</w:t>
            </w:r>
          </w:p>
        </w:tc>
        <w:tc>
          <w:tcPr>
            <w:tcW w:w="1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6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14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11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 of Changes in Redeemable Noncontrolling Interest and Stockholders’ Equity</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878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(Deficit) for the three and nine months ended September 30, 2024 and 202</w:t>
            </w:r>
            <w:r>
              <w:rPr>
                <w:rFonts w:ascii="Times New Roman" w:cs="Times New Roman" w:eastAsia="Times New Roman" w:hAnsi="Times New Roman"/>
                <w:sz w:val="18"/>
                <w:szCs w:val="18"/>
                <w:color w:val="000000"/>
              </w:rPr>
              <w:t>3</w:t>
            </w:r>
          </w:p>
        </w:tc>
        <w:tc>
          <w:tcPr>
            <w:tcW w:w="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nine months ended September 30, 2024 and 202</w:t>
            </w:r>
            <w:r>
              <w:rPr>
                <w:rFonts w:ascii="Times New Roman" w:cs="Times New Roman" w:eastAsia="Times New Roman" w:hAnsi="Times New Roman"/>
                <w:sz w:val="18"/>
                <w:szCs w:val="18"/>
                <w:color w:val="000000"/>
              </w:rPr>
              <w:t>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91"/>
        </w:trPr>
        <w:tc>
          <w:tcPr>
            <w:tcW w:w="920" w:type="dxa"/>
            <w:vAlign w:val="bottom"/>
          </w:tcPr>
          <w:p>
            <w:pPr>
              <w:spacing w:after="0"/>
              <w:rPr>
                <w:sz w:val="24"/>
                <w:szCs w:val="24"/>
                <w:color w:val="auto"/>
              </w:rPr>
            </w:pPr>
          </w:p>
        </w:tc>
        <w:tc>
          <w:tcPr>
            <w:tcW w:w="85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440" w:type="dxa"/>
            <w:vAlign w:val="bottom"/>
            <w:gridSpan w:val="3"/>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2520" w:type="dxa"/>
            <w:vAlign w:val="bottom"/>
            <w:gridSpan w:val="5"/>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200" w:type="dxa"/>
            <w:vAlign w:val="bottom"/>
            <w:gridSpan w:val="12"/>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91"/>
        </w:trPr>
        <w:tc>
          <w:tcPr>
            <w:tcW w:w="99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400" w:type="dxa"/>
            <w:vAlign w:val="bottom"/>
            <w:tcBorders>
              <w:top w:val="single" w:sz="8" w:color="0000FF"/>
            </w:tcBorders>
          </w:tcPr>
          <w:p>
            <w:pPr>
              <w:spacing w:after="0"/>
              <w:rPr>
                <w:sz w:val="24"/>
                <w:szCs w:val="24"/>
                <w:color w:val="auto"/>
              </w:rPr>
            </w:pPr>
          </w:p>
        </w:tc>
        <w:tc>
          <w:tcPr>
            <w:tcW w:w="7240" w:type="dxa"/>
            <w:vAlign w:val="bottom"/>
            <w:gridSpan w:val="13"/>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620" w:type="dxa"/>
            <w:vAlign w:val="bottom"/>
            <w:gridSpan w:val="8"/>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2"/>
          </w:tcPr>
          <w:p>
            <w:pPr>
              <w:spacing w:after="0"/>
              <w:rPr>
                <w:sz w:val="24"/>
                <w:szCs w:val="24"/>
                <w:color w:val="auto"/>
              </w:rPr>
            </w:pPr>
          </w:p>
        </w:tc>
        <w:tc>
          <w:tcPr>
            <w:tcW w:w="6660" w:type="dxa"/>
            <w:vAlign w:val="bottom"/>
            <w:gridSpan w:val="10"/>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660" w:type="dxa"/>
            <w:vAlign w:val="bottom"/>
            <w:gridSpan w:val="15"/>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20" w:type="dxa"/>
            <w:vAlign w:val="bottom"/>
            <w:gridSpan w:val="1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29"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Quarterly Report on Form 10-Q to the “Company”, “we”, “us” and “our” refer to vTv Therapeutics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6"/>
        </w:trPr>
        <w:tc>
          <w:tcPr>
            <w:tcW w:w="80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EBFEFF"/>
          </w:tcPr>
          <w:p>
            <w:pPr>
              <w:spacing w:after="0"/>
              <w:rPr>
                <w:sz w:val="20"/>
                <w:szCs w:val="20"/>
                <w:color w:val="auto"/>
              </w:rPr>
            </w:pPr>
          </w:p>
        </w:tc>
        <w:tc>
          <w:tcPr>
            <w:tcW w:w="1260" w:type="dxa"/>
            <w:vAlign w:val="bottom"/>
            <w:shd w:val="clear" w:color="auto" w:fill="EBFEFF"/>
          </w:tcPr>
          <w:p>
            <w:pPr>
              <w:spacing w:after="0"/>
              <w:rPr>
                <w:sz w:val="20"/>
                <w:szCs w:val="20"/>
                <w:color w:val="auto"/>
              </w:rPr>
            </w:pPr>
          </w:p>
        </w:tc>
        <w:tc>
          <w:tcPr>
            <w:tcW w:w="100" w:type="dxa"/>
            <w:vAlign w:val="bottom"/>
            <w:shd w:val="clear" w:color="auto" w:fill="EBFEFF"/>
          </w:tcPr>
          <w:p>
            <w:pPr>
              <w:spacing w:after="0"/>
              <w:rPr>
                <w:sz w:val="20"/>
                <w:szCs w:val="20"/>
                <w:color w:val="auto"/>
              </w:rPr>
            </w:pPr>
          </w:p>
        </w:tc>
        <w:tc>
          <w:tcPr>
            <w:tcW w:w="200" w:type="dxa"/>
            <w:vAlign w:val="bottom"/>
            <w:shd w:val="clear" w:color="auto" w:fill="EBFEFF"/>
          </w:tcPr>
          <w:p>
            <w:pPr>
              <w:spacing w:after="0"/>
              <w:rPr>
                <w:sz w:val="20"/>
                <w:szCs w:val="20"/>
                <w:color w:val="auto"/>
              </w:rPr>
            </w:pPr>
          </w:p>
        </w:tc>
        <w:tc>
          <w:tcPr>
            <w:tcW w:w="1260" w:type="dxa"/>
            <w:vAlign w:val="bottom"/>
            <w:shd w:val="clear" w:color="auto" w:fill="EBFEFF"/>
          </w:tcPr>
          <w:p>
            <w:pPr>
              <w:spacing w:after="0"/>
              <w:rPr>
                <w:sz w:val="20"/>
                <w:szCs w:val="20"/>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04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EBF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41,571</w:t>
            </w:r>
          </w:p>
        </w:tc>
        <w:tc>
          <w:tcPr>
            <w:tcW w:w="300" w:type="dxa"/>
            <w:vAlign w:val="bottom"/>
            <w:gridSpan w:val="2"/>
            <w:shd w:val="clear" w:color="auto" w:fill="EBF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9,446</w:t>
            </w:r>
          </w:p>
        </w:tc>
      </w:tr>
      <w:tr>
        <w:trPr>
          <w:trHeight w:val="229"/>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804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29"/>
        </w:trPr>
        <w:tc>
          <w:tcPr>
            <w:tcW w:w="8040" w:type="dxa"/>
            <w:vAlign w:val="bottom"/>
            <w:tcBorders>
              <w:bottom w:val="single" w:sz="8" w:color="EBFEFF"/>
            </w:tcBorders>
          </w:tcPr>
          <w:p>
            <w:pPr>
              <w:ind w:left="240"/>
              <w:spacing w:after="0"/>
              <w:rPr>
                <w:sz w:val="20"/>
                <w:szCs w:val="20"/>
                <w:color w:val="auto"/>
              </w:rPr>
            </w:pPr>
            <w:r>
              <w:rPr>
                <w:rFonts w:ascii="Times New Roman" w:cs="Times New Roman" w:eastAsia="Times New Roman" w:hAnsi="Times New Roman"/>
                <w:sz w:val="18"/>
                <w:szCs w:val="18"/>
                <w:color w:val="auto"/>
              </w:rPr>
              <w:t>Current deposits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EBF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80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42,958</w:t>
            </w: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10,657</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804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Borders>
              <w:bottom w:val="single" w:sz="8" w:color="auto"/>
            </w:tcBorders>
            <w:shd w:val="clear" w:color="auto" w:fill="EBFEFF"/>
          </w:tcPr>
          <w:p>
            <w:pPr>
              <w:spacing w:after="0"/>
              <w:rPr>
                <w:sz w:val="19"/>
                <w:szCs w:val="19"/>
                <w:color w:val="auto"/>
              </w:rPr>
            </w:pPr>
          </w:p>
        </w:tc>
        <w:tc>
          <w:tcPr>
            <w:tcW w:w="12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EBFEFF"/>
            </w:tcBorders>
            <w:shd w:val="clear" w:color="auto" w:fill="EBFEFF"/>
          </w:tcPr>
          <w:p>
            <w:pPr>
              <w:spacing w:after="0"/>
              <w:rPr>
                <w:sz w:val="19"/>
                <w:szCs w:val="19"/>
                <w:color w:val="auto"/>
              </w:rPr>
            </w:pPr>
          </w:p>
        </w:tc>
        <w:tc>
          <w:tcPr>
            <w:tcW w:w="200" w:type="dxa"/>
            <w:vAlign w:val="bottom"/>
            <w:tcBorders>
              <w:bottom w:val="single" w:sz="8" w:color="auto"/>
            </w:tcBorders>
            <w:shd w:val="clear" w:color="auto" w:fill="EBFEFF"/>
          </w:tcPr>
          <w:p>
            <w:pPr>
              <w:spacing w:after="0"/>
              <w:rPr>
                <w:sz w:val="19"/>
                <w:szCs w:val="19"/>
                <w:color w:val="auto"/>
              </w:rPr>
            </w:pPr>
          </w:p>
        </w:tc>
        <w:tc>
          <w:tcPr>
            <w:tcW w:w="12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43,164</w:t>
            </w:r>
          </w:p>
        </w:tc>
        <w:tc>
          <w:tcPr>
            <w:tcW w:w="100" w:type="dxa"/>
            <w:vAlign w:val="bottom"/>
            <w:shd w:val="clear" w:color="auto" w:fill="EBFEFF"/>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11,018</w:t>
            </w:r>
          </w:p>
        </w:tc>
      </w:tr>
      <w:tr>
        <w:trPr>
          <w:trHeight w:val="229"/>
        </w:trPr>
        <w:tc>
          <w:tcPr>
            <w:tcW w:w="80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Equity (Deficit)</w:t>
            </w: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spacing w:after="0"/>
              <w:rPr>
                <w:sz w:val="19"/>
                <w:szCs w:val="19"/>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04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EBF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300" w:type="dxa"/>
            <w:vAlign w:val="bottom"/>
            <w:gridSpan w:val="2"/>
            <w:shd w:val="clear" w:color="auto" w:fill="EBF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10,242</w:t>
            </w:r>
          </w:p>
        </w:tc>
      </w:tr>
      <w:tr>
        <w:trPr>
          <w:trHeight w:val="23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804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Current portion of contract liabilities</w:t>
            </w: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040" w:type="dxa"/>
            <w:vAlign w:val="bottom"/>
            <w:tcBorders>
              <w:bottom w:val="single" w:sz="8" w:color="EBFEFF"/>
            </w:tcBorders>
          </w:tcPr>
          <w:p>
            <w:pPr>
              <w:ind w:left="24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BF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80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10,619</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net of current portion</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w:t>
            </w:r>
          </w:p>
        </w:tc>
      </w:tr>
      <w:tr>
        <w:trPr>
          <w:trHeight w:val="229"/>
        </w:trPr>
        <w:tc>
          <w:tcPr>
            <w:tcW w:w="80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 related party</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80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Borders>
              <w:bottom w:val="single" w:sz="8" w:color="auto"/>
            </w:tcBorders>
            <w:shd w:val="clear" w:color="auto" w:fill="EBFEFF"/>
          </w:tcPr>
          <w:p>
            <w:pPr>
              <w:spacing w:after="0"/>
              <w:rPr>
                <w:sz w:val="19"/>
                <w:szCs w:val="19"/>
                <w:color w:val="auto"/>
              </w:rPr>
            </w:pPr>
          </w:p>
        </w:tc>
        <w:tc>
          <w:tcPr>
            <w:tcW w:w="12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EBFEFF"/>
          </w:tcPr>
          <w:p>
            <w:pPr>
              <w:spacing w:after="0"/>
              <w:rPr>
                <w:sz w:val="19"/>
                <w:szCs w:val="19"/>
                <w:color w:val="auto"/>
              </w:rPr>
            </w:pPr>
          </w:p>
        </w:tc>
        <w:tc>
          <w:tcPr>
            <w:tcW w:w="200" w:type="dxa"/>
            <w:vAlign w:val="bottom"/>
            <w:tcBorders>
              <w:bottom w:val="single" w:sz="8" w:color="auto"/>
            </w:tcBorders>
            <w:shd w:val="clear" w:color="auto" w:fill="EBFEFF"/>
          </w:tcPr>
          <w:p>
            <w:pPr>
              <w:spacing w:after="0"/>
              <w:rPr>
                <w:sz w:val="19"/>
                <w:szCs w:val="19"/>
                <w:color w:val="auto"/>
              </w:rPr>
            </w:pPr>
          </w:p>
        </w:tc>
        <w:tc>
          <w:tcPr>
            <w:tcW w:w="12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29,567</w:t>
            </w:r>
          </w:p>
        </w:tc>
      </w:tr>
      <w:tr>
        <w:trPr>
          <w:trHeight w:val="230"/>
        </w:trPr>
        <w:tc>
          <w:tcPr>
            <w:tcW w:w="80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spacing w:after="0"/>
              <w:rPr>
                <w:sz w:val="19"/>
                <w:szCs w:val="19"/>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w:t>
            </w:r>
          </w:p>
        </w:tc>
      </w:tr>
      <w:tr>
        <w:trPr>
          <w:trHeight w:val="229"/>
        </w:trPr>
        <w:tc>
          <w:tcPr>
            <w:tcW w:w="80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spacing w:after="0"/>
              <w:rPr>
                <w:sz w:val="19"/>
                <w:szCs w:val="19"/>
                <w:color w:val="auto"/>
              </w:rPr>
            </w:pPr>
          </w:p>
        </w:tc>
      </w:tr>
      <w:tr>
        <w:trPr>
          <w:trHeight w:val="225"/>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A common stock, $0.01 par value; 200,000,000 shares authorized, 2,612,257 and 2,084,973 shares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1"/>
        </w:trPr>
        <w:tc>
          <w:tcPr>
            <w:tcW w:w="8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 respectively</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804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Class B common stock, $0.01 par value; 100,000,000 shares authorized, and 577,349 outstanding as of</w:t>
            </w: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spacing w:after="0"/>
              <w:rPr>
                <w:sz w:val="19"/>
                <w:szCs w:val="19"/>
                <w:color w:val="auto"/>
              </w:rPr>
            </w:pPr>
          </w:p>
        </w:tc>
      </w:tr>
      <w:tr>
        <w:trPr>
          <w:trHeight w:val="261"/>
        </w:trPr>
        <w:tc>
          <w:tcPr>
            <w:tcW w:w="8040" w:type="dxa"/>
            <w:vAlign w:val="bottom"/>
            <w:shd w:val="clear" w:color="auto" w:fill="EBFEFF"/>
          </w:tcPr>
          <w:p>
            <w:pPr>
              <w:ind w:left="440"/>
              <w:spacing w:after="0"/>
              <w:rPr>
                <w:sz w:val="20"/>
                <w:szCs w:val="20"/>
                <w:color w:val="auto"/>
              </w:rPr>
            </w:pPr>
            <w:r>
              <w:rPr>
                <w:rFonts w:ascii="Times New Roman" w:cs="Times New Roman" w:eastAsia="Times New Roman" w:hAnsi="Times New Roman"/>
                <w:sz w:val="18"/>
                <w:szCs w:val="18"/>
                <w:color w:val="auto"/>
              </w:rPr>
              <w:t>September 30, 2024 and December 31, 2023</w:t>
            </w:r>
          </w:p>
        </w:tc>
        <w:tc>
          <w:tcPr>
            <w:tcW w:w="200" w:type="dxa"/>
            <w:vAlign w:val="bottom"/>
            <w:shd w:val="clear" w:color="auto" w:fill="EBFEFF"/>
          </w:tcPr>
          <w:p>
            <w:pPr>
              <w:spacing w:after="0"/>
              <w:rPr>
                <w:sz w:val="22"/>
                <w:szCs w:val="22"/>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EBFEFF"/>
          </w:tcPr>
          <w:p>
            <w:pPr>
              <w:spacing w:after="0"/>
              <w:rPr>
                <w:sz w:val="22"/>
                <w:szCs w:val="22"/>
                <w:color w:val="auto"/>
              </w:rPr>
            </w:pPr>
          </w:p>
        </w:tc>
        <w:tc>
          <w:tcPr>
            <w:tcW w:w="200" w:type="dxa"/>
            <w:vAlign w:val="bottom"/>
            <w:shd w:val="clear" w:color="auto" w:fill="EBFEFF"/>
          </w:tcPr>
          <w:p>
            <w:pPr>
              <w:spacing w:after="0"/>
              <w:rPr>
                <w:sz w:val="22"/>
                <w:szCs w:val="22"/>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256,335</w:t>
            </w:r>
          </w:p>
        </w:tc>
      </w:tr>
      <w:tr>
        <w:trPr>
          <w:trHeight w:val="229"/>
        </w:trPr>
        <w:tc>
          <w:tcPr>
            <w:tcW w:w="804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shd w:val="clear" w:color="auto" w:fill="EBFEFF"/>
          </w:tcPr>
          <w:p>
            <w:pPr>
              <w:spacing w:after="0"/>
              <w:rPr>
                <w:sz w:val="19"/>
                <w:szCs w:val="19"/>
                <w:color w:val="auto"/>
              </w:rPr>
            </w:pPr>
          </w:p>
        </w:tc>
        <w:tc>
          <w:tcPr>
            <w:tcW w:w="12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(296,084)</w:t>
            </w:r>
          </w:p>
        </w:tc>
        <w:tc>
          <w:tcPr>
            <w:tcW w:w="100" w:type="dxa"/>
            <w:vAlign w:val="bottom"/>
            <w:shd w:val="clear" w:color="auto" w:fill="EBFEFF"/>
          </w:tcPr>
          <w:p>
            <w:pPr>
              <w:spacing w:after="0"/>
              <w:rPr>
                <w:sz w:val="19"/>
                <w:szCs w:val="19"/>
                <w:color w:val="auto"/>
              </w:rPr>
            </w:pPr>
          </w:p>
        </w:tc>
        <w:tc>
          <w:tcPr>
            <w:tcW w:w="200" w:type="dxa"/>
            <w:vAlign w:val="bottom"/>
            <w:tcBorders>
              <w:bottom w:val="single" w:sz="8" w:color="auto"/>
            </w:tcBorders>
            <w:shd w:val="clear" w:color="auto" w:fill="EBFEFF"/>
          </w:tcPr>
          <w:p>
            <w:pPr>
              <w:spacing w:after="0"/>
              <w:rPr>
                <w:sz w:val="19"/>
                <w:szCs w:val="19"/>
                <w:color w:val="auto"/>
              </w:rPr>
            </w:pPr>
          </w:p>
        </w:tc>
        <w:tc>
          <w:tcPr>
            <w:tcW w:w="12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(281,042)</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 attributable to vTv Therapeutics Inc.</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(24,680)</w:t>
            </w:r>
          </w:p>
        </w:tc>
      </w:tr>
      <w:tr>
        <w:trPr>
          <w:trHeight w:val="229"/>
        </w:trPr>
        <w:tc>
          <w:tcPr>
            <w:tcW w:w="804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shd w:val="clear" w:color="auto" w:fill="EBFEFF"/>
          </w:tcPr>
          <w:p>
            <w:pPr>
              <w:spacing w:after="0"/>
              <w:rPr>
                <w:sz w:val="19"/>
                <w:szCs w:val="19"/>
                <w:color w:val="auto"/>
              </w:rPr>
            </w:pPr>
          </w:p>
        </w:tc>
        <w:tc>
          <w:tcPr>
            <w:tcW w:w="12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shd w:val="clear" w:color="auto" w:fill="EBFEFF"/>
          </w:tcPr>
          <w:p>
            <w:pPr>
              <w:spacing w:after="0"/>
              <w:rPr>
                <w:sz w:val="19"/>
                <w:szCs w:val="19"/>
                <w:color w:val="auto"/>
              </w:rPr>
            </w:pPr>
          </w:p>
        </w:tc>
        <w:tc>
          <w:tcPr>
            <w:tcW w:w="200" w:type="dxa"/>
            <w:vAlign w:val="bottom"/>
            <w:tcBorders>
              <w:bottom w:val="single" w:sz="8" w:color="auto"/>
            </w:tcBorders>
            <w:shd w:val="clear" w:color="auto" w:fill="EBFEFF"/>
          </w:tcPr>
          <w:p>
            <w:pPr>
              <w:spacing w:after="0"/>
              <w:rPr>
                <w:sz w:val="19"/>
                <w:szCs w:val="19"/>
                <w:color w:val="auto"/>
              </w:rPr>
            </w:pPr>
          </w:p>
        </w:tc>
        <w:tc>
          <w:tcPr>
            <w:tcW w:w="12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tcBorders>
              <w:bottom w:val="single" w:sz="8" w:color="EBF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17,913</w:t>
            </w:r>
          </w:p>
        </w:tc>
        <w:tc>
          <w:tcPr>
            <w:tcW w:w="100" w:type="dxa"/>
            <w:vAlign w:val="bottom"/>
            <w:tcBorders>
              <w:bottom w:val="single" w:sz="8" w:color="EBF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(24,680)</w:t>
            </w:r>
          </w:p>
        </w:tc>
      </w:tr>
      <w:tr>
        <w:trPr>
          <w:trHeight w:val="248"/>
        </w:trPr>
        <w:tc>
          <w:tcPr>
            <w:tcW w:w="8040" w:type="dxa"/>
            <w:vAlign w:val="bottom"/>
            <w:tcBorders>
              <w:bottom w:val="single" w:sz="8" w:color="EBFEFF"/>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stockholders’ equity (deficit)</w:t>
            </w:r>
          </w:p>
        </w:tc>
        <w:tc>
          <w:tcPr>
            <w:tcW w:w="200" w:type="dxa"/>
            <w:vAlign w:val="bottom"/>
            <w:tcBorders>
              <w:bottom w:val="single" w:sz="8" w:color="auto"/>
            </w:tcBorders>
            <w:shd w:val="clear" w:color="auto" w:fill="EBF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43,164</w:t>
            </w:r>
          </w:p>
        </w:tc>
        <w:tc>
          <w:tcPr>
            <w:tcW w:w="100" w:type="dxa"/>
            <w:vAlign w:val="bottom"/>
            <w:tcBorders>
              <w:bottom w:val="single" w:sz="8" w:color="EBFEFF"/>
            </w:tcBorders>
            <w:shd w:val="clear" w:color="auto" w:fill="EBFEFF"/>
          </w:tcPr>
          <w:p>
            <w:pPr>
              <w:spacing w:after="0"/>
              <w:rPr>
                <w:sz w:val="21"/>
                <w:szCs w:val="21"/>
                <w:color w:val="auto"/>
              </w:rPr>
            </w:pPr>
          </w:p>
        </w:tc>
        <w:tc>
          <w:tcPr>
            <w:tcW w:w="200" w:type="dxa"/>
            <w:vAlign w:val="bottom"/>
            <w:tcBorders>
              <w:bottom w:val="single" w:sz="8" w:color="auto"/>
            </w:tcBorders>
            <w:shd w:val="clear" w:color="auto" w:fill="EBF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11,018</w:t>
            </w:r>
          </w:p>
        </w:tc>
      </w:tr>
      <w:tr>
        <w:trPr>
          <w:trHeight w:val="20"/>
        </w:trPr>
        <w:tc>
          <w:tcPr>
            <w:tcW w:w="8040" w:type="dxa"/>
            <w:vAlign w:val="bottom"/>
            <w:tcBorders>
              <w:top w:val="single" w:sz="8" w:color="EBFEFF"/>
            </w:tcBorders>
          </w:tcPr>
          <w:p>
            <w:pPr>
              <w:spacing w:after="0" w:line="20" w:lineRule="exact"/>
              <w:rPr>
                <w:sz w:val="1"/>
                <w:szCs w:val="1"/>
                <w:color w:val="auto"/>
              </w:rPr>
            </w:pPr>
          </w:p>
        </w:tc>
        <w:tc>
          <w:tcPr>
            <w:tcW w:w="200" w:type="dxa"/>
            <w:vAlign w:val="bottom"/>
            <w:tcBorders>
              <w:top w:val="single" w:sz="8" w:color="EBFEFF"/>
              <w:bottom w:val="single" w:sz="8" w:color="auto"/>
            </w:tcBorders>
          </w:tcPr>
          <w:p>
            <w:pPr>
              <w:spacing w:after="0" w:line="20" w:lineRule="exact"/>
              <w:rPr>
                <w:sz w:val="1"/>
                <w:szCs w:val="1"/>
                <w:color w:val="auto"/>
              </w:rPr>
            </w:pPr>
          </w:p>
        </w:tc>
        <w:tc>
          <w:tcPr>
            <w:tcW w:w="126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200" w:type="dxa"/>
            <w:vAlign w:val="bottom"/>
            <w:tcBorders>
              <w:top w:val="single" w:sz="8" w:color="EBFEFF"/>
              <w:bottom w:val="single" w:sz="8" w:color="auto"/>
            </w:tcBorders>
          </w:tcPr>
          <w:p>
            <w:pPr>
              <w:spacing w:after="0" w:line="20" w:lineRule="exact"/>
              <w:rPr>
                <w:sz w:val="1"/>
                <w:szCs w:val="1"/>
                <w:color w:val="auto"/>
              </w:rPr>
            </w:pPr>
          </w:p>
        </w:tc>
        <w:tc>
          <w:tcPr>
            <w:tcW w:w="1260" w:type="dxa"/>
            <w:vAlign w:val="bottom"/>
            <w:tcBorders>
              <w:top w:val="single" w:sz="8" w:color="EBF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29"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3"/>
        </w:trPr>
        <w:tc>
          <w:tcPr>
            <w:tcW w:w="5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0"/>
        </w:trPr>
        <w:tc>
          <w:tcPr>
            <w:tcW w:w="5440" w:type="dxa"/>
            <w:vAlign w:val="bottom"/>
            <w:tcBorders>
              <w:bottom w:val="single" w:sz="8" w:color="EBF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EBF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line="240" w:lineRule="exact"/>
              <w:rPr>
                <w:sz w:val="20"/>
                <w:szCs w:val="20"/>
                <w:color w:val="auto"/>
              </w:rPr>
            </w:pP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23"/>
                <w:szCs w:val="23"/>
                <w:b w:val="1"/>
                <w:bCs w:val="1"/>
                <w:color w:val="auto"/>
                <w:vertAlign w:val="superscript"/>
              </w:rPr>
              <w:t>(*)</w:t>
            </w:r>
          </w:p>
        </w:tc>
        <w:tc>
          <w:tcPr>
            <w:tcW w:w="100" w:type="dxa"/>
            <w:vAlign w:val="bottom"/>
            <w:tcBorders>
              <w:bottom w:val="single" w:sz="8" w:color="EBF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EBF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line="240" w:lineRule="exact"/>
              <w:rPr>
                <w:sz w:val="20"/>
                <w:szCs w:val="20"/>
                <w:color w:val="auto"/>
              </w:rPr>
            </w:pP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23"/>
                <w:szCs w:val="23"/>
                <w:b w:val="1"/>
                <w:bCs w:val="1"/>
                <w:color w:val="auto"/>
                <w:vertAlign w:val="superscript"/>
              </w:rPr>
              <w:t>(*)</w:t>
            </w:r>
          </w:p>
        </w:tc>
        <w:tc>
          <w:tcPr>
            <w:tcW w:w="0" w:type="dxa"/>
            <w:vAlign w:val="bottom"/>
          </w:tcPr>
          <w:p>
            <w:pPr>
              <w:spacing w:after="0"/>
              <w:rPr>
                <w:sz w:val="1"/>
                <w:szCs w:val="1"/>
                <w:color w:val="auto"/>
              </w:rPr>
            </w:pPr>
          </w:p>
        </w:tc>
      </w:tr>
      <w:tr>
        <w:trPr>
          <w:trHeight w:val="223"/>
        </w:trPr>
        <w:tc>
          <w:tcPr>
            <w:tcW w:w="54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EBF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BFEFF"/>
          </w:tcPr>
          <w:p>
            <w:pPr>
              <w:spacing w:after="0"/>
              <w:rPr>
                <w:sz w:val="19"/>
                <w:szCs w:val="19"/>
                <w:color w:val="auto"/>
              </w:rPr>
            </w:pPr>
          </w:p>
        </w:tc>
        <w:tc>
          <w:tcPr>
            <w:tcW w:w="260" w:type="dxa"/>
            <w:vAlign w:val="bottom"/>
            <w:shd w:val="clear" w:color="auto" w:fill="EBF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BFEFF"/>
          </w:tcPr>
          <w:p>
            <w:pPr>
              <w:spacing w:after="0"/>
              <w:rPr>
                <w:sz w:val="19"/>
                <w:szCs w:val="19"/>
                <w:color w:val="auto"/>
              </w:rPr>
            </w:pPr>
          </w:p>
        </w:tc>
        <w:tc>
          <w:tcPr>
            <w:tcW w:w="320" w:type="dxa"/>
            <w:vAlign w:val="bottom"/>
            <w:shd w:val="clear" w:color="auto" w:fill="EBF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EBFEFF"/>
          </w:tcPr>
          <w:p>
            <w:pPr>
              <w:spacing w:after="0"/>
              <w:rPr>
                <w:sz w:val="19"/>
                <w:szCs w:val="19"/>
                <w:color w:val="auto"/>
              </w:rPr>
            </w:pPr>
          </w:p>
        </w:tc>
        <w:tc>
          <w:tcPr>
            <w:tcW w:w="280" w:type="dxa"/>
            <w:vAlign w:val="bottom"/>
            <w:shd w:val="clear" w:color="auto" w:fill="EBF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EBFEFF"/>
          </w:tcPr>
          <w:p>
            <w:pPr>
              <w:spacing w:after="0"/>
              <w:rPr>
                <w:sz w:val="19"/>
                <w:szCs w:val="19"/>
                <w:color w:val="auto"/>
              </w:rPr>
            </w:pPr>
          </w:p>
        </w:tc>
        <w:tc>
          <w:tcPr>
            <w:tcW w:w="10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shd w:val="clear" w:color="auto" w:fill="EBFEFF"/>
          </w:tcPr>
          <w:p>
            <w:pPr>
              <w:spacing w:after="0"/>
              <w:rPr>
                <w:sz w:val="19"/>
                <w:szCs w:val="19"/>
                <w:color w:val="auto"/>
              </w:rPr>
            </w:pPr>
          </w:p>
        </w:tc>
        <w:tc>
          <w:tcPr>
            <w:tcW w:w="260" w:type="dxa"/>
            <w:vAlign w:val="bottom"/>
            <w:shd w:val="clear" w:color="auto" w:fill="EBFEFF"/>
          </w:tcPr>
          <w:p>
            <w:pPr>
              <w:spacing w:after="0"/>
              <w:rPr>
                <w:sz w:val="19"/>
                <w:szCs w:val="19"/>
                <w:color w:val="auto"/>
              </w:rPr>
            </w:pPr>
          </w:p>
        </w:tc>
        <w:tc>
          <w:tcPr>
            <w:tcW w:w="11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shd w:val="clear" w:color="auto" w:fill="EBFEFF"/>
          </w:tcPr>
          <w:p>
            <w:pPr>
              <w:spacing w:after="0"/>
              <w:rPr>
                <w:sz w:val="19"/>
                <w:szCs w:val="19"/>
                <w:color w:val="auto"/>
              </w:rPr>
            </w:pPr>
          </w:p>
        </w:tc>
        <w:tc>
          <w:tcPr>
            <w:tcW w:w="320" w:type="dxa"/>
            <w:vAlign w:val="bottom"/>
            <w:shd w:val="clear" w:color="auto" w:fill="EBFEFF"/>
          </w:tcPr>
          <w:p>
            <w:pPr>
              <w:spacing w:after="0"/>
              <w:rPr>
                <w:sz w:val="19"/>
                <w:szCs w:val="19"/>
                <w:color w:val="auto"/>
              </w:rPr>
            </w:pPr>
          </w:p>
        </w:tc>
        <w:tc>
          <w:tcPr>
            <w:tcW w:w="10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100" w:type="dxa"/>
            <w:vAlign w:val="bottom"/>
            <w:shd w:val="clear" w:color="auto" w:fill="EBFEFF"/>
          </w:tcPr>
          <w:p>
            <w:pPr>
              <w:spacing w:after="0"/>
              <w:rPr>
                <w:sz w:val="19"/>
                <w:szCs w:val="19"/>
                <w:color w:val="auto"/>
              </w:rPr>
            </w:pPr>
          </w:p>
        </w:tc>
        <w:tc>
          <w:tcPr>
            <w:tcW w:w="280" w:type="dxa"/>
            <w:vAlign w:val="bottom"/>
            <w:shd w:val="clear" w:color="auto" w:fill="EBFEFF"/>
          </w:tcPr>
          <w:p>
            <w:pPr>
              <w:spacing w:after="0"/>
              <w:rPr>
                <w:sz w:val="19"/>
                <w:szCs w:val="19"/>
                <w:color w:val="auto"/>
              </w:rPr>
            </w:pPr>
          </w:p>
        </w:tc>
        <w:tc>
          <w:tcPr>
            <w:tcW w:w="11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EBF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Borders>
              <w:bottom w:val="single" w:sz="8" w:color="EBF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tcBorders>
              <w:bottom w:val="single" w:sz="8" w:color="EBF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10,976</w:t>
            </w:r>
          </w:p>
        </w:tc>
        <w:tc>
          <w:tcPr>
            <w:tcW w:w="100" w:type="dxa"/>
            <w:vAlign w:val="bottom"/>
            <w:tcBorders>
              <w:bottom w:val="single" w:sz="8" w:color="EBF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9,338</w:t>
            </w:r>
          </w:p>
        </w:tc>
        <w:tc>
          <w:tcPr>
            <w:tcW w:w="0" w:type="dxa"/>
            <w:vAlign w:val="bottom"/>
          </w:tcPr>
          <w:p>
            <w:pPr>
              <w:spacing w:after="0"/>
              <w:rPr>
                <w:sz w:val="1"/>
                <w:szCs w:val="1"/>
                <w:color w:val="auto"/>
              </w:rPr>
            </w:pPr>
          </w:p>
        </w:tc>
      </w:tr>
      <w:tr>
        <w:trPr>
          <w:trHeight w:val="223"/>
        </w:trPr>
        <w:tc>
          <w:tcPr>
            <w:tcW w:w="5440" w:type="dxa"/>
            <w:vAlign w:val="bottom"/>
            <w:shd w:val="clear" w:color="auto" w:fill="EBF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EBFEFF"/>
          </w:tcPr>
          <w:p>
            <w:pPr>
              <w:spacing w:after="0"/>
              <w:rPr>
                <w:sz w:val="19"/>
                <w:szCs w:val="19"/>
                <w:color w:val="auto"/>
              </w:rPr>
            </w:pPr>
          </w:p>
        </w:tc>
        <w:tc>
          <w:tcPr>
            <w:tcW w:w="10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shd w:val="clear" w:color="auto" w:fill="EBFEFF"/>
          </w:tcPr>
          <w:p>
            <w:pPr>
              <w:spacing w:after="0"/>
              <w:rPr>
                <w:sz w:val="19"/>
                <w:szCs w:val="19"/>
                <w:color w:val="auto"/>
              </w:rPr>
            </w:pPr>
          </w:p>
        </w:tc>
        <w:tc>
          <w:tcPr>
            <w:tcW w:w="260" w:type="dxa"/>
            <w:vAlign w:val="bottom"/>
            <w:tcBorders>
              <w:bottom w:val="single" w:sz="8" w:color="auto"/>
            </w:tcBorders>
            <w:shd w:val="clear" w:color="auto" w:fill="EBFEFF"/>
          </w:tcPr>
          <w:p>
            <w:pPr>
              <w:spacing w:after="0"/>
              <w:rPr>
                <w:sz w:val="19"/>
                <w:szCs w:val="19"/>
                <w:color w:val="auto"/>
              </w:rPr>
            </w:pPr>
          </w:p>
        </w:tc>
        <w:tc>
          <w:tcPr>
            <w:tcW w:w="110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shd w:val="clear" w:color="auto" w:fill="EBFEFF"/>
          </w:tcPr>
          <w:p>
            <w:pPr>
              <w:spacing w:after="0"/>
              <w:rPr>
                <w:sz w:val="19"/>
                <w:szCs w:val="19"/>
                <w:color w:val="auto"/>
              </w:rPr>
            </w:pPr>
          </w:p>
        </w:tc>
        <w:tc>
          <w:tcPr>
            <w:tcW w:w="320" w:type="dxa"/>
            <w:vAlign w:val="bottom"/>
            <w:tcBorders>
              <w:bottom w:val="single" w:sz="8" w:color="auto"/>
            </w:tcBorders>
            <w:shd w:val="clear" w:color="auto" w:fill="EBFEFF"/>
          </w:tcPr>
          <w:p>
            <w:pPr>
              <w:spacing w:after="0"/>
              <w:rPr>
                <w:sz w:val="19"/>
                <w:szCs w:val="19"/>
                <w:color w:val="auto"/>
              </w:rPr>
            </w:pPr>
          </w:p>
        </w:tc>
        <w:tc>
          <w:tcPr>
            <w:tcW w:w="10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20,288</w:t>
            </w:r>
          </w:p>
        </w:tc>
        <w:tc>
          <w:tcPr>
            <w:tcW w:w="100" w:type="dxa"/>
            <w:vAlign w:val="bottom"/>
            <w:shd w:val="clear" w:color="auto" w:fill="EBFEFF"/>
          </w:tcPr>
          <w:p>
            <w:pPr>
              <w:spacing w:after="0"/>
              <w:rPr>
                <w:sz w:val="19"/>
                <w:szCs w:val="19"/>
                <w:color w:val="auto"/>
              </w:rPr>
            </w:pPr>
          </w:p>
        </w:tc>
        <w:tc>
          <w:tcPr>
            <w:tcW w:w="280" w:type="dxa"/>
            <w:vAlign w:val="bottom"/>
            <w:tcBorders>
              <w:bottom w:val="single" w:sz="8" w:color="auto"/>
            </w:tcBorders>
            <w:shd w:val="clear" w:color="auto" w:fill="EBFEFF"/>
          </w:tcPr>
          <w:p>
            <w:pPr>
              <w:spacing w:after="0"/>
              <w:rPr>
                <w:sz w:val="19"/>
                <w:szCs w:val="19"/>
                <w:color w:val="auto"/>
              </w:rPr>
            </w:pPr>
          </w:p>
        </w:tc>
        <w:tc>
          <w:tcPr>
            <w:tcW w:w="110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20,795</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(20,795)</w:t>
            </w:r>
          </w:p>
        </w:tc>
        <w:tc>
          <w:tcPr>
            <w:tcW w:w="0" w:type="dxa"/>
            <w:vAlign w:val="bottom"/>
          </w:tcPr>
          <w:p>
            <w:pPr>
              <w:spacing w:after="0"/>
              <w:rPr>
                <w:sz w:val="1"/>
                <w:szCs w:val="1"/>
                <w:color w:val="auto"/>
              </w:rPr>
            </w:pPr>
          </w:p>
        </w:tc>
      </w:tr>
      <w:tr>
        <w:trPr>
          <w:trHeight w:val="230"/>
        </w:trPr>
        <w:tc>
          <w:tcPr>
            <w:tcW w:w="54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EBFEFF"/>
          </w:tcPr>
          <w:p>
            <w:pPr>
              <w:spacing w:after="0"/>
              <w:rPr>
                <w:sz w:val="19"/>
                <w:szCs w:val="19"/>
                <w:color w:val="auto"/>
              </w:rPr>
            </w:pPr>
          </w:p>
        </w:tc>
        <w:tc>
          <w:tcPr>
            <w:tcW w:w="10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EBFEFF"/>
          </w:tcPr>
          <w:p>
            <w:pPr>
              <w:spacing w:after="0"/>
              <w:rPr>
                <w:sz w:val="19"/>
                <w:szCs w:val="19"/>
                <w:color w:val="auto"/>
              </w:rPr>
            </w:pPr>
          </w:p>
        </w:tc>
        <w:tc>
          <w:tcPr>
            <w:tcW w:w="260" w:type="dxa"/>
            <w:vAlign w:val="bottom"/>
            <w:shd w:val="clear" w:color="auto" w:fill="EBFEFF"/>
          </w:tcPr>
          <w:p>
            <w:pPr>
              <w:spacing w:after="0"/>
              <w:rPr>
                <w:sz w:val="19"/>
                <w:szCs w:val="19"/>
                <w:color w:val="auto"/>
              </w:rPr>
            </w:pPr>
          </w:p>
        </w:tc>
        <w:tc>
          <w:tcPr>
            <w:tcW w:w="11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shd w:val="clear" w:color="auto" w:fill="EBFEFF"/>
          </w:tcPr>
          <w:p>
            <w:pPr>
              <w:spacing w:after="0"/>
              <w:rPr>
                <w:sz w:val="19"/>
                <w:szCs w:val="19"/>
                <w:color w:val="auto"/>
              </w:rPr>
            </w:pPr>
          </w:p>
        </w:tc>
        <w:tc>
          <w:tcPr>
            <w:tcW w:w="320" w:type="dxa"/>
            <w:vAlign w:val="bottom"/>
            <w:shd w:val="clear" w:color="auto" w:fill="EBFEFF"/>
          </w:tcPr>
          <w:p>
            <w:pPr>
              <w:spacing w:after="0"/>
              <w:rPr>
                <w:sz w:val="19"/>
                <w:szCs w:val="19"/>
                <w:color w:val="auto"/>
              </w:rPr>
            </w:pPr>
          </w:p>
        </w:tc>
        <w:tc>
          <w:tcPr>
            <w:tcW w:w="10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EBFEFF"/>
          </w:tcPr>
          <w:p>
            <w:pPr>
              <w:spacing w:after="0"/>
              <w:rPr>
                <w:sz w:val="19"/>
                <w:szCs w:val="19"/>
                <w:color w:val="auto"/>
              </w:rPr>
            </w:pPr>
          </w:p>
        </w:tc>
        <w:tc>
          <w:tcPr>
            <w:tcW w:w="280" w:type="dxa"/>
            <w:vAlign w:val="bottom"/>
            <w:shd w:val="clear" w:color="auto" w:fill="EBFEFF"/>
          </w:tcPr>
          <w:p>
            <w:pPr>
              <w:spacing w:after="0"/>
              <w:rPr>
                <w:sz w:val="19"/>
                <w:szCs w:val="19"/>
                <w:color w:val="auto"/>
              </w:rPr>
            </w:pPr>
          </w:p>
        </w:tc>
        <w:tc>
          <w:tcPr>
            <w:tcW w:w="11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 related party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9"/>
        </w:trPr>
        <w:tc>
          <w:tcPr>
            <w:tcW w:w="54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EBFEFF"/>
          </w:tcPr>
          <w:p>
            <w:pPr>
              <w:spacing w:after="0"/>
              <w:rPr>
                <w:sz w:val="19"/>
                <w:szCs w:val="19"/>
                <w:color w:val="auto"/>
              </w:rPr>
            </w:pPr>
          </w:p>
        </w:tc>
        <w:tc>
          <w:tcPr>
            <w:tcW w:w="10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EBFEFF"/>
          </w:tcPr>
          <w:p>
            <w:pPr>
              <w:spacing w:after="0"/>
              <w:rPr>
                <w:sz w:val="19"/>
                <w:szCs w:val="19"/>
                <w:color w:val="auto"/>
              </w:rPr>
            </w:pPr>
          </w:p>
        </w:tc>
        <w:tc>
          <w:tcPr>
            <w:tcW w:w="260" w:type="dxa"/>
            <w:vAlign w:val="bottom"/>
            <w:shd w:val="clear" w:color="auto" w:fill="EBFEFF"/>
          </w:tcPr>
          <w:p>
            <w:pPr>
              <w:spacing w:after="0"/>
              <w:rPr>
                <w:sz w:val="19"/>
                <w:szCs w:val="19"/>
                <w:color w:val="auto"/>
              </w:rPr>
            </w:pPr>
          </w:p>
        </w:tc>
        <w:tc>
          <w:tcPr>
            <w:tcW w:w="11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EBFEFF"/>
          </w:tcPr>
          <w:p>
            <w:pPr>
              <w:spacing w:after="0"/>
              <w:rPr>
                <w:sz w:val="19"/>
                <w:szCs w:val="19"/>
                <w:color w:val="auto"/>
              </w:rPr>
            </w:pPr>
          </w:p>
        </w:tc>
        <w:tc>
          <w:tcPr>
            <w:tcW w:w="320" w:type="dxa"/>
            <w:vAlign w:val="bottom"/>
            <w:shd w:val="clear" w:color="auto" w:fill="EBFEFF"/>
          </w:tcPr>
          <w:p>
            <w:pPr>
              <w:spacing w:after="0"/>
              <w:rPr>
                <w:sz w:val="19"/>
                <w:szCs w:val="19"/>
                <w:color w:val="auto"/>
              </w:rPr>
            </w:pPr>
          </w:p>
        </w:tc>
        <w:tc>
          <w:tcPr>
            <w:tcW w:w="10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EBFEFF"/>
          </w:tcPr>
          <w:p>
            <w:pPr>
              <w:spacing w:after="0"/>
              <w:rPr>
                <w:sz w:val="19"/>
                <w:szCs w:val="19"/>
                <w:color w:val="auto"/>
              </w:rPr>
            </w:pPr>
          </w:p>
        </w:tc>
        <w:tc>
          <w:tcPr>
            <w:tcW w:w="280" w:type="dxa"/>
            <w:vAlign w:val="bottom"/>
            <w:shd w:val="clear" w:color="auto" w:fill="EBFEFF"/>
          </w:tcPr>
          <w:p>
            <w:pPr>
              <w:spacing w:after="0"/>
              <w:rPr>
                <w:sz w:val="19"/>
                <w:szCs w:val="19"/>
                <w:color w:val="auto"/>
              </w:rPr>
            </w:pPr>
          </w:p>
        </w:tc>
        <w:tc>
          <w:tcPr>
            <w:tcW w:w="11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EBFEFF"/>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440" w:type="dxa"/>
            <w:vAlign w:val="bottom"/>
            <w:tcBorders>
              <w:top w:val="single" w:sz="8" w:color="EBFEFF"/>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Loss before income taxes and noncontrolling interest</w:t>
            </w:r>
          </w:p>
        </w:tc>
        <w:tc>
          <w:tcPr>
            <w:tcW w:w="300" w:type="dxa"/>
            <w:vAlign w:val="bottom"/>
            <w:tcBorders>
              <w:top w:val="single" w:sz="8" w:color="auto"/>
            </w:tcBorders>
            <w:shd w:val="clear" w:color="auto" w:fill="EBFEFF"/>
          </w:tcPr>
          <w:p>
            <w:pPr>
              <w:spacing w:after="0"/>
              <w:rPr>
                <w:sz w:val="19"/>
                <w:szCs w:val="19"/>
                <w:color w:val="auto"/>
              </w:rPr>
            </w:pPr>
          </w:p>
        </w:tc>
        <w:tc>
          <w:tcPr>
            <w:tcW w:w="106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tcBorders>
              <w:top w:val="single" w:sz="8" w:color="auto"/>
            </w:tcBorders>
            <w:shd w:val="clear" w:color="auto" w:fill="EBFEFF"/>
          </w:tcPr>
          <w:p>
            <w:pPr>
              <w:spacing w:after="0"/>
              <w:rPr>
                <w:sz w:val="19"/>
                <w:szCs w:val="19"/>
                <w:color w:val="auto"/>
              </w:rPr>
            </w:pPr>
          </w:p>
        </w:tc>
        <w:tc>
          <w:tcPr>
            <w:tcW w:w="260" w:type="dxa"/>
            <w:vAlign w:val="bottom"/>
            <w:tcBorders>
              <w:top w:val="single" w:sz="8" w:color="auto"/>
            </w:tcBorders>
            <w:shd w:val="clear" w:color="auto" w:fill="EBFEFF"/>
          </w:tcPr>
          <w:p>
            <w:pPr>
              <w:spacing w:after="0"/>
              <w:rPr>
                <w:sz w:val="19"/>
                <w:szCs w:val="19"/>
                <w:color w:val="auto"/>
              </w:rPr>
            </w:pPr>
          </w:p>
        </w:tc>
        <w:tc>
          <w:tcPr>
            <w:tcW w:w="110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100" w:type="dxa"/>
            <w:vAlign w:val="bottom"/>
            <w:tcBorders>
              <w:top w:val="single" w:sz="8" w:color="EBFEFF"/>
            </w:tcBorders>
            <w:shd w:val="clear" w:color="auto" w:fill="EBFEFF"/>
          </w:tcPr>
          <w:p>
            <w:pPr>
              <w:spacing w:after="0"/>
              <w:rPr>
                <w:sz w:val="19"/>
                <w:szCs w:val="19"/>
                <w:color w:val="auto"/>
              </w:rPr>
            </w:pPr>
          </w:p>
        </w:tc>
        <w:tc>
          <w:tcPr>
            <w:tcW w:w="320" w:type="dxa"/>
            <w:vAlign w:val="bottom"/>
            <w:tcBorders>
              <w:top w:val="single" w:sz="8" w:color="auto"/>
            </w:tcBorders>
            <w:shd w:val="clear" w:color="auto" w:fill="EBFEFF"/>
          </w:tcPr>
          <w:p>
            <w:pPr>
              <w:spacing w:after="0"/>
              <w:rPr>
                <w:sz w:val="19"/>
                <w:szCs w:val="19"/>
                <w:color w:val="auto"/>
              </w:rPr>
            </w:pPr>
          </w:p>
        </w:tc>
        <w:tc>
          <w:tcPr>
            <w:tcW w:w="106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(18,168)</w:t>
            </w:r>
          </w:p>
        </w:tc>
        <w:tc>
          <w:tcPr>
            <w:tcW w:w="100" w:type="dxa"/>
            <w:vAlign w:val="bottom"/>
            <w:tcBorders>
              <w:top w:val="single" w:sz="8" w:color="EBFEFF"/>
            </w:tcBorders>
            <w:shd w:val="clear" w:color="auto" w:fill="EBFEFF"/>
          </w:tcPr>
          <w:p>
            <w:pPr>
              <w:spacing w:after="0"/>
              <w:rPr>
                <w:sz w:val="19"/>
                <w:szCs w:val="19"/>
                <w:color w:val="auto"/>
              </w:rPr>
            </w:pPr>
          </w:p>
        </w:tc>
        <w:tc>
          <w:tcPr>
            <w:tcW w:w="280" w:type="dxa"/>
            <w:vAlign w:val="bottom"/>
            <w:tcBorders>
              <w:top w:val="single" w:sz="8" w:color="auto"/>
            </w:tcBorders>
            <w:shd w:val="clear" w:color="auto" w:fill="EBFEFF"/>
          </w:tcPr>
          <w:p>
            <w:pPr>
              <w:spacing w:after="0"/>
              <w:rPr>
                <w:sz w:val="19"/>
                <w:szCs w:val="19"/>
                <w:color w:val="auto"/>
              </w:rPr>
            </w:pPr>
          </w:p>
        </w:tc>
        <w:tc>
          <w:tcPr>
            <w:tcW w:w="110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EBF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BF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300" w:type="dxa"/>
            <w:vAlign w:val="bottom"/>
            <w:shd w:val="clear" w:color="auto" w:fill="EBFEFF"/>
          </w:tcPr>
          <w:p>
            <w:pPr>
              <w:spacing w:after="0"/>
              <w:rPr>
                <w:sz w:val="19"/>
                <w:szCs w:val="19"/>
                <w:color w:val="auto"/>
              </w:rPr>
            </w:pPr>
          </w:p>
        </w:tc>
        <w:tc>
          <w:tcPr>
            <w:tcW w:w="10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shd w:val="clear" w:color="auto" w:fill="EBFEFF"/>
          </w:tcPr>
          <w:p>
            <w:pPr>
              <w:spacing w:after="0"/>
              <w:rPr>
                <w:sz w:val="19"/>
                <w:szCs w:val="19"/>
                <w:color w:val="auto"/>
              </w:rPr>
            </w:pPr>
          </w:p>
        </w:tc>
        <w:tc>
          <w:tcPr>
            <w:tcW w:w="260" w:type="dxa"/>
            <w:vAlign w:val="bottom"/>
            <w:shd w:val="clear" w:color="auto" w:fill="EBFEFF"/>
          </w:tcPr>
          <w:p>
            <w:pPr>
              <w:spacing w:after="0"/>
              <w:rPr>
                <w:sz w:val="19"/>
                <w:szCs w:val="19"/>
                <w:color w:val="auto"/>
              </w:rPr>
            </w:pPr>
          </w:p>
        </w:tc>
        <w:tc>
          <w:tcPr>
            <w:tcW w:w="11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100" w:type="dxa"/>
            <w:vAlign w:val="bottom"/>
            <w:shd w:val="clear" w:color="auto" w:fill="EBFEFF"/>
          </w:tcPr>
          <w:p>
            <w:pPr>
              <w:spacing w:after="0"/>
              <w:rPr>
                <w:sz w:val="19"/>
                <w:szCs w:val="19"/>
                <w:color w:val="auto"/>
              </w:rPr>
            </w:pPr>
          </w:p>
        </w:tc>
        <w:tc>
          <w:tcPr>
            <w:tcW w:w="320" w:type="dxa"/>
            <w:vAlign w:val="bottom"/>
            <w:shd w:val="clear" w:color="auto" w:fill="EBFEFF"/>
          </w:tcPr>
          <w:p>
            <w:pPr>
              <w:spacing w:after="0"/>
              <w:rPr>
                <w:sz w:val="19"/>
                <w:szCs w:val="19"/>
                <w:color w:val="auto"/>
              </w:rPr>
            </w:pPr>
          </w:p>
        </w:tc>
        <w:tc>
          <w:tcPr>
            <w:tcW w:w="10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(18,268)</w:t>
            </w:r>
          </w:p>
        </w:tc>
        <w:tc>
          <w:tcPr>
            <w:tcW w:w="100" w:type="dxa"/>
            <w:vAlign w:val="bottom"/>
            <w:shd w:val="clear" w:color="auto" w:fill="EBFEFF"/>
          </w:tcPr>
          <w:p>
            <w:pPr>
              <w:spacing w:after="0"/>
              <w:rPr>
                <w:sz w:val="19"/>
                <w:szCs w:val="19"/>
                <w:color w:val="auto"/>
              </w:rPr>
            </w:pPr>
          </w:p>
        </w:tc>
        <w:tc>
          <w:tcPr>
            <w:tcW w:w="280" w:type="dxa"/>
            <w:vAlign w:val="bottom"/>
            <w:shd w:val="clear" w:color="auto" w:fill="EBFEFF"/>
          </w:tcPr>
          <w:p>
            <w:pPr>
              <w:spacing w:after="0"/>
              <w:rPr>
                <w:sz w:val="19"/>
                <w:szCs w:val="19"/>
                <w:color w:val="auto"/>
              </w:rPr>
            </w:pPr>
          </w:p>
        </w:tc>
        <w:tc>
          <w:tcPr>
            <w:tcW w:w="11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EBFEFF"/>
            </w:tcBorders>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EBFEFF"/>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vTv Therapeutics Inc.</w:t>
            </w:r>
          </w:p>
        </w:tc>
        <w:tc>
          <w:tcPr>
            <w:tcW w:w="300" w:type="dxa"/>
            <w:vAlign w:val="bottom"/>
            <w:tcBorders>
              <w:bottom w:val="single" w:sz="8" w:color="auto"/>
            </w:tcBorders>
            <w:shd w:val="clear" w:color="auto" w:fill="EBF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tcBorders>
              <w:bottom w:val="single" w:sz="8" w:color="auto"/>
            </w:tcBorders>
            <w:shd w:val="clear" w:color="auto" w:fill="EBFEFF"/>
          </w:tcPr>
          <w:p>
            <w:pPr>
              <w:spacing w:after="0"/>
              <w:rPr>
                <w:sz w:val="21"/>
                <w:szCs w:val="21"/>
                <w:color w:val="auto"/>
              </w:rPr>
            </w:pPr>
          </w:p>
        </w:tc>
        <w:tc>
          <w:tcPr>
            <w:tcW w:w="260" w:type="dxa"/>
            <w:vAlign w:val="bottom"/>
            <w:tcBorders>
              <w:bottom w:val="single" w:sz="8" w:color="auto"/>
            </w:tcBorders>
            <w:shd w:val="clear" w:color="auto" w:fill="EBF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420" w:type="dxa"/>
            <w:vAlign w:val="bottom"/>
            <w:tcBorders>
              <w:bottom w:val="single" w:sz="8" w:color="auto"/>
            </w:tcBorders>
            <w:gridSpan w:val="2"/>
            <w:shd w:val="clear" w:color="auto" w:fill="EBF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100" w:type="dxa"/>
            <w:vAlign w:val="bottom"/>
            <w:tcBorders>
              <w:bottom w:val="single" w:sz="8" w:color="auto"/>
            </w:tcBorders>
            <w:shd w:val="clear" w:color="auto" w:fill="EBFEFF"/>
          </w:tcPr>
          <w:p>
            <w:pPr>
              <w:spacing w:after="0"/>
              <w:rPr>
                <w:sz w:val="21"/>
                <w:szCs w:val="21"/>
                <w:color w:val="auto"/>
              </w:rPr>
            </w:pPr>
          </w:p>
        </w:tc>
        <w:tc>
          <w:tcPr>
            <w:tcW w:w="280" w:type="dxa"/>
            <w:vAlign w:val="bottom"/>
            <w:tcBorders>
              <w:bottom w:val="single" w:sz="8" w:color="auto"/>
            </w:tcBorders>
            <w:shd w:val="clear" w:color="auto" w:fill="EBF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(16,772)</w:t>
            </w:r>
          </w:p>
        </w:tc>
        <w:tc>
          <w:tcPr>
            <w:tcW w:w="0" w:type="dxa"/>
            <w:vAlign w:val="bottom"/>
          </w:tcPr>
          <w:p>
            <w:pPr>
              <w:spacing w:after="0"/>
              <w:rPr>
                <w:sz w:val="1"/>
                <w:szCs w:val="1"/>
                <w:color w:val="auto"/>
              </w:rPr>
            </w:pPr>
          </w:p>
        </w:tc>
      </w:tr>
      <w:tr>
        <w:trPr>
          <w:trHeight w:val="20"/>
        </w:trPr>
        <w:tc>
          <w:tcPr>
            <w:tcW w:w="5440" w:type="dxa"/>
            <w:vAlign w:val="bottom"/>
            <w:tcBorders>
              <w:top w:val="single" w:sz="8" w:color="EBFEFF"/>
              <w:bottom w:val="single" w:sz="8" w:color="EBF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attributable to vTv Therapeutics Inc. common shareholders</w:t>
            </w:r>
          </w:p>
        </w:tc>
        <w:tc>
          <w:tcPr>
            <w:tcW w:w="300" w:type="dxa"/>
            <w:vAlign w:val="bottom"/>
            <w:tcBorders>
              <w:top w:val="single" w:sz="8" w:color="EBFEFF"/>
              <w:bottom w:val="single" w:sz="8" w:color="auto"/>
            </w:tcBorders>
          </w:tcPr>
          <w:p>
            <w:pPr>
              <w:spacing w:after="0" w:line="20" w:lineRule="exact"/>
              <w:rPr>
                <w:sz w:val="1"/>
                <w:szCs w:val="1"/>
                <w:color w:val="auto"/>
              </w:rPr>
            </w:pPr>
          </w:p>
        </w:tc>
        <w:tc>
          <w:tcPr>
            <w:tcW w:w="106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bottom w:val="single" w:sz="8" w:color="auto"/>
            </w:tcBorders>
          </w:tcPr>
          <w:p>
            <w:pPr>
              <w:spacing w:after="0" w:line="20" w:lineRule="exact"/>
              <w:rPr>
                <w:sz w:val="1"/>
                <w:szCs w:val="1"/>
                <w:color w:val="auto"/>
              </w:rPr>
            </w:pPr>
          </w:p>
        </w:tc>
        <w:tc>
          <w:tcPr>
            <w:tcW w:w="260" w:type="dxa"/>
            <w:vAlign w:val="bottom"/>
            <w:tcBorders>
              <w:top w:val="single" w:sz="8" w:color="EBFEFF"/>
              <w:bottom w:val="single" w:sz="8" w:color="auto"/>
            </w:tcBorders>
          </w:tcPr>
          <w:p>
            <w:pPr>
              <w:spacing w:after="0" w:line="20" w:lineRule="exact"/>
              <w:rPr>
                <w:sz w:val="1"/>
                <w:szCs w:val="1"/>
                <w:color w:val="auto"/>
              </w:rPr>
            </w:pPr>
          </w:p>
        </w:tc>
        <w:tc>
          <w:tcPr>
            <w:tcW w:w="110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bottom w:val="single" w:sz="8" w:color="auto"/>
            </w:tcBorders>
          </w:tcPr>
          <w:p>
            <w:pPr>
              <w:spacing w:after="0" w:line="20" w:lineRule="exact"/>
              <w:rPr>
                <w:sz w:val="1"/>
                <w:szCs w:val="1"/>
                <w:color w:val="auto"/>
              </w:rPr>
            </w:pPr>
          </w:p>
        </w:tc>
        <w:tc>
          <w:tcPr>
            <w:tcW w:w="320" w:type="dxa"/>
            <w:vAlign w:val="bottom"/>
            <w:tcBorders>
              <w:top w:val="single" w:sz="8" w:color="EBFEFF"/>
              <w:bottom w:val="single" w:sz="8" w:color="auto"/>
            </w:tcBorders>
          </w:tcPr>
          <w:p>
            <w:pPr>
              <w:spacing w:after="0" w:line="20" w:lineRule="exact"/>
              <w:rPr>
                <w:sz w:val="1"/>
                <w:szCs w:val="1"/>
                <w:color w:val="auto"/>
              </w:rPr>
            </w:pPr>
          </w:p>
        </w:tc>
        <w:tc>
          <w:tcPr>
            <w:tcW w:w="106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bottom w:val="single" w:sz="8" w:color="auto"/>
            </w:tcBorders>
          </w:tcPr>
          <w:p>
            <w:pPr>
              <w:spacing w:after="0" w:line="20" w:lineRule="exact"/>
              <w:rPr>
                <w:sz w:val="1"/>
                <w:szCs w:val="1"/>
                <w:color w:val="auto"/>
              </w:rPr>
            </w:pPr>
          </w:p>
        </w:tc>
        <w:tc>
          <w:tcPr>
            <w:tcW w:w="280" w:type="dxa"/>
            <w:vAlign w:val="bottom"/>
            <w:tcBorders>
              <w:top w:val="single" w:sz="8" w:color="EBFEFF"/>
              <w:bottom w:val="single" w:sz="8" w:color="auto"/>
            </w:tcBorders>
          </w:tcPr>
          <w:p>
            <w:pPr>
              <w:spacing w:after="0" w:line="20" w:lineRule="exact"/>
              <w:rPr>
                <w:sz w:val="1"/>
                <w:szCs w:val="1"/>
                <w:color w:val="auto"/>
              </w:rPr>
            </w:pPr>
          </w:p>
        </w:tc>
        <w:tc>
          <w:tcPr>
            <w:tcW w:w="1100" w:type="dxa"/>
            <w:vAlign w:val="bottom"/>
            <w:tcBorders>
              <w:top w:val="single" w:sz="8" w:color="EBF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40" w:type="dxa"/>
            <w:vAlign w:val="bottom"/>
            <w:tcBorders>
              <w:bottom w:val="single" w:sz="8" w:color="EBF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(4,783)</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(6,654)</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(14,828)</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(16,772)</w:t>
            </w:r>
          </w:p>
        </w:tc>
        <w:tc>
          <w:tcPr>
            <w:tcW w:w="0" w:type="dxa"/>
            <w:vAlign w:val="bottom"/>
          </w:tcPr>
          <w:p>
            <w:pPr>
              <w:spacing w:after="0"/>
              <w:rPr>
                <w:sz w:val="1"/>
                <w:szCs w:val="1"/>
                <w:color w:val="auto"/>
              </w:rPr>
            </w:pPr>
          </w:p>
        </w:tc>
      </w:tr>
      <w:tr>
        <w:trPr>
          <w:trHeight w:val="155"/>
        </w:trPr>
        <w:tc>
          <w:tcPr>
            <w:tcW w:w="5440" w:type="dxa"/>
            <w:vAlign w:val="bottom"/>
            <w:shd w:val="clear" w:color="auto" w:fill="EBFEFF"/>
          </w:tcPr>
          <w:p>
            <w:pPr>
              <w:ind w:left="260"/>
              <w:spacing w:after="0" w:line="156" w:lineRule="exact"/>
              <w:rPr>
                <w:sz w:val="20"/>
                <w:szCs w:val="20"/>
                <w:color w:val="auto"/>
              </w:rPr>
            </w:pPr>
            <w:r>
              <w:rPr>
                <w:rFonts w:ascii="Times New Roman" w:cs="Times New Roman" w:eastAsia="Times New Roman" w:hAnsi="Times New Roman"/>
                <w:sz w:val="18"/>
                <w:szCs w:val="18"/>
                <w:color w:val="auto"/>
              </w:rPr>
              <w:t>Net loss per share of vTv Therapeutics Inc. Class A common stock,</w:t>
            </w:r>
          </w:p>
        </w:tc>
        <w:tc>
          <w:tcPr>
            <w:tcW w:w="300" w:type="dxa"/>
            <w:vAlign w:val="bottom"/>
            <w:vMerge w:val="restart"/>
            <w:shd w:val="clear" w:color="auto" w:fill="EBF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shd w:val="clear" w:color="auto" w:fill="EBFEFF"/>
          </w:tcPr>
          <w:p>
            <w:pPr>
              <w:spacing w:after="0"/>
              <w:rPr>
                <w:sz w:val="13"/>
                <w:szCs w:val="13"/>
                <w:color w:val="auto"/>
              </w:rPr>
            </w:pPr>
          </w:p>
        </w:tc>
        <w:tc>
          <w:tcPr>
            <w:tcW w:w="260" w:type="dxa"/>
            <w:vAlign w:val="bottom"/>
            <w:vMerge w:val="restart"/>
            <w:shd w:val="clear" w:color="auto" w:fill="EBF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20" w:type="dxa"/>
            <w:vAlign w:val="bottom"/>
            <w:gridSpan w:val="2"/>
            <w:vMerge w:val="restart"/>
            <w:shd w:val="clear" w:color="auto" w:fill="EBF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EBFEFF"/>
          </w:tcPr>
          <w:p>
            <w:pPr>
              <w:spacing w:after="0"/>
              <w:rPr>
                <w:sz w:val="13"/>
                <w:szCs w:val="13"/>
                <w:color w:val="auto"/>
              </w:rPr>
            </w:pPr>
          </w:p>
        </w:tc>
        <w:tc>
          <w:tcPr>
            <w:tcW w:w="280" w:type="dxa"/>
            <w:vAlign w:val="bottom"/>
            <w:vMerge w:val="restart"/>
            <w:shd w:val="clear" w:color="auto" w:fill="EBF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EBFEFF"/>
            </w:tcBorders>
            <w:shd w:val="clear" w:color="auto" w:fill="EBFEFF"/>
          </w:tcPr>
          <w:p>
            <w:pPr>
              <w:ind w:left="44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Borders>
              <w:bottom w:val="single" w:sz="8" w:color="auto"/>
            </w:tcBorders>
            <w:vMerge w:val="continue"/>
            <w:shd w:val="clear" w:color="auto" w:fill="EBFEFF"/>
          </w:tcPr>
          <w:p>
            <w:pPr>
              <w:spacing w:after="0"/>
              <w:rPr>
                <w:sz w:val="20"/>
                <w:szCs w:val="20"/>
                <w:color w:val="auto"/>
              </w:rPr>
            </w:pPr>
          </w:p>
        </w:tc>
        <w:tc>
          <w:tcPr>
            <w:tcW w:w="1060" w:type="dxa"/>
            <w:vAlign w:val="bottom"/>
            <w:tcBorders>
              <w:bottom w:val="single" w:sz="8" w:color="auto"/>
            </w:tcBorders>
            <w:vMerge w:val="continue"/>
            <w:shd w:val="clear" w:color="auto" w:fill="EBFEFF"/>
          </w:tcPr>
          <w:p>
            <w:pPr>
              <w:spacing w:after="0"/>
              <w:rPr>
                <w:sz w:val="20"/>
                <w:szCs w:val="20"/>
                <w:color w:val="auto"/>
              </w:rPr>
            </w:pPr>
          </w:p>
        </w:tc>
        <w:tc>
          <w:tcPr>
            <w:tcW w:w="100" w:type="dxa"/>
            <w:vAlign w:val="bottom"/>
            <w:tcBorders>
              <w:bottom w:val="single" w:sz="8" w:color="auto"/>
            </w:tcBorders>
            <w:shd w:val="clear" w:color="auto" w:fill="EBFEFF"/>
          </w:tcPr>
          <w:p>
            <w:pPr>
              <w:spacing w:after="0"/>
              <w:rPr>
                <w:sz w:val="20"/>
                <w:szCs w:val="20"/>
                <w:color w:val="auto"/>
              </w:rPr>
            </w:pPr>
          </w:p>
        </w:tc>
        <w:tc>
          <w:tcPr>
            <w:tcW w:w="260" w:type="dxa"/>
            <w:vAlign w:val="bottom"/>
            <w:tcBorders>
              <w:bottom w:val="single" w:sz="8" w:color="auto"/>
            </w:tcBorders>
            <w:vMerge w:val="continue"/>
            <w:shd w:val="clear" w:color="auto" w:fill="EBFEFF"/>
          </w:tcPr>
          <w:p>
            <w:pPr>
              <w:spacing w:after="0"/>
              <w:rPr>
                <w:sz w:val="20"/>
                <w:szCs w:val="20"/>
                <w:color w:val="auto"/>
              </w:rPr>
            </w:pPr>
          </w:p>
        </w:tc>
        <w:tc>
          <w:tcPr>
            <w:tcW w:w="1100" w:type="dxa"/>
            <w:vAlign w:val="bottom"/>
            <w:tcBorders>
              <w:bottom w:val="single" w:sz="8" w:color="auto"/>
            </w:tcBorders>
            <w:vMerge w:val="continue"/>
            <w:shd w:val="clear" w:color="auto" w:fill="EBFEFF"/>
          </w:tcPr>
          <w:p>
            <w:pPr>
              <w:spacing w:after="0"/>
              <w:rPr>
                <w:sz w:val="20"/>
                <w:szCs w:val="20"/>
                <w:color w:val="auto"/>
              </w:rPr>
            </w:pPr>
          </w:p>
        </w:tc>
        <w:tc>
          <w:tcPr>
            <w:tcW w:w="420" w:type="dxa"/>
            <w:vAlign w:val="bottom"/>
            <w:tcBorders>
              <w:bottom w:val="single" w:sz="8" w:color="auto"/>
            </w:tcBorders>
            <w:gridSpan w:val="2"/>
            <w:vMerge w:val="continue"/>
            <w:shd w:val="clear" w:color="auto" w:fill="EBFEFF"/>
          </w:tcPr>
          <w:p>
            <w:pPr>
              <w:spacing w:after="0"/>
              <w:rPr>
                <w:sz w:val="20"/>
                <w:szCs w:val="20"/>
                <w:color w:val="auto"/>
              </w:rPr>
            </w:pPr>
          </w:p>
        </w:tc>
        <w:tc>
          <w:tcPr>
            <w:tcW w:w="1060" w:type="dxa"/>
            <w:vAlign w:val="bottom"/>
            <w:tcBorders>
              <w:bottom w:val="single" w:sz="8" w:color="auto"/>
            </w:tcBorders>
            <w:vMerge w:val="continue"/>
            <w:shd w:val="clear" w:color="auto" w:fill="EBFEFF"/>
          </w:tcPr>
          <w:p>
            <w:pPr>
              <w:spacing w:after="0"/>
              <w:rPr>
                <w:sz w:val="20"/>
                <w:szCs w:val="20"/>
                <w:color w:val="auto"/>
              </w:rPr>
            </w:pPr>
          </w:p>
        </w:tc>
        <w:tc>
          <w:tcPr>
            <w:tcW w:w="100" w:type="dxa"/>
            <w:vAlign w:val="bottom"/>
            <w:tcBorders>
              <w:bottom w:val="single" w:sz="8" w:color="auto"/>
            </w:tcBorders>
            <w:shd w:val="clear" w:color="auto" w:fill="EBFEFF"/>
          </w:tcPr>
          <w:p>
            <w:pPr>
              <w:spacing w:after="0"/>
              <w:rPr>
                <w:sz w:val="20"/>
                <w:szCs w:val="20"/>
                <w:color w:val="auto"/>
              </w:rPr>
            </w:pPr>
          </w:p>
        </w:tc>
        <w:tc>
          <w:tcPr>
            <w:tcW w:w="280" w:type="dxa"/>
            <w:vAlign w:val="bottom"/>
            <w:tcBorders>
              <w:bottom w:val="single" w:sz="8" w:color="auto"/>
            </w:tcBorders>
            <w:vMerge w:val="continue"/>
            <w:shd w:val="clear" w:color="auto" w:fill="EBFEFF"/>
          </w:tcPr>
          <w:p>
            <w:pPr>
              <w:spacing w:after="0"/>
              <w:rPr>
                <w:sz w:val="20"/>
                <w:szCs w:val="20"/>
                <w:color w:val="auto"/>
              </w:rPr>
            </w:pPr>
          </w:p>
        </w:tc>
        <w:tc>
          <w:tcPr>
            <w:tcW w:w="1100" w:type="dxa"/>
            <w:vAlign w:val="bottom"/>
            <w:tcBorders>
              <w:bottom w:val="single" w:sz="8" w:color="auto"/>
            </w:tcBorders>
            <w:vMerge w:val="continue"/>
            <w:shd w:val="clear" w:color="auto" w:fill="EBF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EBFEFF"/>
              <w:bottom w:val="single" w:sz="8" w:color="EBFEFF"/>
            </w:tcBorders>
            <w:vMerge w:val="restart"/>
          </w:tcPr>
          <w:p>
            <w:pPr>
              <w:ind w:left="260"/>
              <w:spacing w:after="0" w:line="163" w:lineRule="exact"/>
              <w:rPr>
                <w:sz w:val="20"/>
                <w:szCs w:val="20"/>
                <w:color w:val="auto"/>
              </w:rPr>
            </w:pPr>
            <w:r>
              <w:rPr>
                <w:rFonts w:ascii="Times New Roman" w:cs="Times New Roman" w:eastAsia="Times New Roman" w:hAnsi="Times New Roman"/>
                <w:sz w:val="18"/>
                <w:szCs w:val="18"/>
                <w:color w:val="auto"/>
              </w:rPr>
              <w:t>Weighted average number of vTv Therapeutics Inc. Class A common</w:t>
            </w:r>
          </w:p>
        </w:tc>
        <w:tc>
          <w:tcPr>
            <w:tcW w:w="300" w:type="dxa"/>
            <w:vAlign w:val="bottom"/>
            <w:tcBorders>
              <w:top w:val="single" w:sz="8" w:color="EBFEFF"/>
              <w:bottom w:val="single" w:sz="8" w:color="auto"/>
            </w:tcBorders>
          </w:tcPr>
          <w:p>
            <w:pPr>
              <w:spacing w:after="0" w:line="20" w:lineRule="exact"/>
              <w:rPr>
                <w:sz w:val="1"/>
                <w:szCs w:val="1"/>
                <w:color w:val="auto"/>
              </w:rPr>
            </w:pPr>
          </w:p>
        </w:tc>
        <w:tc>
          <w:tcPr>
            <w:tcW w:w="106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bottom w:val="single" w:sz="8" w:color="auto"/>
            </w:tcBorders>
          </w:tcPr>
          <w:p>
            <w:pPr>
              <w:spacing w:after="0" w:line="20" w:lineRule="exact"/>
              <w:rPr>
                <w:sz w:val="1"/>
                <w:szCs w:val="1"/>
                <w:color w:val="auto"/>
              </w:rPr>
            </w:pPr>
          </w:p>
        </w:tc>
        <w:tc>
          <w:tcPr>
            <w:tcW w:w="260" w:type="dxa"/>
            <w:vAlign w:val="bottom"/>
            <w:tcBorders>
              <w:top w:val="single" w:sz="8" w:color="EBFEFF"/>
              <w:bottom w:val="single" w:sz="8" w:color="auto"/>
            </w:tcBorders>
          </w:tcPr>
          <w:p>
            <w:pPr>
              <w:spacing w:after="0" w:line="20" w:lineRule="exact"/>
              <w:rPr>
                <w:sz w:val="1"/>
                <w:szCs w:val="1"/>
                <w:color w:val="auto"/>
              </w:rPr>
            </w:pPr>
          </w:p>
        </w:tc>
        <w:tc>
          <w:tcPr>
            <w:tcW w:w="110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bottom w:val="single" w:sz="8" w:color="auto"/>
            </w:tcBorders>
          </w:tcPr>
          <w:p>
            <w:pPr>
              <w:spacing w:after="0" w:line="20" w:lineRule="exact"/>
              <w:rPr>
                <w:sz w:val="1"/>
                <w:szCs w:val="1"/>
                <w:color w:val="auto"/>
              </w:rPr>
            </w:pPr>
          </w:p>
        </w:tc>
        <w:tc>
          <w:tcPr>
            <w:tcW w:w="320" w:type="dxa"/>
            <w:vAlign w:val="bottom"/>
            <w:tcBorders>
              <w:top w:val="single" w:sz="8" w:color="EBFEFF"/>
              <w:bottom w:val="single" w:sz="8" w:color="auto"/>
            </w:tcBorders>
          </w:tcPr>
          <w:p>
            <w:pPr>
              <w:spacing w:after="0" w:line="20" w:lineRule="exact"/>
              <w:rPr>
                <w:sz w:val="1"/>
                <w:szCs w:val="1"/>
                <w:color w:val="auto"/>
              </w:rPr>
            </w:pPr>
          </w:p>
        </w:tc>
        <w:tc>
          <w:tcPr>
            <w:tcW w:w="106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bottom w:val="single" w:sz="8" w:color="auto"/>
            </w:tcBorders>
          </w:tcPr>
          <w:p>
            <w:pPr>
              <w:spacing w:after="0" w:line="20" w:lineRule="exact"/>
              <w:rPr>
                <w:sz w:val="1"/>
                <w:szCs w:val="1"/>
                <w:color w:val="auto"/>
              </w:rPr>
            </w:pPr>
          </w:p>
        </w:tc>
        <w:tc>
          <w:tcPr>
            <w:tcW w:w="280" w:type="dxa"/>
            <w:vAlign w:val="bottom"/>
            <w:tcBorders>
              <w:top w:val="single" w:sz="8" w:color="EBFEFF"/>
              <w:bottom w:val="single" w:sz="8" w:color="auto"/>
            </w:tcBorders>
          </w:tcPr>
          <w:p>
            <w:pPr>
              <w:spacing w:after="0" w:line="20" w:lineRule="exact"/>
              <w:rPr>
                <w:sz w:val="1"/>
                <w:szCs w:val="1"/>
                <w:color w:val="auto"/>
              </w:rPr>
            </w:pPr>
          </w:p>
        </w:tc>
        <w:tc>
          <w:tcPr>
            <w:tcW w:w="1100" w:type="dxa"/>
            <w:vAlign w:val="bottom"/>
            <w:tcBorders>
              <w:top w:val="single" w:sz="8" w:color="EBF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4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 basic and diluted</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5,456,307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2,084,973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5,498,479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2,084,973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 Adjusted retroactively for reverse stock split</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Redeemable Noncontrolling Interest and Stockholders’ Equity (Deficit) - 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w:t>
      </w:r>
    </w:p>
    <w:p>
      <w:pPr>
        <w:spacing w:after="0" w:line="200" w:lineRule="exact"/>
        <w:rPr>
          <w:sz w:val="20"/>
          <w:szCs w:val="20"/>
          <w:color w:val="auto"/>
        </w:rPr>
      </w:pP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860" w:type="dxa"/>
            <w:vAlign w:val="bottom"/>
            <w:tcBorders>
              <w:top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Total vTv</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ind w:right="88"/>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4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Therapeutics Inc</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9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8"/>
        </w:trPr>
        <w:tc>
          <w:tcPr>
            <w:tcW w:w="23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6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7"/>
                <w:szCs w:val="17"/>
                <w:color w:val="auto"/>
              </w:rPr>
            </w:pPr>
          </w:p>
        </w:tc>
        <w:tc>
          <w:tcPr>
            <w:tcW w:w="8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1"/>
        </w:trPr>
        <w:tc>
          <w:tcPr>
            <w:tcW w:w="2360" w:type="dxa"/>
            <w:vAlign w:val="bottom"/>
            <w:tcBorders>
              <w:top w:val="single" w:sz="8" w:color="EBFEFF"/>
            </w:tcBorders>
            <w:shd w:val="clear" w:color="auto" w:fill="EBF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2024</w:t>
            </w:r>
          </w:p>
        </w:tc>
        <w:tc>
          <w:tcPr>
            <w:tcW w:w="84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2,432,857</w:t>
            </w:r>
          </w:p>
        </w:tc>
        <w:tc>
          <w:tcPr>
            <w:tcW w:w="80" w:type="dxa"/>
            <w:vAlign w:val="bottom"/>
            <w:tcBorders>
              <w:top w:val="single" w:sz="8" w:color="EBFEFF"/>
            </w:tcBorders>
            <w:shd w:val="clear" w:color="auto" w:fill="EBFEFF"/>
          </w:tcPr>
          <w:p>
            <w:pPr>
              <w:spacing w:after="0"/>
              <w:rPr>
                <w:sz w:val="17"/>
                <w:szCs w:val="17"/>
                <w:color w:val="auto"/>
              </w:rPr>
            </w:pPr>
          </w:p>
        </w:tc>
        <w:tc>
          <w:tcPr>
            <w:tcW w:w="12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80" w:type="dxa"/>
            <w:vAlign w:val="bottom"/>
            <w:tcBorders>
              <w:top w:val="single" w:sz="8" w:color="EBFEFF"/>
            </w:tcBorders>
            <w:shd w:val="clear" w:color="auto" w:fill="EBFEFF"/>
          </w:tcPr>
          <w:p>
            <w:pPr>
              <w:spacing w:after="0"/>
              <w:rPr>
                <w:sz w:val="17"/>
                <w:szCs w:val="17"/>
                <w:color w:val="auto"/>
              </w:rPr>
            </w:pPr>
          </w:p>
        </w:tc>
        <w:tc>
          <w:tcPr>
            <w:tcW w:w="84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577,349</w:t>
            </w:r>
          </w:p>
        </w:tc>
        <w:tc>
          <w:tcPr>
            <w:tcW w:w="100" w:type="dxa"/>
            <w:vAlign w:val="bottom"/>
            <w:tcBorders>
              <w:top w:val="single" w:sz="8" w:color="EBFEFF"/>
            </w:tcBorders>
            <w:shd w:val="clear" w:color="auto" w:fill="EBFEFF"/>
          </w:tcPr>
          <w:p>
            <w:pPr>
              <w:spacing w:after="0"/>
              <w:rPr>
                <w:sz w:val="17"/>
                <w:szCs w:val="17"/>
                <w:color w:val="auto"/>
              </w:rPr>
            </w:pPr>
          </w:p>
        </w:tc>
        <w:tc>
          <w:tcPr>
            <w:tcW w:w="12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80" w:type="dxa"/>
            <w:vAlign w:val="bottom"/>
            <w:tcBorders>
              <w:top w:val="single" w:sz="8" w:color="EBFEFF"/>
            </w:tcBorders>
            <w:shd w:val="clear" w:color="auto" w:fill="EBFEFF"/>
          </w:tcPr>
          <w:p>
            <w:pPr>
              <w:spacing w:after="0"/>
              <w:rPr>
                <w:sz w:val="17"/>
                <w:szCs w:val="17"/>
                <w:color w:val="auto"/>
              </w:rPr>
            </w:pPr>
          </w:p>
        </w:tc>
        <w:tc>
          <w:tcPr>
            <w:tcW w:w="10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307,746</w:t>
            </w:r>
          </w:p>
        </w:tc>
        <w:tc>
          <w:tcPr>
            <w:tcW w:w="80" w:type="dxa"/>
            <w:vAlign w:val="bottom"/>
            <w:tcBorders>
              <w:top w:val="single" w:sz="8" w:color="EBFEFF"/>
            </w:tcBorders>
            <w:shd w:val="clear" w:color="auto" w:fill="EBFEFF"/>
          </w:tcPr>
          <w:p>
            <w:pPr>
              <w:spacing w:after="0"/>
              <w:rPr>
                <w:sz w:val="17"/>
                <w:szCs w:val="17"/>
                <w:color w:val="auto"/>
              </w:rPr>
            </w:pPr>
          </w:p>
        </w:tc>
        <w:tc>
          <w:tcPr>
            <w:tcW w:w="160" w:type="dxa"/>
            <w:vAlign w:val="bottom"/>
            <w:tcBorders>
              <w:top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(291,301)</w:t>
            </w:r>
          </w:p>
        </w:tc>
        <w:tc>
          <w:tcPr>
            <w:tcW w:w="80" w:type="dxa"/>
            <w:vAlign w:val="bottom"/>
            <w:tcBorders>
              <w:top w:val="single" w:sz="8" w:color="EBFEFF"/>
            </w:tcBorders>
            <w:shd w:val="clear" w:color="auto" w:fill="EBFEFF"/>
          </w:tcPr>
          <w:p>
            <w:pPr>
              <w:spacing w:after="0"/>
              <w:rPr>
                <w:sz w:val="17"/>
                <w:szCs w:val="17"/>
                <w:color w:val="auto"/>
              </w:rPr>
            </w:pPr>
          </w:p>
        </w:tc>
        <w:tc>
          <w:tcPr>
            <w:tcW w:w="10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16,475</w:t>
            </w:r>
          </w:p>
        </w:tc>
        <w:tc>
          <w:tcPr>
            <w:tcW w:w="80" w:type="dxa"/>
            <w:vAlign w:val="bottom"/>
            <w:tcBorders>
              <w:top w:val="single" w:sz="8" w:color="EBFEFF"/>
            </w:tcBorders>
            <w:shd w:val="clear" w:color="auto" w:fill="EBFEFF"/>
          </w:tcPr>
          <w:p>
            <w:pPr>
              <w:spacing w:after="0"/>
              <w:rPr>
                <w:sz w:val="17"/>
                <w:szCs w:val="17"/>
                <w:color w:val="auto"/>
              </w:rPr>
            </w:pPr>
          </w:p>
        </w:tc>
        <w:tc>
          <w:tcPr>
            <w:tcW w:w="160" w:type="dxa"/>
            <w:vAlign w:val="bottom"/>
            <w:tcBorders>
              <w:top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3,962</w:t>
            </w:r>
          </w:p>
        </w:tc>
        <w:tc>
          <w:tcPr>
            <w:tcW w:w="80" w:type="dxa"/>
            <w:vAlign w:val="bottom"/>
            <w:tcBorders>
              <w:top w:val="single" w:sz="8" w:color="EBFEFF"/>
            </w:tcBorders>
            <w:shd w:val="clear" w:color="auto" w:fill="EBFEFF"/>
          </w:tcPr>
          <w:p>
            <w:pPr>
              <w:spacing w:after="0"/>
              <w:rPr>
                <w:sz w:val="17"/>
                <w:szCs w:val="17"/>
                <w:color w:val="auto"/>
              </w:rPr>
            </w:pPr>
          </w:p>
        </w:tc>
        <w:tc>
          <w:tcPr>
            <w:tcW w:w="16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EBF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20,437</w:t>
            </w:r>
          </w:p>
        </w:tc>
        <w:tc>
          <w:tcPr>
            <w:tcW w:w="0" w:type="dxa"/>
            <w:vAlign w:val="bottom"/>
          </w:tcPr>
          <w:p>
            <w:pPr>
              <w:spacing w:after="0"/>
              <w:rPr>
                <w:sz w:val="1"/>
                <w:szCs w:val="1"/>
                <w:color w:val="auto"/>
              </w:rPr>
            </w:pPr>
          </w:p>
        </w:tc>
      </w:tr>
      <w:tr>
        <w:trPr>
          <w:trHeight w:val="139"/>
        </w:trPr>
        <w:tc>
          <w:tcPr>
            <w:tcW w:w="236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Net loss attributable to vTv</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(4,783)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(4,783)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(4,783)</w:t>
            </w:r>
          </w:p>
        </w:tc>
        <w:tc>
          <w:tcPr>
            <w:tcW w:w="0" w:type="dxa"/>
            <w:vAlign w:val="bottom"/>
          </w:tcPr>
          <w:p>
            <w:pPr>
              <w:spacing w:after="0"/>
              <w:rPr>
                <w:sz w:val="1"/>
                <w:szCs w:val="1"/>
                <w:color w:val="auto"/>
              </w:rPr>
            </w:pPr>
          </w:p>
        </w:tc>
      </w:tr>
      <w:tr>
        <w:trPr>
          <w:trHeight w:val="193"/>
        </w:trPr>
        <w:tc>
          <w:tcPr>
            <w:tcW w:w="2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Therapeutics Inc.</w:t>
            </w: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6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4"/>
                <w:szCs w:val="14"/>
                <w:color w:val="auto"/>
              </w:rPr>
              <w:t>Share-based compensation</w:t>
            </w:r>
          </w:p>
        </w:tc>
        <w:tc>
          <w:tcPr>
            <w:tcW w:w="92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BFEFF"/>
          </w:tcPr>
          <w:p>
            <w:pPr>
              <w:spacing w:after="0"/>
              <w:rPr>
                <w:sz w:val="18"/>
                <w:szCs w:val="18"/>
                <w:color w:val="auto"/>
              </w:rPr>
            </w:pPr>
          </w:p>
        </w:tc>
        <w:tc>
          <w:tcPr>
            <w:tcW w:w="78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EBF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BFEFF"/>
          </w:tcPr>
          <w:p>
            <w:pPr>
              <w:spacing w:after="0"/>
              <w:rPr>
                <w:sz w:val="18"/>
                <w:szCs w:val="18"/>
                <w:color w:val="auto"/>
              </w:rPr>
            </w:pPr>
          </w:p>
        </w:tc>
        <w:tc>
          <w:tcPr>
            <w:tcW w:w="80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BFEFF"/>
          </w:tcPr>
          <w:p>
            <w:pPr>
              <w:spacing w:after="0"/>
              <w:rPr>
                <w:sz w:val="18"/>
                <w:szCs w:val="18"/>
                <w:color w:val="auto"/>
              </w:rPr>
            </w:pPr>
          </w:p>
        </w:tc>
        <w:tc>
          <w:tcPr>
            <w:tcW w:w="78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80" w:type="dxa"/>
            <w:vAlign w:val="bottom"/>
            <w:shd w:val="clear" w:color="auto" w:fill="EBFEFF"/>
          </w:tcPr>
          <w:p>
            <w:pPr>
              <w:spacing w:after="0"/>
              <w:rPr>
                <w:sz w:val="18"/>
                <w:szCs w:val="18"/>
                <w:color w:val="auto"/>
              </w:rPr>
            </w:pPr>
          </w:p>
        </w:tc>
        <w:tc>
          <w:tcPr>
            <w:tcW w:w="160" w:type="dxa"/>
            <w:vAlign w:val="bottom"/>
            <w:shd w:val="clear" w:color="auto" w:fill="EBFEFF"/>
          </w:tcPr>
          <w:p>
            <w:pPr>
              <w:spacing w:after="0"/>
              <w:rPr>
                <w:sz w:val="18"/>
                <w:szCs w:val="18"/>
                <w:color w:val="auto"/>
              </w:rPr>
            </w:pPr>
          </w:p>
        </w:tc>
        <w:tc>
          <w:tcPr>
            <w:tcW w:w="780" w:type="dxa"/>
            <w:vAlign w:val="bottom"/>
            <w:gridSpan w:val="2"/>
            <w:shd w:val="clear" w:color="auto" w:fill="EBF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BFEFF"/>
          </w:tcPr>
          <w:p>
            <w:pPr>
              <w:spacing w:after="0"/>
              <w:rPr>
                <w:sz w:val="18"/>
                <w:szCs w:val="18"/>
                <w:color w:val="auto"/>
              </w:rPr>
            </w:pPr>
          </w:p>
        </w:tc>
        <w:tc>
          <w:tcPr>
            <w:tcW w:w="10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80" w:type="dxa"/>
            <w:vAlign w:val="bottom"/>
            <w:shd w:val="clear" w:color="auto" w:fill="EBFEFF"/>
          </w:tcPr>
          <w:p>
            <w:pPr>
              <w:spacing w:after="0"/>
              <w:rPr>
                <w:sz w:val="18"/>
                <w:szCs w:val="18"/>
                <w:color w:val="auto"/>
              </w:rPr>
            </w:pPr>
          </w:p>
        </w:tc>
        <w:tc>
          <w:tcPr>
            <w:tcW w:w="160" w:type="dxa"/>
            <w:vAlign w:val="bottom"/>
            <w:shd w:val="clear" w:color="auto" w:fill="EBFEFF"/>
          </w:tcPr>
          <w:p>
            <w:pPr>
              <w:spacing w:after="0"/>
              <w:rPr>
                <w:sz w:val="18"/>
                <w:szCs w:val="18"/>
                <w:color w:val="auto"/>
              </w:rPr>
            </w:pPr>
          </w:p>
        </w:tc>
        <w:tc>
          <w:tcPr>
            <w:tcW w:w="88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BFEFF"/>
          </w:tcPr>
          <w:p>
            <w:pPr>
              <w:spacing w:after="0"/>
              <w:rPr>
                <w:sz w:val="18"/>
                <w:szCs w:val="18"/>
                <w:color w:val="auto"/>
              </w:rPr>
            </w:pPr>
          </w:p>
        </w:tc>
        <w:tc>
          <w:tcPr>
            <w:tcW w:w="800" w:type="dxa"/>
            <w:vAlign w:val="bottom"/>
            <w:shd w:val="clear" w:color="auto" w:fill="EBFEFF"/>
          </w:tcPr>
          <w:p>
            <w:pPr>
              <w:jc w:val="right"/>
              <w:ind w:right="8"/>
              <w:spacing w:after="0"/>
              <w:rPr>
                <w:sz w:val="20"/>
                <w:szCs w:val="20"/>
                <w:color w:val="auto"/>
              </w:rPr>
            </w:pPr>
            <w:r>
              <w:rPr>
                <w:rFonts w:ascii="Times New Roman" w:cs="Times New Roman" w:eastAsia="Times New Roman" w:hAnsi="Times New Roman"/>
                <w:sz w:val="14"/>
                <w:szCs w:val="14"/>
                <w:color w:val="auto"/>
              </w:rPr>
              <w:t>853</w:t>
            </w:r>
          </w:p>
        </w:tc>
        <w:tc>
          <w:tcPr>
            <w:tcW w:w="0" w:type="dxa"/>
            <w:vAlign w:val="bottom"/>
          </w:tcPr>
          <w:p>
            <w:pPr>
              <w:spacing w:after="0"/>
              <w:rPr>
                <w:sz w:val="1"/>
                <w:szCs w:val="1"/>
                <w:color w:val="auto"/>
              </w:rPr>
            </w:pPr>
          </w:p>
        </w:tc>
      </w:tr>
      <w:tr>
        <w:trPr>
          <w:trHeight w:val="139"/>
        </w:trPr>
        <w:tc>
          <w:tcPr>
            <w:tcW w:w="236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179,400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2,463</w:t>
            </w:r>
          </w:p>
        </w:tc>
        <w:tc>
          <w:tcPr>
            <w:tcW w:w="0" w:type="dxa"/>
            <w:vAlign w:val="bottom"/>
          </w:tcPr>
          <w:p>
            <w:pPr>
              <w:spacing w:after="0"/>
              <w:rPr>
                <w:sz w:val="1"/>
                <w:szCs w:val="1"/>
                <w:color w:val="auto"/>
              </w:rPr>
            </w:pPr>
          </w:p>
        </w:tc>
      </w:tr>
      <w:tr>
        <w:trPr>
          <w:trHeight w:val="193"/>
        </w:trPr>
        <w:tc>
          <w:tcPr>
            <w:tcW w:w="2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under ATM offering</w:t>
            </w: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360" w:type="dxa"/>
            <w:vAlign w:val="bottom"/>
            <w:shd w:val="clear" w:color="auto" w:fill="EBFEFF"/>
          </w:tcPr>
          <w:p>
            <w:pPr>
              <w:ind w:left="240"/>
              <w:spacing w:after="0" w:line="145" w:lineRule="exact"/>
              <w:rPr>
                <w:sz w:val="20"/>
                <w:szCs w:val="20"/>
                <w:color w:val="auto"/>
              </w:rPr>
            </w:pPr>
            <w:r>
              <w:rPr>
                <w:rFonts w:ascii="Times New Roman" w:cs="Times New Roman" w:eastAsia="Times New Roman" w:hAnsi="Times New Roman"/>
                <w:sz w:val="14"/>
                <w:szCs w:val="14"/>
                <w:color w:val="auto"/>
              </w:rPr>
              <w:t>Net loss attributable to</w:t>
            </w:r>
          </w:p>
        </w:tc>
        <w:tc>
          <w:tcPr>
            <w:tcW w:w="920" w:type="dxa"/>
            <w:vAlign w:val="bottom"/>
            <w:gridSpan w:val="2"/>
            <w:vMerge w:val="restart"/>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BFEFF"/>
          </w:tcPr>
          <w:p>
            <w:pPr>
              <w:spacing w:after="0"/>
              <w:rPr>
                <w:sz w:val="12"/>
                <w:szCs w:val="12"/>
                <w:color w:val="auto"/>
              </w:rPr>
            </w:pPr>
          </w:p>
        </w:tc>
        <w:tc>
          <w:tcPr>
            <w:tcW w:w="780" w:type="dxa"/>
            <w:vAlign w:val="bottom"/>
            <w:gridSpan w:val="2"/>
            <w:vMerge w:val="restart"/>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EBF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BFEFF"/>
          </w:tcPr>
          <w:p>
            <w:pPr>
              <w:spacing w:after="0"/>
              <w:rPr>
                <w:sz w:val="12"/>
                <w:szCs w:val="12"/>
                <w:color w:val="auto"/>
              </w:rPr>
            </w:pPr>
          </w:p>
        </w:tc>
        <w:tc>
          <w:tcPr>
            <w:tcW w:w="800" w:type="dxa"/>
            <w:vAlign w:val="bottom"/>
            <w:gridSpan w:val="2"/>
            <w:vMerge w:val="restart"/>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BFEFF"/>
          </w:tcPr>
          <w:p>
            <w:pPr>
              <w:spacing w:after="0"/>
              <w:rPr>
                <w:sz w:val="12"/>
                <w:szCs w:val="12"/>
                <w:color w:val="auto"/>
              </w:rPr>
            </w:pPr>
          </w:p>
        </w:tc>
        <w:tc>
          <w:tcPr>
            <w:tcW w:w="860" w:type="dxa"/>
            <w:vAlign w:val="bottom"/>
            <w:gridSpan w:val="2"/>
            <w:vMerge w:val="restart"/>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BFEFF"/>
          </w:tcPr>
          <w:p>
            <w:pPr>
              <w:spacing w:after="0"/>
              <w:rPr>
                <w:sz w:val="12"/>
                <w:szCs w:val="12"/>
                <w:color w:val="auto"/>
              </w:rPr>
            </w:pPr>
          </w:p>
        </w:tc>
        <w:tc>
          <w:tcPr>
            <w:tcW w:w="780" w:type="dxa"/>
            <w:vAlign w:val="bottom"/>
            <w:gridSpan w:val="2"/>
            <w:vMerge w:val="restart"/>
            <w:shd w:val="clear" w:color="auto" w:fill="EBF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BFEFF"/>
          </w:tcPr>
          <w:p>
            <w:pPr>
              <w:spacing w:after="0"/>
              <w:rPr>
                <w:sz w:val="12"/>
                <w:szCs w:val="12"/>
                <w:color w:val="auto"/>
              </w:rPr>
            </w:pPr>
          </w:p>
        </w:tc>
        <w:tc>
          <w:tcPr>
            <w:tcW w:w="1140" w:type="dxa"/>
            <w:vAlign w:val="bottom"/>
            <w:gridSpan w:val="2"/>
            <w:vMerge w:val="restart"/>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BFEFF"/>
          </w:tcPr>
          <w:p>
            <w:pPr>
              <w:spacing w:after="0"/>
              <w:rPr>
                <w:sz w:val="12"/>
                <w:szCs w:val="12"/>
                <w:color w:val="auto"/>
              </w:rPr>
            </w:pPr>
          </w:p>
        </w:tc>
        <w:tc>
          <w:tcPr>
            <w:tcW w:w="80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80" w:type="dxa"/>
            <w:vAlign w:val="bottom"/>
            <w:shd w:val="clear" w:color="auto" w:fill="EBFEFF"/>
          </w:tcPr>
          <w:p>
            <w:pPr>
              <w:spacing w:after="0"/>
              <w:rPr>
                <w:sz w:val="12"/>
                <w:szCs w:val="12"/>
                <w:color w:val="auto"/>
              </w:rPr>
            </w:pPr>
          </w:p>
        </w:tc>
        <w:tc>
          <w:tcPr>
            <w:tcW w:w="160" w:type="dxa"/>
            <w:vAlign w:val="bottom"/>
            <w:shd w:val="clear" w:color="auto" w:fill="EBFEFF"/>
          </w:tcPr>
          <w:p>
            <w:pPr>
              <w:spacing w:after="0"/>
              <w:rPr>
                <w:sz w:val="12"/>
                <w:szCs w:val="12"/>
                <w:color w:val="auto"/>
              </w:rPr>
            </w:pPr>
          </w:p>
        </w:tc>
        <w:tc>
          <w:tcPr>
            <w:tcW w:w="80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0" w:type="dxa"/>
            <w:vAlign w:val="bottom"/>
          </w:tcPr>
          <w:p>
            <w:pPr>
              <w:spacing w:after="0"/>
              <w:rPr>
                <w:sz w:val="1"/>
                <w:szCs w:val="1"/>
                <w:color w:val="auto"/>
              </w:rPr>
            </w:pPr>
          </w:p>
        </w:tc>
      </w:tr>
      <w:tr>
        <w:trPr>
          <w:trHeight w:val="193"/>
        </w:trPr>
        <w:tc>
          <w:tcPr>
            <w:tcW w:w="236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4"/>
                <w:szCs w:val="14"/>
                <w:color w:val="auto"/>
              </w:rPr>
              <w:t>noncontrolling interest</w:t>
            </w:r>
          </w:p>
        </w:tc>
        <w:tc>
          <w:tcPr>
            <w:tcW w:w="920" w:type="dxa"/>
            <w:vAlign w:val="bottom"/>
            <w:gridSpan w:val="2"/>
            <w:vMerge w:val="continue"/>
            <w:shd w:val="clear" w:color="auto" w:fill="EBFEFF"/>
          </w:tcPr>
          <w:p>
            <w:pPr>
              <w:spacing w:after="0"/>
              <w:rPr>
                <w:sz w:val="16"/>
                <w:szCs w:val="16"/>
                <w:color w:val="auto"/>
              </w:rPr>
            </w:pPr>
          </w:p>
        </w:tc>
        <w:tc>
          <w:tcPr>
            <w:tcW w:w="120" w:type="dxa"/>
            <w:vAlign w:val="bottom"/>
            <w:shd w:val="clear" w:color="auto" w:fill="EBFEFF"/>
          </w:tcPr>
          <w:p>
            <w:pPr>
              <w:spacing w:after="0"/>
              <w:rPr>
                <w:sz w:val="16"/>
                <w:szCs w:val="16"/>
                <w:color w:val="auto"/>
              </w:rPr>
            </w:pPr>
          </w:p>
        </w:tc>
        <w:tc>
          <w:tcPr>
            <w:tcW w:w="780" w:type="dxa"/>
            <w:vAlign w:val="bottom"/>
            <w:gridSpan w:val="2"/>
            <w:vMerge w:val="continue"/>
            <w:shd w:val="clear" w:color="auto" w:fill="EBFEFF"/>
          </w:tcPr>
          <w:p>
            <w:pPr>
              <w:spacing w:after="0"/>
              <w:rPr>
                <w:sz w:val="16"/>
                <w:szCs w:val="16"/>
                <w:color w:val="auto"/>
              </w:rPr>
            </w:pPr>
          </w:p>
        </w:tc>
        <w:tc>
          <w:tcPr>
            <w:tcW w:w="940" w:type="dxa"/>
            <w:vAlign w:val="bottom"/>
            <w:gridSpan w:val="2"/>
            <w:vMerge w:val="continue"/>
            <w:shd w:val="clear" w:color="auto" w:fill="EBFEFF"/>
          </w:tcPr>
          <w:p>
            <w:pPr>
              <w:spacing w:after="0"/>
              <w:rPr>
                <w:sz w:val="16"/>
                <w:szCs w:val="16"/>
                <w:color w:val="auto"/>
              </w:rPr>
            </w:pPr>
          </w:p>
        </w:tc>
        <w:tc>
          <w:tcPr>
            <w:tcW w:w="120" w:type="dxa"/>
            <w:vAlign w:val="bottom"/>
            <w:shd w:val="clear" w:color="auto" w:fill="EBFEFF"/>
          </w:tcPr>
          <w:p>
            <w:pPr>
              <w:spacing w:after="0"/>
              <w:rPr>
                <w:sz w:val="16"/>
                <w:szCs w:val="16"/>
                <w:color w:val="auto"/>
              </w:rPr>
            </w:pPr>
          </w:p>
        </w:tc>
        <w:tc>
          <w:tcPr>
            <w:tcW w:w="800" w:type="dxa"/>
            <w:vAlign w:val="bottom"/>
            <w:gridSpan w:val="2"/>
            <w:vMerge w:val="continue"/>
            <w:shd w:val="clear" w:color="auto" w:fill="EBFEFF"/>
          </w:tcPr>
          <w:p>
            <w:pPr>
              <w:spacing w:after="0"/>
              <w:rPr>
                <w:sz w:val="16"/>
                <w:szCs w:val="16"/>
                <w:color w:val="auto"/>
              </w:rPr>
            </w:pPr>
          </w:p>
        </w:tc>
        <w:tc>
          <w:tcPr>
            <w:tcW w:w="100" w:type="dxa"/>
            <w:vAlign w:val="bottom"/>
            <w:shd w:val="clear" w:color="auto" w:fill="EBFEFF"/>
          </w:tcPr>
          <w:p>
            <w:pPr>
              <w:spacing w:after="0"/>
              <w:rPr>
                <w:sz w:val="16"/>
                <w:szCs w:val="16"/>
                <w:color w:val="auto"/>
              </w:rPr>
            </w:pPr>
          </w:p>
        </w:tc>
        <w:tc>
          <w:tcPr>
            <w:tcW w:w="860" w:type="dxa"/>
            <w:vAlign w:val="bottom"/>
            <w:gridSpan w:val="2"/>
            <w:vMerge w:val="continue"/>
            <w:shd w:val="clear" w:color="auto" w:fill="EBFEFF"/>
          </w:tcPr>
          <w:p>
            <w:pPr>
              <w:spacing w:after="0"/>
              <w:rPr>
                <w:sz w:val="16"/>
                <w:szCs w:val="16"/>
                <w:color w:val="auto"/>
              </w:rPr>
            </w:pPr>
          </w:p>
        </w:tc>
        <w:tc>
          <w:tcPr>
            <w:tcW w:w="160" w:type="dxa"/>
            <w:vAlign w:val="bottom"/>
            <w:shd w:val="clear" w:color="auto" w:fill="EBFEFF"/>
          </w:tcPr>
          <w:p>
            <w:pPr>
              <w:spacing w:after="0"/>
              <w:rPr>
                <w:sz w:val="16"/>
                <w:szCs w:val="16"/>
                <w:color w:val="auto"/>
              </w:rPr>
            </w:pPr>
          </w:p>
        </w:tc>
        <w:tc>
          <w:tcPr>
            <w:tcW w:w="780" w:type="dxa"/>
            <w:vAlign w:val="bottom"/>
            <w:gridSpan w:val="2"/>
            <w:vMerge w:val="continue"/>
            <w:shd w:val="clear" w:color="auto" w:fill="EBFEFF"/>
          </w:tcPr>
          <w:p>
            <w:pPr>
              <w:spacing w:after="0"/>
              <w:rPr>
                <w:sz w:val="16"/>
                <w:szCs w:val="16"/>
                <w:color w:val="auto"/>
              </w:rPr>
            </w:pPr>
          </w:p>
        </w:tc>
        <w:tc>
          <w:tcPr>
            <w:tcW w:w="100" w:type="dxa"/>
            <w:vAlign w:val="bottom"/>
            <w:shd w:val="clear" w:color="auto" w:fill="EBFEFF"/>
          </w:tcPr>
          <w:p>
            <w:pPr>
              <w:spacing w:after="0"/>
              <w:rPr>
                <w:sz w:val="16"/>
                <w:szCs w:val="16"/>
                <w:color w:val="auto"/>
              </w:rPr>
            </w:pPr>
          </w:p>
        </w:tc>
        <w:tc>
          <w:tcPr>
            <w:tcW w:w="1140" w:type="dxa"/>
            <w:vAlign w:val="bottom"/>
            <w:gridSpan w:val="2"/>
            <w:vMerge w:val="continue"/>
            <w:shd w:val="clear" w:color="auto" w:fill="EBFEFF"/>
          </w:tcPr>
          <w:p>
            <w:pPr>
              <w:spacing w:after="0"/>
              <w:rPr>
                <w:sz w:val="16"/>
                <w:szCs w:val="16"/>
                <w:color w:val="auto"/>
              </w:rPr>
            </w:pPr>
          </w:p>
        </w:tc>
        <w:tc>
          <w:tcPr>
            <w:tcW w:w="160" w:type="dxa"/>
            <w:vAlign w:val="bottom"/>
            <w:shd w:val="clear" w:color="auto" w:fill="EBFEFF"/>
          </w:tcPr>
          <w:p>
            <w:pPr>
              <w:spacing w:after="0"/>
              <w:rPr>
                <w:sz w:val="16"/>
                <w:szCs w:val="16"/>
                <w:color w:val="auto"/>
              </w:rPr>
            </w:pPr>
          </w:p>
        </w:tc>
        <w:tc>
          <w:tcPr>
            <w:tcW w:w="800" w:type="dxa"/>
            <w:vAlign w:val="bottom"/>
            <w:vMerge w:val="continue"/>
            <w:shd w:val="clear" w:color="auto" w:fill="EBFEFF"/>
          </w:tcPr>
          <w:p>
            <w:pPr>
              <w:spacing w:after="0"/>
              <w:rPr>
                <w:sz w:val="16"/>
                <w:szCs w:val="16"/>
                <w:color w:val="auto"/>
              </w:rPr>
            </w:pPr>
          </w:p>
        </w:tc>
        <w:tc>
          <w:tcPr>
            <w:tcW w:w="80" w:type="dxa"/>
            <w:vAlign w:val="bottom"/>
            <w:shd w:val="clear" w:color="auto" w:fill="EBFEFF"/>
          </w:tcPr>
          <w:p>
            <w:pPr>
              <w:spacing w:after="0"/>
              <w:rPr>
                <w:sz w:val="16"/>
                <w:szCs w:val="16"/>
                <w:color w:val="auto"/>
              </w:rPr>
            </w:pPr>
          </w:p>
        </w:tc>
        <w:tc>
          <w:tcPr>
            <w:tcW w:w="160" w:type="dxa"/>
            <w:vAlign w:val="bottom"/>
            <w:shd w:val="clear" w:color="auto" w:fill="EBFEFF"/>
          </w:tcPr>
          <w:p>
            <w:pPr>
              <w:spacing w:after="0"/>
              <w:rPr>
                <w:sz w:val="16"/>
                <w:szCs w:val="16"/>
                <w:color w:val="auto"/>
              </w:rPr>
            </w:pPr>
          </w:p>
        </w:tc>
        <w:tc>
          <w:tcPr>
            <w:tcW w:w="800" w:type="dxa"/>
            <w:vAlign w:val="bottom"/>
            <w:vMerge w:val="continue"/>
            <w:shd w:val="clear" w:color="auto" w:fill="EBF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September 30, 2024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2,612,257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577,349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311,060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(296,084)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15,008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2,905</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17,913</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2023</w:t>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Net loss</w:t>
      </w:r>
    </w:p>
    <w:p>
      <w:pPr>
        <w:spacing w:after="0" w:line="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42" w:lineRule="exact"/>
        <w:rPr>
          <w:sz w:val="20"/>
          <w:szCs w:val="20"/>
          <w:color w:val="auto"/>
        </w:rPr>
      </w:pPr>
    </w:p>
    <w:p>
      <w:pPr>
        <w:ind w:left="360" w:hanging="80"/>
        <w:spacing w:after="0" w:line="241" w:lineRule="auto"/>
        <w:rPr>
          <w:sz w:val="20"/>
          <w:szCs w:val="20"/>
          <w:color w:val="auto"/>
        </w:rPr>
      </w:pPr>
      <w:r>
        <w:rPr>
          <w:rFonts w:ascii="Times New Roman" w:cs="Times New Roman" w:eastAsia="Times New Roman" w:hAnsi="Times New Roman"/>
          <w:sz w:val="14"/>
          <w:szCs w:val="14"/>
          <w:color w:val="auto"/>
        </w:rPr>
        <w:t>Change in redemption value of noncontrolling interest</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Balances at September 30, 2023</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2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1020" w:type="dxa"/>
            <w:vAlign w:val="bottom"/>
            <w:tcBorders>
              <w:right w:val="single" w:sz="8" w:color="auto"/>
            </w:tcBorders>
            <w:gridSpan w:val="2"/>
          </w:tcPr>
          <w:p>
            <w:pPr>
              <w:jc w:val="center"/>
              <w:ind w:right="220"/>
              <w:spacing w:after="0" w:line="121"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960" w:type="dxa"/>
            <w:vAlign w:val="bottom"/>
          </w:tcPr>
          <w:p>
            <w:pPr>
              <w:jc w:val="center"/>
              <w:ind w:right="8"/>
              <w:spacing w:after="0" w:line="12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140" w:type="dxa"/>
            <w:vAlign w:val="bottom"/>
            <w:tcBorders>
              <w:right w:val="single" w:sz="8" w:color="auto"/>
            </w:tcBorders>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60" w:type="dxa"/>
            <w:vAlign w:val="bottom"/>
          </w:tcPr>
          <w:p>
            <w:pPr>
              <w:spacing w:after="0"/>
              <w:rPr>
                <w:sz w:val="12"/>
                <w:szCs w:val="12"/>
                <w:color w:val="auto"/>
              </w:rPr>
            </w:pPr>
          </w:p>
        </w:tc>
        <w:tc>
          <w:tcPr>
            <w:tcW w:w="1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2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9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2"/>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18,879</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2,084,973</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577,349</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255,499</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(280,809)</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(25,283)</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6,271</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10,722</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2,084,973</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w:t>
            </w:r>
          </w:p>
        </w:tc>
        <w:tc>
          <w:tcPr>
            <w:tcW w:w="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577,349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255,932</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(281,192)</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(25,233)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-770890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-496570</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-153670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060" w:space="320"/>
            <w:col w:w="8860"/>
          </w:cols>
          <w:pgMar w:left="320" w:top="229" w:right="339" w:bottom="1440" w:gutter="0" w:footer="0" w:header="0"/>
          <w:type w:val="continuous"/>
        </w:sectPr>
      </w:pPr>
    </w:p>
    <w:p>
      <w:pPr>
        <w:ind w:left="20" w:right="8900" w:firstLine="6"/>
        <w:spacing w:after="0" w:line="225" w:lineRule="auto"/>
        <w:tabs>
          <w:tab w:leader="none" w:pos="198"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Adjusted retroactively for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-168910</wp:posOffset>
            </wp:positionV>
            <wp:extent cx="56235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11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Redeemable Noncontrolling Interest and Stockholders’ Equity (Deficit) - Unaudited</w:t>
      </w:r>
    </w:p>
    <w:p>
      <w:pPr>
        <w:spacing w:after="0" w:line="11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 2024</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auto"/>
              <w:righ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460" w:type="dxa"/>
            <w:vAlign w:val="bottom"/>
            <w:tcBorders>
              <w:top w:val="single" w:sz="8" w:color="auto"/>
            </w:tcBorders>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Total vTv</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Therapeutics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right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w:t>
            </w: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right w:val="single" w:sz="8" w:color="auto"/>
            </w:tcBorders>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7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960" w:type="dxa"/>
            <w:vAlign w:val="bottom"/>
            <w:tcBorders>
              <w:right w:val="single" w:sz="8" w:color="auto"/>
            </w:tcBorders>
            <w:gridSpan w:val="3"/>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60" w:type="dxa"/>
            <w:vAlign w:val="bottom"/>
          </w:tcPr>
          <w:p>
            <w:pPr>
              <w:spacing w:after="0"/>
              <w:rPr>
                <w:sz w:val="11"/>
                <w:szCs w:val="11"/>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64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8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77"/>
              <w:spacing w:after="0" w:line="128"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5"/>
                <w:szCs w:val="15"/>
                <w:color w:val="auto"/>
              </w:rPr>
            </w:pPr>
          </w:p>
        </w:tc>
        <w:tc>
          <w:tcPr>
            <w:tcW w:w="6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169"/>
        </w:trPr>
        <w:tc>
          <w:tcPr>
            <w:tcW w:w="2500" w:type="dxa"/>
            <w:vAlign w:val="bottom"/>
            <w:tcBorders>
              <w:top w:val="single" w:sz="8" w:color="EBFEFF"/>
            </w:tcBorders>
            <w:shd w:val="clear" w:color="auto" w:fill="EBF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2023</w:t>
            </w:r>
          </w:p>
        </w:tc>
        <w:tc>
          <w:tcPr>
            <w:tcW w:w="100" w:type="dxa"/>
            <w:vAlign w:val="bottom"/>
            <w:tcBorders>
              <w:top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6,131</w:t>
            </w:r>
          </w:p>
        </w:tc>
        <w:tc>
          <w:tcPr>
            <w:tcW w:w="100" w:type="dxa"/>
            <w:vAlign w:val="bottom"/>
            <w:tcBorders>
              <w:top w:val="single" w:sz="8" w:color="EBFEFF"/>
              <w:right w:val="single" w:sz="8" w:color="auto"/>
            </w:tcBorders>
            <w:shd w:val="clear" w:color="auto" w:fill="EBFEFF"/>
          </w:tcPr>
          <w:p>
            <w:pPr>
              <w:spacing w:after="0"/>
              <w:rPr>
                <w:sz w:val="14"/>
                <w:szCs w:val="14"/>
                <w:color w:val="auto"/>
              </w:rPr>
            </w:pPr>
          </w:p>
        </w:tc>
        <w:tc>
          <w:tcPr>
            <w:tcW w:w="60" w:type="dxa"/>
            <w:vAlign w:val="bottom"/>
            <w:tcBorders>
              <w:top w:val="single" w:sz="8" w:color="EBFEFF"/>
            </w:tcBorders>
            <w:shd w:val="clear" w:color="auto" w:fill="EBFEFF"/>
          </w:tcPr>
          <w:p>
            <w:pPr>
              <w:spacing w:after="0"/>
              <w:rPr>
                <w:sz w:val="14"/>
                <w:szCs w:val="14"/>
                <w:color w:val="auto"/>
              </w:rPr>
            </w:pPr>
          </w:p>
        </w:tc>
        <w:tc>
          <w:tcPr>
            <w:tcW w:w="66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2,084,973</w:t>
            </w:r>
          </w:p>
        </w:tc>
        <w:tc>
          <w:tcPr>
            <w:tcW w:w="80" w:type="dxa"/>
            <w:vAlign w:val="bottom"/>
            <w:tcBorders>
              <w:top w:val="single" w:sz="8" w:color="EBFEFF"/>
            </w:tcBorders>
            <w:shd w:val="clear" w:color="auto" w:fill="EBFEFF"/>
          </w:tcPr>
          <w:p>
            <w:pPr>
              <w:spacing w:after="0"/>
              <w:rPr>
                <w:sz w:val="14"/>
                <w:szCs w:val="14"/>
                <w:color w:val="auto"/>
              </w:rPr>
            </w:pPr>
          </w:p>
        </w:tc>
        <w:tc>
          <w:tcPr>
            <w:tcW w:w="10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21</w:t>
            </w:r>
          </w:p>
        </w:tc>
        <w:tc>
          <w:tcPr>
            <w:tcW w:w="80" w:type="dxa"/>
            <w:vAlign w:val="bottom"/>
            <w:tcBorders>
              <w:top w:val="single" w:sz="8" w:color="EBFEFF"/>
            </w:tcBorders>
            <w:shd w:val="clear" w:color="auto" w:fill="EBFEFF"/>
          </w:tcPr>
          <w:p>
            <w:pPr>
              <w:spacing w:after="0"/>
              <w:rPr>
                <w:sz w:val="14"/>
                <w:szCs w:val="14"/>
                <w:color w:val="auto"/>
              </w:rPr>
            </w:pPr>
          </w:p>
        </w:tc>
        <w:tc>
          <w:tcPr>
            <w:tcW w:w="66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577,349</w:t>
            </w:r>
          </w:p>
        </w:tc>
        <w:tc>
          <w:tcPr>
            <w:tcW w:w="80" w:type="dxa"/>
            <w:vAlign w:val="bottom"/>
            <w:tcBorders>
              <w:top w:val="single" w:sz="8" w:color="EBFEFF"/>
            </w:tcBorders>
            <w:shd w:val="clear" w:color="auto" w:fill="EBFEFF"/>
          </w:tcPr>
          <w:p>
            <w:pPr>
              <w:spacing w:after="0"/>
              <w:rPr>
                <w:sz w:val="14"/>
                <w:szCs w:val="14"/>
                <w:color w:val="auto"/>
              </w:rPr>
            </w:pPr>
          </w:p>
        </w:tc>
        <w:tc>
          <w:tcPr>
            <w:tcW w:w="10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80" w:type="dxa"/>
            <w:vAlign w:val="bottom"/>
            <w:tcBorders>
              <w:top w:val="single" w:sz="8" w:color="EBFEFF"/>
            </w:tcBorders>
            <w:shd w:val="clear" w:color="auto" w:fill="EBFEFF"/>
          </w:tcPr>
          <w:p>
            <w:pPr>
              <w:spacing w:after="0"/>
              <w:rPr>
                <w:sz w:val="14"/>
                <w:szCs w:val="14"/>
                <w:color w:val="auto"/>
              </w:rPr>
            </w:pPr>
          </w:p>
        </w:tc>
        <w:tc>
          <w:tcPr>
            <w:tcW w:w="12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256,335</w:t>
            </w:r>
          </w:p>
        </w:tc>
        <w:tc>
          <w:tcPr>
            <w:tcW w:w="80" w:type="dxa"/>
            <w:vAlign w:val="bottom"/>
            <w:tcBorders>
              <w:top w:val="single" w:sz="8" w:color="EBFEFF"/>
            </w:tcBorders>
            <w:shd w:val="clear" w:color="auto" w:fill="EBFEFF"/>
          </w:tcPr>
          <w:p>
            <w:pPr>
              <w:spacing w:after="0"/>
              <w:rPr>
                <w:sz w:val="14"/>
                <w:szCs w:val="14"/>
                <w:color w:val="auto"/>
              </w:rPr>
            </w:pPr>
          </w:p>
        </w:tc>
        <w:tc>
          <w:tcPr>
            <w:tcW w:w="140" w:type="dxa"/>
            <w:vAlign w:val="bottom"/>
            <w:tcBorders>
              <w:top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(281,042)</w:t>
            </w:r>
          </w:p>
        </w:tc>
        <w:tc>
          <w:tcPr>
            <w:tcW w:w="80" w:type="dxa"/>
            <w:vAlign w:val="bottom"/>
            <w:tcBorders>
              <w:top w:val="single" w:sz="8" w:color="EBFEFF"/>
            </w:tcBorders>
            <w:shd w:val="clear" w:color="auto" w:fill="EBFEFF"/>
          </w:tcPr>
          <w:p>
            <w:pPr>
              <w:spacing w:after="0"/>
              <w:rPr>
                <w:sz w:val="14"/>
                <w:szCs w:val="14"/>
                <w:color w:val="auto"/>
              </w:rPr>
            </w:pPr>
          </w:p>
        </w:tc>
        <w:tc>
          <w:tcPr>
            <w:tcW w:w="8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(24,680)</w:t>
            </w:r>
          </w:p>
        </w:tc>
        <w:tc>
          <w:tcPr>
            <w:tcW w:w="80" w:type="dxa"/>
            <w:vAlign w:val="bottom"/>
            <w:tcBorders>
              <w:top w:val="single" w:sz="8" w:color="EBFEFF"/>
            </w:tcBorders>
            <w:shd w:val="clear" w:color="auto" w:fill="EBFEFF"/>
          </w:tcPr>
          <w:p>
            <w:pPr>
              <w:spacing w:after="0"/>
              <w:rPr>
                <w:sz w:val="14"/>
                <w:szCs w:val="14"/>
                <w:color w:val="auto"/>
              </w:rPr>
            </w:pPr>
          </w:p>
        </w:tc>
        <w:tc>
          <w:tcPr>
            <w:tcW w:w="160" w:type="dxa"/>
            <w:vAlign w:val="bottom"/>
            <w:tcBorders>
              <w:top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EBFEFF"/>
            </w:tcBorders>
            <w:shd w:val="clear" w:color="auto" w:fill="EBFEFF"/>
          </w:tcPr>
          <w:p>
            <w:pPr>
              <w:spacing w:after="0"/>
              <w:rPr>
                <w:sz w:val="14"/>
                <w:szCs w:val="14"/>
                <w:color w:val="auto"/>
              </w:rPr>
            </w:pPr>
          </w:p>
        </w:tc>
        <w:tc>
          <w:tcPr>
            <w:tcW w:w="12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(24,680)</w:t>
            </w:r>
          </w:p>
        </w:tc>
        <w:tc>
          <w:tcPr>
            <w:tcW w:w="0" w:type="dxa"/>
            <w:vAlign w:val="bottom"/>
          </w:tcPr>
          <w:p>
            <w:pPr>
              <w:spacing w:after="0"/>
              <w:rPr>
                <w:sz w:val="1"/>
                <w:szCs w:val="1"/>
                <w:color w:val="auto"/>
              </w:rPr>
            </w:pPr>
          </w:p>
        </w:tc>
      </w:tr>
      <w:tr>
        <w:trPr>
          <w:trHeight w:val="122"/>
        </w:trPr>
        <w:tc>
          <w:tcPr>
            <w:tcW w:w="2500" w:type="dxa"/>
            <w:vAlign w:val="bottom"/>
          </w:tcPr>
          <w:p>
            <w:pPr>
              <w:ind w:left="240"/>
              <w:spacing w:after="0" w:line="122" w:lineRule="exact"/>
              <w:rPr>
                <w:sz w:val="20"/>
                <w:szCs w:val="20"/>
                <w:color w:val="auto"/>
              </w:rPr>
            </w:pPr>
            <w:r>
              <w:rPr>
                <w:rFonts w:ascii="Times New Roman" w:cs="Times New Roman" w:eastAsia="Times New Roman" w:hAnsi="Times New Roman"/>
                <w:sz w:val="13"/>
                <w:szCs w:val="13"/>
                <w:color w:val="auto"/>
              </w:rPr>
              <w:t>Net loss attributable to vTv Therapeutics</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Inc.</w:t>
            </w:r>
          </w:p>
        </w:tc>
        <w:tc>
          <w:tcPr>
            <w:tcW w:w="10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(14,828)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(14,828)</w:t>
            </w:r>
          </w:p>
        </w:tc>
        <w:tc>
          <w:tcPr>
            <w:tcW w:w="0" w:type="dxa"/>
            <w:vAlign w:val="bottom"/>
          </w:tcPr>
          <w:p>
            <w:pPr>
              <w:spacing w:after="0"/>
              <w:rPr>
                <w:sz w:val="1"/>
                <w:szCs w:val="1"/>
                <w:color w:val="auto"/>
              </w:rPr>
            </w:pPr>
          </w:p>
        </w:tc>
      </w:tr>
      <w:tr>
        <w:trPr>
          <w:trHeight w:val="129"/>
        </w:trPr>
        <w:tc>
          <w:tcPr>
            <w:tcW w:w="2500" w:type="dxa"/>
            <w:vAlign w:val="bottom"/>
            <w:shd w:val="clear" w:color="auto" w:fill="EBFEFF"/>
          </w:tcPr>
          <w:p>
            <w:pPr>
              <w:ind w:left="240"/>
              <w:spacing w:after="0" w:line="129" w:lineRule="exact"/>
              <w:rPr>
                <w:sz w:val="20"/>
                <w:szCs w:val="20"/>
                <w:color w:val="auto"/>
              </w:rPr>
            </w:pPr>
            <w:r>
              <w:rPr>
                <w:rFonts w:ascii="Times New Roman" w:cs="Times New Roman" w:eastAsia="Times New Roman" w:hAnsi="Times New Roman"/>
                <w:sz w:val="13"/>
                <w:szCs w:val="13"/>
                <w:color w:val="auto"/>
              </w:rPr>
              <w:t>Net loss attributable to redeemable</w:t>
            </w:r>
          </w:p>
        </w:tc>
        <w:tc>
          <w:tcPr>
            <w:tcW w:w="100" w:type="dxa"/>
            <w:vAlign w:val="bottom"/>
            <w:shd w:val="clear" w:color="auto" w:fill="EBFEFF"/>
          </w:tcPr>
          <w:p>
            <w:pPr>
              <w:spacing w:after="0"/>
              <w:rPr>
                <w:sz w:val="11"/>
                <w:szCs w:val="11"/>
                <w:color w:val="auto"/>
              </w:rPr>
            </w:pPr>
          </w:p>
        </w:tc>
        <w:tc>
          <w:tcPr>
            <w:tcW w:w="760" w:type="dxa"/>
            <w:vAlign w:val="bottom"/>
            <w:shd w:val="clear" w:color="auto" w:fill="EBFEFF"/>
          </w:tcPr>
          <w:p>
            <w:pPr>
              <w:spacing w:after="0"/>
              <w:rPr>
                <w:sz w:val="11"/>
                <w:szCs w:val="11"/>
                <w:color w:val="auto"/>
              </w:rPr>
            </w:pPr>
          </w:p>
        </w:tc>
        <w:tc>
          <w:tcPr>
            <w:tcW w:w="100" w:type="dxa"/>
            <w:vAlign w:val="bottom"/>
            <w:tcBorders>
              <w:right w:val="single" w:sz="8" w:color="auto"/>
            </w:tcBorders>
            <w:shd w:val="clear" w:color="auto" w:fill="EBFEFF"/>
          </w:tcPr>
          <w:p>
            <w:pPr>
              <w:spacing w:after="0"/>
              <w:rPr>
                <w:sz w:val="11"/>
                <w:szCs w:val="11"/>
                <w:color w:val="auto"/>
              </w:rPr>
            </w:pPr>
          </w:p>
        </w:tc>
        <w:tc>
          <w:tcPr>
            <w:tcW w:w="60" w:type="dxa"/>
            <w:vAlign w:val="bottom"/>
            <w:shd w:val="clear" w:color="auto" w:fill="EBFEFF"/>
          </w:tcPr>
          <w:p>
            <w:pPr>
              <w:spacing w:after="0"/>
              <w:rPr>
                <w:sz w:val="11"/>
                <w:szCs w:val="11"/>
                <w:color w:val="auto"/>
              </w:rPr>
            </w:pPr>
          </w:p>
        </w:tc>
        <w:tc>
          <w:tcPr>
            <w:tcW w:w="66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00" w:type="dxa"/>
            <w:vAlign w:val="bottom"/>
            <w:shd w:val="clear" w:color="auto" w:fill="EBFEFF"/>
          </w:tcPr>
          <w:p>
            <w:pPr>
              <w:spacing w:after="0"/>
              <w:rPr>
                <w:sz w:val="11"/>
                <w:szCs w:val="11"/>
                <w:color w:val="auto"/>
              </w:rPr>
            </w:pPr>
          </w:p>
        </w:tc>
        <w:tc>
          <w:tcPr>
            <w:tcW w:w="54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66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00" w:type="dxa"/>
            <w:vAlign w:val="bottom"/>
            <w:shd w:val="clear" w:color="auto" w:fill="EBFEFF"/>
          </w:tcPr>
          <w:p>
            <w:pPr>
              <w:spacing w:after="0"/>
              <w:rPr>
                <w:sz w:val="11"/>
                <w:szCs w:val="11"/>
                <w:color w:val="auto"/>
              </w:rPr>
            </w:pPr>
          </w:p>
        </w:tc>
        <w:tc>
          <w:tcPr>
            <w:tcW w:w="54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20" w:type="dxa"/>
            <w:vAlign w:val="bottom"/>
            <w:shd w:val="clear" w:color="auto" w:fill="EBFEFF"/>
          </w:tcPr>
          <w:p>
            <w:pPr>
              <w:spacing w:after="0"/>
              <w:rPr>
                <w:sz w:val="11"/>
                <w:szCs w:val="11"/>
                <w:color w:val="auto"/>
              </w:rPr>
            </w:pPr>
          </w:p>
        </w:tc>
        <w:tc>
          <w:tcPr>
            <w:tcW w:w="56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40" w:type="dxa"/>
            <w:vAlign w:val="bottom"/>
            <w:shd w:val="clear" w:color="auto" w:fill="EBFEFF"/>
          </w:tcPr>
          <w:p>
            <w:pPr>
              <w:spacing w:after="0"/>
              <w:rPr>
                <w:sz w:val="11"/>
                <w:szCs w:val="11"/>
                <w:color w:val="auto"/>
              </w:rPr>
            </w:pPr>
          </w:p>
        </w:tc>
        <w:tc>
          <w:tcPr>
            <w:tcW w:w="62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96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60" w:type="dxa"/>
            <w:vAlign w:val="bottom"/>
            <w:shd w:val="clear" w:color="auto" w:fill="EBFEFF"/>
          </w:tcPr>
          <w:p>
            <w:pPr>
              <w:spacing w:after="0"/>
              <w:rPr>
                <w:sz w:val="11"/>
                <w:szCs w:val="11"/>
                <w:color w:val="auto"/>
              </w:rPr>
            </w:pPr>
          </w:p>
        </w:tc>
        <w:tc>
          <w:tcPr>
            <w:tcW w:w="82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20" w:type="dxa"/>
            <w:vAlign w:val="bottom"/>
            <w:shd w:val="clear" w:color="auto" w:fill="EBFEFF"/>
          </w:tcPr>
          <w:p>
            <w:pPr>
              <w:spacing w:after="0"/>
              <w:rPr>
                <w:sz w:val="11"/>
                <w:szCs w:val="11"/>
                <w:color w:val="auto"/>
              </w:rPr>
            </w:pPr>
          </w:p>
        </w:tc>
        <w:tc>
          <w:tcPr>
            <w:tcW w:w="660" w:type="dxa"/>
            <w:vAlign w:val="bottom"/>
            <w:shd w:val="clear" w:color="auto" w:fill="EBF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3"/>
                <w:szCs w:val="13"/>
                <w:color w:val="auto"/>
              </w:rPr>
              <w:t>noncontrolling interest</w:t>
            </w:r>
            <w:r>
              <w:rPr>
                <w:rFonts w:ascii="Times New Roman" w:cs="Times New Roman" w:eastAsia="Times New Roman" w:hAnsi="Times New Roman"/>
                <w:sz w:val="16"/>
                <w:szCs w:val="16"/>
                <w:color w:val="auto"/>
                <w:vertAlign w:val="superscript"/>
              </w:rPr>
              <w:t>(*)</w:t>
            </w:r>
          </w:p>
        </w:tc>
        <w:tc>
          <w:tcPr>
            <w:tcW w:w="100" w:type="dxa"/>
            <w:vAlign w:val="bottom"/>
            <w:shd w:val="clear" w:color="auto" w:fill="EBFEFF"/>
          </w:tcPr>
          <w:p>
            <w:pPr>
              <w:spacing w:after="0"/>
              <w:rPr>
                <w:sz w:val="16"/>
                <w:szCs w:val="16"/>
                <w:color w:val="auto"/>
              </w:rPr>
            </w:pPr>
          </w:p>
        </w:tc>
        <w:tc>
          <w:tcPr>
            <w:tcW w:w="7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3"/>
                <w:szCs w:val="13"/>
                <w:color w:val="auto"/>
              </w:rPr>
              <w:t>(1,085)</w:t>
            </w:r>
          </w:p>
        </w:tc>
        <w:tc>
          <w:tcPr>
            <w:tcW w:w="100" w:type="dxa"/>
            <w:vAlign w:val="bottom"/>
            <w:tcBorders>
              <w:right w:val="single" w:sz="8" w:color="auto"/>
            </w:tcBorders>
            <w:shd w:val="clear" w:color="auto" w:fill="EBFEFF"/>
          </w:tcPr>
          <w:p>
            <w:pPr>
              <w:spacing w:after="0"/>
              <w:rPr>
                <w:sz w:val="16"/>
                <w:szCs w:val="16"/>
                <w:color w:val="auto"/>
              </w:rPr>
            </w:pPr>
          </w:p>
        </w:tc>
        <w:tc>
          <w:tcPr>
            <w:tcW w:w="60" w:type="dxa"/>
            <w:vAlign w:val="bottom"/>
            <w:shd w:val="clear" w:color="auto" w:fill="EBFEFF"/>
          </w:tcPr>
          <w:p>
            <w:pPr>
              <w:spacing w:after="0"/>
              <w:rPr>
                <w:sz w:val="16"/>
                <w:szCs w:val="16"/>
                <w:color w:val="auto"/>
              </w:rPr>
            </w:pPr>
          </w:p>
        </w:tc>
        <w:tc>
          <w:tcPr>
            <w:tcW w:w="74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BFEFF"/>
          </w:tcPr>
          <w:p>
            <w:pPr>
              <w:spacing w:after="0"/>
              <w:rPr>
                <w:sz w:val="16"/>
                <w:szCs w:val="16"/>
                <w:color w:val="auto"/>
              </w:rPr>
            </w:pPr>
          </w:p>
        </w:tc>
        <w:tc>
          <w:tcPr>
            <w:tcW w:w="620" w:type="dxa"/>
            <w:vAlign w:val="bottom"/>
            <w:gridSpan w:val="2"/>
            <w:shd w:val="clear" w:color="auto" w:fill="EBF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BFEFF"/>
          </w:tcPr>
          <w:p>
            <w:pPr>
              <w:spacing w:after="0"/>
              <w:rPr>
                <w:sz w:val="16"/>
                <w:szCs w:val="16"/>
                <w:color w:val="auto"/>
              </w:rPr>
            </w:pPr>
          </w:p>
        </w:tc>
        <w:tc>
          <w:tcPr>
            <w:tcW w:w="62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BFEFF"/>
          </w:tcPr>
          <w:p>
            <w:pPr>
              <w:spacing w:after="0"/>
              <w:rPr>
                <w:sz w:val="16"/>
                <w:szCs w:val="16"/>
                <w:color w:val="auto"/>
              </w:rPr>
            </w:pPr>
          </w:p>
        </w:tc>
        <w:tc>
          <w:tcPr>
            <w:tcW w:w="64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EBFEFF"/>
          </w:tcPr>
          <w:p>
            <w:pPr>
              <w:spacing w:after="0"/>
              <w:rPr>
                <w:sz w:val="16"/>
                <w:szCs w:val="16"/>
                <w:color w:val="auto"/>
              </w:rPr>
            </w:pPr>
          </w:p>
        </w:tc>
        <w:tc>
          <w:tcPr>
            <w:tcW w:w="700" w:type="dxa"/>
            <w:vAlign w:val="bottom"/>
            <w:gridSpan w:val="2"/>
            <w:shd w:val="clear" w:color="auto" w:fill="EBF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EBFEFF"/>
          </w:tcPr>
          <w:p>
            <w:pPr>
              <w:spacing w:after="0"/>
              <w:rPr>
                <w:sz w:val="16"/>
                <w:szCs w:val="16"/>
                <w:color w:val="auto"/>
              </w:rPr>
            </w:pPr>
          </w:p>
        </w:tc>
        <w:tc>
          <w:tcPr>
            <w:tcW w:w="104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EBFEFF"/>
          </w:tcPr>
          <w:p>
            <w:pPr>
              <w:spacing w:after="0"/>
              <w:rPr>
                <w:sz w:val="16"/>
                <w:szCs w:val="16"/>
                <w:color w:val="auto"/>
              </w:rPr>
            </w:pPr>
          </w:p>
        </w:tc>
        <w:tc>
          <w:tcPr>
            <w:tcW w:w="90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BFEFF"/>
          </w:tcPr>
          <w:p>
            <w:pPr>
              <w:spacing w:after="0"/>
              <w:rPr>
                <w:sz w:val="16"/>
                <w:szCs w:val="16"/>
                <w:color w:val="auto"/>
              </w:rPr>
            </w:pPr>
          </w:p>
        </w:tc>
        <w:tc>
          <w:tcPr>
            <w:tcW w:w="6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2500" w:type="dxa"/>
            <w:vAlign w:val="bottom"/>
          </w:tcPr>
          <w:p>
            <w:pPr>
              <w:ind w:left="260"/>
              <w:spacing w:after="0" w:line="122" w:lineRule="exact"/>
              <w:rPr>
                <w:sz w:val="20"/>
                <w:szCs w:val="20"/>
                <w:color w:val="auto"/>
              </w:rPr>
            </w:pPr>
            <w:r>
              <w:rPr>
                <w:rFonts w:ascii="Times New Roman" w:cs="Times New Roman" w:eastAsia="Times New Roman" w:hAnsi="Times New Roman"/>
                <w:sz w:val="13"/>
                <w:szCs w:val="13"/>
                <w:color w:val="auto"/>
                <w:w w:val="98"/>
              </w:rPr>
              <w:t>Change in redemption value of redeemable</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0" w:type="dxa"/>
            <w:vAlign w:val="bottom"/>
          </w:tcPr>
          <w:p>
            <w:pPr>
              <w:spacing w:after="0"/>
              <w:rPr>
                <w:sz w:val="1"/>
                <w:szCs w:val="1"/>
                <w:color w:val="auto"/>
              </w:rPr>
            </w:pPr>
          </w:p>
        </w:tc>
      </w:tr>
      <w:tr>
        <w:trPr>
          <w:trHeight w:val="129"/>
        </w:trPr>
        <w:tc>
          <w:tcPr>
            <w:tcW w:w="2500" w:type="dxa"/>
            <w:vAlign w:val="bottom"/>
            <w:shd w:val="clear" w:color="auto" w:fill="EBFEFF"/>
          </w:tcPr>
          <w:p>
            <w:pPr>
              <w:ind w:left="240"/>
              <w:spacing w:after="0" w:line="129" w:lineRule="exact"/>
              <w:rPr>
                <w:sz w:val="20"/>
                <w:szCs w:val="20"/>
                <w:color w:val="auto"/>
              </w:rPr>
            </w:pPr>
            <w:r>
              <w:rPr>
                <w:rFonts w:ascii="Times New Roman" w:cs="Times New Roman" w:eastAsia="Times New Roman" w:hAnsi="Times New Roman"/>
                <w:sz w:val="13"/>
                <w:szCs w:val="13"/>
                <w:color w:val="auto"/>
              </w:rPr>
              <w:t>Reclassification of redeemable</w:t>
            </w:r>
          </w:p>
        </w:tc>
        <w:tc>
          <w:tcPr>
            <w:tcW w:w="100" w:type="dxa"/>
            <w:vAlign w:val="bottom"/>
            <w:shd w:val="clear" w:color="auto" w:fill="EBFEFF"/>
          </w:tcPr>
          <w:p>
            <w:pPr>
              <w:spacing w:after="0"/>
              <w:rPr>
                <w:sz w:val="11"/>
                <w:szCs w:val="11"/>
                <w:color w:val="auto"/>
              </w:rPr>
            </w:pPr>
          </w:p>
        </w:tc>
        <w:tc>
          <w:tcPr>
            <w:tcW w:w="760" w:type="dxa"/>
            <w:vAlign w:val="bottom"/>
            <w:shd w:val="clear" w:color="auto" w:fill="EBFEFF"/>
          </w:tcPr>
          <w:p>
            <w:pPr>
              <w:spacing w:after="0"/>
              <w:rPr>
                <w:sz w:val="11"/>
                <w:szCs w:val="11"/>
                <w:color w:val="auto"/>
              </w:rPr>
            </w:pPr>
          </w:p>
        </w:tc>
        <w:tc>
          <w:tcPr>
            <w:tcW w:w="100" w:type="dxa"/>
            <w:vAlign w:val="bottom"/>
            <w:tcBorders>
              <w:right w:val="single" w:sz="8" w:color="auto"/>
            </w:tcBorders>
            <w:shd w:val="clear" w:color="auto" w:fill="EBFEFF"/>
          </w:tcPr>
          <w:p>
            <w:pPr>
              <w:spacing w:after="0"/>
              <w:rPr>
                <w:sz w:val="11"/>
                <w:szCs w:val="11"/>
                <w:color w:val="auto"/>
              </w:rPr>
            </w:pPr>
          </w:p>
        </w:tc>
        <w:tc>
          <w:tcPr>
            <w:tcW w:w="60" w:type="dxa"/>
            <w:vAlign w:val="bottom"/>
            <w:shd w:val="clear" w:color="auto" w:fill="EBFEFF"/>
          </w:tcPr>
          <w:p>
            <w:pPr>
              <w:spacing w:after="0"/>
              <w:rPr>
                <w:sz w:val="11"/>
                <w:szCs w:val="11"/>
                <w:color w:val="auto"/>
              </w:rPr>
            </w:pPr>
          </w:p>
        </w:tc>
        <w:tc>
          <w:tcPr>
            <w:tcW w:w="66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00" w:type="dxa"/>
            <w:vAlign w:val="bottom"/>
            <w:shd w:val="clear" w:color="auto" w:fill="EBFEFF"/>
          </w:tcPr>
          <w:p>
            <w:pPr>
              <w:spacing w:after="0"/>
              <w:rPr>
                <w:sz w:val="11"/>
                <w:szCs w:val="11"/>
                <w:color w:val="auto"/>
              </w:rPr>
            </w:pPr>
          </w:p>
        </w:tc>
        <w:tc>
          <w:tcPr>
            <w:tcW w:w="54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66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00" w:type="dxa"/>
            <w:vAlign w:val="bottom"/>
            <w:shd w:val="clear" w:color="auto" w:fill="EBFEFF"/>
          </w:tcPr>
          <w:p>
            <w:pPr>
              <w:spacing w:after="0"/>
              <w:rPr>
                <w:sz w:val="11"/>
                <w:szCs w:val="11"/>
                <w:color w:val="auto"/>
              </w:rPr>
            </w:pPr>
          </w:p>
        </w:tc>
        <w:tc>
          <w:tcPr>
            <w:tcW w:w="54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20" w:type="dxa"/>
            <w:vAlign w:val="bottom"/>
            <w:shd w:val="clear" w:color="auto" w:fill="EBFEFF"/>
          </w:tcPr>
          <w:p>
            <w:pPr>
              <w:spacing w:after="0"/>
              <w:rPr>
                <w:sz w:val="11"/>
                <w:szCs w:val="11"/>
                <w:color w:val="auto"/>
              </w:rPr>
            </w:pPr>
          </w:p>
        </w:tc>
        <w:tc>
          <w:tcPr>
            <w:tcW w:w="56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40" w:type="dxa"/>
            <w:vAlign w:val="bottom"/>
            <w:shd w:val="clear" w:color="auto" w:fill="EBFEFF"/>
          </w:tcPr>
          <w:p>
            <w:pPr>
              <w:spacing w:after="0"/>
              <w:rPr>
                <w:sz w:val="11"/>
                <w:szCs w:val="11"/>
                <w:color w:val="auto"/>
              </w:rPr>
            </w:pPr>
          </w:p>
        </w:tc>
        <w:tc>
          <w:tcPr>
            <w:tcW w:w="62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96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60" w:type="dxa"/>
            <w:vAlign w:val="bottom"/>
            <w:shd w:val="clear" w:color="auto" w:fill="EBFEFF"/>
          </w:tcPr>
          <w:p>
            <w:pPr>
              <w:spacing w:after="0"/>
              <w:rPr>
                <w:sz w:val="11"/>
                <w:szCs w:val="11"/>
                <w:color w:val="auto"/>
              </w:rPr>
            </w:pPr>
          </w:p>
        </w:tc>
        <w:tc>
          <w:tcPr>
            <w:tcW w:w="82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20" w:type="dxa"/>
            <w:vAlign w:val="bottom"/>
            <w:shd w:val="clear" w:color="auto" w:fill="EBFEFF"/>
          </w:tcPr>
          <w:p>
            <w:pPr>
              <w:spacing w:after="0"/>
              <w:rPr>
                <w:sz w:val="11"/>
                <w:szCs w:val="11"/>
                <w:color w:val="auto"/>
              </w:rPr>
            </w:pPr>
          </w:p>
        </w:tc>
        <w:tc>
          <w:tcPr>
            <w:tcW w:w="660" w:type="dxa"/>
            <w:vAlign w:val="bottom"/>
            <w:shd w:val="clear" w:color="auto" w:fill="EBF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EBFEFF"/>
          </w:tcPr>
          <w:p>
            <w:pPr>
              <w:ind w:left="240"/>
              <w:spacing w:after="0" w:line="131" w:lineRule="exact"/>
              <w:rPr>
                <w:sz w:val="20"/>
                <w:szCs w:val="20"/>
                <w:color w:val="auto"/>
              </w:rPr>
            </w:pPr>
            <w:r>
              <w:rPr>
                <w:rFonts w:ascii="Times New Roman" w:cs="Times New Roman" w:eastAsia="Times New Roman" w:hAnsi="Times New Roman"/>
                <w:sz w:val="13"/>
                <w:szCs w:val="13"/>
                <w:color w:val="auto"/>
                <w:w w:val="99"/>
              </w:rPr>
              <w:t>noncontrolling interest to permanent equity</w:t>
            </w:r>
          </w:p>
        </w:tc>
        <w:tc>
          <w:tcPr>
            <w:tcW w:w="100" w:type="dxa"/>
            <w:vAlign w:val="bottom"/>
            <w:shd w:val="clear" w:color="auto" w:fill="EBFEFF"/>
          </w:tcPr>
          <w:p>
            <w:pPr>
              <w:spacing w:after="0"/>
              <w:rPr>
                <w:sz w:val="11"/>
                <w:szCs w:val="11"/>
                <w:color w:val="auto"/>
              </w:rPr>
            </w:pPr>
          </w:p>
        </w:tc>
        <w:tc>
          <w:tcPr>
            <w:tcW w:w="760" w:type="dxa"/>
            <w:vAlign w:val="bottom"/>
            <w:shd w:val="clear" w:color="auto" w:fill="EBFEFF"/>
          </w:tcPr>
          <w:p>
            <w:pPr>
              <w:spacing w:after="0"/>
              <w:rPr>
                <w:sz w:val="11"/>
                <w:szCs w:val="11"/>
                <w:color w:val="auto"/>
              </w:rPr>
            </w:pPr>
          </w:p>
        </w:tc>
        <w:tc>
          <w:tcPr>
            <w:tcW w:w="100" w:type="dxa"/>
            <w:vAlign w:val="bottom"/>
            <w:tcBorders>
              <w:right w:val="single" w:sz="8" w:color="auto"/>
            </w:tcBorders>
            <w:shd w:val="clear" w:color="auto" w:fill="EBFEFF"/>
          </w:tcPr>
          <w:p>
            <w:pPr>
              <w:spacing w:after="0"/>
              <w:rPr>
                <w:sz w:val="11"/>
                <w:szCs w:val="11"/>
                <w:color w:val="auto"/>
              </w:rPr>
            </w:pPr>
          </w:p>
        </w:tc>
        <w:tc>
          <w:tcPr>
            <w:tcW w:w="60" w:type="dxa"/>
            <w:vAlign w:val="bottom"/>
            <w:shd w:val="clear" w:color="auto" w:fill="EBFEFF"/>
          </w:tcPr>
          <w:p>
            <w:pPr>
              <w:spacing w:after="0"/>
              <w:rPr>
                <w:sz w:val="11"/>
                <w:szCs w:val="11"/>
                <w:color w:val="auto"/>
              </w:rPr>
            </w:pPr>
          </w:p>
        </w:tc>
        <w:tc>
          <w:tcPr>
            <w:tcW w:w="66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00" w:type="dxa"/>
            <w:vAlign w:val="bottom"/>
            <w:shd w:val="clear" w:color="auto" w:fill="EBFEFF"/>
          </w:tcPr>
          <w:p>
            <w:pPr>
              <w:spacing w:after="0"/>
              <w:rPr>
                <w:sz w:val="11"/>
                <w:szCs w:val="11"/>
                <w:color w:val="auto"/>
              </w:rPr>
            </w:pPr>
          </w:p>
        </w:tc>
        <w:tc>
          <w:tcPr>
            <w:tcW w:w="54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66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00" w:type="dxa"/>
            <w:vAlign w:val="bottom"/>
            <w:shd w:val="clear" w:color="auto" w:fill="EBFEFF"/>
          </w:tcPr>
          <w:p>
            <w:pPr>
              <w:spacing w:after="0"/>
              <w:rPr>
                <w:sz w:val="11"/>
                <w:szCs w:val="11"/>
                <w:color w:val="auto"/>
              </w:rPr>
            </w:pPr>
          </w:p>
        </w:tc>
        <w:tc>
          <w:tcPr>
            <w:tcW w:w="54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20" w:type="dxa"/>
            <w:vAlign w:val="bottom"/>
            <w:shd w:val="clear" w:color="auto" w:fill="EBFEFF"/>
          </w:tcPr>
          <w:p>
            <w:pPr>
              <w:spacing w:after="0"/>
              <w:rPr>
                <w:sz w:val="11"/>
                <w:szCs w:val="11"/>
                <w:color w:val="auto"/>
              </w:rPr>
            </w:pPr>
          </w:p>
        </w:tc>
        <w:tc>
          <w:tcPr>
            <w:tcW w:w="56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40" w:type="dxa"/>
            <w:vAlign w:val="bottom"/>
            <w:shd w:val="clear" w:color="auto" w:fill="EBFEFF"/>
          </w:tcPr>
          <w:p>
            <w:pPr>
              <w:spacing w:after="0"/>
              <w:rPr>
                <w:sz w:val="11"/>
                <w:szCs w:val="11"/>
                <w:color w:val="auto"/>
              </w:rPr>
            </w:pPr>
          </w:p>
        </w:tc>
        <w:tc>
          <w:tcPr>
            <w:tcW w:w="62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96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60" w:type="dxa"/>
            <w:vAlign w:val="bottom"/>
            <w:shd w:val="clear" w:color="auto" w:fill="EBFEFF"/>
          </w:tcPr>
          <w:p>
            <w:pPr>
              <w:spacing w:after="0"/>
              <w:rPr>
                <w:sz w:val="11"/>
                <w:szCs w:val="11"/>
                <w:color w:val="auto"/>
              </w:rPr>
            </w:pPr>
          </w:p>
        </w:tc>
        <w:tc>
          <w:tcPr>
            <w:tcW w:w="82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20" w:type="dxa"/>
            <w:vAlign w:val="bottom"/>
            <w:shd w:val="clear" w:color="auto" w:fill="EBFEFF"/>
          </w:tcPr>
          <w:p>
            <w:pPr>
              <w:spacing w:after="0"/>
              <w:rPr>
                <w:sz w:val="11"/>
                <w:szCs w:val="11"/>
                <w:color w:val="auto"/>
              </w:rPr>
            </w:pPr>
          </w:p>
        </w:tc>
        <w:tc>
          <w:tcPr>
            <w:tcW w:w="660" w:type="dxa"/>
            <w:vAlign w:val="bottom"/>
            <w:shd w:val="clear" w:color="auto" w:fill="EBF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50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3"/>
                <w:szCs w:val="13"/>
                <w:color w:val="auto"/>
              </w:rPr>
              <w:t>(See Note 7)</w:t>
            </w:r>
          </w:p>
        </w:tc>
        <w:tc>
          <w:tcPr>
            <w:tcW w:w="100" w:type="dxa"/>
            <w:vAlign w:val="bottom"/>
            <w:shd w:val="clear" w:color="auto" w:fill="EBFEFF"/>
          </w:tcPr>
          <w:p>
            <w:pPr>
              <w:spacing w:after="0"/>
              <w:rPr>
                <w:sz w:val="15"/>
                <w:szCs w:val="15"/>
                <w:color w:val="auto"/>
              </w:rPr>
            </w:pPr>
          </w:p>
        </w:tc>
        <w:tc>
          <w:tcPr>
            <w:tcW w:w="7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3"/>
                <w:szCs w:val="13"/>
                <w:color w:val="auto"/>
              </w:rPr>
              <w:t>(5,260)</w:t>
            </w:r>
          </w:p>
        </w:tc>
        <w:tc>
          <w:tcPr>
            <w:tcW w:w="100" w:type="dxa"/>
            <w:vAlign w:val="bottom"/>
            <w:tcBorders>
              <w:right w:val="single" w:sz="8" w:color="auto"/>
            </w:tcBorders>
            <w:shd w:val="clear" w:color="auto" w:fill="EBFEFF"/>
          </w:tcPr>
          <w:p>
            <w:pPr>
              <w:spacing w:after="0"/>
              <w:rPr>
                <w:sz w:val="15"/>
                <w:szCs w:val="15"/>
                <w:color w:val="auto"/>
              </w:rPr>
            </w:pPr>
          </w:p>
        </w:tc>
        <w:tc>
          <w:tcPr>
            <w:tcW w:w="60" w:type="dxa"/>
            <w:vAlign w:val="bottom"/>
            <w:shd w:val="clear" w:color="auto" w:fill="EBFEFF"/>
          </w:tcPr>
          <w:p>
            <w:pPr>
              <w:spacing w:after="0"/>
              <w:rPr>
                <w:sz w:val="15"/>
                <w:szCs w:val="15"/>
                <w:color w:val="auto"/>
              </w:rPr>
            </w:pPr>
          </w:p>
        </w:tc>
        <w:tc>
          <w:tcPr>
            <w:tcW w:w="74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BFEFF"/>
          </w:tcPr>
          <w:p>
            <w:pPr>
              <w:spacing w:after="0"/>
              <w:rPr>
                <w:sz w:val="15"/>
                <w:szCs w:val="15"/>
                <w:color w:val="auto"/>
              </w:rPr>
            </w:pPr>
          </w:p>
        </w:tc>
        <w:tc>
          <w:tcPr>
            <w:tcW w:w="620" w:type="dxa"/>
            <w:vAlign w:val="bottom"/>
            <w:gridSpan w:val="2"/>
            <w:shd w:val="clear" w:color="auto" w:fill="EBF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BFEFF"/>
          </w:tcPr>
          <w:p>
            <w:pPr>
              <w:spacing w:after="0"/>
              <w:rPr>
                <w:sz w:val="15"/>
                <w:szCs w:val="15"/>
                <w:color w:val="auto"/>
              </w:rPr>
            </w:pPr>
          </w:p>
        </w:tc>
        <w:tc>
          <w:tcPr>
            <w:tcW w:w="62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BFEFF"/>
          </w:tcPr>
          <w:p>
            <w:pPr>
              <w:spacing w:after="0"/>
              <w:rPr>
                <w:sz w:val="15"/>
                <w:szCs w:val="15"/>
                <w:color w:val="auto"/>
              </w:rPr>
            </w:pPr>
          </w:p>
        </w:tc>
        <w:tc>
          <w:tcPr>
            <w:tcW w:w="64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EBFEFF"/>
          </w:tcPr>
          <w:p>
            <w:pPr>
              <w:spacing w:after="0"/>
              <w:rPr>
                <w:sz w:val="15"/>
                <w:szCs w:val="15"/>
                <w:color w:val="auto"/>
              </w:rPr>
            </w:pPr>
          </w:p>
        </w:tc>
        <w:tc>
          <w:tcPr>
            <w:tcW w:w="700" w:type="dxa"/>
            <w:vAlign w:val="bottom"/>
            <w:gridSpan w:val="2"/>
            <w:shd w:val="clear" w:color="auto" w:fill="EBF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EBFEFF"/>
          </w:tcPr>
          <w:p>
            <w:pPr>
              <w:spacing w:after="0"/>
              <w:rPr>
                <w:sz w:val="15"/>
                <w:szCs w:val="15"/>
                <w:color w:val="auto"/>
              </w:rPr>
            </w:pPr>
          </w:p>
        </w:tc>
        <w:tc>
          <w:tcPr>
            <w:tcW w:w="104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EBFEFF"/>
          </w:tcPr>
          <w:p>
            <w:pPr>
              <w:spacing w:after="0"/>
              <w:rPr>
                <w:sz w:val="15"/>
                <w:szCs w:val="15"/>
                <w:color w:val="auto"/>
              </w:rPr>
            </w:pPr>
          </w:p>
        </w:tc>
        <w:tc>
          <w:tcPr>
            <w:tcW w:w="8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3"/>
                <w:szCs w:val="13"/>
                <w:color w:val="auto"/>
              </w:rPr>
              <w:t>5,260</w:t>
            </w:r>
          </w:p>
        </w:tc>
        <w:tc>
          <w:tcPr>
            <w:tcW w:w="80" w:type="dxa"/>
            <w:vAlign w:val="bottom"/>
            <w:shd w:val="clear" w:color="auto" w:fill="EBFEFF"/>
          </w:tcPr>
          <w:p>
            <w:pPr>
              <w:spacing w:after="0"/>
              <w:rPr>
                <w:sz w:val="15"/>
                <w:szCs w:val="15"/>
                <w:color w:val="auto"/>
              </w:rPr>
            </w:pPr>
          </w:p>
        </w:tc>
        <w:tc>
          <w:tcPr>
            <w:tcW w:w="120" w:type="dxa"/>
            <w:vAlign w:val="bottom"/>
            <w:shd w:val="clear" w:color="auto" w:fill="EBFEFF"/>
          </w:tcPr>
          <w:p>
            <w:pPr>
              <w:spacing w:after="0"/>
              <w:rPr>
                <w:sz w:val="15"/>
                <w:szCs w:val="15"/>
                <w:color w:val="auto"/>
              </w:rPr>
            </w:pPr>
          </w:p>
        </w:tc>
        <w:tc>
          <w:tcPr>
            <w:tcW w:w="6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3"/>
                <w:szCs w:val="13"/>
                <w:color w:val="auto"/>
              </w:rPr>
              <w:t>5,260</w:t>
            </w:r>
          </w:p>
        </w:tc>
        <w:tc>
          <w:tcPr>
            <w:tcW w:w="0" w:type="dxa"/>
            <w:vAlign w:val="bottom"/>
          </w:tcPr>
          <w:p>
            <w:pPr>
              <w:spacing w:after="0"/>
              <w:rPr>
                <w:sz w:val="1"/>
                <w:szCs w:val="1"/>
                <w:color w:val="auto"/>
              </w:rPr>
            </w:pPr>
          </w:p>
        </w:tc>
      </w:tr>
      <w:tr>
        <w:trPr>
          <w:trHeight w:val="170"/>
        </w:trPr>
        <w:tc>
          <w:tcPr>
            <w:tcW w:w="2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Share-based compensation</w:t>
            </w:r>
          </w:p>
        </w:tc>
        <w:tc>
          <w:tcPr>
            <w:tcW w:w="100" w:type="dxa"/>
            <w:vAlign w:val="bottom"/>
          </w:tcPr>
          <w:p>
            <w:pPr>
              <w:spacing w:after="0"/>
              <w:rPr>
                <w:sz w:val="14"/>
                <w:szCs w:val="14"/>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1,932</w:t>
            </w:r>
          </w:p>
        </w:tc>
        <w:tc>
          <w:tcPr>
            <w:tcW w:w="0" w:type="dxa"/>
            <w:vAlign w:val="bottom"/>
          </w:tcPr>
          <w:p>
            <w:pPr>
              <w:spacing w:after="0"/>
              <w:rPr>
                <w:sz w:val="1"/>
                <w:szCs w:val="1"/>
                <w:color w:val="auto"/>
              </w:rPr>
            </w:pPr>
          </w:p>
        </w:tc>
      </w:tr>
      <w:tr>
        <w:trPr>
          <w:trHeight w:val="127"/>
        </w:trPr>
        <w:tc>
          <w:tcPr>
            <w:tcW w:w="2500" w:type="dxa"/>
            <w:vAlign w:val="bottom"/>
            <w:shd w:val="clear" w:color="auto" w:fill="EBFEFF"/>
          </w:tcPr>
          <w:p>
            <w:pPr>
              <w:ind w:left="240"/>
              <w:spacing w:after="0" w:line="128" w:lineRule="exact"/>
              <w:rPr>
                <w:sz w:val="20"/>
                <w:szCs w:val="20"/>
                <w:color w:val="auto"/>
              </w:rPr>
            </w:pPr>
            <w:r>
              <w:rPr>
                <w:rFonts w:ascii="Times New Roman" w:cs="Times New Roman" w:eastAsia="Times New Roman" w:hAnsi="Times New Roman"/>
                <w:sz w:val="13"/>
                <w:szCs w:val="13"/>
                <w:color w:val="auto"/>
                <w:w w:val="97"/>
              </w:rPr>
              <w:t>Issuance of Class A common stock and pre-</w:t>
            </w:r>
          </w:p>
        </w:tc>
        <w:tc>
          <w:tcPr>
            <w:tcW w:w="100" w:type="dxa"/>
            <w:vAlign w:val="bottom"/>
            <w:shd w:val="clear" w:color="auto" w:fill="EBFEFF"/>
          </w:tcPr>
          <w:p>
            <w:pPr>
              <w:spacing w:after="0"/>
              <w:rPr>
                <w:sz w:val="11"/>
                <w:szCs w:val="11"/>
                <w:color w:val="auto"/>
              </w:rPr>
            </w:pPr>
          </w:p>
        </w:tc>
        <w:tc>
          <w:tcPr>
            <w:tcW w:w="760" w:type="dxa"/>
            <w:vAlign w:val="bottom"/>
            <w:shd w:val="clear" w:color="auto" w:fill="EBFEFF"/>
          </w:tcPr>
          <w:p>
            <w:pPr>
              <w:spacing w:after="0"/>
              <w:rPr>
                <w:sz w:val="11"/>
                <w:szCs w:val="11"/>
                <w:color w:val="auto"/>
              </w:rPr>
            </w:pPr>
          </w:p>
        </w:tc>
        <w:tc>
          <w:tcPr>
            <w:tcW w:w="100" w:type="dxa"/>
            <w:vAlign w:val="bottom"/>
            <w:tcBorders>
              <w:right w:val="single" w:sz="8" w:color="auto"/>
            </w:tcBorders>
            <w:shd w:val="clear" w:color="auto" w:fill="EBFEFF"/>
          </w:tcPr>
          <w:p>
            <w:pPr>
              <w:spacing w:after="0"/>
              <w:rPr>
                <w:sz w:val="11"/>
                <w:szCs w:val="11"/>
                <w:color w:val="auto"/>
              </w:rPr>
            </w:pPr>
          </w:p>
        </w:tc>
        <w:tc>
          <w:tcPr>
            <w:tcW w:w="60" w:type="dxa"/>
            <w:vAlign w:val="bottom"/>
            <w:shd w:val="clear" w:color="auto" w:fill="EBFEFF"/>
          </w:tcPr>
          <w:p>
            <w:pPr>
              <w:spacing w:after="0"/>
              <w:rPr>
                <w:sz w:val="11"/>
                <w:szCs w:val="11"/>
                <w:color w:val="auto"/>
              </w:rPr>
            </w:pPr>
          </w:p>
        </w:tc>
        <w:tc>
          <w:tcPr>
            <w:tcW w:w="66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00" w:type="dxa"/>
            <w:vAlign w:val="bottom"/>
            <w:shd w:val="clear" w:color="auto" w:fill="EBFEFF"/>
          </w:tcPr>
          <w:p>
            <w:pPr>
              <w:spacing w:after="0"/>
              <w:rPr>
                <w:sz w:val="11"/>
                <w:szCs w:val="11"/>
                <w:color w:val="auto"/>
              </w:rPr>
            </w:pPr>
          </w:p>
        </w:tc>
        <w:tc>
          <w:tcPr>
            <w:tcW w:w="54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66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00" w:type="dxa"/>
            <w:vAlign w:val="bottom"/>
            <w:shd w:val="clear" w:color="auto" w:fill="EBFEFF"/>
          </w:tcPr>
          <w:p>
            <w:pPr>
              <w:spacing w:after="0"/>
              <w:rPr>
                <w:sz w:val="11"/>
                <w:szCs w:val="11"/>
                <w:color w:val="auto"/>
              </w:rPr>
            </w:pPr>
          </w:p>
        </w:tc>
        <w:tc>
          <w:tcPr>
            <w:tcW w:w="54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20" w:type="dxa"/>
            <w:vAlign w:val="bottom"/>
            <w:shd w:val="clear" w:color="auto" w:fill="EBFEFF"/>
          </w:tcPr>
          <w:p>
            <w:pPr>
              <w:spacing w:after="0"/>
              <w:rPr>
                <w:sz w:val="11"/>
                <w:szCs w:val="11"/>
                <w:color w:val="auto"/>
              </w:rPr>
            </w:pPr>
          </w:p>
        </w:tc>
        <w:tc>
          <w:tcPr>
            <w:tcW w:w="56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40" w:type="dxa"/>
            <w:vAlign w:val="bottom"/>
            <w:shd w:val="clear" w:color="auto" w:fill="EBFEFF"/>
          </w:tcPr>
          <w:p>
            <w:pPr>
              <w:spacing w:after="0"/>
              <w:rPr>
                <w:sz w:val="11"/>
                <w:szCs w:val="11"/>
                <w:color w:val="auto"/>
              </w:rPr>
            </w:pPr>
          </w:p>
        </w:tc>
        <w:tc>
          <w:tcPr>
            <w:tcW w:w="62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96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60" w:type="dxa"/>
            <w:vAlign w:val="bottom"/>
            <w:shd w:val="clear" w:color="auto" w:fill="EBFEFF"/>
          </w:tcPr>
          <w:p>
            <w:pPr>
              <w:spacing w:after="0"/>
              <w:rPr>
                <w:sz w:val="11"/>
                <w:szCs w:val="11"/>
                <w:color w:val="auto"/>
              </w:rPr>
            </w:pPr>
          </w:p>
        </w:tc>
        <w:tc>
          <w:tcPr>
            <w:tcW w:w="82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20" w:type="dxa"/>
            <w:vAlign w:val="bottom"/>
            <w:shd w:val="clear" w:color="auto" w:fill="EBFEFF"/>
          </w:tcPr>
          <w:p>
            <w:pPr>
              <w:spacing w:after="0"/>
              <w:rPr>
                <w:sz w:val="11"/>
                <w:szCs w:val="11"/>
                <w:color w:val="auto"/>
              </w:rPr>
            </w:pPr>
          </w:p>
        </w:tc>
        <w:tc>
          <w:tcPr>
            <w:tcW w:w="660" w:type="dxa"/>
            <w:vAlign w:val="bottom"/>
            <w:shd w:val="clear" w:color="auto" w:fill="EBF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3"/>
                <w:szCs w:val="13"/>
                <w:color w:val="auto"/>
              </w:rPr>
              <w:t>funded warrants, net offering costs</w:t>
            </w:r>
          </w:p>
        </w:tc>
        <w:tc>
          <w:tcPr>
            <w:tcW w:w="100" w:type="dxa"/>
            <w:vAlign w:val="bottom"/>
            <w:shd w:val="clear" w:color="auto" w:fill="EBFEFF"/>
          </w:tcPr>
          <w:p>
            <w:pPr>
              <w:spacing w:after="0"/>
              <w:rPr>
                <w:sz w:val="16"/>
                <w:szCs w:val="16"/>
                <w:color w:val="auto"/>
              </w:rPr>
            </w:pPr>
          </w:p>
        </w:tc>
        <w:tc>
          <w:tcPr>
            <w:tcW w:w="860" w:type="dxa"/>
            <w:vAlign w:val="bottom"/>
            <w:tcBorders>
              <w:right w:val="single" w:sz="8" w:color="auto"/>
            </w:tcBorders>
            <w:gridSpan w:val="2"/>
            <w:shd w:val="clear" w:color="auto" w:fill="EBF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EBFEFF"/>
          </w:tcPr>
          <w:p>
            <w:pPr>
              <w:spacing w:after="0"/>
              <w:rPr>
                <w:sz w:val="16"/>
                <w:szCs w:val="16"/>
                <w:color w:val="auto"/>
              </w:rPr>
            </w:pPr>
          </w:p>
        </w:tc>
        <w:tc>
          <w:tcPr>
            <w:tcW w:w="6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3"/>
                <w:szCs w:val="13"/>
                <w:color w:val="auto"/>
              </w:rPr>
              <w:t>347,884</w:t>
            </w:r>
          </w:p>
        </w:tc>
        <w:tc>
          <w:tcPr>
            <w:tcW w:w="80" w:type="dxa"/>
            <w:vAlign w:val="bottom"/>
            <w:shd w:val="clear" w:color="auto" w:fill="EBFEFF"/>
          </w:tcPr>
          <w:p>
            <w:pPr>
              <w:spacing w:after="0"/>
              <w:rPr>
                <w:sz w:val="16"/>
                <w:szCs w:val="16"/>
                <w:color w:val="auto"/>
              </w:rPr>
            </w:pPr>
          </w:p>
        </w:tc>
        <w:tc>
          <w:tcPr>
            <w:tcW w:w="100" w:type="dxa"/>
            <w:vAlign w:val="bottom"/>
            <w:shd w:val="clear" w:color="auto" w:fill="EBFEFF"/>
          </w:tcPr>
          <w:p>
            <w:pPr>
              <w:spacing w:after="0"/>
              <w:rPr>
                <w:sz w:val="16"/>
                <w:szCs w:val="16"/>
                <w:color w:val="auto"/>
              </w:rPr>
            </w:pPr>
          </w:p>
        </w:tc>
        <w:tc>
          <w:tcPr>
            <w:tcW w:w="5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EBFEFF"/>
          </w:tcPr>
          <w:p>
            <w:pPr>
              <w:spacing w:after="0"/>
              <w:rPr>
                <w:sz w:val="16"/>
                <w:szCs w:val="16"/>
                <w:color w:val="auto"/>
              </w:rPr>
            </w:pPr>
          </w:p>
        </w:tc>
        <w:tc>
          <w:tcPr>
            <w:tcW w:w="74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BFEFF"/>
          </w:tcPr>
          <w:p>
            <w:pPr>
              <w:spacing w:after="0"/>
              <w:rPr>
                <w:sz w:val="16"/>
                <w:szCs w:val="16"/>
                <w:color w:val="auto"/>
              </w:rPr>
            </w:pPr>
          </w:p>
        </w:tc>
        <w:tc>
          <w:tcPr>
            <w:tcW w:w="62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BFEFF"/>
          </w:tcPr>
          <w:p>
            <w:pPr>
              <w:spacing w:after="0"/>
              <w:rPr>
                <w:sz w:val="16"/>
                <w:szCs w:val="16"/>
                <w:color w:val="auto"/>
              </w:rPr>
            </w:pPr>
          </w:p>
        </w:tc>
        <w:tc>
          <w:tcPr>
            <w:tcW w:w="5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3"/>
                <w:szCs w:val="13"/>
                <w:color w:val="auto"/>
              </w:rPr>
              <w:t>50,332</w:t>
            </w:r>
          </w:p>
        </w:tc>
        <w:tc>
          <w:tcPr>
            <w:tcW w:w="80" w:type="dxa"/>
            <w:vAlign w:val="bottom"/>
            <w:shd w:val="clear" w:color="auto" w:fill="EBFEFF"/>
          </w:tcPr>
          <w:p>
            <w:pPr>
              <w:spacing w:after="0"/>
              <w:rPr>
                <w:sz w:val="16"/>
                <w:szCs w:val="16"/>
                <w:color w:val="auto"/>
              </w:rPr>
            </w:pPr>
          </w:p>
        </w:tc>
        <w:tc>
          <w:tcPr>
            <w:tcW w:w="140" w:type="dxa"/>
            <w:vAlign w:val="bottom"/>
            <w:shd w:val="clear" w:color="auto" w:fill="EBFEFF"/>
          </w:tcPr>
          <w:p>
            <w:pPr>
              <w:spacing w:after="0"/>
              <w:rPr>
                <w:sz w:val="16"/>
                <w:szCs w:val="16"/>
                <w:color w:val="auto"/>
              </w:rPr>
            </w:pPr>
          </w:p>
        </w:tc>
        <w:tc>
          <w:tcPr>
            <w:tcW w:w="700" w:type="dxa"/>
            <w:vAlign w:val="bottom"/>
            <w:gridSpan w:val="2"/>
            <w:shd w:val="clear" w:color="auto" w:fill="EBF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EBFEFF"/>
          </w:tcPr>
          <w:p>
            <w:pPr>
              <w:spacing w:after="0"/>
              <w:rPr>
                <w:sz w:val="16"/>
                <w:szCs w:val="16"/>
                <w:color w:val="auto"/>
              </w:rPr>
            </w:pPr>
          </w:p>
        </w:tc>
        <w:tc>
          <w:tcPr>
            <w:tcW w:w="9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3"/>
                <w:szCs w:val="13"/>
                <w:color w:val="auto"/>
              </w:rPr>
              <w:t>50,335</w:t>
            </w:r>
          </w:p>
        </w:tc>
        <w:tc>
          <w:tcPr>
            <w:tcW w:w="80" w:type="dxa"/>
            <w:vAlign w:val="bottom"/>
            <w:shd w:val="clear" w:color="auto" w:fill="EBFEFF"/>
          </w:tcPr>
          <w:p>
            <w:pPr>
              <w:spacing w:after="0"/>
              <w:rPr>
                <w:sz w:val="16"/>
                <w:szCs w:val="16"/>
                <w:color w:val="auto"/>
              </w:rPr>
            </w:pPr>
          </w:p>
        </w:tc>
        <w:tc>
          <w:tcPr>
            <w:tcW w:w="160" w:type="dxa"/>
            <w:vAlign w:val="bottom"/>
            <w:shd w:val="clear" w:color="auto" w:fill="EBFEFF"/>
          </w:tcPr>
          <w:p>
            <w:pPr>
              <w:spacing w:after="0"/>
              <w:rPr>
                <w:sz w:val="16"/>
                <w:szCs w:val="16"/>
                <w:color w:val="auto"/>
              </w:rPr>
            </w:pPr>
          </w:p>
        </w:tc>
        <w:tc>
          <w:tcPr>
            <w:tcW w:w="90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BFEFF"/>
          </w:tcPr>
          <w:p>
            <w:pPr>
              <w:spacing w:after="0"/>
              <w:rPr>
                <w:sz w:val="16"/>
                <w:szCs w:val="16"/>
                <w:color w:val="auto"/>
              </w:rPr>
            </w:pPr>
          </w:p>
        </w:tc>
        <w:tc>
          <w:tcPr>
            <w:tcW w:w="6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3"/>
                <w:szCs w:val="13"/>
                <w:color w:val="auto"/>
              </w:rPr>
              <w:t>50,335</w:t>
            </w:r>
          </w:p>
        </w:tc>
        <w:tc>
          <w:tcPr>
            <w:tcW w:w="0" w:type="dxa"/>
            <w:vAlign w:val="bottom"/>
          </w:tcPr>
          <w:p>
            <w:pPr>
              <w:spacing w:after="0"/>
              <w:rPr>
                <w:sz w:val="1"/>
                <w:szCs w:val="1"/>
                <w:color w:val="auto"/>
              </w:rPr>
            </w:pPr>
          </w:p>
        </w:tc>
      </w:tr>
      <w:tr>
        <w:trPr>
          <w:trHeight w:val="122"/>
        </w:trPr>
        <w:tc>
          <w:tcPr>
            <w:tcW w:w="2500" w:type="dxa"/>
            <w:vAlign w:val="bottom"/>
          </w:tcPr>
          <w:p>
            <w:pPr>
              <w:ind w:left="260"/>
              <w:spacing w:after="0" w:line="122" w:lineRule="exact"/>
              <w:rPr>
                <w:sz w:val="20"/>
                <w:szCs w:val="20"/>
                <w:color w:val="auto"/>
              </w:rPr>
            </w:pPr>
            <w:r>
              <w:rPr>
                <w:rFonts w:ascii="Times New Roman" w:cs="Times New Roman" w:eastAsia="Times New Roman" w:hAnsi="Times New Roman"/>
                <w:sz w:val="13"/>
                <w:szCs w:val="13"/>
                <w:color w:val="auto"/>
              </w:rPr>
              <w:t>Issuance of Class A Common Stock under</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ATM offering</w:t>
            </w:r>
          </w:p>
        </w:tc>
        <w:tc>
          <w:tcPr>
            <w:tcW w:w="10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2,463</w:t>
            </w:r>
          </w:p>
        </w:tc>
        <w:tc>
          <w:tcPr>
            <w:tcW w:w="0" w:type="dxa"/>
            <w:vAlign w:val="bottom"/>
          </w:tcPr>
          <w:p>
            <w:pPr>
              <w:spacing w:after="0"/>
              <w:rPr>
                <w:sz w:val="1"/>
                <w:szCs w:val="1"/>
                <w:color w:val="auto"/>
              </w:rPr>
            </w:pPr>
          </w:p>
        </w:tc>
      </w:tr>
      <w:tr>
        <w:trPr>
          <w:trHeight w:val="129"/>
        </w:trPr>
        <w:tc>
          <w:tcPr>
            <w:tcW w:w="2500" w:type="dxa"/>
            <w:vAlign w:val="bottom"/>
            <w:shd w:val="clear" w:color="auto" w:fill="EBFEFF"/>
          </w:tcPr>
          <w:p>
            <w:pPr>
              <w:ind w:left="260"/>
              <w:spacing w:after="0" w:line="129" w:lineRule="exact"/>
              <w:rPr>
                <w:sz w:val="20"/>
                <w:szCs w:val="20"/>
                <w:color w:val="auto"/>
              </w:rPr>
            </w:pPr>
            <w:r>
              <w:rPr>
                <w:rFonts w:ascii="Times New Roman" w:cs="Times New Roman" w:eastAsia="Times New Roman" w:hAnsi="Times New Roman"/>
                <w:sz w:val="13"/>
                <w:szCs w:val="13"/>
                <w:color w:val="auto"/>
              </w:rPr>
              <w:t>Net loss attributable to noncontrolling</w:t>
            </w:r>
          </w:p>
        </w:tc>
        <w:tc>
          <w:tcPr>
            <w:tcW w:w="100" w:type="dxa"/>
            <w:vAlign w:val="bottom"/>
            <w:shd w:val="clear" w:color="auto" w:fill="EBFEFF"/>
          </w:tcPr>
          <w:p>
            <w:pPr>
              <w:spacing w:after="0"/>
              <w:rPr>
                <w:sz w:val="11"/>
                <w:szCs w:val="11"/>
                <w:color w:val="auto"/>
              </w:rPr>
            </w:pPr>
          </w:p>
        </w:tc>
        <w:tc>
          <w:tcPr>
            <w:tcW w:w="760" w:type="dxa"/>
            <w:vAlign w:val="bottom"/>
            <w:shd w:val="clear" w:color="auto" w:fill="EBFEFF"/>
          </w:tcPr>
          <w:p>
            <w:pPr>
              <w:spacing w:after="0"/>
              <w:rPr>
                <w:sz w:val="11"/>
                <w:szCs w:val="11"/>
                <w:color w:val="auto"/>
              </w:rPr>
            </w:pPr>
          </w:p>
        </w:tc>
        <w:tc>
          <w:tcPr>
            <w:tcW w:w="100" w:type="dxa"/>
            <w:vAlign w:val="bottom"/>
            <w:tcBorders>
              <w:right w:val="single" w:sz="8" w:color="auto"/>
            </w:tcBorders>
            <w:shd w:val="clear" w:color="auto" w:fill="EBFEFF"/>
          </w:tcPr>
          <w:p>
            <w:pPr>
              <w:spacing w:after="0"/>
              <w:rPr>
                <w:sz w:val="11"/>
                <w:szCs w:val="11"/>
                <w:color w:val="auto"/>
              </w:rPr>
            </w:pPr>
          </w:p>
        </w:tc>
        <w:tc>
          <w:tcPr>
            <w:tcW w:w="60" w:type="dxa"/>
            <w:vAlign w:val="bottom"/>
            <w:shd w:val="clear" w:color="auto" w:fill="EBFEFF"/>
          </w:tcPr>
          <w:p>
            <w:pPr>
              <w:spacing w:after="0"/>
              <w:rPr>
                <w:sz w:val="11"/>
                <w:szCs w:val="11"/>
                <w:color w:val="auto"/>
              </w:rPr>
            </w:pPr>
          </w:p>
        </w:tc>
        <w:tc>
          <w:tcPr>
            <w:tcW w:w="66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00" w:type="dxa"/>
            <w:vAlign w:val="bottom"/>
            <w:shd w:val="clear" w:color="auto" w:fill="EBFEFF"/>
          </w:tcPr>
          <w:p>
            <w:pPr>
              <w:spacing w:after="0"/>
              <w:rPr>
                <w:sz w:val="11"/>
                <w:szCs w:val="11"/>
                <w:color w:val="auto"/>
              </w:rPr>
            </w:pPr>
          </w:p>
        </w:tc>
        <w:tc>
          <w:tcPr>
            <w:tcW w:w="54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66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00" w:type="dxa"/>
            <w:vAlign w:val="bottom"/>
            <w:shd w:val="clear" w:color="auto" w:fill="EBFEFF"/>
          </w:tcPr>
          <w:p>
            <w:pPr>
              <w:spacing w:after="0"/>
              <w:rPr>
                <w:sz w:val="11"/>
                <w:szCs w:val="11"/>
                <w:color w:val="auto"/>
              </w:rPr>
            </w:pPr>
          </w:p>
        </w:tc>
        <w:tc>
          <w:tcPr>
            <w:tcW w:w="54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20" w:type="dxa"/>
            <w:vAlign w:val="bottom"/>
            <w:shd w:val="clear" w:color="auto" w:fill="EBFEFF"/>
          </w:tcPr>
          <w:p>
            <w:pPr>
              <w:spacing w:after="0"/>
              <w:rPr>
                <w:sz w:val="11"/>
                <w:szCs w:val="11"/>
                <w:color w:val="auto"/>
              </w:rPr>
            </w:pPr>
          </w:p>
        </w:tc>
        <w:tc>
          <w:tcPr>
            <w:tcW w:w="56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40" w:type="dxa"/>
            <w:vAlign w:val="bottom"/>
            <w:shd w:val="clear" w:color="auto" w:fill="EBFEFF"/>
          </w:tcPr>
          <w:p>
            <w:pPr>
              <w:spacing w:after="0"/>
              <w:rPr>
                <w:sz w:val="11"/>
                <w:szCs w:val="11"/>
                <w:color w:val="auto"/>
              </w:rPr>
            </w:pPr>
          </w:p>
        </w:tc>
        <w:tc>
          <w:tcPr>
            <w:tcW w:w="62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96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60" w:type="dxa"/>
            <w:vAlign w:val="bottom"/>
            <w:shd w:val="clear" w:color="auto" w:fill="EBFEFF"/>
          </w:tcPr>
          <w:p>
            <w:pPr>
              <w:spacing w:after="0"/>
              <w:rPr>
                <w:sz w:val="11"/>
                <w:szCs w:val="11"/>
                <w:color w:val="auto"/>
              </w:rPr>
            </w:pPr>
          </w:p>
        </w:tc>
        <w:tc>
          <w:tcPr>
            <w:tcW w:w="820" w:type="dxa"/>
            <w:vAlign w:val="bottom"/>
            <w:shd w:val="clear" w:color="auto" w:fill="EBFEFF"/>
          </w:tcPr>
          <w:p>
            <w:pPr>
              <w:spacing w:after="0"/>
              <w:rPr>
                <w:sz w:val="11"/>
                <w:szCs w:val="11"/>
                <w:color w:val="auto"/>
              </w:rPr>
            </w:pPr>
          </w:p>
        </w:tc>
        <w:tc>
          <w:tcPr>
            <w:tcW w:w="80" w:type="dxa"/>
            <w:vAlign w:val="bottom"/>
            <w:shd w:val="clear" w:color="auto" w:fill="EBFEFF"/>
          </w:tcPr>
          <w:p>
            <w:pPr>
              <w:spacing w:after="0"/>
              <w:rPr>
                <w:sz w:val="11"/>
                <w:szCs w:val="11"/>
                <w:color w:val="auto"/>
              </w:rPr>
            </w:pPr>
          </w:p>
        </w:tc>
        <w:tc>
          <w:tcPr>
            <w:tcW w:w="120" w:type="dxa"/>
            <w:vAlign w:val="bottom"/>
            <w:shd w:val="clear" w:color="auto" w:fill="EBFEFF"/>
          </w:tcPr>
          <w:p>
            <w:pPr>
              <w:spacing w:after="0"/>
              <w:rPr>
                <w:sz w:val="11"/>
                <w:szCs w:val="11"/>
                <w:color w:val="auto"/>
              </w:rPr>
            </w:pPr>
          </w:p>
        </w:tc>
        <w:tc>
          <w:tcPr>
            <w:tcW w:w="660" w:type="dxa"/>
            <w:vAlign w:val="bottom"/>
            <w:shd w:val="clear" w:color="auto" w:fill="EBF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EBFEFF"/>
          </w:tcPr>
          <w:p>
            <w:pPr>
              <w:ind w:left="360"/>
              <w:spacing w:after="0"/>
              <w:rPr>
                <w:sz w:val="20"/>
                <w:szCs w:val="20"/>
                <w:color w:val="auto"/>
              </w:rPr>
            </w:pPr>
            <w:r>
              <w:rPr>
                <w:rFonts w:ascii="Times New Roman" w:cs="Times New Roman" w:eastAsia="Times New Roman" w:hAnsi="Times New Roman"/>
                <w:sz w:val="13"/>
                <w:szCs w:val="13"/>
                <w:color w:val="auto"/>
              </w:rPr>
              <w:t>interest</w:t>
            </w:r>
          </w:p>
        </w:tc>
        <w:tc>
          <w:tcPr>
            <w:tcW w:w="100" w:type="dxa"/>
            <w:vAlign w:val="bottom"/>
            <w:shd w:val="clear" w:color="auto" w:fill="EBFEFF"/>
          </w:tcPr>
          <w:p>
            <w:pPr>
              <w:spacing w:after="0"/>
              <w:rPr>
                <w:sz w:val="16"/>
                <w:szCs w:val="16"/>
                <w:color w:val="auto"/>
              </w:rPr>
            </w:pPr>
          </w:p>
        </w:tc>
        <w:tc>
          <w:tcPr>
            <w:tcW w:w="860" w:type="dxa"/>
            <w:vAlign w:val="bottom"/>
            <w:tcBorders>
              <w:right w:val="single" w:sz="8" w:color="auto"/>
            </w:tcBorders>
            <w:gridSpan w:val="2"/>
            <w:shd w:val="clear" w:color="auto" w:fill="EBF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EBFEFF"/>
          </w:tcPr>
          <w:p>
            <w:pPr>
              <w:spacing w:after="0"/>
              <w:rPr>
                <w:sz w:val="16"/>
                <w:szCs w:val="16"/>
                <w:color w:val="auto"/>
              </w:rPr>
            </w:pPr>
          </w:p>
        </w:tc>
        <w:tc>
          <w:tcPr>
            <w:tcW w:w="74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BFEFF"/>
          </w:tcPr>
          <w:p>
            <w:pPr>
              <w:spacing w:after="0"/>
              <w:rPr>
                <w:sz w:val="16"/>
                <w:szCs w:val="16"/>
                <w:color w:val="auto"/>
              </w:rPr>
            </w:pPr>
          </w:p>
        </w:tc>
        <w:tc>
          <w:tcPr>
            <w:tcW w:w="620" w:type="dxa"/>
            <w:vAlign w:val="bottom"/>
            <w:gridSpan w:val="2"/>
            <w:shd w:val="clear" w:color="auto" w:fill="EBF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BFEFF"/>
          </w:tcPr>
          <w:p>
            <w:pPr>
              <w:spacing w:after="0"/>
              <w:rPr>
                <w:sz w:val="16"/>
                <w:szCs w:val="16"/>
                <w:color w:val="auto"/>
              </w:rPr>
            </w:pPr>
          </w:p>
        </w:tc>
        <w:tc>
          <w:tcPr>
            <w:tcW w:w="62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BFEFF"/>
          </w:tcPr>
          <w:p>
            <w:pPr>
              <w:spacing w:after="0"/>
              <w:rPr>
                <w:sz w:val="16"/>
                <w:szCs w:val="16"/>
                <w:color w:val="auto"/>
              </w:rPr>
            </w:pPr>
          </w:p>
        </w:tc>
        <w:tc>
          <w:tcPr>
            <w:tcW w:w="64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EBFEFF"/>
          </w:tcPr>
          <w:p>
            <w:pPr>
              <w:spacing w:after="0"/>
              <w:rPr>
                <w:sz w:val="16"/>
                <w:szCs w:val="16"/>
                <w:color w:val="auto"/>
              </w:rPr>
            </w:pPr>
          </w:p>
        </w:tc>
        <w:tc>
          <w:tcPr>
            <w:tcW w:w="700" w:type="dxa"/>
            <w:vAlign w:val="bottom"/>
            <w:gridSpan w:val="2"/>
            <w:shd w:val="clear" w:color="auto" w:fill="EBF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EBFEFF"/>
          </w:tcPr>
          <w:p>
            <w:pPr>
              <w:spacing w:after="0"/>
              <w:rPr>
                <w:sz w:val="16"/>
                <w:szCs w:val="16"/>
                <w:color w:val="auto"/>
              </w:rPr>
            </w:pPr>
          </w:p>
        </w:tc>
        <w:tc>
          <w:tcPr>
            <w:tcW w:w="104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EBFEFF"/>
          </w:tcPr>
          <w:p>
            <w:pPr>
              <w:spacing w:after="0"/>
              <w:rPr>
                <w:sz w:val="16"/>
                <w:szCs w:val="16"/>
                <w:color w:val="auto"/>
              </w:rPr>
            </w:pPr>
          </w:p>
        </w:tc>
        <w:tc>
          <w:tcPr>
            <w:tcW w:w="8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80" w:type="dxa"/>
            <w:vAlign w:val="bottom"/>
            <w:shd w:val="clear" w:color="auto" w:fill="EBFEFF"/>
          </w:tcPr>
          <w:p>
            <w:pPr>
              <w:spacing w:after="0"/>
              <w:rPr>
                <w:sz w:val="16"/>
                <w:szCs w:val="16"/>
                <w:color w:val="auto"/>
              </w:rPr>
            </w:pPr>
          </w:p>
        </w:tc>
        <w:tc>
          <w:tcPr>
            <w:tcW w:w="120" w:type="dxa"/>
            <w:vAlign w:val="bottom"/>
            <w:shd w:val="clear" w:color="auto" w:fill="EBFEFF"/>
          </w:tcPr>
          <w:p>
            <w:pPr>
              <w:spacing w:after="0"/>
              <w:rPr>
                <w:sz w:val="16"/>
                <w:szCs w:val="16"/>
                <w:color w:val="auto"/>
              </w:rPr>
            </w:pPr>
          </w:p>
        </w:tc>
        <w:tc>
          <w:tcPr>
            <w:tcW w:w="6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0" w:type="dxa"/>
            <w:vAlign w:val="bottom"/>
          </w:tcPr>
          <w:p>
            <w:pPr>
              <w:spacing w:after="0"/>
              <w:rPr>
                <w:sz w:val="1"/>
                <w:szCs w:val="1"/>
                <w:color w:val="auto"/>
              </w:rPr>
            </w:pPr>
          </w:p>
        </w:tc>
      </w:tr>
      <w:tr>
        <w:trPr>
          <w:trHeight w:val="209"/>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September 30, 2024</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2,612,257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w:t>
            </w: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577,349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311,060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(296,084)</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15,008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2,905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17,913</w:t>
            </w:r>
          </w:p>
        </w:tc>
        <w:tc>
          <w:tcPr>
            <w:tcW w:w="0" w:type="dxa"/>
            <w:vAlign w:val="bottom"/>
          </w:tcPr>
          <w:p>
            <w:pPr>
              <w:spacing w:after="0"/>
              <w:rPr>
                <w:sz w:val="1"/>
                <w:szCs w:val="1"/>
                <w:color w:val="auto"/>
              </w:rPr>
            </w:pPr>
          </w:p>
        </w:tc>
      </w:tr>
      <w:tr>
        <w:trPr>
          <w:trHeight w:val="88"/>
        </w:trPr>
        <w:tc>
          <w:tcPr>
            <w:tcW w:w="2500" w:type="dxa"/>
            <w:vAlign w:val="bottom"/>
          </w:tcPr>
          <w:p>
            <w:pPr>
              <w:ind w:left="240"/>
              <w:spacing w:after="0" w:line="89" w:lineRule="exact"/>
              <w:rPr>
                <w:sz w:val="20"/>
                <w:szCs w:val="20"/>
                <w:color w:val="auto"/>
              </w:rPr>
            </w:pPr>
            <w:r>
              <w:rPr>
                <w:rFonts w:ascii="Times New Roman" w:cs="Times New Roman" w:eastAsia="Times New Roman" w:hAnsi="Times New Roman"/>
                <w:sz w:val="10"/>
                <w:szCs w:val="10"/>
                <w:color w:val="auto"/>
              </w:rPr>
              <w:t>(*) Allocation of NCI net loss was a result</w:t>
            </w: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500" w:type="dxa"/>
            <w:vAlign w:val="bottom"/>
          </w:tcPr>
          <w:p>
            <w:pPr>
              <w:ind w:left="240"/>
              <w:spacing w:after="0" w:line="144" w:lineRule="exact"/>
              <w:rPr>
                <w:sz w:val="20"/>
                <w:szCs w:val="20"/>
                <w:color w:val="auto"/>
              </w:rPr>
            </w:pPr>
            <w:r>
              <w:rPr>
                <w:rFonts w:ascii="Times New Roman" w:cs="Times New Roman" w:eastAsia="Times New Roman" w:hAnsi="Times New Roman"/>
                <w:sz w:val="13"/>
                <w:szCs w:val="13"/>
                <w:color w:val="auto"/>
              </w:rPr>
              <w:t>from the reclassification to permanent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6978015"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78015" cy="27432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3"/>
          <w:szCs w:val="13"/>
          <w:color w:val="auto"/>
        </w:rPr>
        <w:t>equity on February 27, 2024 (See Note 7)</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 2023</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auto"/>
              <w:righ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800" w:type="dxa"/>
            <w:vAlign w:val="bottom"/>
            <w:tcBorders>
              <w:top w:val="single" w:sz="8" w:color="auto"/>
            </w:tcBorders>
            <w:gridSpan w:val="3"/>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Borders>
              <w:right w:val="single" w:sz="8" w:color="auto"/>
            </w:tcBorders>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Redeemable</w:t>
            </w:r>
          </w:p>
        </w:tc>
        <w:tc>
          <w:tcPr>
            <w:tcW w:w="6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9"/>
                <w:szCs w:val="9"/>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9"/>
                <w:szCs w:val="9"/>
                <w:color w:val="auto"/>
              </w:rPr>
            </w:pPr>
          </w:p>
        </w:tc>
        <w:tc>
          <w:tcPr>
            <w:tcW w:w="860" w:type="dxa"/>
            <w:vAlign w:val="bottom"/>
          </w:tcPr>
          <w:p>
            <w:pPr>
              <w:jc w:val="center"/>
              <w:ind w:right="38"/>
              <w:spacing w:after="0" w:line="108"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960" w:type="dxa"/>
            <w:vAlign w:val="bottom"/>
            <w:tcBorders>
              <w:right w:val="single" w:sz="8" w:color="auto"/>
            </w:tcBorders>
            <w:gridSpan w:val="3"/>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18"/>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83"/>
        </w:trPr>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60" w:type="dxa"/>
            <w:vAlign w:val="bottom"/>
          </w:tcPr>
          <w:p>
            <w:pPr>
              <w:spacing w:after="0"/>
              <w:rPr>
                <w:sz w:val="15"/>
                <w:szCs w:val="15"/>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5"/>
                <w:szCs w:val="15"/>
                <w:color w:val="auto"/>
              </w:rPr>
            </w:pPr>
          </w:p>
        </w:tc>
        <w:tc>
          <w:tcPr>
            <w:tcW w:w="86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89"/>
        </w:trPr>
        <w:tc>
          <w:tcPr>
            <w:tcW w:w="2820" w:type="dxa"/>
            <w:vAlign w:val="bottom"/>
            <w:tcBorders>
              <w:top w:val="single" w:sz="8" w:color="EBFEFF"/>
            </w:tcBorders>
            <w:shd w:val="clear" w:color="auto" w:fill="EBF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2022</w:t>
            </w:r>
          </w:p>
        </w:tc>
        <w:tc>
          <w:tcPr>
            <w:tcW w:w="100" w:type="dxa"/>
            <w:vAlign w:val="bottom"/>
            <w:tcBorders>
              <w:top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16,579</w:t>
            </w:r>
          </w:p>
        </w:tc>
        <w:tc>
          <w:tcPr>
            <w:tcW w:w="100" w:type="dxa"/>
            <w:vAlign w:val="bottom"/>
            <w:tcBorders>
              <w:top w:val="single" w:sz="8" w:color="EBFEFF"/>
              <w:right w:val="single" w:sz="8" w:color="auto"/>
            </w:tcBorders>
            <w:shd w:val="clear" w:color="auto" w:fill="EBFEFF"/>
          </w:tcPr>
          <w:p>
            <w:pPr>
              <w:spacing w:after="0"/>
              <w:rPr>
                <w:sz w:val="16"/>
                <w:szCs w:val="16"/>
                <w:color w:val="auto"/>
              </w:rPr>
            </w:pPr>
          </w:p>
        </w:tc>
        <w:tc>
          <w:tcPr>
            <w:tcW w:w="60" w:type="dxa"/>
            <w:vAlign w:val="bottom"/>
            <w:tcBorders>
              <w:top w:val="single" w:sz="8" w:color="EBFEFF"/>
            </w:tcBorders>
            <w:shd w:val="clear" w:color="auto" w:fill="EBFEFF"/>
          </w:tcPr>
          <w:p>
            <w:pPr>
              <w:spacing w:after="0"/>
              <w:rPr>
                <w:sz w:val="16"/>
                <w:szCs w:val="16"/>
                <w:color w:val="auto"/>
              </w:rPr>
            </w:pPr>
          </w:p>
        </w:tc>
        <w:tc>
          <w:tcPr>
            <w:tcW w:w="94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2,084,973</w:t>
            </w:r>
          </w:p>
        </w:tc>
        <w:tc>
          <w:tcPr>
            <w:tcW w:w="80" w:type="dxa"/>
            <w:vAlign w:val="bottom"/>
            <w:tcBorders>
              <w:top w:val="single" w:sz="8" w:color="EBFEFF"/>
            </w:tcBorders>
            <w:shd w:val="clear" w:color="auto" w:fill="EBFEFF"/>
          </w:tcPr>
          <w:p>
            <w:pPr>
              <w:spacing w:after="0"/>
              <w:rPr>
                <w:sz w:val="16"/>
                <w:szCs w:val="16"/>
                <w:color w:val="auto"/>
              </w:rPr>
            </w:pPr>
          </w:p>
        </w:tc>
        <w:tc>
          <w:tcPr>
            <w:tcW w:w="14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21</w:t>
            </w:r>
          </w:p>
        </w:tc>
        <w:tc>
          <w:tcPr>
            <w:tcW w:w="80" w:type="dxa"/>
            <w:vAlign w:val="bottom"/>
            <w:tcBorders>
              <w:top w:val="single" w:sz="8" w:color="EBFEFF"/>
            </w:tcBorders>
            <w:shd w:val="clear" w:color="auto" w:fill="EBFEFF"/>
          </w:tcPr>
          <w:p>
            <w:pPr>
              <w:spacing w:after="0"/>
              <w:rPr>
                <w:sz w:val="16"/>
                <w:szCs w:val="16"/>
                <w:color w:val="auto"/>
              </w:rPr>
            </w:pPr>
          </w:p>
        </w:tc>
        <w:tc>
          <w:tcPr>
            <w:tcW w:w="94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577,349</w:t>
            </w:r>
          </w:p>
        </w:tc>
        <w:tc>
          <w:tcPr>
            <w:tcW w:w="80" w:type="dxa"/>
            <w:vAlign w:val="bottom"/>
            <w:tcBorders>
              <w:top w:val="single" w:sz="8" w:color="EBFEFF"/>
            </w:tcBorders>
            <w:shd w:val="clear" w:color="auto" w:fill="EBFEFF"/>
          </w:tcPr>
          <w:p>
            <w:pPr>
              <w:spacing w:after="0"/>
              <w:rPr>
                <w:sz w:val="16"/>
                <w:szCs w:val="16"/>
                <w:color w:val="auto"/>
              </w:rPr>
            </w:pPr>
          </w:p>
        </w:tc>
        <w:tc>
          <w:tcPr>
            <w:tcW w:w="780" w:type="dxa"/>
            <w:vAlign w:val="bottom"/>
            <w:tcBorders>
              <w:top w:val="single" w:sz="8" w:color="auto"/>
            </w:tcBorders>
            <w:shd w:val="clear" w:color="auto" w:fill="EBFEFF"/>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80" w:type="dxa"/>
            <w:vAlign w:val="bottom"/>
            <w:tcBorders>
              <w:top w:val="single" w:sz="8" w:color="EBFEFF"/>
            </w:tcBorders>
            <w:shd w:val="clear" w:color="auto" w:fill="EBFEFF"/>
          </w:tcPr>
          <w:p>
            <w:pPr>
              <w:spacing w:after="0"/>
              <w:rPr>
                <w:sz w:val="16"/>
                <w:szCs w:val="16"/>
                <w:color w:val="auto"/>
              </w:rPr>
            </w:pPr>
          </w:p>
        </w:tc>
        <w:tc>
          <w:tcPr>
            <w:tcW w:w="14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254,757</w:t>
            </w:r>
          </w:p>
        </w:tc>
        <w:tc>
          <w:tcPr>
            <w:tcW w:w="80" w:type="dxa"/>
            <w:vAlign w:val="bottom"/>
            <w:tcBorders>
              <w:top w:val="single" w:sz="8" w:color="EBFEFF"/>
            </w:tcBorders>
            <w:shd w:val="clear" w:color="auto" w:fill="EBFEFF"/>
          </w:tcPr>
          <w:p>
            <w:pPr>
              <w:spacing w:after="0"/>
              <w:rPr>
                <w:sz w:val="16"/>
                <w:szCs w:val="16"/>
                <w:color w:val="auto"/>
              </w:rPr>
            </w:pPr>
          </w:p>
        </w:tc>
        <w:tc>
          <w:tcPr>
            <w:tcW w:w="10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(265,524)</w:t>
            </w:r>
          </w:p>
        </w:tc>
        <w:tc>
          <w:tcPr>
            <w:tcW w:w="80" w:type="dxa"/>
            <w:vAlign w:val="bottom"/>
            <w:tcBorders>
              <w:top w:val="single" w:sz="8" w:color="EBFEFF"/>
            </w:tcBorders>
            <w:shd w:val="clear" w:color="auto" w:fill="EBFEFF"/>
          </w:tcPr>
          <w:p>
            <w:pPr>
              <w:spacing w:after="0"/>
              <w:rPr>
                <w:sz w:val="16"/>
                <w:szCs w:val="16"/>
                <w:color w:val="auto"/>
              </w:rPr>
            </w:pPr>
          </w:p>
        </w:tc>
        <w:tc>
          <w:tcPr>
            <w:tcW w:w="10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(10,740)</w:t>
            </w:r>
          </w:p>
        </w:tc>
        <w:tc>
          <w:tcPr>
            <w:tcW w:w="0" w:type="dxa"/>
            <w:vAlign w:val="bottom"/>
          </w:tcPr>
          <w:p>
            <w:pPr>
              <w:spacing w:after="0"/>
              <w:rPr>
                <w:sz w:val="1"/>
                <w:szCs w:val="1"/>
                <w:color w:val="auto"/>
              </w:rPr>
            </w:pPr>
          </w:p>
        </w:tc>
      </w:tr>
      <w:tr>
        <w:trPr>
          <w:trHeight w:val="170"/>
        </w:trPr>
        <w:tc>
          <w:tcPr>
            <w:tcW w:w="28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(4,753)</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(16,772)</w:t>
            </w:r>
          </w:p>
        </w:tc>
        <w:tc>
          <w:tcPr>
            <w:tcW w:w="0" w:type="dxa"/>
            <w:vAlign w:val="bottom"/>
          </w:tcPr>
          <w:p>
            <w:pPr>
              <w:spacing w:after="0"/>
              <w:rPr>
                <w:sz w:val="1"/>
                <w:szCs w:val="1"/>
                <w:color w:val="auto"/>
              </w:rPr>
            </w:pPr>
          </w:p>
        </w:tc>
      </w:tr>
      <w:tr>
        <w:trPr>
          <w:trHeight w:val="181"/>
        </w:trPr>
        <w:tc>
          <w:tcPr>
            <w:tcW w:w="282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3"/>
                <w:szCs w:val="13"/>
                <w:color w:val="auto"/>
              </w:rPr>
              <w:t>Share-based compensation</w:t>
            </w:r>
          </w:p>
        </w:tc>
        <w:tc>
          <w:tcPr>
            <w:tcW w:w="100" w:type="dxa"/>
            <w:vAlign w:val="bottom"/>
            <w:shd w:val="clear" w:color="auto" w:fill="EBFEFF"/>
          </w:tcPr>
          <w:p>
            <w:pPr>
              <w:spacing w:after="0"/>
              <w:rPr>
                <w:sz w:val="15"/>
                <w:szCs w:val="15"/>
                <w:color w:val="auto"/>
              </w:rPr>
            </w:pPr>
          </w:p>
        </w:tc>
        <w:tc>
          <w:tcPr>
            <w:tcW w:w="860" w:type="dxa"/>
            <w:vAlign w:val="bottom"/>
            <w:tcBorders>
              <w:right w:val="single" w:sz="8" w:color="auto"/>
            </w:tcBorders>
            <w:gridSpan w:val="2"/>
            <w:shd w:val="clear" w:color="auto" w:fill="EBF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EBFEFF"/>
          </w:tcPr>
          <w:p>
            <w:pPr>
              <w:spacing w:after="0"/>
              <w:rPr>
                <w:sz w:val="15"/>
                <w:szCs w:val="15"/>
                <w:color w:val="auto"/>
              </w:rPr>
            </w:pPr>
          </w:p>
        </w:tc>
        <w:tc>
          <w:tcPr>
            <w:tcW w:w="102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EBFEFF"/>
          </w:tcPr>
          <w:p>
            <w:pPr>
              <w:spacing w:after="0"/>
              <w:rPr>
                <w:sz w:val="15"/>
                <w:szCs w:val="15"/>
                <w:color w:val="auto"/>
              </w:rPr>
            </w:pPr>
          </w:p>
        </w:tc>
        <w:tc>
          <w:tcPr>
            <w:tcW w:w="90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EBFEFF"/>
          </w:tcPr>
          <w:p>
            <w:pPr>
              <w:spacing w:after="0"/>
              <w:rPr>
                <w:sz w:val="15"/>
                <w:szCs w:val="15"/>
                <w:color w:val="auto"/>
              </w:rPr>
            </w:pPr>
          </w:p>
        </w:tc>
        <w:tc>
          <w:tcPr>
            <w:tcW w:w="260" w:type="dxa"/>
            <w:vAlign w:val="bottom"/>
            <w:gridSpan w:val="2"/>
            <w:shd w:val="clear" w:color="auto" w:fill="EBFEFF"/>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shd w:val="clear" w:color="auto" w:fill="EBFEFF"/>
          </w:tcPr>
          <w:p>
            <w:pPr>
              <w:spacing w:after="0"/>
              <w:rPr>
                <w:sz w:val="15"/>
                <w:szCs w:val="15"/>
                <w:color w:val="auto"/>
              </w:rPr>
            </w:pPr>
          </w:p>
        </w:tc>
        <w:tc>
          <w:tcPr>
            <w:tcW w:w="8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3"/>
                <w:szCs w:val="13"/>
                <w:color w:val="auto"/>
              </w:rPr>
              <w:t>1,175</w:t>
            </w:r>
          </w:p>
        </w:tc>
        <w:tc>
          <w:tcPr>
            <w:tcW w:w="80" w:type="dxa"/>
            <w:vAlign w:val="bottom"/>
            <w:shd w:val="clear" w:color="auto" w:fill="EBFEFF"/>
          </w:tcPr>
          <w:p>
            <w:pPr>
              <w:spacing w:after="0"/>
              <w:rPr>
                <w:sz w:val="15"/>
                <w:szCs w:val="15"/>
                <w:color w:val="auto"/>
              </w:rPr>
            </w:pPr>
          </w:p>
        </w:tc>
        <w:tc>
          <w:tcPr>
            <w:tcW w:w="100" w:type="dxa"/>
            <w:vAlign w:val="bottom"/>
            <w:shd w:val="clear" w:color="auto" w:fill="EBFEFF"/>
          </w:tcPr>
          <w:p>
            <w:pPr>
              <w:spacing w:after="0"/>
              <w:rPr>
                <w:sz w:val="15"/>
                <w:szCs w:val="15"/>
                <w:color w:val="auto"/>
              </w:rPr>
            </w:pPr>
          </w:p>
        </w:tc>
        <w:tc>
          <w:tcPr>
            <w:tcW w:w="860" w:type="dxa"/>
            <w:vAlign w:val="bottom"/>
            <w:shd w:val="clear" w:color="auto" w:fill="EBFEFF"/>
          </w:tcPr>
          <w:p>
            <w:pPr>
              <w:spacing w:after="0"/>
              <w:rPr>
                <w:sz w:val="15"/>
                <w:szCs w:val="15"/>
                <w:color w:val="auto"/>
              </w:rPr>
            </w:pPr>
          </w:p>
        </w:tc>
        <w:tc>
          <w:tcPr>
            <w:tcW w:w="80" w:type="dxa"/>
            <w:vAlign w:val="bottom"/>
            <w:shd w:val="clear" w:color="auto" w:fill="EBFEFF"/>
          </w:tcPr>
          <w:p>
            <w:pPr>
              <w:spacing w:after="0"/>
              <w:rPr>
                <w:sz w:val="15"/>
                <w:szCs w:val="15"/>
                <w:color w:val="auto"/>
              </w:rPr>
            </w:pPr>
          </w:p>
        </w:tc>
        <w:tc>
          <w:tcPr>
            <w:tcW w:w="100" w:type="dxa"/>
            <w:vAlign w:val="bottom"/>
            <w:shd w:val="clear" w:color="auto" w:fill="EBFEFF"/>
          </w:tcPr>
          <w:p>
            <w:pPr>
              <w:spacing w:after="0"/>
              <w:rPr>
                <w:sz w:val="15"/>
                <w:szCs w:val="15"/>
                <w:color w:val="auto"/>
              </w:rPr>
            </w:pPr>
          </w:p>
        </w:tc>
        <w:tc>
          <w:tcPr>
            <w:tcW w:w="8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3"/>
                <w:szCs w:val="13"/>
                <w:color w:val="auto"/>
              </w:rPr>
              <w:t>1,175</w:t>
            </w:r>
          </w:p>
        </w:tc>
        <w:tc>
          <w:tcPr>
            <w:tcW w:w="0" w:type="dxa"/>
            <w:vAlign w:val="bottom"/>
          </w:tcPr>
          <w:p>
            <w:pPr>
              <w:spacing w:after="0"/>
              <w:rPr>
                <w:sz w:val="1"/>
                <w:szCs w:val="1"/>
                <w:color w:val="auto"/>
              </w:rPr>
            </w:pPr>
          </w:p>
        </w:tc>
      </w:tr>
      <w:tr>
        <w:trPr>
          <w:trHeight w:val="122"/>
        </w:trPr>
        <w:tc>
          <w:tcPr>
            <w:tcW w:w="2820" w:type="dxa"/>
            <w:vAlign w:val="bottom"/>
          </w:tcPr>
          <w:p>
            <w:pPr>
              <w:ind w:left="260"/>
              <w:spacing w:after="0" w:line="122" w:lineRule="exact"/>
              <w:rPr>
                <w:sz w:val="20"/>
                <w:szCs w:val="20"/>
                <w:color w:val="auto"/>
              </w:rPr>
            </w:pPr>
            <w:r>
              <w:rPr>
                <w:rFonts w:ascii="Times New Roman" w:cs="Times New Roman" w:eastAsia="Times New Roman" w:hAnsi="Times New Roman"/>
                <w:sz w:val="13"/>
                <w:szCs w:val="13"/>
                <w:color w:val="auto"/>
              </w:rPr>
              <w:t>Change in redemption value of noncontrolling</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interest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0" w:type="dxa"/>
            <w:vAlign w:val="bottom"/>
          </w:tcPr>
          <w:p>
            <w:pPr>
              <w:spacing w:after="0"/>
              <w:rPr>
                <w:sz w:val="1"/>
                <w:szCs w:val="1"/>
                <w:color w:val="auto"/>
              </w:rPr>
            </w:pPr>
          </w:p>
        </w:tc>
      </w:tr>
      <w:tr>
        <w:trPr>
          <w:trHeight w:val="200"/>
        </w:trPr>
        <w:tc>
          <w:tcPr>
            <w:tcW w:w="2820" w:type="dxa"/>
            <w:vAlign w:val="bottom"/>
            <w:tcBorders>
              <w:top w:val="single" w:sz="8" w:color="EBFEFF"/>
              <w:bottom w:val="single" w:sz="8" w:color="EBFEFF"/>
            </w:tcBorders>
            <w:shd w:val="clear" w:color="auto" w:fill="EBF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September 30, 2023</w:t>
            </w:r>
          </w:p>
        </w:tc>
        <w:tc>
          <w:tcPr>
            <w:tcW w:w="100" w:type="dxa"/>
            <w:vAlign w:val="bottom"/>
            <w:tcBorders>
              <w:top w:val="single" w:sz="8" w:color="auto"/>
              <w:bottom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10,722</w:t>
            </w:r>
          </w:p>
        </w:tc>
        <w:tc>
          <w:tcPr>
            <w:tcW w:w="100" w:type="dxa"/>
            <w:vAlign w:val="bottom"/>
            <w:tcBorders>
              <w:top w:val="single" w:sz="8" w:color="EBFEFF"/>
              <w:bottom w:val="single" w:sz="8" w:color="EBFEFF"/>
              <w:right w:val="single" w:sz="8" w:color="auto"/>
            </w:tcBorders>
            <w:shd w:val="clear" w:color="auto" w:fill="EBFEFF"/>
          </w:tcPr>
          <w:p>
            <w:pPr>
              <w:spacing w:after="0"/>
              <w:rPr>
                <w:sz w:val="17"/>
                <w:szCs w:val="17"/>
                <w:color w:val="auto"/>
              </w:rPr>
            </w:pPr>
          </w:p>
        </w:tc>
        <w:tc>
          <w:tcPr>
            <w:tcW w:w="60" w:type="dxa"/>
            <w:vAlign w:val="bottom"/>
            <w:tcBorders>
              <w:top w:val="single" w:sz="8" w:color="EBFEFF"/>
              <w:bottom w:val="single" w:sz="8" w:color="EBFEFF"/>
            </w:tcBorders>
            <w:shd w:val="clear" w:color="auto" w:fill="EBFEFF"/>
          </w:tcPr>
          <w:p>
            <w:pPr>
              <w:spacing w:after="0"/>
              <w:rPr>
                <w:sz w:val="17"/>
                <w:szCs w:val="17"/>
                <w:color w:val="auto"/>
              </w:rPr>
            </w:pPr>
          </w:p>
        </w:tc>
        <w:tc>
          <w:tcPr>
            <w:tcW w:w="94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2,084,973</w:t>
            </w:r>
          </w:p>
        </w:tc>
        <w:tc>
          <w:tcPr>
            <w:tcW w:w="80" w:type="dxa"/>
            <w:vAlign w:val="bottom"/>
            <w:tcBorders>
              <w:top w:val="single" w:sz="8" w:color="EBFEFF"/>
              <w:bottom w:val="single" w:sz="8" w:color="EBFEFF"/>
            </w:tcBorders>
            <w:shd w:val="clear" w:color="auto" w:fill="EBFEFF"/>
          </w:tcPr>
          <w:p>
            <w:pPr>
              <w:spacing w:after="0"/>
              <w:rPr>
                <w:sz w:val="17"/>
                <w:szCs w:val="17"/>
                <w:color w:val="auto"/>
              </w:rPr>
            </w:pPr>
          </w:p>
        </w:tc>
        <w:tc>
          <w:tcPr>
            <w:tcW w:w="14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21</w:t>
            </w:r>
          </w:p>
        </w:tc>
        <w:tc>
          <w:tcPr>
            <w:tcW w:w="80" w:type="dxa"/>
            <w:vAlign w:val="bottom"/>
            <w:tcBorders>
              <w:top w:val="single" w:sz="8" w:color="EBFEFF"/>
              <w:bottom w:val="single" w:sz="8" w:color="EBFEFF"/>
            </w:tcBorders>
            <w:shd w:val="clear" w:color="auto" w:fill="EBFEFF"/>
          </w:tcPr>
          <w:p>
            <w:pPr>
              <w:spacing w:after="0"/>
              <w:rPr>
                <w:sz w:val="17"/>
                <w:szCs w:val="17"/>
                <w:color w:val="auto"/>
              </w:rPr>
            </w:pPr>
          </w:p>
        </w:tc>
        <w:tc>
          <w:tcPr>
            <w:tcW w:w="94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577,349</w:t>
            </w:r>
          </w:p>
        </w:tc>
        <w:tc>
          <w:tcPr>
            <w:tcW w:w="80" w:type="dxa"/>
            <w:vAlign w:val="bottom"/>
            <w:tcBorders>
              <w:top w:val="single" w:sz="8" w:color="EBFEFF"/>
              <w:bottom w:val="single" w:sz="8" w:color="EBFEFF"/>
            </w:tcBorders>
            <w:shd w:val="clear" w:color="auto" w:fill="EBFEFF"/>
          </w:tcPr>
          <w:p>
            <w:pPr>
              <w:spacing w:after="0"/>
              <w:rPr>
                <w:sz w:val="17"/>
                <w:szCs w:val="17"/>
                <w:color w:val="auto"/>
              </w:rPr>
            </w:pPr>
          </w:p>
        </w:tc>
        <w:tc>
          <w:tcPr>
            <w:tcW w:w="780" w:type="dxa"/>
            <w:vAlign w:val="bottom"/>
            <w:tcBorders>
              <w:top w:val="single" w:sz="8" w:color="auto"/>
              <w:bottom w:val="single" w:sz="8" w:color="auto"/>
            </w:tcBorders>
            <w:shd w:val="clear" w:color="auto" w:fill="EBFEFF"/>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80" w:type="dxa"/>
            <w:vAlign w:val="bottom"/>
            <w:tcBorders>
              <w:top w:val="single" w:sz="8" w:color="EBFEFF"/>
              <w:bottom w:val="single" w:sz="8" w:color="EBFEFF"/>
            </w:tcBorders>
            <w:shd w:val="clear" w:color="auto" w:fill="EBFEFF"/>
          </w:tcPr>
          <w:p>
            <w:pPr>
              <w:spacing w:after="0"/>
              <w:rPr>
                <w:sz w:val="17"/>
                <w:szCs w:val="17"/>
                <w:color w:val="auto"/>
              </w:rPr>
            </w:pPr>
          </w:p>
        </w:tc>
        <w:tc>
          <w:tcPr>
            <w:tcW w:w="14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255,932</w:t>
            </w:r>
          </w:p>
        </w:tc>
        <w:tc>
          <w:tcPr>
            <w:tcW w:w="80" w:type="dxa"/>
            <w:vAlign w:val="bottom"/>
            <w:tcBorders>
              <w:top w:val="single" w:sz="8" w:color="EBFEFF"/>
              <w:bottom w:val="single" w:sz="8" w:color="EBFEFF"/>
            </w:tcBorders>
            <w:shd w:val="clear" w:color="auto" w:fill="EBFEFF"/>
          </w:tcPr>
          <w:p>
            <w:pPr>
              <w:spacing w:after="0"/>
              <w:rPr>
                <w:sz w:val="17"/>
                <w:szCs w:val="17"/>
                <w:color w:val="auto"/>
              </w:rPr>
            </w:pPr>
          </w:p>
        </w:tc>
        <w:tc>
          <w:tcPr>
            <w:tcW w:w="10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(281,192)</w:t>
            </w:r>
          </w:p>
        </w:tc>
        <w:tc>
          <w:tcPr>
            <w:tcW w:w="80" w:type="dxa"/>
            <w:vAlign w:val="bottom"/>
            <w:tcBorders>
              <w:top w:val="single" w:sz="8" w:color="EBFEFF"/>
              <w:bottom w:val="single" w:sz="8" w:color="EBFEFF"/>
            </w:tcBorders>
            <w:shd w:val="clear" w:color="auto" w:fill="EBFEFF"/>
          </w:tcPr>
          <w:p>
            <w:pPr>
              <w:spacing w:after="0"/>
              <w:rPr>
                <w:sz w:val="17"/>
                <w:szCs w:val="17"/>
                <w:color w:val="auto"/>
              </w:rPr>
            </w:pPr>
          </w:p>
        </w:tc>
        <w:tc>
          <w:tcPr>
            <w:tcW w:w="10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3"/>
                <w:szCs w:val="13"/>
                <w:b w:val="1"/>
                <w:bCs w:val="1"/>
                <w:color w:val="auto"/>
              </w:rPr>
              <w:t>(25,233)</w:t>
            </w:r>
          </w:p>
        </w:tc>
        <w:tc>
          <w:tcPr>
            <w:tcW w:w="0" w:type="dxa"/>
            <w:vAlign w:val="bottom"/>
          </w:tcPr>
          <w:p>
            <w:pPr>
              <w:spacing w:after="0"/>
              <w:rPr>
                <w:sz w:val="1"/>
                <w:szCs w:val="1"/>
                <w:color w:val="auto"/>
              </w:rPr>
            </w:pPr>
          </w:p>
        </w:tc>
      </w:tr>
      <w:tr>
        <w:trPr>
          <w:trHeight w:val="20"/>
        </w:trPr>
        <w:tc>
          <w:tcPr>
            <w:tcW w:w="2820" w:type="dxa"/>
            <w:vAlign w:val="bottom"/>
            <w:tcBorders>
              <w:top w:val="single" w:sz="8" w:color="EBFEFF"/>
              <w:bottom w:val="single" w:sz="8" w:color="EBF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Adjusted retroactively for reverse stock split</w:t>
            </w:r>
          </w:p>
        </w:tc>
        <w:tc>
          <w:tcPr>
            <w:tcW w:w="100" w:type="dxa"/>
            <w:vAlign w:val="bottom"/>
            <w:tcBorders>
              <w:top w:val="single" w:sz="8" w:color="EBFEFF"/>
              <w:bottom w:val="single" w:sz="8" w:color="auto"/>
            </w:tcBorders>
          </w:tcPr>
          <w:p>
            <w:pPr>
              <w:spacing w:after="0" w:line="20" w:lineRule="exact"/>
              <w:rPr>
                <w:sz w:val="1"/>
                <w:szCs w:val="1"/>
                <w:color w:val="auto"/>
              </w:rPr>
            </w:pPr>
          </w:p>
        </w:tc>
        <w:tc>
          <w:tcPr>
            <w:tcW w:w="76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60" w:type="dxa"/>
            <w:vAlign w:val="bottom"/>
            <w:tcBorders>
              <w:top w:val="single" w:sz="8" w:color="EBFEFF"/>
            </w:tcBorders>
          </w:tcPr>
          <w:p>
            <w:pPr>
              <w:spacing w:after="0" w:line="20" w:lineRule="exact"/>
              <w:rPr>
                <w:sz w:val="1"/>
                <w:szCs w:val="1"/>
                <w:color w:val="auto"/>
              </w:rPr>
            </w:pPr>
          </w:p>
        </w:tc>
        <w:tc>
          <w:tcPr>
            <w:tcW w:w="940" w:type="dxa"/>
            <w:vAlign w:val="bottom"/>
            <w:tcBorders>
              <w:top w:val="single" w:sz="8" w:color="EBFEFF"/>
              <w:bottom w:val="single" w:sz="8" w:color="auto"/>
            </w:tcBorders>
          </w:tcPr>
          <w:p>
            <w:pPr>
              <w:spacing w:after="0" w:line="20" w:lineRule="exact"/>
              <w:rPr>
                <w:sz w:val="1"/>
                <w:szCs w:val="1"/>
                <w:color w:val="auto"/>
              </w:rPr>
            </w:pPr>
          </w:p>
        </w:tc>
        <w:tc>
          <w:tcPr>
            <w:tcW w:w="80" w:type="dxa"/>
            <w:vAlign w:val="bottom"/>
            <w:tcBorders>
              <w:top w:val="single" w:sz="8" w:color="EBFEFF"/>
            </w:tcBorders>
          </w:tcPr>
          <w:p>
            <w:pPr>
              <w:spacing w:after="0" w:line="20" w:lineRule="exact"/>
              <w:rPr>
                <w:sz w:val="1"/>
                <w:szCs w:val="1"/>
                <w:color w:val="auto"/>
              </w:rPr>
            </w:pPr>
          </w:p>
        </w:tc>
        <w:tc>
          <w:tcPr>
            <w:tcW w:w="140" w:type="dxa"/>
            <w:vAlign w:val="bottom"/>
            <w:tcBorders>
              <w:top w:val="single" w:sz="8" w:color="EBFEFF"/>
              <w:bottom w:val="single" w:sz="8" w:color="auto"/>
            </w:tcBorders>
          </w:tcPr>
          <w:p>
            <w:pPr>
              <w:spacing w:after="0" w:line="20" w:lineRule="exact"/>
              <w:rPr>
                <w:sz w:val="1"/>
                <w:szCs w:val="1"/>
                <w:color w:val="auto"/>
              </w:rPr>
            </w:pPr>
          </w:p>
        </w:tc>
        <w:tc>
          <w:tcPr>
            <w:tcW w:w="820" w:type="dxa"/>
            <w:vAlign w:val="bottom"/>
            <w:tcBorders>
              <w:top w:val="single" w:sz="8" w:color="EBFEFF"/>
              <w:bottom w:val="single" w:sz="8" w:color="auto"/>
            </w:tcBorders>
          </w:tcPr>
          <w:p>
            <w:pPr>
              <w:spacing w:after="0" w:line="20" w:lineRule="exact"/>
              <w:rPr>
                <w:sz w:val="1"/>
                <w:szCs w:val="1"/>
                <w:color w:val="auto"/>
              </w:rPr>
            </w:pPr>
          </w:p>
        </w:tc>
        <w:tc>
          <w:tcPr>
            <w:tcW w:w="80" w:type="dxa"/>
            <w:vAlign w:val="bottom"/>
            <w:tcBorders>
              <w:top w:val="single" w:sz="8" w:color="EBFEFF"/>
            </w:tcBorders>
          </w:tcPr>
          <w:p>
            <w:pPr>
              <w:spacing w:after="0" w:line="20" w:lineRule="exact"/>
              <w:rPr>
                <w:sz w:val="1"/>
                <w:szCs w:val="1"/>
                <w:color w:val="auto"/>
              </w:rPr>
            </w:pPr>
          </w:p>
        </w:tc>
        <w:tc>
          <w:tcPr>
            <w:tcW w:w="940" w:type="dxa"/>
            <w:vAlign w:val="bottom"/>
            <w:tcBorders>
              <w:top w:val="single" w:sz="8" w:color="EBFEFF"/>
              <w:bottom w:val="single" w:sz="8" w:color="auto"/>
            </w:tcBorders>
          </w:tcPr>
          <w:p>
            <w:pPr>
              <w:spacing w:after="0" w:line="20" w:lineRule="exact"/>
              <w:rPr>
                <w:sz w:val="1"/>
                <w:szCs w:val="1"/>
                <w:color w:val="auto"/>
              </w:rPr>
            </w:pPr>
          </w:p>
        </w:tc>
        <w:tc>
          <w:tcPr>
            <w:tcW w:w="80" w:type="dxa"/>
            <w:vAlign w:val="bottom"/>
            <w:tcBorders>
              <w:top w:val="single" w:sz="8" w:color="EBFEFF"/>
            </w:tcBorders>
          </w:tcPr>
          <w:p>
            <w:pPr>
              <w:spacing w:after="0" w:line="20" w:lineRule="exact"/>
              <w:rPr>
                <w:sz w:val="1"/>
                <w:szCs w:val="1"/>
                <w:color w:val="auto"/>
              </w:rPr>
            </w:pPr>
          </w:p>
        </w:tc>
        <w:tc>
          <w:tcPr>
            <w:tcW w:w="780" w:type="dxa"/>
            <w:vAlign w:val="bottom"/>
            <w:tcBorders>
              <w:top w:val="single" w:sz="8" w:color="EBFEFF"/>
              <w:bottom w:val="single" w:sz="8" w:color="auto"/>
            </w:tcBorders>
          </w:tcPr>
          <w:p>
            <w:pPr>
              <w:spacing w:after="0" w:line="20" w:lineRule="exact"/>
              <w:rPr>
                <w:sz w:val="1"/>
                <w:szCs w:val="1"/>
                <w:color w:val="auto"/>
              </w:rPr>
            </w:pPr>
          </w:p>
        </w:tc>
        <w:tc>
          <w:tcPr>
            <w:tcW w:w="180" w:type="dxa"/>
            <w:vAlign w:val="bottom"/>
            <w:tcBorders>
              <w:top w:val="single" w:sz="8" w:color="EBFEFF"/>
              <w:bottom w:val="single" w:sz="8" w:color="auto"/>
            </w:tcBorders>
          </w:tcPr>
          <w:p>
            <w:pPr>
              <w:spacing w:after="0" w:line="20" w:lineRule="exact"/>
              <w:rPr>
                <w:sz w:val="1"/>
                <w:szCs w:val="1"/>
                <w:color w:val="auto"/>
              </w:rPr>
            </w:pPr>
          </w:p>
        </w:tc>
        <w:tc>
          <w:tcPr>
            <w:tcW w:w="80" w:type="dxa"/>
            <w:vAlign w:val="bottom"/>
            <w:tcBorders>
              <w:top w:val="single" w:sz="8" w:color="EBFEFF"/>
            </w:tcBorders>
          </w:tcPr>
          <w:p>
            <w:pPr>
              <w:spacing w:after="0" w:line="20" w:lineRule="exact"/>
              <w:rPr>
                <w:sz w:val="1"/>
                <w:szCs w:val="1"/>
                <w:color w:val="auto"/>
              </w:rPr>
            </w:pPr>
          </w:p>
        </w:tc>
        <w:tc>
          <w:tcPr>
            <w:tcW w:w="140" w:type="dxa"/>
            <w:vAlign w:val="bottom"/>
            <w:tcBorders>
              <w:top w:val="single" w:sz="8" w:color="EBFEFF"/>
              <w:bottom w:val="single" w:sz="8" w:color="auto"/>
            </w:tcBorders>
          </w:tcPr>
          <w:p>
            <w:pPr>
              <w:spacing w:after="0" w:line="20" w:lineRule="exact"/>
              <w:rPr>
                <w:sz w:val="1"/>
                <w:szCs w:val="1"/>
                <w:color w:val="auto"/>
              </w:rPr>
            </w:pPr>
          </w:p>
        </w:tc>
        <w:tc>
          <w:tcPr>
            <w:tcW w:w="800" w:type="dxa"/>
            <w:vAlign w:val="bottom"/>
            <w:tcBorders>
              <w:top w:val="single" w:sz="8" w:color="EBFEFF"/>
              <w:bottom w:val="single" w:sz="8" w:color="auto"/>
            </w:tcBorders>
          </w:tcPr>
          <w:p>
            <w:pPr>
              <w:spacing w:after="0" w:line="20" w:lineRule="exact"/>
              <w:rPr>
                <w:sz w:val="1"/>
                <w:szCs w:val="1"/>
                <w:color w:val="auto"/>
              </w:rPr>
            </w:pPr>
          </w:p>
        </w:tc>
        <w:tc>
          <w:tcPr>
            <w:tcW w:w="80" w:type="dxa"/>
            <w:vAlign w:val="bottom"/>
            <w:tcBorders>
              <w:top w:val="single" w:sz="8" w:color="EBFEFF"/>
            </w:tcBorders>
          </w:tcPr>
          <w:p>
            <w:pPr>
              <w:spacing w:after="0" w:line="20" w:lineRule="exact"/>
              <w:rPr>
                <w:sz w:val="1"/>
                <w:szCs w:val="1"/>
                <w:color w:val="auto"/>
              </w:rPr>
            </w:pPr>
          </w:p>
        </w:tc>
        <w:tc>
          <w:tcPr>
            <w:tcW w:w="100" w:type="dxa"/>
            <w:vAlign w:val="bottom"/>
            <w:tcBorders>
              <w:top w:val="single" w:sz="8" w:color="EBFEFF"/>
              <w:bottom w:val="single" w:sz="8" w:color="auto"/>
            </w:tcBorders>
          </w:tcPr>
          <w:p>
            <w:pPr>
              <w:spacing w:after="0" w:line="20" w:lineRule="exact"/>
              <w:rPr>
                <w:sz w:val="1"/>
                <w:szCs w:val="1"/>
                <w:color w:val="auto"/>
              </w:rPr>
            </w:pPr>
          </w:p>
        </w:tc>
        <w:tc>
          <w:tcPr>
            <w:tcW w:w="860" w:type="dxa"/>
            <w:vAlign w:val="bottom"/>
            <w:tcBorders>
              <w:top w:val="single" w:sz="8" w:color="EBFEFF"/>
              <w:bottom w:val="single" w:sz="8" w:color="auto"/>
            </w:tcBorders>
          </w:tcPr>
          <w:p>
            <w:pPr>
              <w:spacing w:after="0" w:line="20" w:lineRule="exact"/>
              <w:rPr>
                <w:sz w:val="1"/>
                <w:szCs w:val="1"/>
                <w:color w:val="auto"/>
              </w:rPr>
            </w:pPr>
          </w:p>
        </w:tc>
        <w:tc>
          <w:tcPr>
            <w:tcW w:w="80" w:type="dxa"/>
            <w:vAlign w:val="bottom"/>
            <w:tcBorders>
              <w:top w:val="single" w:sz="8" w:color="EBFEFF"/>
            </w:tcBorders>
          </w:tcPr>
          <w:p>
            <w:pPr>
              <w:spacing w:after="0" w:line="20" w:lineRule="exact"/>
              <w:rPr>
                <w:sz w:val="1"/>
                <w:szCs w:val="1"/>
                <w:color w:val="auto"/>
              </w:rPr>
            </w:pPr>
          </w:p>
        </w:tc>
        <w:tc>
          <w:tcPr>
            <w:tcW w:w="100" w:type="dxa"/>
            <w:vAlign w:val="bottom"/>
            <w:tcBorders>
              <w:top w:val="single" w:sz="8" w:color="EBFEFF"/>
              <w:bottom w:val="single" w:sz="8" w:color="auto"/>
            </w:tcBorders>
          </w:tcPr>
          <w:p>
            <w:pPr>
              <w:spacing w:after="0" w:line="20" w:lineRule="exact"/>
              <w:rPr>
                <w:sz w:val="1"/>
                <w:szCs w:val="1"/>
                <w:color w:val="auto"/>
              </w:rPr>
            </w:pPr>
          </w:p>
        </w:tc>
        <w:tc>
          <w:tcPr>
            <w:tcW w:w="860" w:type="dxa"/>
            <w:vAlign w:val="bottom"/>
            <w:tcBorders>
              <w:top w:val="single" w:sz="8" w:color="EBF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229" w:right="5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80" w:type="dxa"/>
            <w:vAlign w:val="bottom"/>
          </w:tcPr>
          <w:p>
            <w:pPr>
              <w:spacing w:after="0"/>
              <w:rPr>
                <w:sz w:val="19"/>
                <w:szCs w:val="19"/>
                <w:color w:val="auto"/>
              </w:rPr>
            </w:pPr>
          </w:p>
        </w:tc>
        <w:tc>
          <w:tcPr>
            <w:tcW w:w="3440" w:type="dxa"/>
            <w:vAlign w:val="bottom"/>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8"/>
        </w:trPr>
        <w:tc>
          <w:tcPr>
            <w:tcW w:w="7780" w:type="dxa"/>
            <w:vAlign w:val="bottom"/>
            <w:tcBorders>
              <w:bottom w:val="single" w:sz="8" w:color="C9FC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9FC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780" w:type="dxa"/>
            <w:vAlign w:val="bottom"/>
            <w:shd w:val="clear" w:color="auto" w:fill="C9FC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20" w:type="dxa"/>
            <w:vAlign w:val="bottom"/>
            <w:shd w:val="clear" w:color="auto" w:fill="C9FCFF"/>
          </w:tcPr>
          <w:p>
            <w:pPr>
              <w:spacing w:after="0"/>
              <w:rPr>
                <w:sz w:val="18"/>
                <w:szCs w:val="18"/>
                <w:color w:val="auto"/>
              </w:rPr>
            </w:pPr>
          </w:p>
        </w:tc>
        <w:tc>
          <w:tcPr>
            <w:tcW w:w="640" w:type="dxa"/>
            <w:vAlign w:val="bottom"/>
            <w:shd w:val="clear" w:color="auto" w:fill="C9FCFF"/>
          </w:tcPr>
          <w:p>
            <w:pPr>
              <w:spacing w:after="0"/>
              <w:rPr>
                <w:sz w:val="18"/>
                <w:szCs w:val="18"/>
                <w:color w:val="auto"/>
              </w:rPr>
            </w:pPr>
          </w:p>
        </w:tc>
        <w:tc>
          <w:tcPr>
            <w:tcW w:w="100" w:type="dxa"/>
            <w:vAlign w:val="bottom"/>
            <w:shd w:val="clear" w:color="auto" w:fill="C9FCFF"/>
          </w:tcPr>
          <w:p>
            <w:pPr>
              <w:spacing w:after="0"/>
              <w:rPr>
                <w:sz w:val="18"/>
                <w:szCs w:val="18"/>
                <w:color w:val="auto"/>
              </w:rPr>
            </w:pPr>
          </w:p>
        </w:tc>
        <w:tc>
          <w:tcPr>
            <w:tcW w:w="380" w:type="dxa"/>
            <w:vAlign w:val="bottom"/>
            <w:shd w:val="clear" w:color="auto" w:fill="C9FCFF"/>
          </w:tcPr>
          <w:p>
            <w:pPr>
              <w:spacing w:after="0"/>
              <w:rPr>
                <w:sz w:val="18"/>
                <w:szCs w:val="18"/>
                <w:color w:val="auto"/>
              </w:rPr>
            </w:pPr>
          </w:p>
        </w:tc>
        <w:tc>
          <w:tcPr>
            <w:tcW w:w="1300" w:type="dxa"/>
            <w:vAlign w:val="bottom"/>
            <w:shd w:val="clear" w:color="auto" w:fill="C9FCFF"/>
          </w:tcPr>
          <w:p>
            <w:pPr>
              <w:spacing w:after="0"/>
              <w:rPr>
                <w:sz w:val="18"/>
                <w:szCs w:val="18"/>
                <w:color w:val="auto"/>
              </w:rPr>
            </w:pPr>
          </w:p>
        </w:tc>
      </w:tr>
      <w:tr>
        <w:trPr>
          <w:trHeight w:val="229"/>
        </w:trPr>
        <w:tc>
          <w:tcPr>
            <w:tcW w:w="778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1020" w:type="dxa"/>
            <w:vAlign w:val="bottom"/>
            <w:shd w:val="clear" w:color="auto" w:fill="EBF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w w:val="97"/>
              </w:rPr>
              <w:t>(18,268)</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(21,525)</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before noncontrolling interest to net cash used in operating activities:</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78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1020" w:type="dxa"/>
            <w:vAlign w:val="bottom"/>
            <w:shd w:val="clear" w:color="auto" w:fill="EBFEFF"/>
          </w:tcPr>
          <w:p>
            <w:pPr>
              <w:spacing w:after="0"/>
              <w:rPr>
                <w:sz w:val="19"/>
                <w:szCs w:val="19"/>
                <w:color w:val="auto"/>
              </w:rPr>
            </w:pPr>
          </w:p>
        </w:tc>
        <w:tc>
          <w:tcPr>
            <w:tcW w:w="6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from G42 promissory note early redemption</w:t>
            </w:r>
          </w:p>
        </w:tc>
        <w:tc>
          <w:tcPr>
            <w:tcW w:w="10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9"/>
        </w:trPr>
        <w:tc>
          <w:tcPr>
            <w:tcW w:w="778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Non-cash interest income</w:t>
            </w:r>
          </w:p>
        </w:tc>
        <w:tc>
          <w:tcPr>
            <w:tcW w:w="1020" w:type="dxa"/>
            <w:vAlign w:val="bottom"/>
            <w:shd w:val="clear" w:color="auto" w:fill="EBFEFF"/>
          </w:tcPr>
          <w:p>
            <w:pPr>
              <w:spacing w:after="0"/>
              <w:rPr>
                <w:sz w:val="19"/>
                <w:szCs w:val="19"/>
                <w:color w:val="auto"/>
              </w:rPr>
            </w:pPr>
          </w:p>
        </w:tc>
        <w:tc>
          <w:tcPr>
            <w:tcW w:w="740" w:type="dxa"/>
            <w:vAlign w:val="bottom"/>
            <w:gridSpan w:val="2"/>
            <w:shd w:val="clear" w:color="auto" w:fill="EBF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30"/>
        </w:trPr>
        <w:tc>
          <w:tcPr>
            <w:tcW w:w="778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1020" w:type="dxa"/>
            <w:vAlign w:val="bottom"/>
            <w:shd w:val="clear" w:color="auto" w:fill="EBFEFF"/>
          </w:tcPr>
          <w:p>
            <w:pPr>
              <w:spacing w:after="0"/>
              <w:rPr>
                <w:sz w:val="19"/>
                <w:szCs w:val="19"/>
                <w:color w:val="auto"/>
              </w:rPr>
            </w:pPr>
          </w:p>
        </w:tc>
        <w:tc>
          <w:tcPr>
            <w:tcW w:w="740" w:type="dxa"/>
            <w:vAlign w:val="bottom"/>
            <w:gridSpan w:val="2"/>
            <w:shd w:val="clear" w:color="auto" w:fill="EBF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(3,044)</w:t>
            </w:r>
          </w:p>
        </w:tc>
      </w:tr>
      <w:tr>
        <w:trPr>
          <w:trHeight w:val="229"/>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 of investments in Anteris Bio, Inc</w:t>
            </w:r>
          </w:p>
        </w:tc>
        <w:tc>
          <w:tcPr>
            <w:tcW w:w="10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w:t>
            </w:r>
          </w:p>
        </w:tc>
      </w:tr>
      <w:tr>
        <w:trPr>
          <w:trHeight w:val="229"/>
        </w:trPr>
        <w:tc>
          <w:tcPr>
            <w:tcW w:w="778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Change in fair value of warrants, related party</w:t>
            </w:r>
          </w:p>
        </w:tc>
        <w:tc>
          <w:tcPr>
            <w:tcW w:w="1020" w:type="dxa"/>
            <w:vAlign w:val="bottom"/>
            <w:shd w:val="clear" w:color="auto" w:fill="EBFEFF"/>
          </w:tcPr>
          <w:p>
            <w:pPr>
              <w:spacing w:after="0"/>
              <w:rPr>
                <w:sz w:val="19"/>
                <w:szCs w:val="19"/>
                <w:color w:val="auto"/>
              </w:rPr>
            </w:pPr>
          </w:p>
        </w:tc>
        <w:tc>
          <w:tcPr>
            <w:tcW w:w="6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shd w:val="clear" w:color="auto" w:fill="EBFEFF"/>
          </w:tcPr>
          <w:p>
            <w:pPr>
              <w:ind w:left="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20" w:type="dxa"/>
            <w:vAlign w:val="bottom"/>
            <w:shd w:val="clear" w:color="auto" w:fill="EBFEFF"/>
          </w:tcPr>
          <w:p>
            <w:pPr>
              <w:spacing w:after="0"/>
              <w:rPr>
                <w:sz w:val="19"/>
                <w:szCs w:val="19"/>
                <w:color w:val="auto"/>
              </w:rPr>
            </w:pPr>
          </w:p>
        </w:tc>
        <w:tc>
          <w:tcPr>
            <w:tcW w:w="64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spacing w:after="0"/>
              <w:rPr>
                <w:sz w:val="19"/>
                <w:szCs w:val="19"/>
                <w:color w:val="auto"/>
              </w:rPr>
            </w:pP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778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shd w:val="clear" w:color="auto" w:fill="EBFEFF"/>
          </w:tcPr>
          <w:p>
            <w:pPr>
              <w:spacing w:after="0"/>
              <w:rPr>
                <w:sz w:val="19"/>
                <w:szCs w:val="19"/>
                <w:color w:val="auto"/>
              </w:rPr>
            </w:pPr>
          </w:p>
        </w:tc>
        <w:tc>
          <w:tcPr>
            <w:tcW w:w="6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29"/>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20" w:type="dxa"/>
            <w:vAlign w:val="bottom"/>
            <w:shd w:val="clear" w:color="auto" w:fill="EBFEFF"/>
          </w:tcPr>
          <w:p>
            <w:pPr>
              <w:spacing w:after="0"/>
              <w:rPr>
                <w:sz w:val="19"/>
                <w:szCs w:val="19"/>
                <w:color w:val="auto"/>
              </w:rPr>
            </w:pPr>
          </w:p>
        </w:tc>
        <w:tc>
          <w:tcPr>
            <w:tcW w:w="6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2,270</w:t>
            </w:r>
          </w:p>
        </w:tc>
      </w:tr>
      <w:tr>
        <w:trPr>
          <w:trHeight w:val="230"/>
        </w:trPr>
        <w:tc>
          <w:tcPr>
            <w:tcW w:w="7780" w:type="dxa"/>
            <w:vAlign w:val="bottom"/>
            <w:tcBorders>
              <w:bottom w:val="single" w:sz="8" w:color="EBFEFF"/>
            </w:tcBorders>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EBF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8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shd w:val="clear" w:color="auto" w:fill="EBFEFF"/>
          </w:tcPr>
          <w:p>
            <w:pPr>
              <w:spacing w:after="0"/>
              <w:rPr>
                <w:sz w:val="19"/>
                <w:szCs w:val="19"/>
                <w:color w:val="auto"/>
              </w:rPr>
            </w:pPr>
          </w:p>
        </w:tc>
        <w:tc>
          <w:tcPr>
            <w:tcW w:w="6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w w:val="97"/>
              </w:rPr>
              <w:t>(20,482)</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(16,167)</w:t>
            </w:r>
          </w:p>
        </w:tc>
      </w:tr>
      <w:tr>
        <w:trPr>
          <w:trHeight w:val="230"/>
        </w:trPr>
        <w:tc>
          <w:tcPr>
            <w:tcW w:w="7780" w:type="dxa"/>
            <w:vAlign w:val="bottom"/>
            <w:shd w:val="clear" w:color="auto" w:fill="C9FC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20" w:type="dxa"/>
            <w:vAlign w:val="bottom"/>
            <w:shd w:val="clear" w:color="auto" w:fill="C9FCFF"/>
          </w:tcPr>
          <w:p>
            <w:pPr>
              <w:spacing w:after="0"/>
              <w:rPr>
                <w:sz w:val="19"/>
                <w:szCs w:val="19"/>
                <w:color w:val="auto"/>
              </w:rPr>
            </w:pPr>
          </w:p>
        </w:tc>
        <w:tc>
          <w:tcPr>
            <w:tcW w:w="640" w:type="dxa"/>
            <w:vAlign w:val="bottom"/>
            <w:shd w:val="clear" w:color="auto" w:fill="C9FCFF"/>
          </w:tcPr>
          <w:p>
            <w:pPr>
              <w:spacing w:after="0"/>
              <w:rPr>
                <w:sz w:val="19"/>
                <w:szCs w:val="19"/>
                <w:color w:val="auto"/>
              </w:rPr>
            </w:pPr>
          </w:p>
        </w:tc>
        <w:tc>
          <w:tcPr>
            <w:tcW w:w="100" w:type="dxa"/>
            <w:vAlign w:val="bottom"/>
            <w:shd w:val="clear" w:color="auto" w:fill="C9FCFF"/>
          </w:tcPr>
          <w:p>
            <w:pPr>
              <w:spacing w:after="0"/>
              <w:rPr>
                <w:sz w:val="19"/>
                <w:szCs w:val="19"/>
                <w:color w:val="auto"/>
              </w:rPr>
            </w:pPr>
          </w:p>
        </w:tc>
        <w:tc>
          <w:tcPr>
            <w:tcW w:w="380" w:type="dxa"/>
            <w:vAlign w:val="bottom"/>
            <w:shd w:val="clear" w:color="auto" w:fill="C9FCFF"/>
          </w:tcPr>
          <w:p>
            <w:pPr>
              <w:spacing w:after="0"/>
              <w:rPr>
                <w:sz w:val="19"/>
                <w:szCs w:val="19"/>
                <w:color w:val="auto"/>
              </w:rPr>
            </w:pPr>
          </w:p>
        </w:tc>
        <w:tc>
          <w:tcPr>
            <w:tcW w:w="1300" w:type="dxa"/>
            <w:vAlign w:val="bottom"/>
            <w:shd w:val="clear" w:color="auto" w:fill="C9FCFF"/>
          </w:tcPr>
          <w:p>
            <w:pPr>
              <w:spacing w:after="0"/>
              <w:rPr>
                <w:sz w:val="19"/>
                <w:szCs w:val="19"/>
                <w:color w:val="auto"/>
              </w:rPr>
            </w:pP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 of Class A common stock and pre-funded warrants, net of offering costs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Proceeds from issuance of Class A common stock, net of offering costs</w:t>
            </w:r>
          </w:p>
        </w:tc>
        <w:tc>
          <w:tcPr>
            <w:tcW w:w="1020" w:type="dxa"/>
            <w:vAlign w:val="bottom"/>
            <w:shd w:val="clear" w:color="auto" w:fill="EBFEFF"/>
          </w:tcPr>
          <w:p>
            <w:pPr>
              <w:spacing w:after="0"/>
              <w:rPr>
                <w:sz w:val="19"/>
                <w:szCs w:val="19"/>
                <w:color w:val="auto"/>
              </w:rPr>
            </w:pPr>
          </w:p>
        </w:tc>
        <w:tc>
          <w:tcPr>
            <w:tcW w:w="6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78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Proceeds from G42 Promissory Note early redemption related to sale of Class A common stock to</w:t>
            </w: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collaboration partner</w:t>
            </w:r>
          </w:p>
        </w:tc>
        <w:tc>
          <w:tcPr>
            <w:tcW w:w="10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12,030</w:t>
            </w:r>
          </w:p>
        </w:tc>
      </w:tr>
      <w:tr>
        <w:trPr>
          <w:trHeight w:val="230"/>
        </w:trPr>
        <w:tc>
          <w:tcPr>
            <w:tcW w:w="778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Proceeds from debt issuance</w:t>
            </w:r>
          </w:p>
        </w:tc>
        <w:tc>
          <w:tcPr>
            <w:tcW w:w="1020" w:type="dxa"/>
            <w:vAlign w:val="bottom"/>
            <w:shd w:val="clear" w:color="auto" w:fill="EBFEFF"/>
          </w:tcPr>
          <w:p>
            <w:pPr>
              <w:spacing w:after="0"/>
              <w:rPr>
                <w:sz w:val="19"/>
                <w:szCs w:val="19"/>
                <w:color w:val="auto"/>
              </w:rPr>
            </w:pPr>
          </w:p>
        </w:tc>
        <w:tc>
          <w:tcPr>
            <w:tcW w:w="740" w:type="dxa"/>
            <w:vAlign w:val="bottom"/>
            <w:gridSpan w:val="2"/>
            <w:shd w:val="clear" w:color="auto" w:fill="EBF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9"/>
        </w:trPr>
        <w:tc>
          <w:tcPr>
            <w:tcW w:w="7780" w:type="dxa"/>
            <w:vAlign w:val="bottom"/>
            <w:tcBorders>
              <w:bottom w:val="single" w:sz="8" w:color="EBFEFF"/>
            </w:tcBorders>
          </w:tcPr>
          <w:p>
            <w:pPr>
              <w:ind w:left="260"/>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EBF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3"/>
        </w:trPr>
        <w:tc>
          <w:tcPr>
            <w:tcW w:w="778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shd w:val="clear" w:color="auto" w:fill="EBFEFF"/>
          </w:tcPr>
          <w:p>
            <w:pPr>
              <w:spacing w:after="0"/>
              <w:rPr>
                <w:sz w:val="19"/>
                <w:szCs w:val="19"/>
                <w:color w:val="auto"/>
              </w:rPr>
            </w:pPr>
          </w:p>
        </w:tc>
        <w:tc>
          <w:tcPr>
            <w:tcW w:w="6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52,607</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12,279</w:t>
            </w:r>
          </w:p>
        </w:tc>
      </w:tr>
      <w:tr>
        <w:trPr>
          <w:trHeight w:val="229"/>
        </w:trPr>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r>
      <w:tr>
        <w:trPr>
          <w:trHeight w:val="230"/>
        </w:trPr>
        <w:tc>
          <w:tcPr>
            <w:tcW w:w="7780" w:type="dxa"/>
            <w:vAlign w:val="bottom"/>
            <w:shd w:val="clear" w:color="auto" w:fill="EBFEFF"/>
          </w:tcPr>
          <w:p>
            <w:pPr>
              <w:ind w:left="100"/>
              <w:spacing w:after="0"/>
              <w:rPr>
                <w:sz w:val="20"/>
                <w:szCs w:val="20"/>
                <w:color w:val="auto"/>
              </w:rPr>
            </w:pPr>
            <w:r>
              <w:rPr>
                <w:rFonts w:ascii="Times New Roman" w:cs="Times New Roman" w:eastAsia="Times New Roman" w:hAnsi="Times New Roman"/>
                <w:sz w:val="18"/>
                <w:szCs w:val="18"/>
                <w:color w:val="auto"/>
              </w:rPr>
              <w:t>Total cash and cash equivalents, beginning of period</w:t>
            </w:r>
          </w:p>
        </w:tc>
        <w:tc>
          <w:tcPr>
            <w:tcW w:w="1020" w:type="dxa"/>
            <w:vAlign w:val="bottom"/>
            <w:tcBorders>
              <w:bottom w:val="single" w:sz="8" w:color="auto"/>
            </w:tcBorders>
            <w:shd w:val="clear" w:color="auto" w:fill="EBFEFF"/>
          </w:tcPr>
          <w:p>
            <w:pPr>
              <w:spacing w:after="0"/>
              <w:rPr>
                <w:sz w:val="19"/>
                <w:szCs w:val="19"/>
                <w:color w:val="auto"/>
              </w:rPr>
            </w:pPr>
          </w:p>
        </w:tc>
        <w:tc>
          <w:tcPr>
            <w:tcW w:w="64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100" w:type="dxa"/>
            <w:vAlign w:val="bottom"/>
            <w:shd w:val="clear" w:color="auto" w:fill="EBFEFF"/>
          </w:tcPr>
          <w:p>
            <w:pPr>
              <w:spacing w:after="0"/>
              <w:rPr>
                <w:sz w:val="19"/>
                <w:szCs w:val="19"/>
                <w:color w:val="auto"/>
              </w:rPr>
            </w:pPr>
          </w:p>
        </w:tc>
        <w:tc>
          <w:tcPr>
            <w:tcW w:w="380" w:type="dxa"/>
            <w:vAlign w:val="bottom"/>
            <w:tcBorders>
              <w:bottom w:val="single" w:sz="8" w:color="auto"/>
            </w:tcBorders>
            <w:shd w:val="clear" w:color="auto" w:fill="EBFEFF"/>
          </w:tcPr>
          <w:p>
            <w:pPr>
              <w:spacing w:after="0"/>
              <w:rPr>
                <w:sz w:val="19"/>
                <w:szCs w:val="19"/>
                <w:color w:val="auto"/>
              </w:rPr>
            </w:pPr>
          </w:p>
        </w:tc>
        <w:tc>
          <w:tcPr>
            <w:tcW w:w="130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12,126</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 end of period</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w:t>
            </w:r>
          </w:p>
        </w:tc>
      </w:tr>
      <w:tr>
        <w:trPr>
          <w:trHeight w:val="20"/>
        </w:trPr>
        <w:tc>
          <w:tcPr>
            <w:tcW w:w="7780" w:type="dxa"/>
            <w:vAlign w:val="bottom"/>
            <w:tcBorders>
              <w:bottom w:val="single" w:sz="8" w:color="EBF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BF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7780" w:type="dxa"/>
            <w:vAlign w:val="bottom"/>
            <w:tcBorders>
              <w:bottom w:val="single" w:sz="8" w:color="C9FCFF"/>
            </w:tcBorders>
            <w:shd w:val="clear" w:color="auto" w:fill="EBFEFF"/>
          </w:tcPr>
          <w:p>
            <w:pPr>
              <w:spacing w:after="0"/>
              <w:rPr>
                <w:sz w:val="20"/>
                <w:szCs w:val="20"/>
                <w:color w:val="auto"/>
              </w:rPr>
            </w:pPr>
          </w:p>
        </w:tc>
        <w:tc>
          <w:tcPr>
            <w:tcW w:w="1020" w:type="dxa"/>
            <w:vAlign w:val="bottom"/>
            <w:tcBorders>
              <w:bottom w:val="single" w:sz="8" w:color="auto"/>
            </w:tcBorders>
            <w:shd w:val="clear" w:color="auto" w:fill="EBFEFF"/>
          </w:tcPr>
          <w:p>
            <w:pPr>
              <w:spacing w:after="0"/>
              <w:rPr>
                <w:sz w:val="20"/>
                <w:szCs w:val="20"/>
                <w:color w:val="auto"/>
              </w:rPr>
            </w:pPr>
          </w:p>
        </w:tc>
        <w:tc>
          <w:tcPr>
            <w:tcW w:w="640" w:type="dxa"/>
            <w:vAlign w:val="bottom"/>
            <w:tcBorders>
              <w:bottom w:val="single" w:sz="8" w:color="auto"/>
            </w:tcBorders>
            <w:shd w:val="clear" w:color="auto" w:fill="EBFEFF"/>
          </w:tcPr>
          <w:p>
            <w:pPr>
              <w:spacing w:after="0"/>
              <w:rPr>
                <w:sz w:val="20"/>
                <w:szCs w:val="20"/>
                <w:color w:val="auto"/>
              </w:rPr>
            </w:pPr>
          </w:p>
        </w:tc>
        <w:tc>
          <w:tcPr>
            <w:tcW w:w="100" w:type="dxa"/>
            <w:vAlign w:val="bottom"/>
            <w:tcBorders>
              <w:bottom w:val="single" w:sz="8" w:color="C9FCFF"/>
            </w:tcBorders>
            <w:shd w:val="clear" w:color="auto" w:fill="EBFEFF"/>
          </w:tcPr>
          <w:p>
            <w:pPr>
              <w:spacing w:after="0"/>
              <w:rPr>
                <w:sz w:val="20"/>
                <w:szCs w:val="20"/>
                <w:color w:val="auto"/>
              </w:rPr>
            </w:pPr>
          </w:p>
        </w:tc>
        <w:tc>
          <w:tcPr>
            <w:tcW w:w="380" w:type="dxa"/>
            <w:vAlign w:val="bottom"/>
            <w:tcBorders>
              <w:bottom w:val="single" w:sz="8" w:color="auto"/>
            </w:tcBorders>
            <w:shd w:val="clear" w:color="auto" w:fill="EBFEFF"/>
          </w:tcPr>
          <w:p>
            <w:pPr>
              <w:spacing w:after="0"/>
              <w:rPr>
                <w:sz w:val="20"/>
                <w:szCs w:val="20"/>
                <w:color w:val="auto"/>
              </w:rPr>
            </w:pPr>
          </w:p>
        </w:tc>
        <w:tc>
          <w:tcPr>
            <w:tcW w:w="1300" w:type="dxa"/>
            <w:vAlign w:val="bottom"/>
            <w:tcBorders>
              <w:bottom w:val="single" w:sz="8" w:color="auto"/>
            </w:tcBorders>
            <w:shd w:val="clear" w:color="auto" w:fill="EBFEFF"/>
          </w:tcPr>
          <w:p>
            <w:pPr>
              <w:spacing w:after="0"/>
              <w:rPr>
                <w:sz w:val="20"/>
                <w:szCs w:val="20"/>
                <w:color w:val="auto"/>
              </w:rPr>
            </w:pPr>
          </w:p>
        </w:tc>
      </w:tr>
      <w:tr>
        <w:trPr>
          <w:trHeight w:val="210"/>
        </w:trPr>
        <w:tc>
          <w:tcPr>
            <w:tcW w:w="7780" w:type="dxa"/>
            <w:vAlign w:val="bottom"/>
            <w:shd w:val="clear" w:color="auto" w:fill="C9FC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activities:</w:t>
            </w:r>
          </w:p>
        </w:tc>
        <w:tc>
          <w:tcPr>
            <w:tcW w:w="1020" w:type="dxa"/>
            <w:vAlign w:val="bottom"/>
            <w:shd w:val="clear" w:color="auto" w:fill="C9FCFF"/>
          </w:tcPr>
          <w:p>
            <w:pPr>
              <w:spacing w:after="0"/>
              <w:rPr>
                <w:sz w:val="18"/>
                <w:szCs w:val="18"/>
                <w:color w:val="auto"/>
              </w:rPr>
            </w:pPr>
          </w:p>
        </w:tc>
        <w:tc>
          <w:tcPr>
            <w:tcW w:w="640" w:type="dxa"/>
            <w:vAlign w:val="bottom"/>
            <w:shd w:val="clear" w:color="auto" w:fill="C9FCFF"/>
          </w:tcPr>
          <w:p>
            <w:pPr>
              <w:spacing w:after="0"/>
              <w:rPr>
                <w:sz w:val="18"/>
                <w:szCs w:val="18"/>
                <w:color w:val="auto"/>
              </w:rPr>
            </w:pPr>
          </w:p>
        </w:tc>
        <w:tc>
          <w:tcPr>
            <w:tcW w:w="100" w:type="dxa"/>
            <w:vAlign w:val="bottom"/>
            <w:shd w:val="clear" w:color="auto" w:fill="C9FCFF"/>
          </w:tcPr>
          <w:p>
            <w:pPr>
              <w:spacing w:after="0"/>
              <w:rPr>
                <w:sz w:val="18"/>
                <w:szCs w:val="18"/>
                <w:color w:val="auto"/>
              </w:rPr>
            </w:pPr>
          </w:p>
        </w:tc>
        <w:tc>
          <w:tcPr>
            <w:tcW w:w="380" w:type="dxa"/>
            <w:vAlign w:val="bottom"/>
            <w:shd w:val="clear" w:color="auto" w:fill="C9FCFF"/>
          </w:tcPr>
          <w:p>
            <w:pPr>
              <w:spacing w:after="0"/>
              <w:rPr>
                <w:sz w:val="18"/>
                <w:szCs w:val="18"/>
                <w:color w:val="auto"/>
              </w:rPr>
            </w:pPr>
          </w:p>
        </w:tc>
        <w:tc>
          <w:tcPr>
            <w:tcW w:w="1300" w:type="dxa"/>
            <w:vAlign w:val="bottom"/>
            <w:shd w:val="clear" w:color="auto" w:fill="C9FCFF"/>
          </w:tcPr>
          <w:p>
            <w:pPr>
              <w:spacing w:after="0"/>
              <w:rPr>
                <w:sz w:val="18"/>
                <w:szCs w:val="18"/>
                <w:color w:val="auto"/>
              </w:rPr>
            </w:pP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redemption value of noncontrolling interest</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29"/>
        </w:trPr>
        <w:tc>
          <w:tcPr>
            <w:tcW w:w="778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Reclassification of noncontrolling interest to additional paid-in capital</w:t>
            </w:r>
          </w:p>
        </w:tc>
        <w:tc>
          <w:tcPr>
            <w:tcW w:w="1020" w:type="dxa"/>
            <w:vAlign w:val="bottom"/>
            <w:shd w:val="clear" w:color="auto" w:fill="EBF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are in thousands, unless otherwise noted)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vTv Therapeutics Inc. (the “Company,” the “Registrant,” “we” or “us”) was incorporated in the state of Delaware in April 2015. The Company is a clinical stage pharmaceutical company focused on treating metabolic diseases to minimize their long-term complications through end-organ protection.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vTv Therapeutics Inc. is a holding company, and its principal asset is a controlling equity interest in vTv Therapeutics LLC (“vTv LLC”), the Company’s principal operating subsidiary, which is a clinical stage pharmaceutical company engaged in the discovery and development of orally administered small molecule drug candidates to fill significant unmet medical needs.</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The assets and liabilities of vTv LLC represent substantially all of the Company's consolidated assets and liabilities with the exception of the Warrants and $28.9 million of cash and cash equivalents.</w:t>
      </w:r>
    </w:p>
    <w:p>
      <w:pPr>
        <w:spacing w:after="0" w:line="7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Various holders own non-voting interests in vTv LLC, representing a 18.1% economic interest in vTv LLC, effectively restricting vTv Therapeutics Inc.’s interest to 81.9% of vTv LLC’s economic results, subject to increase in the future, should vTv Therapeutics Inc. purchase additional non-voting common units (“vTv Units”) of vTv LLC, or should the holders of vTv Units decide to exchange such units (together with shares of the Company’s Class B common stock, par value $0.01 (“Class B common stock”)) for shares of Class A common stock (or cash) pursuant to the Exchange Agreement (as defined in Note 8). vTv Therapeutics Inc. has provided financial and other support to vTv LLC in the form of its purchase of vTv Units with the net proceeds of the Company’s initial public offering (“IPO”) in 2015, its registered direct offering in March 2019, and its agreeing to be a co-borrower under the Venture Loan and Security Agreement (the “Loan Agreement”) with Horizon Technology Finance Corporation and Silicon Valley Bank (together, the “Lenders”) which was entered into in 2016. vTv Therapeutics Inc. entered into the letter agreements with MacAndrews and Forbes Group LLC (“M&amp;F Group”), a related party and an affiliate of MacAndrews &amp; Forbes Incorporated (together with its affiliates “MacAndrews”) in December 2017, July 2018, December 2018, March 2019, September 2019, and December 2019 (each a “Letter Agreement” and collectively, the “Letter Agreements”). vTv Therapeutics Inc. entered into a common stock purchase agreement with G42 Investments AI Holding RSC Ltd (“G42 Investments”) (the “G42 Purchase Agreement”), the common stock and warrant purchase agreement with CinPax, LLC and CinRx, LLC, respectively (the “CinRx Purchase Agreement”). In addition vTv Therapeutics Inc. also entered into a Securities Purchase Agreement with Private Placement Investors and the sales agreement with Cowen and Company, LLC (“TD Cowen”) (“TD Cowen Sales Agreement”). vTv Therapeutics Inc. will not be required to provide financial or other support for vTv LLC. 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 date, the Company has not generated any product revenue and has not achieved profitable operations. The continuing development of our drug candidates will require additional financing. From its inception through September 30, 2024,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September 30, 2024, the Company had an accumulated deficit of $296.1 million and has generated net losses in each year of its existence. As of September 30, 2024, the Company’s liquidity sources included cash and cash equivalents of $41.6 million.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Based on our current operating plan, we believe that our current cash and cash equivalents will allow us to meet our liquidity requirements for at least the next twelve months.</w:t>
      </w:r>
    </w:p>
    <w:p>
      <w:pPr>
        <w:spacing w:after="0" w:line="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February 27, 2024, we entered into a securities purchase agreement (the “Securities Purchase Agreement”) with certain institutional accredited investors (the “Private Placement Investors”), pursuant to which we agreed to issue and sell to the Private Placement Investors in a private placement (the “Private Placement”) (i) an aggregate of 464,377 shares (the “Private Placement Shares”) of our Class A common stock, at a purchase price of $11.81 per share, and (ii) pre-funded warrants (the “Private Placement Pre-Funded Warrants”) to purchase up to an aggregate of 3,853,997 shares of our Class A common stock (the “Private Placement Warrant Shares”) at a purchase price of $11.80 per Private Placement Pre-Funded Warrant (representing the $11.81 per Private Placement Share purchase price less the exercise price of $0.01 per Private Placement Warrant Share). We received aggregate gross proceeds from the Private Placement of approximately $51.0 million, before deducting offering expenses payable by us. The Private Placement Pre-Funded Warrants are exercisable at any time after their original issuance and will not expire.</w:t>
      </w:r>
    </w:p>
    <w:p>
      <w:pPr>
        <w:spacing w:after="0" w:line="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March 5, 2024, the Company entered into a letter agreement with the Private Placement Investors pursuant to which the Private Placement Investors agreed to exchange an aggregate of 116,493 Private Placement Shares for an aggregate of 116,590 Private Placement Pre-Funded Warrants.</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February 28, 2024, we entered into the TD Cowen Sales Agreement, pursuant to which we may offer and sell, from time to time, through or to TD Cowen, as sales agent or principal, shares of our Class A common stock, having an aggregate offering price of up to $50.0 million (the “TD Cowen ATM Offering”). Pursuant to General Instruction I.B.6 of Form S-3, in no event will we sell securities registered on the registration statement relating to the TD Cowen ATM Offering with a value exceeding more than one-third of our public float in any 12-month period so long as our public float remains below $75.0 million. Under the terms of the TD Cowen Sales Agreement, we will pay TD Cowen a commission of 3.0% of the aggregate proceeds from the sale of shares and reimburse certain legal fees or other disbursements. On September 17, 2024, the Company sold 179,400 shares of Class A common stock under the TD Cowen ATM Offering for net proceeds of $2.5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 The accompanying Condensed Consolidated Balance Sheet as of September 30, 2024, Condensed Consolidated Statements of Operations for the three and nine months ended September 30, 2024 and 2023, Condensed Consolidated Statement of Changes in Redeemable Noncontrolling Interest and Stockholders’ Equity (Deficit) for the three and nine months ended September 30, 2024 and 2023 and Condensed Consolidated Statements of Cash Flows for the nine months ended September 30, 2024 and 2023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2023,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September 30, 2024, the results of operations for the three and nine months ended September 30, 2024 and 2023 and cash flows for the nine months ended September 30, 2024 and 2023. The December 31, 2023 Condensed Consolidated Balance Sheet included herein was derived from the audited financial statements but does not include all disclosures or notes required by GAAP for complete financial statements.</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financial data and other information disclosed in these notes to the financial statements related to the three and nine months ended September 30, 2024 and 2023 are unaudited. Interim results are not necessarily indicative of results for an entire year.</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liabilities and disclosure of contingent assets and liabilities as of the date of the financial statements and the reported amounts of revenues and expenses during the reporting period. Actual results could differ from those estimates.</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its estimates, including those related to the grant date fair value of equity awards, the fair value of warrants to purchase shares of its Class A common stock, the useful lives of property and equipment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principally of cash on deposit with multiple financial institutions. The balance of the cash account frequently exceeds insured limits. The associated risk of concentration for cash and cash equivalents is mitigated by transferring a majority of our cash to a AAA rated money market account with a creditworthy institution.</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One collaboration partner represented 100% of the revenue earned during the nine months ended September 30, 2024. The Company did not have any revenue during the nine months ended September 30, 2023 or during the three months ended September 30,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considers any highly liquid investments with an original maturity of three months or less to be cash and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Investments in entities in which the Company has no control or significant influence, is not the primary beneficiary, and have a readily determinable fair value are classified as equity investments with readily determinable fair value. The investments are measured at fair value based on a quoted market price per unit in active markets multiplied by the number of units held without consideration of transaction costs (Level 1). Gains and losses are recorded in other income (expense), net on the Condensed Consolidated Statements of Operations.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Equity investments without readily determinable fair value include ownership rights that do not provide the Company with control or significant influence and these investments do not have readily determinable fair values. The Company has elected to measure its equity investments without readily determinable fair values at cost minus impairment, if any, plus or minus changes resulting from observable price changes in orderly transactions for the identical or similar investment.</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2024, the Company has no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uses the revenue recognition guidance established by ASC 606, Revenue From Contracts With Customers (“ASC 606”). When an agreement falls under the scope of other standards, such as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 The Company will recognize collaboration revenue under ASC 808 as a stand-ready obligation under ASC 606 over time based on the estimated period of performance.</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discernible pattern over which the services will be provided.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Major components of research and development costs include cash compensation, depreciation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Research and development costs are expensed as incurred.</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records accruals based on estimates of the services received, efforts expended and amounts owed pursuant to contracts with numerous contract research and manufacturing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records nonrefundable advance payments it makes for future research and development activities as prepaid expenses. Prepaid expenses are recognized as expense in the Condensed Consolidated Statements of Operations as the Company receives the related goods or services.</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Research and development costs that are reimbursed under a cost-sharing arrangement are reflected as a reduction of research and development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color w:val="auto"/>
        </w:rPr>
        <w:t>Segment Reporting</w:t>
      </w:r>
      <w:r>
        <w:rPr>
          <w:rFonts w:ascii="Times New Roman" w:cs="Times New Roman" w:eastAsia="Times New Roman" w:hAnsi="Times New Roman"/>
          <w:sz w:val="18"/>
          <w:szCs w:val="18"/>
          <w:color w:val="auto"/>
        </w:rPr>
        <w:t>: In November 2023, the FASB issued ASU 2023-07, Segment Reporting (Topic 280): “</w:t>
      </w:r>
      <w:r>
        <w:rPr>
          <w:rFonts w:ascii="Times New Roman" w:cs="Times New Roman" w:eastAsia="Times New Roman" w:hAnsi="Times New Roman"/>
          <w:sz w:val="18"/>
          <w:szCs w:val="18"/>
          <w:i w:val="1"/>
          <w:iCs w:val="1"/>
          <w:color w:val="auto"/>
        </w:rPr>
        <w:t>Improvements to Reportable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(ASU 2023-07)</w:t>
      </w:r>
      <w:r>
        <w:rPr>
          <w:rFonts w:ascii="Times New Roman" w:cs="Times New Roman" w:eastAsia="Times New Roman" w:hAnsi="Times New Roman"/>
          <w:sz w:val="18"/>
          <w:szCs w:val="18"/>
          <w:color w:val="auto"/>
        </w:rPr>
        <w:t>. The ASU expands public entities' segment disclosures by requiring disclosures of significant segment expenses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regularly provided to the CODM and included within each reported measure of segment profit or loss, an amount and description of its composition for other segment items, and interim disclosures of a reportable segment's profit or loss and assets. For public entities, the provisions within ASU 2023-07 are effective for fiscal years beginning after December 15, 2023, and for interim periods of fiscal years beginning after December 15, 2024. The Company is currently assessing the impact the adoption of ASU 2023-07 will have on its Consolidated Financial Statement and disclosures.</w:t>
      </w:r>
    </w:p>
    <w:p>
      <w:pPr>
        <w:spacing w:after="0" w:line="74"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 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(“ASU 2023-09”). The ASU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to enhance the transparency and decision usefulness of income tax disclosures. The amendments in the ASU address investor requests for enhanced income tax information primarily through changes to the rate reconciliation and income taxes paid information. ASU 2023-09 will be effective for us in the annual period beginning January 1, 2025, though early adoption is permitted. The Company is currently evaluating the presentational effect that ASU 2023-09 will have on the Company's Consolidated Financial Statements and disclosures, and we expect considerable changes to our income tax disclosures.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G42 Purchase Agreement and Cogna Collaborative and License Agreement</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and G42 Investments AI Holding RSC Ltd, a private limited company (“G42 Investments”), entered into a Common Stock Purchase Agreement (the “G42 Purchase Agreement”), pursuant to which the Company sold to G42 Investments 259,657 shares of the Company’s Class A common stock at a price per share of approximately $96.40, for an aggregate purchase price of $25.0 million, which was paid (i) $12.5 million in cash at the closing and (ii) $12.5 million in the form of a promissory note of G42 Investments to be paid at May 31, 2023 (the “G42 Promissory Note”).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 resulting in a loss of $0.3 million and was recognized as a component of other income, net in the Company’s Condensed Consolidated Statements of Operations.</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G42 Investments has agreed to certain transfer restrictions (including restrictions on short sales or similar transactions) and restrictions on further acquisitions of shares, in each case subject to specified exceptions. Following the expiration of a lock up period, from the period May 31, 2022 until December 31, 2024 (or if earlier, the date of receipt of U.S. Food and Drug Administration (“FDA”) approval in the U.S. for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the Company has granted to G42 Investments certain shelf and piggyback registration rights with respect to those shares of Class A common stock issued to G42 Investments pursuant to the G42 Purchase Agreement, including the ability to conduct an underwritten offering to resell such shares under certain circumstances. The registration rights include customary cooperation, cut-back, expense reimbursement, and indemnification provisions.</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Contemporaneously with the G42 Purchase Agreement, effective on May 31, 2022, the Company entered into a collaboration and license agreement (the “Cogna Agreement”) with Cogna Technology Solutions LLC, an affiliate of G42 Investments (“Cogna”), which requires Cogna to work with the Company in performing clinical trials for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as well as jointly creating a global development plan to develop, market, and commercialize </w:t>
      </w:r>
      <w:r>
        <w:rPr>
          <w:rFonts w:ascii="Times New Roman" w:cs="Times New Roman" w:eastAsia="Times New Roman" w:hAnsi="Times New Roman"/>
          <w:sz w:val="18"/>
          <w:szCs w:val="18"/>
          <w:i w:val="1"/>
          <w:iCs w:val="1"/>
          <w:color w:val="auto"/>
        </w:rPr>
        <w:t xml:space="preserve">cadisegliatin </w:t>
      </w:r>
      <w:r>
        <w:rPr>
          <w:rFonts w:ascii="Times New Roman" w:cs="Times New Roman" w:eastAsia="Times New Roman" w:hAnsi="Times New Roman"/>
          <w:sz w:val="18"/>
          <w:szCs w:val="18"/>
          <w:color w:val="auto"/>
        </w:rPr>
        <w:t>in certain countries in the Middle East, Africa, and Central Asia (the “Partner Territory”). Under the terms of the Cogna Agreement, Cogna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will obtain a license under certain intellectual property controlled by the Company to enable it to fulfill its obligations and exercise its rights under the Cogna agreement, including to develop and commercialize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in the Partner Territory, but will not have access to the various intellectual property (“IP”) related to the license and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Specifically, the Company will share various protocols with Cogna related to conducting the clinical trials and will provide the patient dosages and placebo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needed to conduct the trials.</w:t>
      </w:r>
    </w:p>
    <w:p>
      <w:pPr>
        <w:spacing w:after="0" w:line="8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Under the Cogna Agreement, Cogna has the right to develop and commercialize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in the Partner Territory at its own cost once restrictions on the use of the IP have been lifted by the Company. The Cogna Agreement determined which specific countries in the Partner Territory that Cogna may pursue development and commercialization and provides the Company with the ability to determine when Cogna can benefit from this IP through the powers granted to the Company to approve the global development plan. Further, the Company may supply at cost, or Cogna may manufacture, </w:t>
      </w:r>
      <w:r>
        <w:rPr>
          <w:rFonts w:ascii="Times New Roman" w:cs="Times New Roman" w:eastAsia="Times New Roman" w:hAnsi="Times New Roman"/>
          <w:sz w:val="18"/>
          <w:szCs w:val="18"/>
          <w:i w:val="1"/>
          <w:iCs w:val="1"/>
          <w:color w:val="auto"/>
        </w:rPr>
        <w:t xml:space="preserve">cadisegliatin </w:t>
      </w:r>
      <w:r>
        <w:rPr>
          <w:rFonts w:ascii="Times New Roman" w:cs="Times New Roman" w:eastAsia="Times New Roman" w:hAnsi="Times New Roman"/>
          <w:sz w:val="18"/>
          <w:szCs w:val="18"/>
          <w:color w:val="auto"/>
        </w:rPr>
        <w:t>for commercial sale under terms to be agreed upon by the parties at a later date.</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Separately, the Company will conduct its clinical trials for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outside of the Partner Territory at its own cost. The Company may combine the results of each party’s clinical trials to seek FDA approval in the United States for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On December 21, 2022, G42 Healthcare Technology Solutions LLC (formerly known as Cogna Technology Solutions LLC) novated its rights and obligation under the Cogna agreement to G42 Healthcare Research Technology Projects LLC (“G42 Healthcare”), an affiliate of G42 Investments. As a result of the novation, all reference to Cogna herein shall be deemed to refer to G42 Healthcare.</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G42 Purchase Agreement also provides for, following the receipt of the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FDA Approval, at the option of G42 Investments, either</w:t>
      </w:r>
    </w:p>
    <w:p>
      <w:pPr>
        <w:spacing w:after="0" w:line="29" w:lineRule="exact"/>
        <w:rPr>
          <w:sz w:val="20"/>
          <w:szCs w:val="20"/>
          <w:color w:val="auto"/>
        </w:rPr>
      </w:pPr>
    </w:p>
    <w:p>
      <w:pPr>
        <w:jc w:val="both"/>
        <w:ind w:firstLine="8"/>
        <w:spacing w:after="0" w:line="253" w:lineRule="auto"/>
        <w:tabs>
          <w:tab w:leader="none" w:pos="2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of the Company’s Class A common stock (the “Milestone Shares”) having an aggregate value equal to $30.0 million or (b) the payment by the Company of $30.0 million in cash (the “Milestone Cash Payment”). The issuance of the Milestone Shares or the payment of the Milestone Cash Payment, as applicable, is conditioned upon receipt of the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FDA Approval and subject to certain limitations and conditions set forth in the G42 Purchase Agreement. There can be no assurance that the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FDA Approval will be granted or as to the timing thereof.</w:t>
      </w:r>
    </w:p>
    <w:p>
      <w:pPr>
        <w:spacing w:after="0" w:line="81"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 xml:space="preserve">Once commercialization takes place in the Partner Territory, the Company will receive royalties in the single digits from Cogna on the net sales of </w:t>
      </w:r>
      <w:r>
        <w:rPr>
          <w:rFonts w:ascii="Times New Roman" w:cs="Times New Roman" w:eastAsia="Times New Roman" w:hAnsi="Times New Roman"/>
          <w:sz w:val="18"/>
          <w:szCs w:val="18"/>
          <w:i w:val="1"/>
          <w:iCs w:val="1"/>
          <w:color w:val="auto"/>
        </w:rPr>
        <w:t xml:space="preserve">cadisegliatin </w:t>
      </w:r>
      <w:r>
        <w:rPr>
          <w:rFonts w:ascii="Times New Roman" w:cs="Times New Roman" w:eastAsia="Times New Roman" w:hAnsi="Times New Roman"/>
          <w:sz w:val="18"/>
          <w:szCs w:val="18"/>
          <w:color w:val="auto"/>
        </w:rPr>
        <w:t>for a period of at least ten years after the first commercial sale of</w:t>
      </w:r>
      <w:r>
        <w:rPr>
          <w:rFonts w:ascii="Times New Roman" w:cs="Times New Roman" w:eastAsia="Times New Roman" w:hAnsi="Times New Roman"/>
          <w:sz w:val="18"/>
          <w:szCs w:val="18"/>
          <w:i w:val="1"/>
          <w:iCs w:val="1"/>
          <w:color w:val="auto"/>
        </w:rPr>
        <w:t xml:space="preserve"> cadisegliatin </w:t>
      </w:r>
      <w:r>
        <w:rPr>
          <w:rFonts w:ascii="Times New Roman" w:cs="Times New Roman" w:eastAsia="Times New Roman" w:hAnsi="Times New Roman"/>
          <w:sz w:val="18"/>
          <w:szCs w:val="18"/>
          <w:color w:val="auto"/>
        </w:rPr>
        <w:t>in the Partner Territory.</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premium was paid on the Class A common stock by G42 Investments of $18.7 million, net of a note receivable discount of $0.6 million. This premium is determined to be the transaction price for all remaining obligations under the agreements, which will be accounted for under ASC 808 or ASC 606 based on determination of the unit of account.</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determined that certain commitments under the agreements are in the scope of ASC 808 as both the Company and Cogna are active participants in the clinical trials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and both are exposed to significant risks and rewards based on the success of the clinical trials and subsequent FDA approval. Cogna is determined to be a vendor of the Company during the clinical trial phase, working on the Company’s behalf to complete research and development activities, and not in a customer capacity. The Company accounted for the commitments related to the clinical trials, which includes transfer of trial protocols, supply of clinical trial dosages, and collaboration on the joint development committee (“JDC”) as an ASC 808 unit of account, applying the recognition and measurement principles of ASC 606 by analogy. The Company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recognize collaboration revenue for its development activities under ASC 808 over time based on the estimated period of performance.</w:t>
      </w:r>
    </w:p>
    <w:p>
      <w:pPr>
        <w:spacing w:after="0" w:line="1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By applying the principals in ASC 606 by analogy, the Company identified the performance obligation and considered the timing of satisfaction of the obligation to account for the pattern of revenue recognition. In order to recognize collaboration revenue, generally, the Company would begin satisfying its performance obligation and Cogna would need to be able to use and benefit from delivery of the assets or services. The performance obligation under the agreements that fall within the 808 unit of account are concentrated in the clinical trials. As of September 30, 2024, the clinical trials had not commenced. Accordingly, no collaboration revenue was recognized for the ASC 808 unit of account during the three and nine months ended September 30, 2024.</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Company identified certain commitments that are in the scope of ASC 606 as Cogna’s relationship is that of a customer for these commitments. The significant performance obligations that are in the scope of ASC 606 are (1) the development, commercialization and manufacturing license of the IP once restrictions on the use of the IP have been lifted by the Company and (2) a potential material right to a commercial supply agreement. The Company will recognize revenue from the development, commercial and manufacturing license at a point in time when the Company releases the restrictions on the use of the IP, which is expected to be after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is approved by the FDA. The Company will recognize revenue from the material right related to Cogna’s ability to purchase the commercial supply at cost as Cogna purchases the commercial supply from the Company, which will occur after the completion of the initial clinical trials (if Cogna decides to purchase the clinical supply from the Company). As a result, the Company has not recognized any revenue under the ASC 606 unit of account during the three and nine months ended September 30, 2024.</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income, net in the Company’s Condensed Consolidated Statements of Operations. The G42 Promissory Note receivable was classified and accounted for under ASC 310 “</w:t>
      </w:r>
      <w:r>
        <w:rPr>
          <w:rFonts w:ascii="Times New Roman" w:cs="Times New Roman" w:eastAsia="Times New Roman" w:hAnsi="Times New Roman"/>
          <w:sz w:val="18"/>
          <w:szCs w:val="18"/>
          <w:i w:val="1"/>
          <w:iCs w:val="1"/>
          <w:color w:val="auto"/>
        </w:rPr>
        <w:t>Receivables“</w:t>
      </w:r>
      <w:r>
        <w:rPr>
          <w:rFonts w:ascii="Times New Roman" w:cs="Times New Roman" w:eastAsia="Times New Roman" w:hAnsi="Times New Roman"/>
          <w:sz w:val="18"/>
          <w:szCs w:val="18"/>
          <w:color w:val="auto"/>
        </w:rPr>
        <w:t xml:space="preserve"> (“ASC 310”) and was initially measured at its fair value of $11.9 million. The Company also recorded the $18.7 million as deferred revenue in the Condensed Consolidated Balance Sheets, as none of the underlying performance obligations had been satisfied as of and for the three and nine months ended September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Newsoara License Agreement</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Company is party 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Newsoara License Agreement was amended in 2020 to change certain future milestone payments and patent rights (the “First Newsoara Amendment”). On June 26, 2024, the Company entered into the second amendment to the Newsoara License Agreement (the “Second Newsoara Amendment”) which expanded the global license contingent upon Newsoara paying an upfront global rights fee (the “Upfront Fees”) of $20.0 million. Newsoara has up to one year from the date of the Second Newsoara Amendment to pay the Upfront Fees; if it fails to do so, then the Second Newsoara Amendment will be null and void. As amended, the Company is eligible to receive additional potential development, regulatory and sales-based milestone payments totaling up to $76.5 million. In addition, Newsoara is obligated to pay the Company royalty payments at mid to upper single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 There are no new performance obligations to be considered within the Second Newsoara Amendment. The Second Amendment has a potential impact to increase the transaction price by $20.0 million. If the Company receives the Upfront Fees, $20.0 million of revenue will be recognized at a point in time.</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fully allocated the transaction price to the license and the technology transfer services which represents a single performance obligation because they were not capable of being distinct on their own. The Company recognized revenue for this performance obligation using the straight-line method over the transfer service period.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for this performance obligation has been fully recognized as of September 30, 2024. In the first quarter of 2024, the transaction price for this performance obligation was increased by $1.0 million due to the satisfaction of a development milestone under the Newsoara License Agreement. This amount was fully recognized as revenue during the nine months ended September 30, 2024, as the related performance obligation was fully satisfied. No revenue related to this performance obligation was recognized and there were no changes to the transaction price during the three and nine months ended September 30,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Share-Based Compensation</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has issued non-qualified stock option awards to management, other key employees, consultants, and non-employee directors and these options ratably vest over a four-year period. In addition, we issued options in connection with the private placement on February 27, 2024, that vest ratably over a three-year period. The option awards expire after a term of ten years from the date of grant. As of September 30, 2024, the Company had total unrecognized stock-based compensation expense for its outstanding stock option awards of approximately $4.7 million, which is expected to be recognized over a weighted average period of 2.5 years. The weighted average grant date fair value of options granted during the nine months ended September 30, 2024 and 2023 was $14.85 and $30.59 per option, respectively. The aggregate intrinsic value of the in-the-money awards outstanding at September 30, 2024 was de minimis.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February 23, 2024, in connection with the Private Placement, several directors resigned as members of the Company’s Board of Directors,</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on the closing of the Private Placement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As a result of their resignations, 14,340 stock options to purchase shares of common stock were modified to increase the time period to exercise the options and 7,590 stock options to purchase shares of common stock were modified to accelerate vesting at the termination date. All the unvested options were modified to be fully vested as of the posting of the Private Placement which resulted in a reduction in their fair value. The Company incurred $0.1 million reduction in stock compensation expense for the modifications for the nine months ended September 30, 2024.</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stock option awards for the nine months ended September 30,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5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tcPr>
          <w:p>
            <w:pPr>
              <w:spacing w:after="0"/>
              <w:rPr>
                <w:sz w:val="13"/>
                <w:szCs w:val="13"/>
                <w:color w:val="auto"/>
              </w:rPr>
            </w:pPr>
          </w:p>
        </w:tc>
        <w:tc>
          <w:tcPr>
            <w:tcW w:w="12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95"/>
        </w:trPr>
        <w:tc>
          <w:tcPr>
            <w:tcW w:w="80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Average Exercise Price</w:t>
            </w:r>
          </w:p>
        </w:tc>
        <w:tc>
          <w:tcPr>
            <w:tcW w:w="0" w:type="dxa"/>
            <w:vAlign w:val="bottom"/>
          </w:tcPr>
          <w:p>
            <w:pPr>
              <w:spacing w:after="0"/>
              <w:rPr>
                <w:sz w:val="1"/>
                <w:szCs w:val="1"/>
                <w:color w:val="auto"/>
              </w:rPr>
            </w:pPr>
          </w:p>
        </w:tc>
      </w:tr>
      <w:tr>
        <w:trPr>
          <w:trHeight w:val="228"/>
        </w:trPr>
        <w:tc>
          <w:tcPr>
            <w:tcW w:w="8020" w:type="dxa"/>
            <w:vAlign w:val="bottom"/>
            <w:tcBorders>
              <w:top w:val="single" w:sz="8" w:color="EBFEFF"/>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Awards outstanding at December 31, 2023</w:t>
            </w:r>
          </w:p>
        </w:tc>
        <w:tc>
          <w:tcPr>
            <w:tcW w:w="1460" w:type="dxa"/>
            <w:vAlign w:val="bottom"/>
            <w:tcBorders>
              <w:top w:val="single" w:sz="8" w:color="auto"/>
            </w:tcBorders>
            <w:shd w:val="clear" w:color="auto" w:fill="EBFEFF"/>
          </w:tcPr>
          <w:p>
            <w:pPr>
              <w:jc w:val="center"/>
              <w:ind w:left="652"/>
              <w:spacing w:after="0"/>
              <w:rPr>
                <w:sz w:val="20"/>
                <w:szCs w:val="20"/>
                <w:color w:val="auto"/>
              </w:rPr>
            </w:pPr>
            <w:r>
              <w:rPr>
                <w:rFonts w:ascii="Times New Roman" w:cs="Times New Roman" w:eastAsia="Times New Roman" w:hAnsi="Times New Roman"/>
                <w:sz w:val="18"/>
                <w:szCs w:val="18"/>
                <w:color w:val="auto"/>
              </w:rPr>
              <w:t>249,247</w:t>
            </w:r>
          </w:p>
        </w:tc>
        <w:tc>
          <w:tcPr>
            <w:tcW w:w="100" w:type="dxa"/>
            <w:vAlign w:val="bottom"/>
            <w:tcBorders>
              <w:top w:val="single" w:sz="8" w:color="EBFEFF"/>
            </w:tcBorders>
            <w:shd w:val="clear" w:color="auto" w:fill="EBFEFF"/>
          </w:tcPr>
          <w:p>
            <w:pPr>
              <w:spacing w:after="0"/>
              <w:rPr>
                <w:sz w:val="19"/>
                <w:szCs w:val="19"/>
                <w:color w:val="auto"/>
              </w:rPr>
            </w:pPr>
          </w:p>
        </w:tc>
        <w:tc>
          <w:tcPr>
            <w:tcW w:w="260" w:type="dxa"/>
            <w:vAlign w:val="bottom"/>
            <w:tcBorders>
              <w:top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0" w:type="dxa"/>
            <w:vAlign w:val="bottom"/>
          </w:tcPr>
          <w:p>
            <w:pPr>
              <w:spacing w:after="0"/>
              <w:rPr>
                <w:sz w:val="1"/>
                <w:szCs w:val="1"/>
                <w:color w:val="auto"/>
              </w:rPr>
            </w:pPr>
          </w:p>
        </w:tc>
      </w:tr>
      <w:tr>
        <w:trPr>
          <w:trHeight w:val="230"/>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center"/>
              <w:ind w:left="652"/>
              <w:spacing w:after="0"/>
              <w:rPr>
                <w:sz w:val="20"/>
                <w:szCs w:val="20"/>
                <w:color w:val="auto"/>
              </w:rPr>
            </w:pPr>
            <w:r>
              <w:rPr>
                <w:rFonts w:ascii="Times New Roman" w:cs="Times New Roman" w:eastAsia="Times New Roman" w:hAnsi="Times New Roman"/>
                <w:sz w:val="18"/>
                <w:szCs w:val="18"/>
                <w:color w:val="auto"/>
              </w:rPr>
              <w:t>447,499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30"/>
        </w:trPr>
        <w:tc>
          <w:tcPr>
            <w:tcW w:w="802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shd w:val="clear" w:color="auto" w:fill="EBFEFF"/>
          </w:tcPr>
          <w:p>
            <w:pPr>
              <w:spacing w:after="0"/>
              <w:rPr>
                <w:sz w:val="19"/>
                <w:szCs w:val="19"/>
                <w:color w:val="auto"/>
              </w:rPr>
            </w:pPr>
          </w:p>
        </w:tc>
        <w:tc>
          <w:tcPr>
            <w:tcW w:w="260" w:type="dxa"/>
            <w:vAlign w:val="bottom"/>
            <w:tcBorders>
              <w:bottom w:val="single" w:sz="8" w:color="auto"/>
            </w:tcBorders>
            <w:shd w:val="clear" w:color="auto" w:fill="EBFEFF"/>
          </w:tcPr>
          <w:p>
            <w:pPr>
              <w:spacing w:after="0"/>
              <w:rPr>
                <w:sz w:val="19"/>
                <w:szCs w:val="19"/>
                <w:color w:val="auto"/>
              </w:rPr>
            </w:pPr>
          </w:p>
        </w:tc>
        <w:tc>
          <w:tcPr>
            <w:tcW w:w="120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2024</w:t>
            </w:r>
          </w:p>
        </w:tc>
        <w:tc>
          <w:tcPr>
            <w:tcW w:w="1460" w:type="dxa"/>
            <w:vAlign w:val="bottom"/>
            <w:tcBorders>
              <w:bottom w:val="single" w:sz="8" w:color="auto"/>
            </w:tcBorders>
          </w:tcPr>
          <w:p>
            <w:pPr>
              <w:jc w:val="center"/>
              <w:ind w:left="652"/>
              <w:spacing w:after="0"/>
              <w:rPr>
                <w:sz w:val="20"/>
                <w:szCs w:val="20"/>
                <w:color w:val="auto"/>
              </w:rPr>
            </w:pPr>
            <w:r>
              <w:rPr>
                <w:rFonts w:ascii="Times New Roman" w:cs="Times New Roman" w:eastAsia="Times New Roman" w:hAnsi="Times New Roman"/>
                <w:sz w:val="18"/>
                <w:szCs w:val="18"/>
                <w:color w:val="auto"/>
              </w:rPr>
              <w:t>691,593</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EBF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BF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Options exercisable at September 30, 2024</w:t>
            </w:r>
          </w:p>
        </w:tc>
        <w:tc>
          <w:tcPr>
            <w:tcW w:w="1460" w:type="dxa"/>
            <w:vAlign w:val="bottom"/>
            <w:shd w:val="clear" w:color="auto" w:fill="EBFEFF"/>
          </w:tcPr>
          <w:p>
            <w:pPr>
              <w:jc w:val="center"/>
              <w:ind w:left="652"/>
              <w:spacing w:after="0"/>
              <w:rPr>
                <w:sz w:val="20"/>
                <w:szCs w:val="20"/>
                <w:color w:val="auto"/>
              </w:rPr>
            </w:pPr>
            <w:r>
              <w:rPr>
                <w:rFonts w:ascii="Times New Roman" w:cs="Times New Roman" w:eastAsia="Times New Roman" w:hAnsi="Times New Roman"/>
                <w:sz w:val="18"/>
                <w:szCs w:val="18"/>
                <w:color w:val="auto"/>
              </w:rPr>
              <w:t>237,800</w:t>
            </w:r>
          </w:p>
        </w:tc>
        <w:tc>
          <w:tcPr>
            <w:tcW w:w="100" w:type="dxa"/>
            <w:vAlign w:val="bottom"/>
            <w:shd w:val="clear" w:color="auto" w:fill="EBFEFF"/>
          </w:tcPr>
          <w:p>
            <w:pPr>
              <w:spacing w:after="0"/>
              <w:rPr>
                <w:sz w:val="19"/>
                <w:szCs w:val="19"/>
                <w:color w:val="auto"/>
              </w:rPr>
            </w:pPr>
          </w:p>
        </w:tc>
        <w:tc>
          <w:tcPr>
            <w:tcW w:w="26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0" w:type="dxa"/>
            <w:vAlign w:val="bottom"/>
          </w:tcPr>
          <w:p>
            <w:pPr>
              <w:spacing w:after="0"/>
              <w:rPr>
                <w:sz w:val="1"/>
                <w:szCs w:val="1"/>
                <w:color w:val="auto"/>
              </w:rPr>
            </w:pPr>
          </w:p>
        </w:tc>
      </w:tr>
      <w:tr>
        <w:trPr>
          <w:trHeight w:val="230"/>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 average remaining contractual term</w:t>
            </w:r>
          </w:p>
        </w:tc>
        <w:tc>
          <w:tcPr>
            <w:tcW w:w="156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auto"/>
                <w:w w:val="95"/>
              </w:rPr>
              <w:t>6.9 Years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 at September 30, 2024</w:t>
            </w:r>
          </w:p>
        </w:tc>
        <w:tc>
          <w:tcPr>
            <w:tcW w:w="1460" w:type="dxa"/>
            <w:vAlign w:val="bottom"/>
            <w:shd w:val="clear" w:color="auto" w:fill="EBFEFF"/>
          </w:tcPr>
          <w:p>
            <w:pPr>
              <w:jc w:val="center"/>
              <w:ind w:left="652"/>
              <w:spacing w:after="0"/>
              <w:rPr>
                <w:sz w:val="20"/>
                <w:szCs w:val="20"/>
                <w:color w:val="auto"/>
              </w:rPr>
            </w:pPr>
            <w:r>
              <w:rPr>
                <w:rFonts w:ascii="Times New Roman" w:cs="Times New Roman" w:eastAsia="Times New Roman" w:hAnsi="Times New Roman"/>
                <w:sz w:val="18"/>
                <w:szCs w:val="18"/>
                <w:color w:val="auto"/>
              </w:rPr>
              <w:t>551,200</w:t>
            </w:r>
          </w:p>
        </w:tc>
        <w:tc>
          <w:tcPr>
            <w:tcW w:w="100" w:type="dxa"/>
            <w:vAlign w:val="bottom"/>
            <w:shd w:val="clear" w:color="auto" w:fill="EBFEFF"/>
          </w:tcPr>
          <w:p>
            <w:pPr>
              <w:spacing w:after="0"/>
              <w:rPr>
                <w:sz w:val="19"/>
                <w:szCs w:val="19"/>
                <w:color w:val="auto"/>
              </w:rPr>
            </w:pPr>
          </w:p>
        </w:tc>
        <w:tc>
          <w:tcPr>
            <w:tcW w:w="26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0" w:type="dxa"/>
            <w:vAlign w:val="bottom"/>
          </w:tcPr>
          <w:p>
            <w:pPr>
              <w:spacing w:after="0"/>
              <w:rPr>
                <w:sz w:val="1"/>
                <w:szCs w:val="1"/>
                <w:color w:val="auto"/>
              </w:rPr>
            </w:pPr>
          </w:p>
        </w:tc>
      </w:tr>
      <w:tr>
        <w:trPr>
          <w:trHeight w:val="234"/>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 average remaining contractual term</w:t>
            </w:r>
          </w:p>
        </w:tc>
        <w:tc>
          <w:tcPr>
            <w:tcW w:w="156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auto"/>
                <w:w w:val="95"/>
              </w:rPr>
              <w:t>8.2 Years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Compensation expense related to the grants of stock options is included in research and development and general and administrative expense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3"/>
        </w:trPr>
        <w:tc>
          <w:tcPr>
            <w:tcW w:w="466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660" w:type="dxa"/>
            <w:vAlign w:val="bottom"/>
            <w:tcBorders>
              <w:bottom w:val="single" w:sz="8" w:color="EBF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EBF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EBF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BF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EBF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EBFEFF"/>
          </w:tcPr>
          <w:p>
            <w:pPr>
              <w:spacing w:after="0"/>
              <w:rPr>
                <w:sz w:val="19"/>
                <w:szCs w:val="19"/>
                <w:color w:val="auto"/>
              </w:rPr>
            </w:pPr>
          </w:p>
        </w:tc>
        <w:tc>
          <w:tcPr>
            <w:tcW w:w="1080" w:type="dxa"/>
            <w:vAlign w:val="bottom"/>
            <w:shd w:val="clear" w:color="auto" w:fill="EBF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w w:val="96"/>
              </w:rPr>
              <w:t>113</w:t>
            </w:r>
          </w:p>
        </w:tc>
        <w:tc>
          <w:tcPr>
            <w:tcW w:w="180" w:type="dxa"/>
            <w:vAlign w:val="bottom"/>
            <w:shd w:val="clear" w:color="auto" w:fill="EBFEFF"/>
          </w:tcPr>
          <w:p>
            <w:pPr>
              <w:spacing w:after="0"/>
              <w:rPr>
                <w:sz w:val="19"/>
                <w:szCs w:val="19"/>
                <w:color w:val="auto"/>
              </w:rPr>
            </w:pPr>
          </w:p>
        </w:tc>
        <w:tc>
          <w:tcPr>
            <w:tcW w:w="380" w:type="dxa"/>
            <w:vAlign w:val="bottom"/>
            <w:shd w:val="clear" w:color="auto" w:fill="EBF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EBFEFF"/>
          </w:tcPr>
          <w:p>
            <w:pPr>
              <w:spacing w:after="0"/>
              <w:rPr>
                <w:sz w:val="19"/>
                <w:szCs w:val="19"/>
                <w:color w:val="auto"/>
              </w:rPr>
            </w:pPr>
          </w:p>
        </w:tc>
        <w:tc>
          <w:tcPr>
            <w:tcW w:w="400" w:type="dxa"/>
            <w:vAlign w:val="bottom"/>
            <w:shd w:val="clear" w:color="auto" w:fill="EBF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4660" w:type="dxa"/>
            <w:vAlign w:val="bottom"/>
            <w:tcBorders>
              <w:bottom w:val="single" w:sz="8" w:color="EBF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EBF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320</w:t>
            </w:r>
          </w:p>
        </w:tc>
        <w:tc>
          <w:tcPr>
            <w:tcW w:w="180" w:type="dxa"/>
            <w:vAlign w:val="bottom"/>
            <w:tcBorders>
              <w:bottom w:val="single" w:sz="8" w:color="EBF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Borders>
              <w:bottom w:val="single" w:sz="8" w:color="EBF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48"/>
        </w:trPr>
        <w:tc>
          <w:tcPr>
            <w:tcW w:w="4660" w:type="dxa"/>
            <w:vAlign w:val="bottom"/>
            <w:tcBorders>
              <w:bottom w:val="single" w:sz="8" w:color="EBFEFF"/>
            </w:tcBorders>
            <w:shd w:val="clear" w:color="auto" w:fill="EBFEFF"/>
          </w:tcPr>
          <w:p>
            <w:pPr>
              <w:ind w:left="18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980" w:type="dxa"/>
            <w:vAlign w:val="bottom"/>
            <w:tcBorders>
              <w:bottom w:val="single" w:sz="8" w:color="auto"/>
            </w:tcBorders>
            <w:shd w:val="clear" w:color="auto" w:fill="EBF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EBFEFF"/>
            </w:tcBorders>
            <w:shd w:val="clear" w:color="auto" w:fill="EBFEFF"/>
          </w:tcPr>
          <w:p>
            <w:pPr>
              <w:spacing w:after="0"/>
              <w:rPr>
                <w:sz w:val="21"/>
                <w:szCs w:val="21"/>
                <w:color w:val="auto"/>
              </w:rPr>
            </w:pPr>
          </w:p>
        </w:tc>
        <w:tc>
          <w:tcPr>
            <w:tcW w:w="1080" w:type="dxa"/>
            <w:vAlign w:val="bottom"/>
            <w:tcBorders>
              <w:bottom w:val="single" w:sz="8" w:color="auto"/>
            </w:tcBorders>
            <w:shd w:val="clear" w:color="auto" w:fill="EBF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w w:val="96"/>
              </w:rPr>
              <w:t>433</w:t>
            </w:r>
          </w:p>
        </w:tc>
        <w:tc>
          <w:tcPr>
            <w:tcW w:w="180" w:type="dxa"/>
            <w:vAlign w:val="bottom"/>
            <w:tcBorders>
              <w:bottom w:val="single" w:sz="8" w:color="EBFEFF"/>
            </w:tcBorders>
            <w:shd w:val="clear" w:color="auto" w:fill="EBFEFF"/>
          </w:tcPr>
          <w:p>
            <w:pPr>
              <w:spacing w:after="0"/>
              <w:rPr>
                <w:sz w:val="21"/>
                <w:szCs w:val="21"/>
                <w:color w:val="auto"/>
              </w:rPr>
            </w:pPr>
          </w:p>
        </w:tc>
        <w:tc>
          <w:tcPr>
            <w:tcW w:w="380" w:type="dxa"/>
            <w:vAlign w:val="bottom"/>
            <w:tcBorders>
              <w:bottom w:val="single" w:sz="8" w:color="auto"/>
            </w:tcBorders>
            <w:shd w:val="clear" w:color="auto" w:fill="EBF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Borders>
              <w:bottom w:val="single" w:sz="8" w:color="EBFEFF"/>
            </w:tcBorders>
            <w:shd w:val="clear" w:color="auto" w:fill="EBFEFF"/>
          </w:tcPr>
          <w:p>
            <w:pPr>
              <w:spacing w:after="0"/>
              <w:rPr>
                <w:sz w:val="21"/>
                <w:szCs w:val="21"/>
                <w:color w:val="auto"/>
              </w:rPr>
            </w:pPr>
          </w:p>
        </w:tc>
        <w:tc>
          <w:tcPr>
            <w:tcW w:w="400" w:type="dxa"/>
            <w:vAlign w:val="bottom"/>
            <w:tcBorders>
              <w:bottom w:val="single" w:sz="8" w:color="auto"/>
            </w:tcBorders>
            <w:shd w:val="clear" w:color="auto" w:fill="EBF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0"/>
        </w:trPr>
        <w:tc>
          <w:tcPr>
            <w:tcW w:w="4660" w:type="dxa"/>
            <w:vAlign w:val="bottom"/>
            <w:tcBorders>
              <w:top w:val="single" w:sz="8" w:color="EBFEFF"/>
            </w:tcBorders>
          </w:tcPr>
          <w:p>
            <w:pPr>
              <w:spacing w:after="0" w:line="20" w:lineRule="exact"/>
              <w:rPr>
                <w:sz w:val="1"/>
                <w:szCs w:val="1"/>
                <w:color w:val="auto"/>
              </w:rPr>
            </w:pPr>
          </w:p>
        </w:tc>
        <w:tc>
          <w:tcPr>
            <w:tcW w:w="980" w:type="dxa"/>
            <w:vAlign w:val="bottom"/>
            <w:tcBorders>
              <w:top w:val="single" w:sz="8" w:color="EBFEFF"/>
              <w:bottom w:val="single" w:sz="8" w:color="auto"/>
            </w:tcBorders>
          </w:tcPr>
          <w:p>
            <w:pPr>
              <w:spacing w:after="0" w:line="20" w:lineRule="exact"/>
              <w:rPr>
                <w:sz w:val="1"/>
                <w:szCs w:val="1"/>
                <w:color w:val="auto"/>
              </w:rPr>
            </w:pPr>
          </w:p>
        </w:tc>
        <w:tc>
          <w:tcPr>
            <w:tcW w:w="46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1080" w:type="dxa"/>
            <w:vAlign w:val="bottom"/>
            <w:tcBorders>
              <w:top w:val="single" w:sz="8" w:color="EBFEFF"/>
              <w:bottom w:val="single" w:sz="8" w:color="auto"/>
            </w:tcBorders>
          </w:tcPr>
          <w:p>
            <w:pPr>
              <w:spacing w:after="0" w:line="20" w:lineRule="exact"/>
              <w:rPr>
                <w:sz w:val="1"/>
                <w:szCs w:val="1"/>
                <w:color w:val="auto"/>
              </w:rPr>
            </w:pPr>
          </w:p>
        </w:tc>
        <w:tc>
          <w:tcPr>
            <w:tcW w:w="360" w:type="dxa"/>
            <w:vAlign w:val="bottom"/>
            <w:tcBorders>
              <w:top w:val="single" w:sz="8" w:color="EBFEFF"/>
              <w:bottom w:val="single" w:sz="8" w:color="auto"/>
            </w:tcBorders>
          </w:tcPr>
          <w:p>
            <w:pPr>
              <w:spacing w:after="0" w:line="20" w:lineRule="exact"/>
              <w:rPr>
                <w:sz w:val="1"/>
                <w:szCs w:val="1"/>
                <w:color w:val="auto"/>
              </w:rPr>
            </w:pPr>
          </w:p>
        </w:tc>
        <w:tc>
          <w:tcPr>
            <w:tcW w:w="180" w:type="dxa"/>
            <w:vAlign w:val="bottom"/>
            <w:tcBorders>
              <w:top w:val="single" w:sz="8" w:color="EBFEFF"/>
            </w:tcBorders>
          </w:tcPr>
          <w:p>
            <w:pPr>
              <w:spacing w:after="0" w:line="20" w:lineRule="exact"/>
              <w:rPr>
                <w:sz w:val="1"/>
                <w:szCs w:val="1"/>
                <w:color w:val="auto"/>
              </w:rPr>
            </w:pPr>
          </w:p>
        </w:tc>
        <w:tc>
          <w:tcPr>
            <w:tcW w:w="380" w:type="dxa"/>
            <w:vAlign w:val="bottom"/>
            <w:tcBorders>
              <w:top w:val="single" w:sz="8" w:color="EBFEFF"/>
              <w:bottom w:val="single" w:sz="8" w:color="auto"/>
            </w:tcBorders>
          </w:tcPr>
          <w:p>
            <w:pPr>
              <w:spacing w:after="0" w:line="20" w:lineRule="exact"/>
              <w:rPr>
                <w:sz w:val="1"/>
                <w:szCs w:val="1"/>
                <w:color w:val="auto"/>
              </w:rPr>
            </w:pPr>
          </w:p>
        </w:tc>
        <w:tc>
          <w:tcPr>
            <w:tcW w:w="128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400" w:type="dxa"/>
            <w:vAlign w:val="bottom"/>
            <w:tcBorders>
              <w:top w:val="single" w:sz="8" w:color="EBFEFF"/>
              <w:bottom w:val="single" w:sz="8" w:color="auto"/>
            </w:tcBorders>
          </w:tcPr>
          <w:p>
            <w:pPr>
              <w:spacing w:after="0" w:line="20" w:lineRule="exact"/>
              <w:rPr>
                <w:sz w:val="1"/>
                <w:szCs w:val="1"/>
                <w:color w:val="auto"/>
              </w:rPr>
            </w:pPr>
          </w:p>
        </w:tc>
        <w:tc>
          <w:tcPr>
            <w:tcW w:w="1260" w:type="dxa"/>
            <w:vAlign w:val="bottom"/>
            <w:tcBorders>
              <w:top w:val="single" w:sz="8" w:color="EBF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Novo Nordisk</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February 2007, the Company entered into an Agreement (the “Novo License Agreement”) Concerning Glucokinase Activator Project with Novo Nordisk A/S (the “Novo Nordisk”) whereby the Company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This agreement was amended in May 2019 to create milestone payments applicable to certain specific and non-specific areas of therapeutic use. Under the terms of the amended Novo License Agreement, the Company has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August 2019, the Company leased office space for its headquarters location under an operating lease. This lease commenced in November 2019 after the completion of certain tenant improvements made by the lessor. The lease included an option to renew for a five-year term as well as an option to terminate after three years, neither of which was recognized as part of its related right of use assets or lease liabilities as their election was not considered reasonably certain. In November 2022, the Company entered into a second amendment to the lease, (i) to reduce the square footage and (ii) to extend the lease term, which constituted a modification event under ASC 842 and, the lease classification for the asset remains as an operating lease. Further, the second amendment to the lease does not include any material residual value guarantee or restrictive covenants.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each of September 30, 2024 and December 31, 2023, the weighted average incremental borrowing rate for the operating lease held by the Company was 9.5%. At September 30, 2024 and December 31, 2023, the weighted average remaining lease terms for the operating lease held by the Company were 1.2 years and 1.9 years, respectively.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Maturities of lease liabilities for the Company’s operating lease as of September 30, 2024 were as follows (in thousands):</w:t>
            </w: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35"/>
        </w:trPr>
        <w:tc>
          <w:tcPr>
            <w:tcW w:w="9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30"/>
        </w:trPr>
        <w:tc>
          <w:tcPr>
            <w:tcW w:w="958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620" w:type="dxa"/>
            <w:vAlign w:val="bottom"/>
            <w:shd w:val="clear" w:color="auto" w:fill="EBF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958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shd w:val="clear" w:color="auto" w:fill="EBFEFF"/>
          </w:tcPr>
          <w:p>
            <w:pPr>
              <w:spacing w:after="0"/>
              <w:rPr>
                <w:sz w:val="19"/>
                <w:szCs w:val="19"/>
                <w:color w:val="auto"/>
              </w:rPr>
            </w:pPr>
          </w:p>
        </w:tc>
        <w:tc>
          <w:tcPr>
            <w:tcW w:w="8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8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shd w:val="clear" w:color="auto" w:fill="EBFEFF"/>
          </w:tcPr>
          <w:p>
            <w:pPr>
              <w:spacing w:after="0"/>
              <w:rPr>
                <w:sz w:val="19"/>
                <w:szCs w:val="19"/>
                <w:color w:val="auto"/>
              </w:rPr>
            </w:pPr>
          </w:p>
        </w:tc>
        <w:tc>
          <w:tcPr>
            <w:tcW w:w="8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80" w:type="dxa"/>
            <w:vAlign w:val="bottom"/>
            <w:tcBorders>
              <w:bottom w:val="single" w:sz="8" w:color="EBF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8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620" w:type="dxa"/>
            <w:vAlign w:val="bottom"/>
            <w:shd w:val="clear" w:color="auto" w:fill="EBFEFF"/>
          </w:tcPr>
          <w:p>
            <w:pPr>
              <w:spacing w:after="0"/>
              <w:rPr>
                <w:sz w:val="19"/>
                <w:szCs w:val="19"/>
                <w:color w:val="auto"/>
              </w:rPr>
            </w:pPr>
          </w:p>
        </w:tc>
        <w:tc>
          <w:tcPr>
            <w:tcW w:w="8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9580" w:type="dxa"/>
            <w:vAlign w:val="bottom"/>
            <w:tcBorders>
              <w:bottom w:val="single" w:sz="8" w:color="EBF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9580" w:type="dxa"/>
            <w:vAlign w:val="bottom"/>
            <w:tcBorders>
              <w:bottom w:val="single" w:sz="8" w:color="EBFEFF"/>
            </w:tcBorders>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620" w:type="dxa"/>
            <w:vAlign w:val="bottom"/>
            <w:tcBorders>
              <w:bottom w:val="single" w:sz="8" w:color="auto"/>
            </w:tcBorders>
            <w:shd w:val="clear" w:color="auto" w:fill="EBF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0"/>
        </w:trPr>
        <w:tc>
          <w:tcPr>
            <w:tcW w:w="9580" w:type="dxa"/>
            <w:vAlign w:val="bottom"/>
            <w:tcBorders>
              <w:top w:val="single" w:sz="8" w:color="EBFEFF"/>
            </w:tcBorders>
          </w:tcPr>
          <w:p>
            <w:pPr>
              <w:spacing w:after="0" w:line="20" w:lineRule="exact"/>
              <w:rPr>
                <w:sz w:val="1"/>
                <w:szCs w:val="1"/>
                <w:color w:val="auto"/>
              </w:rPr>
            </w:pPr>
          </w:p>
        </w:tc>
        <w:tc>
          <w:tcPr>
            <w:tcW w:w="620" w:type="dxa"/>
            <w:vAlign w:val="bottom"/>
            <w:tcBorders>
              <w:top w:val="single" w:sz="8" w:color="EBFEFF"/>
              <w:bottom w:val="single" w:sz="8" w:color="auto"/>
            </w:tcBorders>
          </w:tcPr>
          <w:p>
            <w:pPr>
              <w:spacing w:after="0" w:line="20" w:lineRule="exact"/>
              <w:rPr>
                <w:sz w:val="1"/>
                <w:szCs w:val="1"/>
                <w:color w:val="auto"/>
              </w:rPr>
            </w:pPr>
          </w:p>
        </w:tc>
        <w:tc>
          <w:tcPr>
            <w:tcW w:w="840" w:type="dxa"/>
            <w:vAlign w:val="bottom"/>
            <w:tcBorders>
              <w:top w:val="single" w:sz="8" w:color="EBF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Operating lease cost and the related operating cash flows for the nine months ended September 30, 2024 and 2023 was $0.2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Noncontrolling Interest</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is subject to the Exchange Agreement with respect to the vTv Units representing the 18.1% noncontrolling interest in vTv LLC outstanding as of September 30, 2024 (see Note 9).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February 27, 2024, in connection with the Private Placement financing, the Investor Rights Agreement altered M&amp;F TTP Holdings Two LLC (“M&amp;F”) governance rights such that directors designated by M&amp;F no longer comprised a majority of the Company’s Board of Directors (see Note 9). The redeemable noncontrolling interest redemption feature to exchange vTv Units for cash rather than shares of Class A common stock is a contingent event that is now within control of the Company through the Company’s independent Board of Directors. As a result, $5.3 million representing the fair value of redeemable noncontrolling interest on February 27, 2024, was reclassified from temporary equity in the mezzanine section of the Condensed Consolidated Balance Sheets to noncontrolling interest as a component of permanent equity.</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Prior to February 27, 2024, the Company recorded redeemable noncontrolling interest at the higher of (1) its initial fair value plus accumulated earnings/losses associated with the noncontrolling interest or (2) the redemption value as of the balance sheet date. At December 31, 2023, the redeemable noncontrolling interest was recorded based on the redemption value as of the balance sheet date of $6.1 million.</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326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0" w:type="dxa"/>
            <w:vAlign w:val="bottom"/>
          </w:tcPr>
          <w:p>
            <w:pPr>
              <w:spacing w:after="0"/>
              <w:rPr>
                <w:sz w:val="16"/>
                <w:szCs w:val="16"/>
                <w:color w:val="auto"/>
              </w:rPr>
            </w:pPr>
          </w:p>
        </w:tc>
        <w:tc>
          <w:tcPr>
            <w:tcW w:w="302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760" w:type="dxa"/>
            <w:vAlign w:val="bottom"/>
            <w:tcBorders>
              <w:bottom w:val="single" w:sz="8" w:color="EBF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EBF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EBF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BF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760" w:type="dxa"/>
            <w:vAlign w:val="bottom"/>
            <w:shd w:val="clear" w:color="auto" w:fill="EBF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attributable to vTv Therapeutics Inc. common</w:t>
            </w:r>
          </w:p>
        </w:tc>
        <w:tc>
          <w:tcPr>
            <w:tcW w:w="960" w:type="dxa"/>
            <w:vAlign w:val="bottom"/>
            <w:shd w:val="clear" w:color="auto" w:fill="EBFEFF"/>
          </w:tcPr>
          <w:p>
            <w:pPr>
              <w:spacing w:after="0"/>
              <w:rPr>
                <w:sz w:val="13"/>
                <w:szCs w:val="13"/>
                <w:color w:val="auto"/>
              </w:rPr>
            </w:pPr>
          </w:p>
        </w:tc>
        <w:tc>
          <w:tcPr>
            <w:tcW w:w="580" w:type="dxa"/>
            <w:vAlign w:val="bottom"/>
            <w:shd w:val="clear" w:color="auto" w:fill="EBFEFF"/>
          </w:tcPr>
          <w:p>
            <w:pPr>
              <w:spacing w:after="0"/>
              <w:rPr>
                <w:sz w:val="13"/>
                <w:szCs w:val="13"/>
                <w:color w:val="auto"/>
              </w:rPr>
            </w:pPr>
          </w:p>
        </w:tc>
        <w:tc>
          <w:tcPr>
            <w:tcW w:w="100" w:type="dxa"/>
            <w:vAlign w:val="bottom"/>
            <w:shd w:val="clear" w:color="auto" w:fill="EBFEFF"/>
          </w:tcPr>
          <w:p>
            <w:pPr>
              <w:spacing w:after="0"/>
              <w:rPr>
                <w:sz w:val="13"/>
                <w:szCs w:val="13"/>
                <w:color w:val="auto"/>
              </w:rPr>
            </w:pPr>
          </w:p>
        </w:tc>
        <w:tc>
          <w:tcPr>
            <w:tcW w:w="360" w:type="dxa"/>
            <w:vAlign w:val="bottom"/>
            <w:shd w:val="clear" w:color="auto" w:fill="EBFEFF"/>
          </w:tcPr>
          <w:p>
            <w:pPr>
              <w:spacing w:after="0"/>
              <w:rPr>
                <w:sz w:val="13"/>
                <w:szCs w:val="13"/>
                <w:color w:val="auto"/>
              </w:rPr>
            </w:pPr>
          </w:p>
        </w:tc>
        <w:tc>
          <w:tcPr>
            <w:tcW w:w="1180" w:type="dxa"/>
            <w:vAlign w:val="bottom"/>
            <w:shd w:val="clear" w:color="auto" w:fill="EBFEFF"/>
          </w:tcPr>
          <w:p>
            <w:pPr>
              <w:spacing w:after="0"/>
              <w:rPr>
                <w:sz w:val="13"/>
                <w:szCs w:val="13"/>
                <w:color w:val="auto"/>
              </w:rPr>
            </w:pPr>
          </w:p>
        </w:tc>
        <w:tc>
          <w:tcPr>
            <w:tcW w:w="80" w:type="dxa"/>
            <w:vAlign w:val="bottom"/>
            <w:shd w:val="clear" w:color="auto" w:fill="EBFEFF"/>
          </w:tcPr>
          <w:p>
            <w:pPr>
              <w:spacing w:after="0"/>
              <w:rPr>
                <w:sz w:val="13"/>
                <w:szCs w:val="13"/>
                <w:color w:val="auto"/>
              </w:rPr>
            </w:pPr>
          </w:p>
        </w:tc>
        <w:tc>
          <w:tcPr>
            <w:tcW w:w="200" w:type="dxa"/>
            <w:vAlign w:val="bottom"/>
            <w:shd w:val="clear" w:color="auto" w:fill="EBFEFF"/>
          </w:tcPr>
          <w:p>
            <w:pPr>
              <w:spacing w:after="0"/>
              <w:rPr>
                <w:sz w:val="13"/>
                <w:szCs w:val="13"/>
                <w:color w:val="auto"/>
              </w:rPr>
            </w:pPr>
          </w:p>
        </w:tc>
        <w:tc>
          <w:tcPr>
            <w:tcW w:w="1360" w:type="dxa"/>
            <w:vAlign w:val="bottom"/>
            <w:shd w:val="clear" w:color="auto" w:fill="EBFEFF"/>
          </w:tcPr>
          <w:p>
            <w:pPr>
              <w:spacing w:after="0"/>
              <w:rPr>
                <w:sz w:val="13"/>
                <w:szCs w:val="13"/>
                <w:color w:val="auto"/>
              </w:rPr>
            </w:pPr>
          </w:p>
        </w:tc>
        <w:tc>
          <w:tcPr>
            <w:tcW w:w="100" w:type="dxa"/>
            <w:vAlign w:val="bottom"/>
            <w:shd w:val="clear" w:color="auto" w:fill="EBFEFF"/>
          </w:tcPr>
          <w:p>
            <w:pPr>
              <w:spacing w:after="0"/>
              <w:rPr>
                <w:sz w:val="13"/>
                <w:szCs w:val="13"/>
                <w:color w:val="auto"/>
              </w:rPr>
            </w:pPr>
          </w:p>
        </w:tc>
        <w:tc>
          <w:tcPr>
            <w:tcW w:w="360" w:type="dxa"/>
            <w:vAlign w:val="bottom"/>
            <w:shd w:val="clear" w:color="auto" w:fill="EBFEFF"/>
          </w:tcPr>
          <w:p>
            <w:pPr>
              <w:spacing w:after="0"/>
              <w:rPr>
                <w:sz w:val="13"/>
                <w:szCs w:val="13"/>
                <w:color w:val="auto"/>
              </w:rPr>
            </w:pPr>
          </w:p>
        </w:tc>
        <w:tc>
          <w:tcPr>
            <w:tcW w:w="1200" w:type="dxa"/>
            <w:vAlign w:val="bottom"/>
            <w:shd w:val="clear" w:color="auto" w:fill="EBF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EBF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960" w:type="dxa"/>
            <w:vAlign w:val="bottom"/>
            <w:shd w:val="clear" w:color="auto" w:fill="EBF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shd w:val="clear" w:color="auto" w:fill="EBFEFF"/>
          </w:tcPr>
          <w:p>
            <w:pPr>
              <w:spacing w:after="0"/>
              <w:rPr>
                <w:sz w:val="21"/>
                <w:szCs w:val="21"/>
                <w:color w:val="auto"/>
              </w:rPr>
            </w:pPr>
          </w:p>
        </w:tc>
        <w:tc>
          <w:tcPr>
            <w:tcW w:w="360" w:type="dxa"/>
            <w:vAlign w:val="bottom"/>
            <w:shd w:val="clear" w:color="auto" w:fill="EBF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EBFEFF"/>
          </w:tcPr>
          <w:p>
            <w:pPr>
              <w:jc w:val="center"/>
              <w:ind w:left="495"/>
              <w:spacing w:after="0"/>
              <w:rPr>
                <w:sz w:val="20"/>
                <w:szCs w:val="20"/>
                <w:color w:val="auto"/>
              </w:rPr>
            </w:pPr>
            <w:r>
              <w:rPr>
                <w:rFonts w:ascii="Times New Roman" w:cs="Times New Roman" w:eastAsia="Times New Roman" w:hAnsi="Times New Roman"/>
                <w:sz w:val="18"/>
                <w:szCs w:val="18"/>
                <w:color w:val="auto"/>
                <w:w w:val="98"/>
              </w:rPr>
              <w:t>(6,654)</w:t>
            </w:r>
          </w:p>
        </w:tc>
        <w:tc>
          <w:tcPr>
            <w:tcW w:w="80" w:type="dxa"/>
            <w:vAlign w:val="bottom"/>
            <w:shd w:val="clear" w:color="auto" w:fill="EBFEFF"/>
          </w:tcPr>
          <w:p>
            <w:pPr>
              <w:spacing w:after="0"/>
              <w:rPr>
                <w:sz w:val="21"/>
                <w:szCs w:val="21"/>
                <w:color w:val="auto"/>
              </w:rPr>
            </w:pPr>
          </w:p>
        </w:tc>
        <w:tc>
          <w:tcPr>
            <w:tcW w:w="2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100" w:type="dxa"/>
            <w:vAlign w:val="bottom"/>
            <w:shd w:val="clear" w:color="auto" w:fill="EBFEFF"/>
          </w:tcPr>
          <w:p>
            <w:pPr>
              <w:spacing w:after="0"/>
              <w:rPr>
                <w:sz w:val="21"/>
                <w:szCs w:val="21"/>
                <w:color w:val="auto"/>
              </w:rPr>
            </w:pPr>
          </w:p>
        </w:tc>
        <w:tc>
          <w:tcPr>
            <w:tcW w:w="360" w:type="dxa"/>
            <w:vAlign w:val="bottom"/>
            <w:shd w:val="clear" w:color="auto" w:fill="EBF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(16,772)</w:t>
            </w:r>
          </w:p>
        </w:tc>
        <w:tc>
          <w:tcPr>
            <w:tcW w:w="0" w:type="dxa"/>
            <w:vAlign w:val="bottom"/>
          </w:tcPr>
          <w:p>
            <w:pPr>
              <w:spacing w:after="0"/>
              <w:rPr>
                <w:sz w:val="1"/>
                <w:szCs w:val="1"/>
                <w:color w:val="auto"/>
              </w:rPr>
            </w:pPr>
          </w:p>
        </w:tc>
      </w:tr>
      <w:tr>
        <w:trPr>
          <w:trHeight w:val="175"/>
        </w:trPr>
        <w:tc>
          <w:tcPr>
            <w:tcW w:w="4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(Decrease)/Increase in vTv Therapeutics Inc. stockholders'</w:t>
            </w: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equity (deficit) for sale of vTv Units as a result of common</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60" w:type="dxa"/>
            <w:vAlign w:val="bottom"/>
            <w:tcBorders>
              <w:bottom w:val="single" w:sz="8" w:color="EBFEFF"/>
            </w:tcBorders>
          </w:tcPr>
          <w:p>
            <w:pPr>
              <w:ind w:left="180"/>
              <w:spacing w:after="0"/>
              <w:rPr>
                <w:sz w:val="20"/>
                <w:szCs w:val="20"/>
                <w:color w:val="auto"/>
              </w:rPr>
            </w:pPr>
            <w:r>
              <w:rPr>
                <w:rFonts w:ascii="Times New Roman" w:cs="Times New Roman" w:eastAsia="Times New Roman" w:hAnsi="Times New Roman"/>
                <w:sz w:val="18"/>
                <w:szCs w:val="18"/>
                <w:color w:val="auto"/>
              </w:rPr>
              <w:t>stock issuances</w:t>
            </w: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Borders>
              <w:bottom w:val="single" w:sz="8" w:color="EBF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535"/>
              <w:spacing w:after="0"/>
              <w:rPr>
                <w:sz w:val="20"/>
                <w:szCs w:val="20"/>
                <w:color w:val="auto"/>
              </w:rPr>
            </w:pPr>
            <w:r>
              <w:rPr>
                <w:rFonts w:ascii="Times New Roman" w:cs="Times New Roman" w:eastAsia="Times New Roman" w:hAnsi="Times New Roman"/>
                <w:sz w:val="18"/>
                <w:szCs w:val="18"/>
                <w:color w:val="auto"/>
                <w:w w:val="98"/>
              </w:rPr>
              <w:t>1,592</w:t>
            </w:r>
          </w:p>
        </w:tc>
        <w:tc>
          <w:tcPr>
            <w:tcW w:w="80" w:type="dxa"/>
            <w:vAlign w:val="bottom"/>
            <w:tcBorders>
              <w:bottom w:val="single" w:sz="8" w:color="EBF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100" w:type="dxa"/>
            <w:vAlign w:val="bottom"/>
            <w:tcBorders>
              <w:bottom w:val="single" w:sz="8" w:color="EBF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0" w:type="dxa"/>
            <w:vAlign w:val="bottom"/>
          </w:tcPr>
          <w:p>
            <w:pPr>
              <w:spacing w:after="0"/>
              <w:rPr>
                <w:sz w:val="1"/>
                <w:szCs w:val="1"/>
                <w:color w:val="auto"/>
              </w:rPr>
            </w:pPr>
          </w:p>
        </w:tc>
      </w:tr>
      <w:tr>
        <w:trPr>
          <w:trHeight w:val="156"/>
        </w:trPr>
        <w:tc>
          <w:tcPr>
            <w:tcW w:w="4760" w:type="dxa"/>
            <w:vAlign w:val="bottom"/>
            <w:shd w:val="clear" w:color="auto" w:fill="EBFEFF"/>
          </w:tcPr>
          <w:p>
            <w:pPr>
              <w:ind w:left="20"/>
              <w:spacing w:after="0" w:line="156" w:lineRule="exact"/>
              <w:rPr>
                <w:sz w:val="20"/>
                <w:szCs w:val="20"/>
                <w:color w:val="auto"/>
              </w:rPr>
            </w:pPr>
            <w:r>
              <w:rPr>
                <w:rFonts w:ascii="Times New Roman" w:cs="Times New Roman" w:eastAsia="Times New Roman" w:hAnsi="Times New Roman"/>
                <w:sz w:val="18"/>
                <w:szCs w:val="18"/>
                <w:color w:val="auto"/>
              </w:rPr>
              <w:t>Change from net loss attributable to vTv Therapeutics Inc.</w:t>
            </w:r>
          </w:p>
        </w:tc>
        <w:tc>
          <w:tcPr>
            <w:tcW w:w="960" w:type="dxa"/>
            <w:vAlign w:val="bottom"/>
            <w:vMerge w:val="restart"/>
            <w:shd w:val="clear" w:color="auto" w:fill="EBF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100" w:type="dxa"/>
            <w:vAlign w:val="bottom"/>
            <w:shd w:val="clear" w:color="auto" w:fill="EBFEFF"/>
          </w:tcPr>
          <w:p>
            <w:pPr>
              <w:spacing w:after="0"/>
              <w:rPr>
                <w:sz w:val="13"/>
                <w:szCs w:val="13"/>
                <w:color w:val="auto"/>
              </w:rPr>
            </w:pPr>
          </w:p>
        </w:tc>
        <w:tc>
          <w:tcPr>
            <w:tcW w:w="360" w:type="dxa"/>
            <w:vAlign w:val="bottom"/>
            <w:vMerge w:val="restart"/>
            <w:shd w:val="clear" w:color="auto" w:fill="EBF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EBFEFF"/>
          </w:tcPr>
          <w:p>
            <w:pPr>
              <w:jc w:val="center"/>
              <w:ind w:left="495"/>
              <w:spacing w:after="0"/>
              <w:rPr>
                <w:sz w:val="20"/>
                <w:szCs w:val="20"/>
                <w:color w:val="auto"/>
              </w:rPr>
            </w:pPr>
            <w:r>
              <w:rPr>
                <w:rFonts w:ascii="Times New Roman" w:cs="Times New Roman" w:eastAsia="Times New Roman" w:hAnsi="Times New Roman"/>
                <w:sz w:val="18"/>
                <w:szCs w:val="18"/>
                <w:color w:val="auto"/>
                <w:w w:val="98"/>
              </w:rPr>
              <w:t>(5,062)</w:t>
            </w:r>
          </w:p>
        </w:tc>
        <w:tc>
          <w:tcPr>
            <w:tcW w:w="80" w:type="dxa"/>
            <w:vAlign w:val="bottom"/>
            <w:shd w:val="clear" w:color="auto" w:fill="EBFEFF"/>
          </w:tcPr>
          <w:p>
            <w:pPr>
              <w:spacing w:after="0"/>
              <w:rPr>
                <w:sz w:val="13"/>
                <w:szCs w:val="13"/>
                <w:color w:val="auto"/>
              </w:rPr>
            </w:pPr>
          </w:p>
        </w:tc>
        <w:tc>
          <w:tcPr>
            <w:tcW w:w="20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100" w:type="dxa"/>
            <w:vAlign w:val="bottom"/>
            <w:shd w:val="clear" w:color="auto" w:fill="EBFEFF"/>
          </w:tcPr>
          <w:p>
            <w:pPr>
              <w:spacing w:after="0"/>
              <w:rPr>
                <w:sz w:val="13"/>
                <w:szCs w:val="13"/>
                <w:color w:val="auto"/>
              </w:rPr>
            </w:pPr>
          </w:p>
        </w:tc>
        <w:tc>
          <w:tcPr>
            <w:tcW w:w="360" w:type="dxa"/>
            <w:vAlign w:val="bottom"/>
            <w:vMerge w:val="restart"/>
            <w:shd w:val="clear" w:color="auto" w:fill="EBF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(12,560)</w:t>
            </w:r>
          </w:p>
        </w:tc>
        <w:tc>
          <w:tcPr>
            <w:tcW w:w="0" w:type="dxa"/>
            <w:vAlign w:val="bottom"/>
          </w:tcPr>
          <w:p>
            <w:pPr>
              <w:spacing w:after="0"/>
              <w:rPr>
                <w:sz w:val="1"/>
                <w:szCs w:val="1"/>
                <w:color w:val="auto"/>
              </w:rPr>
            </w:pPr>
          </w:p>
        </w:tc>
      </w:tr>
      <w:tr>
        <w:trPr>
          <w:trHeight w:val="236"/>
        </w:trPr>
        <w:tc>
          <w:tcPr>
            <w:tcW w:w="4760" w:type="dxa"/>
            <w:vAlign w:val="bottom"/>
            <w:tcBorders>
              <w:bottom w:val="single" w:sz="8" w:color="EBFEFF"/>
            </w:tcBorders>
            <w:shd w:val="clear" w:color="auto" w:fill="EBFEFF"/>
          </w:tcPr>
          <w:p>
            <w:pPr>
              <w:ind w:left="180"/>
              <w:spacing w:after="0"/>
              <w:rPr>
                <w:sz w:val="20"/>
                <w:szCs w:val="20"/>
                <w:color w:val="auto"/>
              </w:rPr>
            </w:pPr>
            <w:r>
              <w:rPr>
                <w:rFonts w:ascii="Times New Roman" w:cs="Times New Roman" w:eastAsia="Times New Roman" w:hAnsi="Times New Roman"/>
                <w:sz w:val="18"/>
                <w:szCs w:val="18"/>
                <w:color w:val="auto"/>
              </w:rPr>
              <w:t>common shareholders and transfers to noncontrolling interest</w:t>
            </w:r>
          </w:p>
        </w:tc>
        <w:tc>
          <w:tcPr>
            <w:tcW w:w="960" w:type="dxa"/>
            <w:vAlign w:val="bottom"/>
            <w:tcBorders>
              <w:bottom w:val="single" w:sz="8" w:color="auto"/>
            </w:tcBorders>
            <w:vMerge w:val="continue"/>
            <w:shd w:val="clear" w:color="auto" w:fill="EBFEFF"/>
          </w:tcPr>
          <w:p>
            <w:pPr>
              <w:spacing w:after="0"/>
              <w:rPr>
                <w:sz w:val="20"/>
                <w:szCs w:val="20"/>
                <w:color w:val="auto"/>
              </w:rPr>
            </w:pPr>
          </w:p>
        </w:tc>
        <w:tc>
          <w:tcPr>
            <w:tcW w:w="580" w:type="dxa"/>
            <w:vAlign w:val="bottom"/>
            <w:tcBorders>
              <w:bottom w:val="single" w:sz="8" w:color="auto"/>
            </w:tcBorders>
            <w:vMerge w:val="continue"/>
            <w:shd w:val="clear" w:color="auto" w:fill="EBFEFF"/>
          </w:tcPr>
          <w:p>
            <w:pPr>
              <w:spacing w:after="0"/>
              <w:rPr>
                <w:sz w:val="20"/>
                <w:szCs w:val="20"/>
                <w:color w:val="auto"/>
              </w:rPr>
            </w:pPr>
          </w:p>
        </w:tc>
        <w:tc>
          <w:tcPr>
            <w:tcW w:w="100" w:type="dxa"/>
            <w:vAlign w:val="bottom"/>
            <w:tcBorders>
              <w:bottom w:val="single" w:sz="8" w:color="EBFEFF"/>
            </w:tcBorders>
            <w:shd w:val="clear" w:color="auto" w:fill="EBFEFF"/>
          </w:tcPr>
          <w:p>
            <w:pPr>
              <w:spacing w:after="0"/>
              <w:rPr>
                <w:sz w:val="20"/>
                <w:szCs w:val="20"/>
                <w:color w:val="auto"/>
              </w:rPr>
            </w:pPr>
          </w:p>
        </w:tc>
        <w:tc>
          <w:tcPr>
            <w:tcW w:w="360" w:type="dxa"/>
            <w:vAlign w:val="bottom"/>
            <w:tcBorders>
              <w:bottom w:val="single" w:sz="8" w:color="auto"/>
            </w:tcBorders>
            <w:vMerge w:val="continue"/>
            <w:shd w:val="clear" w:color="auto" w:fill="EBFEFF"/>
          </w:tcPr>
          <w:p>
            <w:pPr>
              <w:spacing w:after="0"/>
              <w:rPr>
                <w:sz w:val="20"/>
                <w:szCs w:val="20"/>
                <w:color w:val="auto"/>
              </w:rPr>
            </w:pPr>
          </w:p>
        </w:tc>
        <w:tc>
          <w:tcPr>
            <w:tcW w:w="1180" w:type="dxa"/>
            <w:vAlign w:val="bottom"/>
            <w:tcBorders>
              <w:bottom w:val="single" w:sz="8" w:color="auto"/>
            </w:tcBorders>
            <w:vMerge w:val="continue"/>
            <w:shd w:val="clear" w:color="auto" w:fill="EBFEFF"/>
          </w:tcPr>
          <w:p>
            <w:pPr>
              <w:spacing w:after="0"/>
              <w:rPr>
                <w:sz w:val="20"/>
                <w:szCs w:val="20"/>
                <w:color w:val="auto"/>
              </w:rPr>
            </w:pPr>
          </w:p>
        </w:tc>
        <w:tc>
          <w:tcPr>
            <w:tcW w:w="80" w:type="dxa"/>
            <w:vAlign w:val="bottom"/>
            <w:tcBorders>
              <w:bottom w:val="single" w:sz="8" w:color="EBFEFF"/>
            </w:tcBorders>
            <w:shd w:val="clear" w:color="auto" w:fill="EBFEFF"/>
          </w:tcPr>
          <w:p>
            <w:pPr>
              <w:spacing w:after="0"/>
              <w:rPr>
                <w:sz w:val="20"/>
                <w:szCs w:val="20"/>
                <w:color w:val="auto"/>
              </w:rPr>
            </w:pPr>
          </w:p>
        </w:tc>
        <w:tc>
          <w:tcPr>
            <w:tcW w:w="200" w:type="dxa"/>
            <w:vAlign w:val="bottom"/>
            <w:tcBorders>
              <w:bottom w:val="single" w:sz="8" w:color="auto"/>
            </w:tcBorders>
            <w:vMerge w:val="continue"/>
            <w:shd w:val="clear" w:color="auto" w:fill="EBFEFF"/>
          </w:tcPr>
          <w:p>
            <w:pPr>
              <w:spacing w:after="0"/>
              <w:rPr>
                <w:sz w:val="20"/>
                <w:szCs w:val="20"/>
                <w:color w:val="auto"/>
              </w:rPr>
            </w:pPr>
          </w:p>
        </w:tc>
        <w:tc>
          <w:tcPr>
            <w:tcW w:w="1360" w:type="dxa"/>
            <w:vAlign w:val="bottom"/>
            <w:tcBorders>
              <w:bottom w:val="single" w:sz="8" w:color="auto"/>
            </w:tcBorders>
            <w:vMerge w:val="continue"/>
            <w:shd w:val="clear" w:color="auto" w:fill="EBFEFF"/>
          </w:tcPr>
          <w:p>
            <w:pPr>
              <w:spacing w:after="0"/>
              <w:rPr>
                <w:sz w:val="20"/>
                <w:szCs w:val="20"/>
                <w:color w:val="auto"/>
              </w:rPr>
            </w:pPr>
          </w:p>
        </w:tc>
        <w:tc>
          <w:tcPr>
            <w:tcW w:w="100" w:type="dxa"/>
            <w:vAlign w:val="bottom"/>
            <w:tcBorders>
              <w:bottom w:val="single" w:sz="8" w:color="EBFEFF"/>
            </w:tcBorders>
            <w:shd w:val="clear" w:color="auto" w:fill="EBFEFF"/>
          </w:tcPr>
          <w:p>
            <w:pPr>
              <w:spacing w:after="0"/>
              <w:rPr>
                <w:sz w:val="20"/>
                <w:szCs w:val="20"/>
                <w:color w:val="auto"/>
              </w:rPr>
            </w:pPr>
          </w:p>
        </w:tc>
        <w:tc>
          <w:tcPr>
            <w:tcW w:w="360" w:type="dxa"/>
            <w:vAlign w:val="bottom"/>
            <w:tcBorders>
              <w:bottom w:val="single" w:sz="8" w:color="auto"/>
            </w:tcBorders>
            <w:vMerge w:val="continue"/>
            <w:shd w:val="clear" w:color="auto" w:fill="EBFEFF"/>
          </w:tcPr>
          <w:p>
            <w:pPr>
              <w:spacing w:after="0"/>
              <w:rPr>
                <w:sz w:val="20"/>
                <w:szCs w:val="20"/>
                <w:color w:val="auto"/>
              </w:rPr>
            </w:pPr>
          </w:p>
        </w:tc>
        <w:tc>
          <w:tcPr>
            <w:tcW w:w="1200" w:type="dxa"/>
            <w:vAlign w:val="bottom"/>
            <w:tcBorders>
              <w:bottom w:val="single" w:sz="8" w:color="auto"/>
            </w:tcBorders>
            <w:vMerge w:val="continue"/>
            <w:shd w:val="clear" w:color="auto" w:fill="EBF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EBFEFF"/>
            </w:tcBorders>
          </w:tcPr>
          <w:p>
            <w:pPr>
              <w:spacing w:after="0" w:line="20" w:lineRule="exact"/>
              <w:rPr>
                <w:sz w:val="1"/>
                <w:szCs w:val="1"/>
                <w:color w:val="auto"/>
              </w:rPr>
            </w:pPr>
          </w:p>
        </w:tc>
        <w:tc>
          <w:tcPr>
            <w:tcW w:w="960" w:type="dxa"/>
            <w:vAlign w:val="bottom"/>
            <w:tcBorders>
              <w:top w:val="single" w:sz="8" w:color="EBFEFF"/>
              <w:bottom w:val="single" w:sz="8" w:color="auto"/>
            </w:tcBorders>
          </w:tcPr>
          <w:p>
            <w:pPr>
              <w:spacing w:after="0" w:line="20" w:lineRule="exact"/>
              <w:rPr>
                <w:sz w:val="1"/>
                <w:szCs w:val="1"/>
                <w:color w:val="auto"/>
              </w:rPr>
            </w:pPr>
          </w:p>
        </w:tc>
        <w:tc>
          <w:tcPr>
            <w:tcW w:w="58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360" w:type="dxa"/>
            <w:vAlign w:val="bottom"/>
            <w:tcBorders>
              <w:top w:val="single" w:sz="8" w:color="EBFEFF"/>
              <w:bottom w:val="single" w:sz="8" w:color="auto"/>
            </w:tcBorders>
          </w:tcPr>
          <w:p>
            <w:pPr>
              <w:spacing w:after="0" w:line="20" w:lineRule="exact"/>
              <w:rPr>
                <w:sz w:val="1"/>
                <w:szCs w:val="1"/>
                <w:color w:val="auto"/>
              </w:rPr>
            </w:pPr>
          </w:p>
        </w:tc>
        <w:tc>
          <w:tcPr>
            <w:tcW w:w="1180" w:type="dxa"/>
            <w:vAlign w:val="bottom"/>
            <w:tcBorders>
              <w:top w:val="single" w:sz="8" w:color="EBFEFF"/>
              <w:bottom w:val="single" w:sz="8" w:color="auto"/>
            </w:tcBorders>
          </w:tcPr>
          <w:p>
            <w:pPr>
              <w:spacing w:after="0" w:line="20" w:lineRule="exact"/>
              <w:rPr>
                <w:sz w:val="1"/>
                <w:szCs w:val="1"/>
                <w:color w:val="auto"/>
              </w:rPr>
            </w:pPr>
          </w:p>
        </w:tc>
        <w:tc>
          <w:tcPr>
            <w:tcW w:w="80" w:type="dxa"/>
            <w:vAlign w:val="bottom"/>
            <w:tcBorders>
              <w:top w:val="single" w:sz="8" w:color="EBFEFF"/>
            </w:tcBorders>
          </w:tcPr>
          <w:p>
            <w:pPr>
              <w:spacing w:after="0" w:line="20" w:lineRule="exact"/>
              <w:rPr>
                <w:sz w:val="1"/>
                <w:szCs w:val="1"/>
                <w:color w:val="auto"/>
              </w:rPr>
            </w:pPr>
          </w:p>
        </w:tc>
        <w:tc>
          <w:tcPr>
            <w:tcW w:w="200" w:type="dxa"/>
            <w:vAlign w:val="bottom"/>
            <w:tcBorders>
              <w:top w:val="single" w:sz="8" w:color="EBFEFF"/>
              <w:bottom w:val="single" w:sz="8" w:color="auto"/>
            </w:tcBorders>
          </w:tcPr>
          <w:p>
            <w:pPr>
              <w:spacing w:after="0" w:line="20" w:lineRule="exact"/>
              <w:rPr>
                <w:sz w:val="1"/>
                <w:szCs w:val="1"/>
                <w:color w:val="auto"/>
              </w:rPr>
            </w:pPr>
          </w:p>
        </w:tc>
        <w:tc>
          <w:tcPr>
            <w:tcW w:w="136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360" w:type="dxa"/>
            <w:vAlign w:val="bottom"/>
            <w:tcBorders>
              <w:top w:val="single" w:sz="8" w:color="EBFEFF"/>
              <w:bottom w:val="single" w:sz="8" w:color="auto"/>
            </w:tcBorders>
          </w:tcPr>
          <w:p>
            <w:pPr>
              <w:spacing w:after="0" w:line="20" w:lineRule="exact"/>
              <w:rPr>
                <w:sz w:val="1"/>
                <w:szCs w:val="1"/>
                <w:color w:val="auto"/>
              </w:rPr>
            </w:pPr>
          </w:p>
        </w:tc>
        <w:tc>
          <w:tcPr>
            <w:tcW w:w="1200" w:type="dxa"/>
            <w:vAlign w:val="bottom"/>
            <w:tcBorders>
              <w:top w:val="single" w:sz="8" w:color="EBF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Certificate of Incorporation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May 4, 2021, the Company filed an amendment to its Amended and Restated Certificate of Incorporation (the “Charter Amendment”) to increase the number of shares of Class A common stock that the Company is authorized to issue from 100,000,000 shares of Class A common stock to 200,000,000 shares of Class A common stock, representing an increase of 100,000,000 shares of authorized Class A common stock, with a corresponding increase in the total authorized common stock, which includes Class A common stock and Class B common stock, from 200,000,000 to 300,000,000, and a corresponding increase in the total authorized capital stock, which includes common stock and preferred stock, from 250,000,000 shares to 350,000,000 shares.</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November 20, 2023, the Company filed an amendment to its Amended and Restated Certificate of Incorporation as amended, to effect a reverse stock split at a ratio of 1-for-40 (the "Reverse Stock Split"). Pursuant to the Reverse Stock Split, every 40 shares of the Company’s Class A common stock was combined into one issued and outstanding share of Class A Common Stock and every 40 shares of the Company’s Class B common stock was combined into one issued and outstanding share of Class B Common Stock. The Reverse Stock Split did not reduce the number of authorized shares of Class A and Class B common stock, which remained at 200,000,000 and 100,000,000 respectively and did not change the par value of the common stock, which remained at $0.01 per share. The Reverse Stock Split did not have any effect on the number of authorized shares of the Company’s preferred stock, par value of $0.01 per share, which would remain at 50,000,000 shares. Currently no shares of preferred stock are outstanding.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February 2024, the Company entered into a Securities Purchase Agreement with certain Private Placement Investors, pursuant to which we agreed to issue and sell to the Private Placement Investors in a private placement (i) an aggregate of 464,377 shares of our Class A common stock, at a purchase price of $11.81 per share and (ii) issued pre-funded warrants to purchase an aggregate of 3,853,997 shares of the Company’s Class A common stock at a price of $11.80 per pre-funded warrant. The pre-funded warrants were immediately exercisable, have an exercise price of $0.01 and may be exercised at any time after the date of issuance. A holder of pre-funded warrants may not exercise the warrant if the holder, together with its affiliates, would beneficially own more than 9.99% of the number of shares of the Company’s common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outstanding immediately after giving effect to such exercise. A holder of the pre-funded warrants may increase or decrease this percentage not in excess of 19.99% by providing at least 61 days’ prior notice to the Company. As of September 30, 2024, there were pre-funded warrants to purchase an aggregate of 3,970,587 shares of the Company’s common stock that remained available for exercise.</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pre-funded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 of the pre-funded warrants.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March 5, 2024, the Company entered into a letter agreement with the Private Placement Investors pursuant to which the Private Placement Investors agreed to exchange an aggregate of 116,493 Private Placement Shares for an aggregate of 116,590 Private Placement Pre-Funded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G42 Investments Transaction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May 31, 2022, the Company and G42 Investments entered in to the G42 Purchase Agreement (see Note 3), pursuant to which the Company agreed to sell to G42 Investments 259,657 shares of the Company's Class A common stock at a price per share of approximately $96.40, for an aggregate purchase price of $25.0 million, consisting of (i) $12.5 million in cash at the closing of the transaction and (ii) $12.5 million in the form of a promissory note of G42 Investments to be paid at the one-year anniversary of the execution of the G42 Purchase Agreement (the “G42 Promissory Note”).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income, net in the Company’s Condensed Consolidated Statements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CinPax and CinRx Transaction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July 22, 2022 (the “Transaction Date”), the Company entered into the CinRx Purchase Agreement with CinPax, LLC (“CinPax”) and CinRx-Pharma, LLC (“CinRx”), pursuant to which the Company agreed to sell to CinPax 103,864 shares of the Company’s Class A common stock at a price per share of approximately $96.40, for an aggregate purchase price of $10.0 million, which was paid (i) $6.0 million in cash at the closing of the transaction and (ii) $4.0 million in the form of a non-interest-bearing promissory note with CinPax and was paid to the Company on November 22, 2022.</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CinRx Purchase Agreement also provides CinRx warrants to purchase up to 30,000 shares of common stock at an initial exercise of price of approximately $28.80 per share (the “CinRx Warrants”). The CinRx Warrants were initially measured at fair value of $0.4 million using the Black-Scholes option model at the time of issuance and will be recorded in Warrant liability related party in the Condensed Consolidated Balance Sheets and will be subsequently remeasured at fair value through earnings on a recurring basis. (see Note 12)</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CinRx Warrants will become exercisable by CinRx only if (i) the Company receives approval from the U.S. Food and Drug Administration (“FDA Approval”) to market and distribute the pharmaceutical product containing the Company’s proprietary candidate,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(the “Product”), or</w:t>
      </w:r>
    </w:p>
    <w:p>
      <w:pPr>
        <w:jc w:val="both"/>
        <w:ind w:firstLine="8"/>
        <w:spacing w:after="0" w:line="253" w:lineRule="auto"/>
        <w:tabs>
          <w:tab w:leader="none" w:pos="2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acquired by a third party, sells all or substantially all of its assets related to the Product to a third party or grants a third party an exclusive license to develop, commercialize and manufacture the Product in the United States. If neither of these events happen within five years of the date of the issuance of the CinRx Warrants, the CinRx Warrants will expire and not be exercisable by CinRx. The exercise price of the CinRx Warrants and the number of shares issuable upon exercise of the CinRx Warrants are subject to adjustments in accordance with the terms of the CinRx Warrants.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Additionally, in conjunction with the CinRx Purchase Agreement the Company and CinRx entered into a Master Service Agreement (“CinRx MSA”) whereby CinRx provides the Company with consulting, preclinical and clinical trial services, as enumerated in project proposals negotiated between the Company and CinRx from time to time. (see Note 9)</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did not identify any other promises in the CinRx Purchase Agreement (aside from the issuance of common shares and the CinRx Warrants) and determined since there is no value ascribed to the CinRx MSA, the right to appoint a member and observer to the board of directors, that the remaining unallocated amount meets the definition of contributed equity and represents the amount in excess of par. The Company, CinPax and CinRx subsequently amended the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CinRx Purchase Agreement on February 27, 2024, in connection with the Private Placement. The CinRx Purchase Agreement provides CinPax the right for two years following the Closing to designate a board observer, which has been subsequently approved by the Company’s board.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(the “TD Cowen ATM Offering”). Pursuant to General Instruction I.B.6 of Form S-3, in no event will we sell securities registered on the registration statement relating to the TD Cowen ATM Offering with a value exceeding more than one-third of our public float in any 12-month period so long as our public float remains below $75.0 million. Under the terms of the TD Cowen Sales Agreement, we will pay TD Cowen a commission of 3.0% of the aggregate proceeds from the sale of shares and reimburse certain legal fees or other disbursements.</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sold 179,400 shares of Class A common stock under the TD Cowen ATM Offering for net proceeds of $2.5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Related-Party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MacAndrews &amp; Forbes Incorporated</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MacAndrews directly or indirectly controls 577,108 shares of Class B common stock. Further, as of September 30, 2024, MacAndrews directly or indirectly holds 912,982 shares of the Company’s Class A common stock. As a result, MacAndrews’ holdings represent approximately 46.7% of the combined voting power of the Company’s outstanding common stock.</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entered into several agreements with MacAndrews or its affiliates as further detailed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Agreements</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had previously entered into the Letter Agreements with MacAndrews. Under the terms of the Letter Agreements, during the one year commitment period beginning on the date of each Letter Agreement, the Company had the right to sell to MacAndrews shares of its Class A common stock at a specified price per share, and MacAndrews had the right (exercisable up to three times) to require the Company to sell to it shares of Class A common stock at the same price. The commitment period of each of the Letter Agreements has now expired. In addition, in connection with and as a commitment fee for the entrance into certain of these Letter Agreements, the Company also issued MacAndrews warrants (the “Letter Agreement Warrants”) to purchase additional shares of the Company’s Class A common stock.</w:t>
      </w:r>
    </w:p>
    <w:p>
      <w:pPr>
        <w:spacing w:after="0" w:line="7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Letter Agreement Warrants have been recorded as warrant liability, related party within the Company’s Condensed Consolidated Balance Sheets based on their fair value. The issuance of the Letter Agreement Warrants was considered to be a cost of equity recorded as a reduction to additional paid-in capital.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Pursuant to the terms of the Exchange Agreement, but subject to the Amended and Restated LLC Agreement of vTv Therapeutics LLC, the vTv Units (along with a corresponding number of shares of the Class B common stock) are exchangeable for (i) shares of the Company’s Class A common stock on a one-for-one basis or (ii) cash (based on the fair market value of the Company’s Class A common stock as determined pursuant to the Exchange Agreement), at the Company’s option (as the managing member of vTv Therapeutics LLC), subject to customary conversion rate adjustments for stock splits, stock dividends and reclassifications. Any decision to require an exchange for cash rather than shares of Class A common stock will ultimately be determined by the entire Board of Directors. As of September 30, 2024, MacAndrews had not exchanged any shares under the provisions of the Exchange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 As no shares have been exchanged by MacAndrews pursuant to the Exchange Agreement (discussed above), the Company has not recognized any liability, nor has it made any payments pursuant to the Tax Receivable Agreement as of September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 The Investor Rights Agreement was amended on February 27, 2024 to alter M&amp;F governance rights that now entitles M&amp;F the right to designate two members of our Board of Directors, and as part of the Private Placement, the Private Placement Investors have rights to designate three members of our Board of Directors, making it more difficult for a third party to acquire control of our Board. The agreement with the Private Placement Investors also provides that five of our directors must approve certain actions including any acquisition by a third party, which makes it more difficult for our Board of Directors to approve such a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is subject to U.S. federal income taxes as well as state taxes. The Company’s income tax provision for the nine months ended September 30, 2024 was $0.1 million representing foreign withholding taxes accrued in connection with revenue recorded under license agreements with foreign entities. The Company did not record an income tax provision for the three months ended September 30, 2024 and 2023. The Company did not record an income tax provision for the nine months ended September 30, 2023.</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on September 30, 2024, is due to the valuation allowance against the Company’s expected net operating losses.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discussed in Note 9,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September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Loss per Share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vTv Therapeutics Inc. by the weighted 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loss per share of Class A common stock is as follows (amounts in thousands, except per share amounts):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28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80" w:type="dxa"/>
            <w:vAlign w:val="bottom"/>
          </w:tcPr>
          <w:p>
            <w:pPr>
              <w:spacing w:after="0"/>
              <w:rPr>
                <w:sz w:val="16"/>
                <w:szCs w:val="16"/>
                <w:color w:val="auto"/>
              </w:rPr>
            </w:pPr>
          </w:p>
        </w:tc>
        <w:tc>
          <w:tcPr>
            <w:tcW w:w="292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EBF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EBF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3"/>
              <w:spacing w:after="0" w:line="229" w:lineRule="exact"/>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21"/>
                <w:szCs w:val="21"/>
                <w:b w:val="1"/>
                <w:bCs w:val="1"/>
                <w:color w:val="auto"/>
                <w:vertAlign w:val="superscript"/>
              </w:rPr>
              <w:t>(*)</w:t>
            </w:r>
          </w:p>
        </w:tc>
        <w:tc>
          <w:tcPr>
            <w:tcW w:w="80" w:type="dxa"/>
            <w:vAlign w:val="bottom"/>
            <w:tcBorders>
              <w:bottom w:val="single" w:sz="8" w:color="EBF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EBF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3"/>
              <w:spacing w:after="0" w:line="229" w:lineRule="exact"/>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21"/>
                <w:szCs w:val="21"/>
                <w:b w:val="1"/>
                <w:bCs w:val="1"/>
                <w:color w:val="auto"/>
                <w:vertAlign w:val="superscript"/>
              </w:rPr>
              <w:t>(*)</w:t>
            </w:r>
          </w:p>
        </w:tc>
        <w:tc>
          <w:tcPr>
            <w:tcW w:w="0" w:type="dxa"/>
            <w:vAlign w:val="bottom"/>
          </w:tcPr>
          <w:p>
            <w:pPr>
              <w:spacing w:after="0"/>
              <w:rPr>
                <w:sz w:val="1"/>
                <w:szCs w:val="1"/>
                <w:color w:val="auto"/>
              </w:rPr>
            </w:pPr>
          </w:p>
        </w:tc>
      </w:tr>
      <w:tr>
        <w:trPr>
          <w:trHeight w:val="209"/>
        </w:trPr>
        <w:tc>
          <w:tcPr>
            <w:tcW w:w="528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EBFEFF"/>
          </w:tcPr>
          <w:p>
            <w:pPr>
              <w:spacing w:after="0"/>
              <w:rPr>
                <w:sz w:val="18"/>
                <w:szCs w:val="18"/>
                <w:color w:val="auto"/>
              </w:rPr>
            </w:pPr>
          </w:p>
        </w:tc>
        <w:tc>
          <w:tcPr>
            <w:tcW w:w="1020" w:type="dxa"/>
            <w:vAlign w:val="bottom"/>
            <w:shd w:val="clear" w:color="auto" w:fill="EBFEFF"/>
          </w:tcPr>
          <w:p>
            <w:pPr>
              <w:spacing w:after="0"/>
              <w:rPr>
                <w:sz w:val="18"/>
                <w:szCs w:val="18"/>
                <w:color w:val="auto"/>
              </w:rPr>
            </w:pPr>
          </w:p>
        </w:tc>
        <w:tc>
          <w:tcPr>
            <w:tcW w:w="100" w:type="dxa"/>
            <w:vAlign w:val="bottom"/>
            <w:shd w:val="clear" w:color="auto" w:fill="EBFEFF"/>
          </w:tcPr>
          <w:p>
            <w:pPr>
              <w:spacing w:after="0"/>
              <w:rPr>
                <w:sz w:val="18"/>
                <w:szCs w:val="18"/>
                <w:color w:val="auto"/>
              </w:rPr>
            </w:pPr>
          </w:p>
        </w:tc>
        <w:tc>
          <w:tcPr>
            <w:tcW w:w="280" w:type="dxa"/>
            <w:vAlign w:val="bottom"/>
            <w:shd w:val="clear" w:color="auto" w:fill="EBFEFF"/>
          </w:tcPr>
          <w:p>
            <w:pPr>
              <w:spacing w:after="0"/>
              <w:rPr>
                <w:sz w:val="18"/>
                <w:szCs w:val="18"/>
                <w:color w:val="auto"/>
              </w:rPr>
            </w:pPr>
          </w:p>
        </w:tc>
        <w:tc>
          <w:tcPr>
            <w:tcW w:w="1060" w:type="dxa"/>
            <w:vAlign w:val="bottom"/>
            <w:shd w:val="clear" w:color="auto" w:fill="EBFEFF"/>
          </w:tcPr>
          <w:p>
            <w:pPr>
              <w:spacing w:after="0"/>
              <w:rPr>
                <w:sz w:val="18"/>
                <w:szCs w:val="18"/>
                <w:color w:val="auto"/>
              </w:rPr>
            </w:pPr>
          </w:p>
        </w:tc>
        <w:tc>
          <w:tcPr>
            <w:tcW w:w="80" w:type="dxa"/>
            <w:vAlign w:val="bottom"/>
            <w:shd w:val="clear" w:color="auto" w:fill="EBFEFF"/>
          </w:tcPr>
          <w:p>
            <w:pPr>
              <w:spacing w:after="0"/>
              <w:rPr>
                <w:sz w:val="18"/>
                <w:szCs w:val="18"/>
                <w:color w:val="auto"/>
              </w:rPr>
            </w:pPr>
          </w:p>
        </w:tc>
        <w:tc>
          <w:tcPr>
            <w:tcW w:w="180" w:type="dxa"/>
            <w:vAlign w:val="bottom"/>
            <w:shd w:val="clear" w:color="auto" w:fill="EBFEFF"/>
          </w:tcPr>
          <w:p>
            <w:pPr>
              <w:spacing w:after="0"/>
              <w:rPr>
                <w:sz w:val="18"/>
                <w:szCs w:val="18"/>
                <w:color w:val="auto"/>
              </w:rPr>
            </w:pPr>
          </w:p>
        </w:tc>
        <w:tc>
          <w:tcPr>
            <w:tcW w:w="1320" w:type="dxa"/>
            <w:vAlign w:val="bottom"/>
            <w:shd w:val="clear" w:color="auto" w:fill="EBFEFF"/>
          </w:tcPr>
          <w:p>
            <w:pPr>
              <w:spacing w:after="0"/>
              <w:rPr>
                <w:sz w:val="18"/>
                <w:szCs w:val="18"/>
                <w:color w:val="auto"/>
              </w:rPr>
            </w:pPr>
          </w:p>
        </w:tc>
        <w:tc>
          <w:tcPr>
            <w:tcW w:w="100" w:type="dxa"/>
            <w:vAlign w:val="bottom"/>
            <w:shd w:val="clear" w:color="auto" w:fill="EBFEFF"/>
          </w:tcPr>
          <w:p>
            <w:pPr>
              <w:spacing w:after="0"/>
              <w:rPr>
                <w:sz w:val="18"/>
                <w:szCs w:val="18"/>
                <w:color w:val="auto"/>
              </w:rPr>
            </w:pPr>
          </w:p>
        </w:tc>
        <w:tc>
          <w:tcPr>
            <w:tcW w:w="320" w:type="dxa"/>
            <w:vAlign w:val="bottom"/>
            <w:shd w:val="clear" w:color="auto" w:fill="EBFEFF"/>
          </w:tcPr>
          <w:p>
            <w:pPr>
              <w:spacing w:after="0"/>
              <w:rPr>
                <w:sz w:val="18"/>
                <w:szCs w:val="18"/>
                <w:color w:val="auto"/>
              </w:rPr>
            </w:pPr>
          </w:p>
        </w:tc>
        <w:tc>
          <w:tcPr>
            <w:tcW w:w="1180" w:type="dxa"/>
            <w:vAlign w:val="bottom"/>
            <w:shd w:val="clear" w:color="auto" w:fill="EBF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0" w:type="dxa"/>
            <w:vAlign w:val="bottom"/>
          </w:tcPr>
          <w:p>
            <w:pPr>
              <w:spacing w:after="0"/>
              <w:rPr>
                <w:sz w:val="1"/>
                <w:szCs w:val="1"/>
                <w:color w:val="auto"/>
              </w:rPr>
            </w:pPr>
          </w:p>
        </w:tc>
      </w:tr>
      <w:tr>
        <w:trPr>
          <w:trHeight w:val="230"/>
        </w:trPr>
        <w:tc>
          <w:tcPr>
            <w:tcW w:w="5280" w:type="dxa"/>
            <w:vAlign w:val="bottom"/>
            <w:shd w:val="clear" w:color="auto" w:fill="EBFEFF"/>
          </w:tcPr>
          <w:p>
            <w:pPr>
              <w:ind w:left="18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20" w:type="dxa"/>
            <w:vAlign w:val="bottom"/>
            <w:tcBorders>
              <w:bottom w:val="single" w:sz="8" w:color="auto"/>
            </w:tcBorders>
            <w:shd w:val="clear" w:color="auto" w:fill="EBFEFF"/>
          </w:tcPr>
          <w:p>
            <w:pPr>
              <w:spacing w:after="0"/>
              <w:rPr>
                <w:sz w:val="19"/>
                <w:szCs w:val="19"/>
                <w:color w:val="auto"/>
              </w:rPr>
            </w:pPr>
          </w:p>
        </w:tc>
        <w:tc>
          <w:tcPr>
            <w:tcW w:w="102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EBFEFF"/>
          </w:tcPr>
          <w:p>
            <w:pPr>
              <w:spacing w:after="0"/>
              <w:rPr>
                <w:sz w:val="19"/>
                <w:szCs w:val="19"/>
                <w:color w:val="auto"/>
              </w:rPr>
            </w:pPr>
          </w:p>
        </w:tc>
        <w:tc>
          <w:tcPr>
            <w:tcW w:w="280" w:type="dxa"/>
            <w:vAlign w:val="bottom"/>
            <w:tcBorders>
              <w:bottom w:val="single" w:sz="8" w:color="auto"/>
            </w:tcBorders>
            <w:shd w:val="clear" w:color="auto" w:fill="EBFEFF"/>
          </w:tcPr>
          <w:p>
            <w:pPr>
              <w:spacing w:after="0"/>
              <w:rPr>
                <w:sz w:val="19"/>
                <w:szCs w:val="19"/>
                <w:color w:val="auto"/>
              </w:rPr>
            </w:pPr>
          </w:p>
        </w:tc>
        <w:tc>
          <w:tcPr>
            <w:tcW w:w="10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80" w:type="dxa"/>
            <w:vAlign w:val="bottom"/>
            <w:shd w:val="clear" w:color="auto" w:fill="EBFEFF"/>
          </w:tcPr>
          <w:p>
            <w:pPr>
              <w:spacing w:after="0"/>
              <w:rPr>
                <w:sz w:val="19"/>
                <w:szCs w:val="19"/>
                <w:color w:val="auto"/>
              </w:rPr>
            </w:pPr>
          </w:p>
        </w:tc>
        <w:tc>
          <w:tcPr>
            <w:tcW w:w="180" w:type="dxa"/>
            <w:vAlign w:val="bottom"/>
            <w:tcBorders>
              <w:bottom w:val="single" w:sz="8" w:color="auto"/>
            </w:tcBorders>
            <w:shd w:val="clear" w:color="auto" w:fill="EBFEFF"/>
          </w:tcPr>
          <w:p>
            <w:pPr>
              <w:spacing w:after="0"/>
              <w:rPr>
                <w:sz w:val="19"/>
                <w:szCs w:val="19"/>
                <w:color w:val="auto"/>
              </w:rPr>
            </w:pPr>
          </w:p>
        </w:tc>
        <w:tc>
          <w:tcPr>
            <w:tcW w:w="132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shd w:val="clear" w:color="auto" w:fill="EBFEFF"/>
          </w:tcPr>
          <w:p>
            <w:pPr>
              <w:spacing w:after="0"/>
              <w:rPr>
                <w:sz w:val="19"/>
                <w:szCs w:val="19"/>
                <w:color w:val="auto"/>
              </w:rPr>
            </w:pPr>
          </w:p>
        </w:tc>
        <w:tc>
          <w:tcPr>
            <w:tcW w:w="320" w:type="dxa"/>
            <w:vAlign w:val="bottom"/>
            <w:tcBorders>
              <w:bottom w:val="single" w:sz="8" w:color="auto"/>
            </w:tcBorders>
            <w:shd w:val="clear" w:color="auto" w:fill="EBFEFF"/>
          </w:tcPr>
          <w:p>
            <w:pPr>
              <w:spacing w:after="0"/>
              <w:rPr>
                <w:sz w:val="19"/>
                <w:szCs w:val="19"/>
                <w:color w:val="auto"/>
              </w:rPr>
            </w:pPr>
          </w:p>
        </w:tc>
        <w:tc>
          <w:tcPr>
            <w:tcW w:w="118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0" w:type="dxa"/>
            <w:vAlign w:val="bottom"/>
          </w:tcPr>
          <w:p>
            <w:pPr>
              <w:spacing w:after="0"/>
              <w:rPr>
                <w:sz w:val="1"/>
                <w:szCs w:val="1"/>
                <w:color w:val="auto"/>
              </w:rPr>
            </w:pPr>
          </w:p>
        </w:tc>
      </w:tr>
      <w:tr>
        <w:trPr>
          <w:trHeight w:val="155"/>
        </w:trPr>
        <w:tc>
          <w:tcPr>
            <w:tcW w:w="5280" w:type="dxa"/>
            <w:vAlign w:val="bottom"/>
          </w:tcPr>
          <w:p>
            <w:pPr>
              <w:ind w:left="180"/>
              <w:spacing w:after="0" w:line="156" w:lineRule="exact"/>
              <w:rPr>
                <w:sz w:val="20"/>
                <w:szCs w:val="20"/>
                <w:color w:val="auto"/>
              </w:rPr>
            </w:pPr>
            <w:r>
              <w:rPr>
                <w:rFonts w:ascii="Times New Roman" w:cs="Times New Roman" w:eastAsia="Times New Roman" w:hAnsi="Times New Roman"/>
                <w:sz w:val="18"/>
                <w:szCs w:val="18"/>
                <w:color w:val="auto"/>
              </w:rPr>
              <w:t>Net loss attributable to common shareholders of vTv Therapeutics</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EBFEFF"/>
            </w:tcBorders>
          </w:tcPr>
          <w:p>
            <w:pPr>
              <w:ind w:left="360"/>
              <w:spacing w:after="0"/>
              <w:rPr>
                <w:sz w:val="20"/>
                <w:szCs w:val="20"/>
                <w:color w:val="auto"/>
              </w:rPr>
            </w:pPr>
            <w:r>
              <w:rPr>
                <w:rFonts w:ascii="Times New Roman" w:cs="Times New Roman" w:eastAsia="Times New Roman" w:hAnsi="Times New Roman"/>
                <w:sz w:val="18"/>
                <w:szCs w:val="18"/>
                <w:color w:val="auto"/>
              </w:rPr>
              <w:t>Inc., basic and diluted</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tcBorders>
              <w:bottom w:val="single" w:sz="8" w:color="EBF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80" w:type="dxa"/>
            <w:vAlign w:val="bottom"/>
            <w:tcBorders>
              <w:bottom w:val="single" w:sz="8" w:color="EBF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100" w:type="dxa"/>
            <w:vAlign w:val="bottom"/>
            <w:tcBorders>
              <w:bottom w:val="single" w:sz="8" w:color="EBF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(16,772)</w:t>
            </w:r>
          </w:p>
        </w:tc>
        <w:tc>
          <w:tcPr>
            <w:tcW w:w="0" w:type="dxa"/>
            <w:vAlign w:val="bottom"/>
          </w:tcPr>
          <w:p>
            <w:pPr>
              <w:spacing w:after="0"/>
              <w:rPr>
                <w:sz w:val="1"/>
                <w:szCs w:val="1"/>
                <w:color w:val="auto"/>
              </w:rPr>
            </w:pPr>
          </w:p>
        </w:tc>
      </w:tr>
      <w:tr>
        <w:trPr>
          <w:trHeight w:val="209"/>
        </w:trPr>
        <w:tc>
          <w:tcPr>
            <w:tcW w:w="528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EBFEFF"/>
          </w:tcPr>
          <w:p>
            <w:pPr>
              <w:spacing w:after="0"/>
              <w:rPr>
                <w:sz w:val="18"/>
                <w:szCs w:val="18"/>
                <w:color w:val="auto"/>
              </w:rPr>
            </w:pPr>
          </w:p>
        </w:tc>
        <w:tc>
          <w:tcPr>
            <w:tcW w:w="1020" w:type="dxa"/>
            <w:vAlign w:val="bottom"/>
            <w:shd w:val="clear" w:color="auto" w:fill="EBFEFF"/>
          </w:tcPr>
          <w:p>
            <w:pPr>
              <w:spacing w:after="0"/>
              <w:rPr>
                <w:sz w:val="18"/>
                <w:szCs w:val="18"/>
                <w:color w:val="auto"/>
              </w:rPr>
            </w:pPr>
          </w:p>
        </w:tc>
        <w:tc>
          <w:tcPr>
            <w:tcW w:w="100" w:type="dxa"/>
            <w:vAlign w:val="bottom"/>
            <w:shd w:val="clear" w:color="auto" w:fill="EBFEFF"/>
          </w:tcPr>
          <w:p>
            <w:pPr>
              <w:spacing w:after="0"/>
              <w:rPr>
                <w:sz w:val="18"/>
                <w:szCs w:val="18"/>
                <w:color w:val="auto"/>
              </w:rPr>
            </w:pPr>
          </w:p>
        </w:tc>
        <w:tc>
          <w:tcPr>
            <w:tcW w:w="280" w:type="dxa"/>
            <w:vAlign w:val="bottom"/>
            <w:shd w:val="clear" w:color="auto" w:fill="EBFEFF"/>
          </w:tcPr>
          <w:p>
            <w:pPr>
              <w:spacing w:after="0"/>
              <w:rPr>
                <w:sz w:val="18"/>
                <w:szCs w:val="18"/>
                <w:color w:val="auto"/>
              </w:rPr>
            </w:pPr>
          </w:p>
        </w:tc>
        <w:tc>
          <w:tcPr>
            <w:tcW w:w="1060" w:type="dxa"/>
            <w:vAlign w:val="bottom"/>
            <w:shd w:val="clear" w:color="auto" w:fill="EBFEFF"/>
          </w:tcPr>
          <w:p>
            <w:pPr>
              <w:spacing w:after="0"/>
              <w:rPr>
                <w:sz w:val="18"/>
                <w:szCs w:val="18"/>
                <w:color w:val="auto"/>
              </w:rPr>
            </w:pPr>
          </w:p>
        </w:tc>
        <w:tc>
          <w:tcPr>
            <w:tcW w:w="80" w:type="dxa"/>
            <w:vAlign w:val="bottom"/>
            <w:shd w:val="clear" w:color="auto" w:fill="EBFEFF"/>
          </w:tcPr>
          <w:p>
            <w:pPr>
              <w:spacing w:after="0"/>
              <w:rPr>
                <w:sz w:val="18"/>
                <w:szCs w:val="18"/>
                <w:color w:val="auto"/>
              </w:rPr>
            </w:pPr>
          </w:p>
        </w:tc>
        <w:tc>
          <w:tcPr>
            <w:tcW w:w="180" w:type="dxa"/>
            <w:vAlign w:val="bottom"/>
            <w:shd w:val="clear" w:color="auto" w:fill="EBFEFF"/>
          </w:tcPr>
          <w:p>
            <w:pPr>
              <w:spacing w:after="0"/>
              <w:rPr>
                <w:sz w:val="18"/>
                <w:szCs w:val="18"/>
                <w:color w:val="auto"/>
              </w:rPr>
            </w:pPr>
          </w:p>
        </w:tc>
        <w:tc>
          <w:tcPr>
            <w:tcW w:w="1320" w:type="dxa"/>
            <w:vAlign w:val="bottom"/>
            <w:shd w:val="clear" w:color="auto" w:fill="EBFEFF"/>
          </w:tcPr>
          <w:p>
            <w:pPr>
              <w:spacing w:after="0"/>
              <w:rPr>
                <w:sz w:val="18"/>
                <w:szCs w:val="18"/>
                <w:color w:val="auto"/>
              </w:rPr>
            </w:pPr>
          </w:p>
        </w:tc>
        <w:tc>
          <w:tcPr>
            <w:tcW w:w="100" w:type="dxa"/>
            <w:vAlign w:val="bottom"/>
            <w:shd w:val="clear" w:color="auto" w:fill="EBFEFF"/>
          </w:tcPr>
          <w:p>
            <w:pPr>
              <w:spacing w:after="0"/>
              <w:rPr>
                <w:sz w:val="18"/>
                <w:szCs w:val="18"/>
                <w:color w:val="auto"/>
              </w:rPr>
            </w:pPr>
          </w:p>
        </w:tc>
        <w:tc>
          <w:tcPr>
            <w:tcW w:w="320" w:type="dxa"/>
            <w:vAlign w:val="bottom"/>
            <w:shd w:val="clear" w:color="auto" w:fill="EBFEFF"/>
          </w:tcPr>
          <w:p>
            <w:pPr>
              <w:spacing w:after="0"/>
              <w:rPr>
                <w:sz w:val="18"/>
                <w:szCs w:val="18"/>
                <w:color w:val="auto"/>
              </w:rPr>
            </w:pPr>
          </w:p>
        </w:tc>
        <w:tc>
          <w:tcPr>
            <w:tcW w:w="1180" w:type="dxa"/>
            <w:vAlign w:val="bottom"/>
            <w:shd w:val="clear" w:color="auto" w:fill="EBF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Weighted average vTv Therapeutics Inc. Class A common stock,</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EBFEFF"/>
            </w:tcBorders>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basic and diluted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5,456,307</w:t>
            </w:r>
          </w:p>
        </w:tc>
        <w:tc>
          <w:tcPr>
            <w:tcW w:w="100" w:type="dxa"/>
            <w:vAlign w:val="bottom"/>
            <w:tcBorders>
              <w:bottom w:val="single" w:sz="8" w:color="EBF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2,084,973</w:t>
            </w:r>
          </w:p>
        </w:tc>
        <w:tc>
          <w:tcPr>
            <w:tcW w:w="80" w:type="dxa"/>
            <w:vAlign w:val="bottom"/>
            <w:tcBorders>
              <w:bottom w:val="single" w:sz="8" w:color="EBF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5,498,479</w:t>
            </w:r>
          </w:p>
        </w:tc>
        <w:tc>
          <w:tcPr>
            <w:tcW w:w="100" w:type="dxa"/>
            <w:vAlign w:val="bottom"/>
            <w:tcBorders>
              <w:bottom w:val="single" w:sz="8" w:color="EBF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2,084,973</w:t>
            </w:r>
          </w:p>
        </w:tc>
        <w:tc>
          <w:tcPr>
            <w:tcW w:w="0" w:type="dxa"/>
            <w:vAlign w:val="bottom"/>
          </w:tcPr>
          <w:p>
            <w:pPr>
              <w:spacing w:after="0"/>
              <w:rPr>
                <w:sz w:val="1"/>
                <w:szCs w:val="1"/>
                <w:color w:val="auto"/>
              </w:rPr>
            </w:pPr>
          </w:p>
        </w:tc>
      </w:tr>
      <w:tr>
        <w:trPr>
          <w:trHeight w:val="156"/>
        </w:trPr>
        <w:tc>
          <w:tcPr>
            <w:tcW w:w="5280" w:type="dxa"/>
            <w:vAlign w:val="bottom"/>
            <w:shd w:val="clear" w:color="auto" w:fill="EBFEFF"/>
          </w:tcPr>
          <w:p>
            <w:pPr>
              <w:ind w:left="180"/>
              <w:spacing w:after="0" w:line="156" w:lineRule="exact"/>
              <w:rPr>
                <w:sz w:val="20"/>
                <w:szCs w:val="20"/>
                <w:color w:val="auto"/>
              </w:rPr>
            </w:pPr>
            <w:r>
              <w:rPr>
                <w:rFonts w:ascii="Times New Roman" w:cs="Times New Roman" w:eastAsia="Times New Roman" w:hAnsi="Times New Roman"/>
                <w:sz w:val="18"/>
                <w:szCs w:val="18"/>
                <w:color w:val="auto"/>
              </w:rPr>
              <w:t>Net loss per share of vTv Therapeutics Inc. Class A common stock,</w:t>
            </w:r>
          </w:p>
        </w:tc>
        <w:tc>
          <w:tcPr>
            <w:tcW w:w="320" w:type="dxa"/>
            <w:vAlign w:val="bottom"/>
            <w:vMerge w:val="restart"/>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shd w:val="clear" w:color="auto" w:fill="EBFEFF"/>
          </w:tcPr>
          <w:p>
            <w:pPr>
              <w:spacing w:after="0"/>
              <w:rPr>
                <w:sz w:val="13"/>
                <w:szCs w:val="13"/>
                <w:color w:val="auto"/>
              </w:rPr>
            </w:pPr>
          </w:p>
        </w:tc>
        <w:tc>
          <w:tcPr>
            <w:tcW w:w="280" w:type="dxa"/>
            <w:vAlign w:val="bottom"/>
            <w:vMerge w:val="restart"/>
            <w:shd w:val="clear" w:color="auto" w:fill="EBF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shd w:val="clear" w:color="auto" w:fill="EBFEFF"/>
          </w:tcPr>
          <w:p>
            <w:pPr>
              <w:spacing w:after="0"/>
              <w:rPr>
                <w:sz w:val="13"/>
                <w:szCs w:val="13"/>
                <w:color w:val="auto"/>
              </w:rPr>
            </w:pPr>
          </w:p>
        </w:tc>
        <w:tc>
          <w:tcPr>
            <w:tcW w:w="18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EBFEFF"/>
          </w:tcPr>
          <w:p>
            <w:pPr>
              <w:spacing w:after="0"/>
              <w:rPr>
                <w:sz w:val="13"/>
                <w:szCs w:val="13"/>
                <w:color w:val="auto"/>
              </w:rPr>
            </w:pPr>
          </w:p>
        </w:tc>
        <w:tc>
          <w:tcPr>
            <w:tcW w:w="320" w:type="dxa"/>
            <w:vAlign w:val="bottom"/>
            <w:vMerge w:val="restart"/>
            <w:shd w:val="clear" w:color="auto" w:fill="EBF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EBFEFF"/>
            </w:tcBorders>
            <w:shd w:val="clear" w:color="auto" w:fill="EBF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vMerge w:val="continue"/>
            <w:shd w:val="clear" w:color="auto" w:fill="EBFEFF"/>
          </w:tcPr>
          <w:p>
            <w:pPr>
              <w:spacing w:after="0"/>
              <w:rPr>
                <w:sz w:val="19"/>
                <w:szCs w:val="19"/>
                <w:color w:val="auto"/>
              </w:rPr>
            </w:pPr>
          </w:p>
        </w:tc>
        <w:tc>
          <w:tcPr>
            <w:tcW w:w="1020" w:type="dxa"/>
            <w:vAlign w:val="bottom"/>
            <w:tcBorders>
              <w:bottom w:val="single" w:sz="8" w:color="auto"/>
            </w:tcBorders>
            <w:vMerge w:val="continue"/>
            <w:shd w:val="clear" w:color="auto" w:fill="EBFEFF"/>
          </w:tcPr>
          <w:p>
            <w:pPr>
              <w:spacing w:after="0"/>
              <w:rPr>
                <w:sz w:val="19"/>
                <w:szCs w:val="19"/>
                <w:color w:val="auto"/>
              </w:rPr>
            </w:pPr>
          </w:p>
        </w:tc>
        <w:tc>
          <w:tcPr>
            <w:tcW w:w="100" w:type="dxa"/>
            <w:vAlign w:val="bottom"/>
            <w:tcBorders>
              <w:bottom w:val="single" w:sz="8" w:color="EBFEFF"/>
            </w:tcBorders>
            <w:shd w:val="clear" w:color="auto" w:fill="EBFEFF"/>
          </w:tcPr>
          <w:p>
            <w:pPr>
              <w:spacing w:after="0"/>
              <w:rPr>
                <w:sz w:val="19"/>
                <w:szCs w:val="19"/>
                <w:color w:val="auto"/>
              </w:rPr>
            </w:pPr>
          </w:p>
        </w:tc>
        <w:tc>
          <w:tcPr>
            <w:tcW w:w="280" w:type="dxa"/>
            <w:vAlign w:val="bottom"/>
            <w:tcBorders>
              <w:bottom w:val="single" w:sz="8" w:color="auto"/>
            </w:tcBorders>
            <w:vMerge w:val="continue"/>
            <w:shd w:val="clear" w:color="auto" w:fill="EBFEFF"/>
          </w:tcPr>
          <w:p>
            <w:pPr>
              <w:spacing w:after="0"/>
              <w:rPr>
                <w:sz w:val="19"/>
                <w:szCs w:val="19"/>
                <w:color w:val="auto"/>
              </w:rPr>
            </w:pPr>
          </w:p>
        </w:tc>
        <w:tc>
          <w:tcPr>
            <w:tcW w:w="1060" w:type="dxa"/>
            <w:vAlign w:val="bottom"/>
            <w:tcBorders>
              <w:bottom w:val="single" w:sz="8" w:color="auto"/>
            </w:tcBorders>
            <w:vMerge w:val="continue"/>
            <w:shd w:val="clear" w:color="auto" w:fill="EBFEFF"/>
          </w:tcPr>
          <w:p>
            <w:pPr>
              <w:spacing w:after="0"/>
              <w:rPr>
                <w:sz w:val="19"/>
                <w:szCs w:val="19"/>
                <w:color w:val="auto"/>
              </w:rPr>
            </w:pPr>
          </w:p>
        </w:tc>
        <w:tc>
          <w:tcPr>
            <w:tcW w:w="80" w:type="dxa"/>
            <w:vAlign w:val="bottom"/>
            <w:tcBorders>
              <w:bottom w:val="single" w:sz="8" w:color="EBFEFF"/>
            </w:tcBorders>
            <w:shd w:val="clear" w:color="auto" w:fill="EBFEFF"/>
          </w:tcPr>
          <w:p>
            <w:pPr>
              <w:spacing w:after="0"/>
              <w:rPr>
                <w:sz w:val="19"/>
                <w:szCs w:val="19"/>
                <w:color w:val="auto"/>
              </w:rPr>
            </w:pPr>
          </w:p>
        </w:tc>
        <w:tc>
          <w:tcPr>
            <w:tcW w:w="180" w:type="dxa"/>
            <w:vAlign w:val="bottom"/>
            <w:tcBorders>
              <w:bottom w:val="single" w:sz="8" w:color="auto"/>
            </w:tcBorders>
            <w:vMerge w:val="continue"/>
            <w:shd w:val="clear" w:color="auto" w:fill="EBFEFF"/>
          </w:tcPr>
          <w:p>
            <w:pPr>
              <w:spacing w:after="0"/>
              <w:rPr>
                <w:sz w:val="19"/>
                <w:szCs w:val="19"/>
                <w:color w:val="auto"/>
              </w:rPr>
            </w:pPr>
          </w:p>
        </w:tc>
        <w:tc>
          <w:tcPr>
            <w:tcW w:w="1320" w:type="dxa"/>
            <w:vAlign w:val="bottom"/>
            <w:tcBorders>
              <w:bottom w:val="single" w:sz="8" w:color="auto"/>
            </w:tcBorders>
            <w:vMerge w:val="continue"/>
            <w:shd w:val="clear" w:color="auto" w:fill="EBFEFF"/>
          </w:tcPr>
          <w:p>
            <w:pPr>
              <w:spacing w:after="0"/>
              <w:rPr>
                <w:sz w:val="19"/>
                <w:szCs w:val="19"/>
                <w:color w:val="auto"/>
              </w:rPr>
            </w:pPr>
          </w:p>
        </w:tc>
        <w:tc>
          <w:tcPr>
            <w:tcW w:w="100" w:type="dxa"/>
            <w:vAlign w:val="bottom"/>
            <w:tcBorders>
              <w:bottom w:val="single" w:sz="8" w:color="EBFEFF"/>
            </w:tcBorders>
            <w:shd w:val="clear" w:color="auto" w:fill="EBFEFF"/>
          </w:tcPr>
          <w:p>
            <w:pPr>
              <w:spacing w:after="0"/>
              <w:rPr>
                <w:sz w:val="19"/>
                <w:szCs w:val="19"/>
                <w:color w:val="auto"/>
              </w:rPr>
            </w:pPr>
          </w:p>
        </w:tc>
        <w:tc>
          <w:tcPr>
            <w:tcW w:w="320" w:type="dxa"/>
            <w:vAlign w:val="bottom"/>
            <w:tcBorders>
              <w:bottom w:val="single" w:sz="8" w:color="auto"/>
            </w:tcBorders>
            <w:vMerge w:val="continue"/>
            <w:shd w:val="clear" w:color="auto" w:fill="EBFEFF"/>
          </w:tcPr>
          <w:p>
            <w:pPr>
              <w:spacing w:after="0"/>
              <w:rPr>
                <w:sz w:val="19"/>
                <w:szCs w:val="19"/>
                <w:color w:val="auto"/>
              </w:rPr>
            </w:pPr>
          </w:p>
        </w:tc>
        <w:tc>
          <w:tcPr>
            <w:tcW w:w="1180" w:type="dxa"/>
            <w:vAlign w:val="bottom"/>
            <w:tcBorders>
              <w:bottom w:val="single" w:sz="8" w:color="auto"/>
            </w:tcBorders>
            <w:vMerge w:val="continue"/>
            <w:shd w:val="clear" w:color="auto" w:fill="EBFEFF"/>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 Adjusted retroactively for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-92710</wp:posOffset>
            </wp:positionV>
            <wp:extent cx="37801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260" w:lineRule="exact"/>
        <w:rPr>
          <w:sz w:val="20"/>
          <w:szCs w:val="20"/>
          <w:color w:val="auto"/>
        </w:rPr>
      </w:pPr>
    </w:p>
    <w:p>
      <w:pPr>
        <w:ind w:left="940" w:right="240" w:hanging="469"/>
        <w:spacing w:after="0" w:line="212" w:lineRule="auto"/>
        <w:tabs>
          <w:tab w:leader="none" w:pos="94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shares underlying the pre-funded warrants to purchase shares of the Company’s common stock have been included in the calculation of the weighted-average number of shares outstanding, basic and diluted, for the three and nine months ended September 30, 2024.</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Potentially dilutive securities not included in the calculation of dilutive net loss per share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8200" w:type="dxa"/>
            <w:vAlign w:val="bottom"/>
            <w:tcBorders>
              <w:bottom w:val="single" w:sz="8" w:color="EBF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BF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8200" w:type="dxa"/>
            <w:vAlign w:val="bottom"/>
            <w:shd w:val="clear" w:color="auto" w:fill="EBF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Class B common stock </w:t>
            </w:r>
            <w:r>
              <w:rPr>
                <w:rFonts w:ascii="Times New Roman" w:cs="Times New Roman" w:eastAsia="Times New Roman" w:hAnsi="Times New Roman"/>
                <w:sz w:val="23"/>
                <w:szCs w:val="23"/>
                <w:color w:val="auto"/>
                <w:vertAlign w:val="superscript"/>
              </w:rPr>
              <w:t>(1)(*)</w:t>
            </w:r>
          </w:p>
        </w:tc>
        <w:tc>
          <w:tcPr>
            <w:tcW w:w="14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577,349</w:t>
            </w:r>
          </w:p>
        </w:tc>
        <w:tc>
          <w:tcPr>
            <w:tcW w:w="100" w:type="dxa"/>
            <w:vAlign w:val="bottom"/>
            <w:shd w:val="clear" w:color="auto" w:fill="EBFEFF"/>
          </w:tcPr>
          <w:p>
            <w:pPr>
              <w:spacing w:after="0"/>
              <w:rPr>
                <w:sz w:val="19"/>
                <w:szCs w:val="19"/>
                <w:color w:val="auto"/>
              </w:rPr>
            </w:pPr>
          </w:p>
        </w:tc>
        <w:tc>
          <w:tcPr>
            <w:tcW w:w="14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577,349</w:t>
            </w:r>
          </w:p>
        </w:tc>
      </w:tr>
      <w:tr>
        <w:trPr>
          <w:trHeight w:val="230"/>
        </w:trPr>
        <w:tc>
          <w:tcPr>
            <w:tcW w:w="8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stock options granted under the Plan </w:t>
            </w:r>
            <w:r>
              <w:rPr>
                <w:rFonts w:ascii="Times New Roman" w:cs="Times New Roman" w:eastAsia="Times New Roman" w:hAnsi="Times New Roman"/>
                <w:sz w:val="23"/>
                <w:szCs w:val="23"/>
                <w:color w:val="auto"/>
                <w:vertAlign w:val="superscript"/>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691,593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238,636</w:t>
            </w:r>
          </w:p>
        </w:tc>
      </w:tr>
      <w:tr>
        <w:trPr>
          <w:trHeight w:val="229"/>
        </w:trPr>
        <w:tc>
          <w:tcPr>
            <w:tcW w:w="8200" w:type="dxa"/>
            <w:vAlign w:val="bottom"/>
            <w:shd w:val="clear" w:color="auto" w:fill="EBF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stock warrants </w:t>
            </w:r>
            <w:r>
              <w:rPr>
                <w:rFonts w:ascii="Times New Roman" w:cs="Times New Roman" w:eastAsia="Times New Roman" w:hAnsi="Times New Roman"/>
                <w:sz w:val="23"/>
                <w:szCs w:val="23"/>
                <w:color w:val="auto"/>
                <w:vertAlign w:val="superscript"/>
              </w:rPr>
              <w:t>(*)</w:t>
            </w:r>
          </w:p>
        </w:tc>
        <w:tc>
          <w:tcPr>
            <w:tcW w:w="14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75,595</w:t>
            </w:r>
          </w:p>
        </w:tc>
        <w:tc>
          <w:tcPr>
            <w:tcW w:w="100" w:type="dxa"/>
            <w:vAlign w:val="bottom"/>
            <w:shd w:val="clear" w:color="auto" w:fill="EBFEFF"/>
          </w:tcPr>
          <w:p>
            <w:pPr>
              <w:spacing w:after="0"/>
              <w:rPr>
                <w:sz w:val="19"/>
                <w:szCs w:val="19"/>
                <w:color w:val="auto"/>
              </w:rPr>
            </w:pPr>
          </w:p>
        </w:tc>
        <w:tc>
          <w:tcPr>
            <w:tcW w:w="14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80,359</w:t>
            </w:r>
          </w:p>
        </w:tc>
      </w:tr>
      <w:tr>
        <w:trPr>
          <w:trHeight w:val="223"/>
        </w:trPr>
        <w:tc>
          <w:tcPr>
            <w:tcW w:w="82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1,344,537</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896,344</w:t>
            </w:r>
          </w:p>
        </w:tc>
      </w:tr>
      <w:tr>
        <w:trPr>
          <w:trHeight w:val="20"/>
        </w:trPr>
        <w:tc>
          <w:tcPr>
            <w:tcW w:w="8200" w:type="dxa"/>
            <w:vAlign w:val="bottom"/>
            <w:tcBorders>
              <w:bottom w:val="single" w:sz="8" w:color="EBF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BF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0"/>
        </w:trPr>
        <w:tc>
          <w:tcPr>
            <w:tcW w:w="820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4"/>
                <w:szCs w:val="14"/>
                <w:color w:val="auto"/>
              </w:rPr>
              <w:t>(*) Adjusted retroactively for reverse stock split</w:t>
            </w:r>
          </w:p>
        </w:tc>
        <w:tc>
          <w:tcPr>
            <w:tcW w:w="1460" w:type="dxa"/>
            <w:vAlign w:val="bottom"/>
            <w:shd w:val="clear" w:color="auto" w:fill="EBFEFF"/>
          </w:tcPr>
          <w:p>
            <w:pPr>
              <w:spacing w:after="0"/>
              <w:rPr>
                <w:sz w:val="14"/>
                <w:szCs w:val="14"/>
                <w:color w:val="auto"/>
              </w:rPr>
            </w:pPr>
          </w:p>
        </w:tc>
        <w:tc>
          <w:tcPr>
            <w:tcW w:w="100" w:type="dxa"/>
            <w:vAlign w:val="bottom"/>
            <w:shd w:val="clear" w:color="auto" w:fill="EBFEFF"/>
          </w:tcPr>
          <w:p>
            <w:pPr>
              <w:spacing w:after="0"/>
              <w:rPr>
                <w:sz w:val="14"/>
                <w:szCs w:val="14"/>
                <w:color w:val="auto"/>
              </w:rPr>
            </w:pPr>
          </w:p>
        </w:tc>
        <w:tc>
          <w:tcPr>
            <w:tcW w:w="1460" w:type="dxa"/>
            <w:vAlign w:val="bottom"/>
            <w:shd w:val="clear" w:color="auto" w:fill="EBFEFF"/>
          </w:tcPr>
          <w:p>
            <w:pPr>
              <w:spacing w:after="0"/>
              <w:rPr>
                <w:sz w:val="14"/>
                <w:szCs w:val="14"/>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71" w:lineRule="exact"/>
        <w:rPr>
          <w:sz w:val="20"/>
          <w:szCs w:val="20"/>
          <w:color w:val="auto"/>
        </w:rPr>
      </w:pPr>
    </w:p>
    <w:p>
      <w:pPr>
        <w:jc w:val="both"/>
        <w:ind w:left="940" w:right="220" w:hanging="469"/>
        <w:spacing w:after="0" w:line="218" w:lineRule="auto"/>
        <w:tabs>
          <w:tab w:leader="none" w:pos="94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of Financial Instruments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carrying amount of certain of the Company’s financial instruments, including cash and cash equivalents, net accounts receivable, note receivable, accounts payable and other accrued liabilities approximate fair value due to their short-term nature.</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measures the value of its equity investments without readily determinable fair values at cost minus impairment, if any, plus or minus changes resulting from observable price changes in orderly transactions for the identical or similar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September 30, 2024 and December 31, 2023 (in thousands):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3"/>
                <w:szCs w:val="13"/>
                <w:color w:val="auto"/>
              </w:rPr>
            </w:pPr>
          </w:p>
        </w:tc>
        <w:tc>
          <w:tcPr>
            <w:tcW w:w="112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4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5300" w:type="dxa"/>
            <w:vAlign w:val="bottom"/>
            <w:tcBorders>
              <w:top w:val="single" w:sz="8" w:color="EBFEFF"/>
            </w:tcBorders>
            <w:shd w:val="clear" w:color="auto" w:fill="EBFEFF"/>
          </w:tcPr>
          <w:p>
            <w:pPr>
              <w:jc w:val="right"/>
              <w:ind w:right="43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top w:val="single" w:sz="8" w:color="auto"/>
            </w:tcBorders>
            <w:shd w:val="clear" w:color="auto" w:fill="EBFEFF"/>
          </w:tcPr>
          <w:p>
            <w:pPr>
              <w:spacing w:after="0"/>
              <w:rPr>
                <w:sz w:val="18"/>
                <w:szCs w:val="18"/>
                <w:color w:val="auto"/>
              </w:rPr>
            </w:pPr>
          </w:p>
        </w:tc>
        <w:tc>
          <w:tcPr>
            <w:tcW w:w="1080" w:type="dxa"/>
            <w:vAlign w:val="bottom"/>
            <w:tcBorders>
              <w:top w:val="single" w:sz="8" w:color="auto"/>
            </w:tcBorders>
            <w:shd w:val="clear" w:color="auto" w:fill="EBFEFF"/>
          </w:tcPr>
          <w:p>
            <w:pPr>
              <w:spacing w:after="0"/>
              <w:rPr>
                <w:sz w:val="18"/>
                <w:szCs w:val="18"/>
                <w:color w:val="auto"/>
              </w:rPr>
            </w:pPr>
          </w:p>
        </w:tc>
        <w:tc>
          <w:tcPr>
            <w:tcW w:w="100" w:type="dxa"/>
            <w:vAlign w:val="bottom"/>
            <w:tcBorders>
              <w:top w:val="single" w:sz="8" w:color="EBFEFF"/>
            </w:tcBorders>
            <w:shd w:val="clear" w:color="auto" w:fill="EBFEFF"/>
          </w:tcPr>
          <w:p>
            <w:pPr>
              <w:spacing w:after="0"/>
              <w:rPr>
                <w:sz w:val="18"/>
                <w:szCs w:val="18"/>
                <w:color w:val="auto"/>
              </w:rPr>
            </w:pPr>
          </w:p>
        </w:tc>
        <w:tc>
          <w:tcPr>
            <w:tcW w:w="120" w:type="dxa"/>
            <w:vAlign w:val="bottom"/>
            <w:tcBorders>
              <w:top w:val="single" w:sz="8" w:color="auto"/>
            </w:tcBorders>
            <w:shd w:val="clear" w:color="auto" w:fill="EBFEFF"/>
          </w:tcPr>
          <w:p>
            <w:pPr>
              <w:spacing w:after="0"/>
              <w:rPr>
                <w:sz w:val="18"/>
                <w:szCs w:val="18"/>
                <w:color w:val="auto"/>
              </w:rPr>
            </w:pPr>
          </w:p>
        </w:tc>
        <w:tc>
          <w:tcPr>
            <w:tcW w:w="1420" w:type="dxa"/>
            <w:vAlign w:val="bottom"/>
            <w:tcBorders>
              <w:top w:val="single" w:sz="8" w:color="auto"/>
            </w:tcBorders>
            <w:shd w:val="clear" w:color="auto" w:fill="EBFEFF"/>
          </w:tcPr>
          <w:p>
            <w:pPr>
              <w:spacing w:after="0"/>
              <w:rPr>
                <w:sz w:val="18"/>
                <w:szCs w:val="18"/>
                <w:color w:val="auto"/>
              </w:rPr>
            </w:pPr>
          </w:p>
        </w:tc>
        <w:tc>
          <w:tcPr>
            <w:tcW w:w="100" w:type="dxa"/>
            <w:vAlign w:val="bottom"/>
            <w:tcBorders>
              <w:top w:val="single" w:sz="8" w:color="EBFEFF"/>
            </w:tcBorders>
            <w:shd w:val="clear" w:color="auto" w:fill="EBFEFF"/>
          </w:tcPr>
          <w:p>
            <w:pPr>
              <w:spacing w:after="0"/>
              <w:rPr>
                <w:sz w:val="18"/>
                <w:szCs w:val="18"/>
                <w:color w:val="auto"/>
              </w:rPr>
            </w:pPr>
          </w:p>
        </w:tc>
        <w:tc>
          <w:tcPr>
            <w:tcW w:w="180" w:type="dxa"/>
            <w:vAlign w:val="bottom"/>
            <w:tcBorders>
              <w:top w:val="single" w:sz="8" w:color="auto"/>
            </w:tcBorders>
            <w:shd w:val="clear" w:color="auto" w:fill="EBFEFF"/>
          </w:tcPr>
          <w:p>
            <w:pPr>
              <w:spacing w:after="0"/>
              <w:rPr>
                <w:sz w:val="18"/>
                <w:szCs w:val="18"/>
                <w:color w:val="auto"/>
              </w:rPr>
            </w:pPr>
          </w:p>
        </w:tc>
        <w:tc>
          <w:tcPr>
            <w:tcW w:w="1360" w:type="dxa"/>
            <w:vAlign w:val="bottom"/>
            <w:tcBorders>
              <w:top w:val="single" w:sz="8" w:color="auto"/>
            </w:tcBorders>
            <w:shd w:val="clear" w:color="auto" w:fill="EBFEFF"/>
          </w:tcPr>
          <w:p>
            <w:pPr>
              <w:spacing w:after="0"/>
              <w:rPr>
                <w:sz w:val="18"/>
                <w:szCs w:val="18"/>
                <w:color w:val="auto"/>
              </w:rPr>
            </w:pPr>
          </w:p>
        </w:tc>
        <w:tc>
          <w:tcPr>
            <w:tcW w:w="100" w:type="dxa"/>
            <w:vAlign w:val="bottom"/>
            <w:tcBorders>
              <w:top w:val="single" w:sz="8" w:color="EBFEFF"/>
            </w:tcBorders>
            <w:shd w:val="clear" w:color="auto" w:fill="EBFEFF"/>
          </w:tcPr>
          <w:p>
            <w:pPr>
              <w:spacing w:after="0"/>
              <w:rPr>
                <w:sz w:val="18"/>
                <w:szCs w:val="18"/>
                <w:color w:val="auto"/>
              </w:rPr>
            </w:pPr>
          </w:p>
        </w:tc>
        <w:tc>
          <w:tcPr>
            <w:tcW w:w="220" w:type="dxa"/>
            <w:vAlign w:val="bottom"/>
            <w:tcBorders>
              <w:top w:val="single" w:sz="8" w:color="auto"/>
            </w:tcBorders>
            <w:shd w:val="clear" w:color="auto" w:fill="EBFEFF"/>
          </w:tcPr>
          <w:p>
            <w:pPr>
              <w:spacing w:after="0"/>
              <w:rPr>
                <w:sz w:val="18"/>
                <w:szCs w:val="18"/>
                <w:color w:val="auto"/>
              </w:rPr>
            </w:pPr>
          </w:p>
        </w:tc>
        <w:tc>
          <w:tcPr>
            <w:tcW w:w="1120" w:type="dxa"/>
            <w:vAlign w:val="bottom"/>
            <w:tcBorders>
              <w:top w:val="single" w:sz="8" w:color="auto"/>
            </w:tcBorders>
            <w:shd w:val="clear" w:color="auto" w:fill="EBF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Warrant liability, related party </w:t>
            </w:r>
            <w:r>
              <w:rPr>
                <w:rFonts w:ascii="Times New Roman" w:cs="Times New Roman" w:eastAsia="Times New Roman" w:hAnsi="Times New Roman"/>
                <w:sz w:val="23"/>
                <w:szCs w:val="23"/>
                <w:color w:val="auto"/>
                <w:vertAlign w:val="superscript"/>
              </w:rPr>
              <w:t>(1)(2)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530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Warrant liability</w:t>
            </w:r>
          </w:p>
        </w:tc>
        <w:tc>
          <w:tcPr>
            <w:tcW w:w="1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EBFEFF"/>
          </w:tcPr>
          <w:p>
            <w:pPr>
              <w:spacing w:after="0"/>
              <w:rPr>
                <w:sz w:val="19"/>
                <w:szCs w:val="19"/>
                <w:color w:val="auto"/>
              </w:rPr>
            </w:pPr>
          </w:p>
        </w:tc>
        <w:tc>
          <w:tcPr>
            <w:tcW w:w="12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EBF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EBF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5300" w:type="dxa"/>
            <w:vAlign w:val="bottom"/>
          </w:tcPr>
          <w:p>
            <w:pPr>
              <w:jc w:val="right"/>
              <w:ind w:right="4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5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24"/>
                <w:szCs w:val="24"/>
                <w:color w:val="auto"/>
              </w:rPr>
            </w:pPr>
          </w:p>
        </w:tc>
        <w:tc>
          <w:tcPr>
            <w:tcW w:w="112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5300" w:type="dxa"/>
            <w:vAlign w:val="bottom"/>
            <w:tcBorders>
              <w:top w:val="single" w:sz="8" w:color="EBFEFF"/>
            </w:tcBorders>
            <w:shd w:val="clear" w:color="auto" w:fill="EBFEFF"/>
          </w:tcPr>
          <w:p>
            <w:pPr>
              <w:jc w:val="right"/>
              <w:ind w:right="43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top w:val="single" w:sz="8" w:color="auto"/>
            </w:tcBorders>
            <w:shd w:val="clear" w:color="auto" w:fill="EBFEFF"/>
          </w:tcPr>
          <w:p>
            <w:pPr>
              <w:spacing w:after="0"/>
              <w:rPr>
                <w:sz w:val="18"/>
                <w:szCs w:val="18"/>
                <w:color w:val="auto"/>
              </w:rPr>
            </w:pPr>
          </w:p>
        </w:tc>
        <w:tc>
          <w:tcPr>
            <w:tcW w:w="1080" w:type="dxa"/>
            <w:vAlign w:val="bottom"/>
            <w:tcBorders>
              <w:top w:val="single" w:sz="8" w:color="auto"/>
            </w:tcBorders>
            <w:shd w:val="clear" w:color="auto" w:fill="EBFEFF"/>
          </w:tcPr>
          <w:p>
            <w:pPr>
              <w:spacing w:after="0"/>
              <w:rPr>
                <w:sz w:val="18"/>
                <w:szCs w:val="18"/>
                <w:color w:val="auto"/>
              </w:rPr>
            </w:pPr>
          </w:p>
        </w:tc>
        <w:tc>
          <w:tcPr>
            <w:tcW w:w="100" w:type="dxa"/>
            <w:vAlign w:val="bottom"/>
            <w:tcBorders>
              <w:top w:val="single" w:sz="8" w:color="EBFEFF"/>
            </w:tcBorders>
            <w:shd w:val="clear" w:color="auto" w:fill="EBFEFF"/>
          </w:tcPr>
          <w:p>
            <w:pPr>
              <w:spacing w:after="0"/>
              <w:rPr>
                <w:sz w:val="18"/>
                <w:szCs w:val="18"/>
                <w:color w:val="auto"/>
              </w:rPr>
            </w:pPr>
          </w:p>
        </w:tc>
        <w:tc>
          <w:tcPr>
            <w:tcW w:w="120" w:type="dxa"/>
            <w:vAlign w:val="bottom"/>
            <w:tcBorders>
              <w:top w:val="single" w:sz="8" w:color="auto"/>
            </w:tcBorders>
            <w:shd w:val="clear" w:color="auto" w:fill="EBFEFF"/>
          </w:tcPr>
          <w:p>
            <w:pPr>
              <w:spacing w:after="0"/>
              <w:rPr>
                <w:sz w:val="18"/>
                <w:szCs w:val="18"/>
                <w:color w:val="auto"/>
              </w:rPr>
            </w:pPr>
          </w:p>
        </w:tc>
        <w:tc>
          <w:tcPr>
            <w:tcW w:w="1420" w:type="dxa"/>
            <w:vAlign w:val="bottom"/>
            <w:tcBorders>
              <w:top w:val="single" w:sz="8" w:color="auto"/>
            </w:tcBorders>
            <w:shd w:val="clear" w:color="auto" w:fill="EBFEFF"/>
          </w:tcPr>
          <w:p>
            <w:pPr>
              <w:spacing w:after="0"/>
              <w:rPr>
                <w:sz w:val="18"/>
                <w:szCs w:val="18"/>
                <w:color w:val="auto"/>
              </w:rPr>
            </w:pPr>
          </w:p>
        </w:tc>
        <w:tc>
          <w:tcPr>
            <w:tcW w:w="100" w:type="dxa"/>
            <w:vAlign w:val="bottom"/>
            <w:tcBorders>
              <w:top w:val="single" w:sz="8" w:color="EBFEFF"/>
            </w:tcBorders>
            <w:shd w:val="clear" w:color="auto" w:fill="EBFEFF"/>
          </w:tcPr>
          <w:p>
            <w:pPr>
              <w:spacing w:after="0"/>
              <w:rPr>
                <w:sz w:val="18"/>
                <w:szCs w:val="18"/>
                <w:color w:val="auto"/>
              </w:rPr>
            </w:pPr>
          </w:p>
        </w:tc>
        <w:tc>
          <w:tcPr>
            <w:tcW w:w="180" w:type="dxa"/>
            <w:vAlign w:val="bottom"/>
            <w:tcBorders>
              <w:top w:val="single" w:sz="8" w:color="auto"/>
            </w:tcBorders>
            <w:shd w:val="clear" w:color="auto" w:fill="EBFEFF"/>
          </w:tcPr>
          <w:p>
            <w:pPr>
              <w:spacing w:after="0"/>
              <w:rPr>
                <w:sz w:val="18"/>
                <w:szCs w:val="18"/>
                <w:color w:val="auto"/>
              </w:rPr>
            </w:pPr>
          </w:p>
        </w:tc>
        <w:tc>
          <w:tcPr>
            <w:tcW w:w="1360" w:type="dxa"/>
            <w:vAlign w:val="bottom"/>
            <w:tcBorders>
              <w:top w:val="single" w:sz="8" w:color="auto"/>
            </w:tcBorders>
            <w:shd w:val="clear" w:color="auto" w:fill="EBFEFF"/>
          </w:tcPr>
          <w:p>
            <w:pPr>
              <w:spacing w:after="0"/>
              <w:rPr>
                <w:sz w:val="18"/>
                <w:szCs w:val="18"/>
                <w:color w:val="auto"/>
              </w:rPr>
            </w:pPr>
          </w:p>
        </w:tc>
        <w:tc>
          <w:tcPr>
            <w:tcW w:w="100" w:type="dxa"/>
            <w:vAlign w:val="bottom"/>
            <w:tcBorders>
              <w:top w:val="single" w:sz="8" w:color="EBFEFF"/>
            </w:tcBorders>
            <w:shd w:val="clear" w:color="auto" w:fill="EBFEFF"/>
          </w:tcPr>
          <w:p>
            <w:pPr>
              <w:spacing w:after="0"/>
              <w:rPr>
                <w:sz w:val="18"/>
                <w:szCs w:val="18"/>
                <w:color w:val="auto"/>
              </w:rPr>
            </w:pPr>
          </w:p>
        </w:tc>
        <w:tc>
          <w:tcPr>
            <w:tcW w:w="220" w:type="dxa"/>
            <w:vAlign w:val="bottom"/>
            <w:tcBorders>
              <w:top w:val="single" w:sz="8" w:color="auto"/>
            </w:tcBorders>
            <w:shd w:val="clear" w:color="auto" w:fill="EBFEFF"/>
          </w:tcPr>
          <w:p>
            <w:pPr>
              <w:spacing w:after="0"/>
              <w:rPr>
                <w:sz w:val="18"/>
                <w:szCs w:val="18"/>
                <w:color w:val="auto"/>
              </w:rPr>
            </w:pPr>
          </w:p>
        </w:tc>
        <w:tc>
          <w:tcPr>
            <w:tcW w:w="1120" w:type="dxa"/>
            <w:vAlign w:val="bottom"/>
            <w:tcBorders>
              <w:top w:val="single" w:sz="8" w:color="auto"/>
            </w:tcBorders>
            <w:shd w:val="clear" w:color="auto" w:fill="EBF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Warrant liability, related party </w:t>
            </w:r>
            <w:r>
              <w:rPr>
                <w:rFonts w:ascii="Times New Roman" w:cs="Times New Roman" w:eastAsia="Times New Roman" w:hAnsi="Times New Roman"/>
                <w:sz w:val="23"/>
                <w:szCs w:val="23"/>
                <w:color w:val="auto"/>
                <w:vertAlign w:val="superscript"/>
              </w:rPr>
              <w:t>(1)</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48"/>
        </w:trPr>
        <w:tc>
          <w:tcPr>
            <w:tcW w:w="5300" w:type="dxa"/>
            <w:vAlign w:val="bottom"/>
            <w:tcBorders>
              <w:top w:val="single" w:sz="8" w:color="EBFEFF"/>
              <w:bottom w:val="single" w:sz="8" w:color="EBFEFF"/>
            </w:tcBorders>
            <w:shd w:val="clear" w:color="auto" w:fill="EBFEFF"/>
          </w:tcPr>
          <w:p>
            <w:pPr>
              <w:jc w:val="right"/>
              <w:ind w:right="4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120" w:type="dxa"/>
            <w:vAlign w:val="bottom"/>
            <w:tcBorders>
              <w:top w:val="single" w:sz="8" w:color="auto"/>
              <w:bottom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BF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18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EBF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220" w:type="dxa"/>
            <w:vAlign w:val="bottom"/>
            <w:tcBorders>
              <w:top w:val="single" w:sz="8" w:color="auto"/>
              <w:bottom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5300" w:type="dxa"/>
            <w:vAlign w:val="bottom"/>
            <w:tcBorders>
              <w:top w:val="single" w:sz="8" w:color="EBFEFF"/>
            </w:tcBorders>
          </w:tcPr>
          <w:p>
            <w:pPr>
              <w:spacing w:after="0" w:line="20" w:lineRule="exact"/>
              <w:rPr>
                <w:sz w:val="1"/>
                <w:szCs w:val="1"/>
                <w:color w:val="auto"/>
              </w:rPr>
            </w:pPr>
          </w:p>
        </w:tc>
        <w:tc>
          <w:tcPr>
            <w:tcW w:w="140" w:type="dxa"/>
            <w:vAlign w:val="bottom"/>
            <w:tcBorders>
              <w:top w:val="single" w:sz="8" w:color="EBFEFF"/>
              <w:bottom w:val="single" w:sz="8" w:color="auto"/>
            </w:tcBorders>
          </w:tcPr>
          <w:p>
            <w:pPr>
              <w:spacing w:after="0" w:line="20" w:lineRule="exact"/>
              <w:rPr>
                <w:sz w:val="1"/>
                <w:szCs w:val="1"/>
                <w:color w:val="auto"/>
              </w:rPr>
            </w:pPr>
          </w:p>
        </w:tc>
        <w:tc>
          <w:tcPr>
            <w:tcW w:w="108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120" w:type="dxa"/>
            <w:vAlign w:val="bottom"/>
            <w:tcBorders>
              <w:top w:val="single" w:sz="8" w:color="EBFEFF"/>
              <w:bottom w:val="single" w:sz="8" w:color="auto"/>
            </w:tcBorders>
          </w:tcPr>
          <w:p>
            <w:pPr>
              <w:spacing w:after="0" w:line="20" w:lineRule="exact"/>
              <w:rPr>
                <w:sz w:val="1"/>
                <w:szCs w:val="1"/>
                <w:color w:val="auto"/>
              </w:rPr>
            </w:pPr>
          </w:p>
        </w:tc>
        <w:tc>
          <w:tcPr>
            <w:tcW w:w="142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180" w:type="dxa"/>
            <w:vAlign w:val="bottom"/>
            <w:tcBorders>
              <w:top w:val="single" w:sz="8" w:color="EBFEFF"/>
              <w:bottom w:val="single" w:sz="8" w:color="auto"/>
            </w:tcBorders>
          </w:tcPr>
          <w:p>
            <w:pPr>
              <w:spacing w:after="0" w:line="20" w:lineRule="exact"/>
              <w:rPr>
                <w:sz w:val="1"/>
                <w:szCs w:val="1"/>
                <w:color w:val="auto"/>
              </w:rPr>
            </w:pPr>
          </w:p>
        </w:tc>
        <w:tc>
          <w:tcPr>
            <w:tcW w:w="136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220" w:type="dxa"/>
            <w:vAlign w:val="bottom"/>
            <w:tcBorders>
              <w:top w:val="single" w:sz="8" w:color="EBFEFF"/>
              <w:bottom w:val="single" w:sz="8" w:color="auto"/>
            </w:tcBorders>
          </w:tcPr>
          <w:p>
            <w:pPr>
              <w:spacing w:after="0" w:line="20" w:lineRule="exact"/>
              <w:rPr>
                <w:sz w:val="1"/>
                <w:szCs w:val="1"/>
                <w:color w:val="auto"/>
              </w:rPr>
            </w:pPr>
          </w:p>
        </w:tc>
        <w:tc>
          <w:tcPr>
            <w:tcW w:w="1120" w:type="dxa"/>
            <w:vAlign w:val="bottom"/>
            <w:tcBorders>
              <w:top w:val="single" w:sz="8" w:color="EBF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71" w:lineRule="exact"/>
        <w:rPr>
          <w:sz w:val="20"/>
          <w:szCs w:val="20"/>
          <w:color w:val="auto"/>
        </w:rPr>
      </w:pPr>
    </w:p>
    <w:p>
      <w:pPr>
        <w:ind w:left="560" w:right="240" w:hanging="534"/>
        <w:spacing w:after="0" w:line="218" w:lineRule="auto"/>
        <w:tabs>
          <w:tab w:leader="none" w:pos="56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Fair value determined using the Black-Scholes option pricing model. Expected volatility is based on the historical volatility of the Company’s common stock over the most recent period. The risk-free rate is based on the U.S. Treasury yield curve in effect at the time of valuation.</w:t>
      </w:r>
    </w:p>
    <w:p>
      <w:pPr>
        <w:spacing w:after="0" w:line="1" w:lineRule="exact"/>
        <w:rPr>
          <w:rFonts w:ascii="Times New Roman" w:cs="Times New Roman" w:eastAsia="Times New Roman" w:hAnsi="Times New Roman"/>
          <w:sz w:val="25"/>
          <w:szCs w:val="25"/>
          <w:color w:val="auto"/>
          <w:vertAlign w:val="superscript"/>
        </w:rPr>
      </w:pPr>
    </w:p>
    <w:p>
      <w:pPr>
        <w:ind w:left="560" w:hanging="534"/>
        <w:spacing w:after="0" w:line="202" w:lineRule="auto"/>
        <w:tabs>
          <w:tab w:leader="none" w:pos="56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CinRx is no longer deemed to be a related party. As a result the CinRx Warrants are no longer included.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30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Changes in Level 3 instruments for the nine months ended September 30, 2024</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40" w:type="dxa"/>
            <w:vAlign w:val="bottom"/>
          </w:tcPr>
          <w:p>
            <w:pPr>
              <w:spacing w:after="0"/>
              <w:rPr>
                <w:sz w:val="11"/>
                <w:szCs w:val="11"/>
                <w:color w:val="auto"/>
              </w:rPr>
            </w:pPr>
          </w:p>
        </w:tc>
        <w:tc>
          <w:tcPr>
            <w:tcW w:w="1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January 1,</w:t>
            </w:r>
          </w:p>
        </w:tc>
        <w:tc>
          <w:tcPr>
            <w:tcW w:w="200" w:type="dxa"/>
            <w:vAlign w:val="bottom"/>
          </w:tcPr>
          <w:p>
            <w:pPr>
              <w:spacing w:after="0"/>
              <w:rPr>
                <w:sz w:val="11"/>
                <w:szCs w:val="11"/>
                <w:color w:val="auto"/>
              </w:rPr>
            </w:pPr>
          </w:p>
        </w:tc>
        <w:tc>
          <w:tcPr>
            <w:tcW w:w="13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Net Change in</w:t>
            </w:r>
          </w:p>
        </w:tc>
        <w:tc>
          <w:tcPr>
            <w:tcW w:w="240" w:type="dxa"/>
            <w:vAlign w:val="bottom"/>
          </w:tcPr>
          <w:p>
            <w:pPr>
              <w:spacing w:after="0"/>
              <w:rPr>
                <w:sz w:val="11"/>
                <w:szCs w:val="11"/>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Purchases /</w:t>
            </w:r>
          </w:p>
        </w:tc>
        <w:tc>
          <w:tcPr>
            <w:tcW w:w="200" w:type="dxa"/>
            <w:vAlign w:val="bottom"/>
          </w:tcPr>
          <w:p>
            <w:pPr>
              <w:spacing w:after="0"/>
              <w:rPr>
                <w:sz w:val="11"/>
                <w:szCs w:val="11"/>
                <w:color w:val="auto"/>
              </w:rPr>
            </w:pPr>
          </w:p>
        </w:tc>
        <w:tc>
          <w:tcPr>
            <w:tcW w:w="1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Sales /</w:t>
            </w: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September 30,</w:t>
            </w:r>
          </w:p>
        </w:tc>
        <w:tc>
          <w:tcPr>
            <w:tcW w:w="0" w:type="dxa"/>
            <w:vAlign w:val="bottom"/>
          </w:tcPr>
          <w:p>
            <w:pPr>
              <w:spacing w:after="0"/>
              <w:rPr>
                <w:sz w:val="1"/>
                <w:szCs w:val="1"/>
                <w:color w:val="auto"/>
              </w:rPr>
            </w:pPr>
          </w:p>
        </w:tc>
      </w:tr>
      <w:tr>
        <w:trPr>
          <w:trHeight w:val="146"/>
        </w:trPr>
        <w:tc>
          <w:tcPr>
            <w:tcW w:w="20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52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fair value included in</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Reclass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20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Repurchases</w:t>
            </w:r>
          </w:p>
        </w:tc>
        <w:tc>
          <w:tcPr>
            <w:tcW w:w="9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5"/>
        </w:trPr>
        <w:tc>
          <w:tcPr>
            <w:tcW w:w="2040" w:type="dxa"/>
            <w:vAlign w:val="bottom"/>
            <w:tcBorders>
              <w:top w:val="single" w:sz="8" w:color="EBFEFF"/>
            </w:tcBorders>
            <w:shd w:val="clear" w:color="auto" w:fill="EBF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tcBorders>
            <w:shd w:val="clear" w:color="auto" w:fill="EBFEFF"/>
          </w:tcPr>
          <w:p>
            <w:pPr>
              <w:spacing w:after="0"/>
              <w:rPr>
                <w:sz w:val="18"/>
                <w:szCs w:val="18"/>
                <w:color w:val="auto"/>
              </w:rPr>
            </w:pPr>
          </w:p>
        </w:tc>
        <w:tc>
          <w:tcPr>
            <w:tcW w:w="1080" w:type="dxa"/>
            <w:vAlign w:val="bottom"/>
            <w:tcBorders>
              <w:top w:val="single" w:sz="8" w:color="auto"/>
            </w:tcBorders>
            <w:shd w:val="clear" w:color="auto" w:fill="EBFEFF"/>
          </w:tcPr>
          <w:p>
            <w:pPr>
              <w:spacing w:after="0"/>
              <w:rPr>
                <w:sz w:val="18"/>
                <w:szCs w:val="18"/>
                <w:color w:val="auto"/>
              </w:rPr>
            </w:pPr>
          </w:p>
        </w:tc>
        <w:tc>
          <w:tcPr>
            <w:tcW w:w="100" w:type="dxa"/>
            <w:vAlign w:val="bottom"/>
            <w:tcBorders>
              <w:top w:val="single" w:sz="8" w:color="EBFEFF"/>
            </w:tcBorders>
            <w:shd w:val="clear" w:color="auto" w:fill="EBFEFF"/>
          </w:tcPr>
          <w:p>
            <w:pPr>
              <w:spacing w:after="0"/>
              <w:rPr>
                <w:sz w:val="18"/>
                <w:szCs w:val="18"/>
                <w:color w:val="auto"/>
              </w:rPr>
            </w:pPr>
          </w:p>
        </w:tc>
        <w:tc>
          <w:tcPr>
            <w:tcW w:w="200" w:type="dxa"/>
            <w:vAlign w:val="bottom"/>
            <w:tcBorders>
              <w:top w:val="single" w:sz="8" w:color="auto"/>
            </w:tcBorders>
            <w:shd w:val="clear" w:color="auto" w:fill="EBFEFF"/>
          </w:tcPr>
          <w:p>
            <w:pPr>
              <w:spacing w:after="0"/>
              <w:rPr>
                <w:sz w:val="18"/>
                <w:szCs w:val="18"/>
                <w:color w:val="auto"/>
              </w:rPr>
            </w:pPr>
          </w:p>
        </w:tc>
        <w:tc>
          <w:tcPr>
            <w:tcW w:w="1220" w:type="dxa"/>
            <w:vAlign w:val="bottom"/>
            <w:tcBorders>
              <w:top w:val="single" w:sz="8" w:color="auto"/>
            </w:tcBorders>
            <w:shd w:val="clear" w:color="auto" w:fill="EBFEFF"/>
          </w:tcPr>
          <w:p>
            <w:pPr>
              <w:spacing w:after="0"/>
              <w:rPr>
                <w:sz w:val="18"/>
                <w:szCs w:val="18"/>
                <w:color w:val="auto"/>
              </w:rPr>
            </w:pPr>
          </w:p>
        </w:tc>
        <w:tc>
          <w:tcPr>
            <w:tcW w:w="100" w:type="dxa"/>
            <w:vAlign w:val="bottom"/>
            <w:tcBorders>
              <w:top w:val="single" w:sz="8" w:color="EBFEFF"/>
            </w:tcBorders>
            <w:shd w:val="clear" w:color="auto" w:fill="EBFEFF"/>
          </w:tcPr>
          <w:p>
            <w:pPr>
              <w:spacing w:after="0"/>
              <w:rPr>
                <w:sz w:val="18"/>
                <w:szCs w:val="18"/>
                <w:color w:val="auto"/>
              </w:rPr>
            </w:pPr>
          </w:p>
        </w:tc>
        <w:tc>
          <w:tcPr>
            <w:tcW w:w="240" w:type="dxa"/>
            <w:vAlign w:val="bottom"/>
            <w:tcBorders>
              <w:top w:val="single" w:sz="8" w:color="auto"/>
            </w:tcBorders>
            <w:shd w:val="clear" w:color="auto" w:fill="EBFEFF"/>
          </w:tcPr>
          <w:p>
            <w:pPr>
              <w:spacing w:after="0"/>
              <w:rPr>
                <w:sz w:val="18"/>
                <w:szCs w:val="18"/>
                <w:color w:val="auto"/>
              </w:rPr>
            </w:pPr>
          </w:p>
        </w:tc>
        <w:tc>
          <w:tcPr>
            <w:tcW w:w="1180" w:type="dxa"/>
            <w:vAlign w:val="bottom"/>
            <w:tcBorders>
              <w:top w:val="single" w:sz="8" w:color="auto"/>
            </w:tcBorders>
            <w:shd w:val="clear" w:color="auto" w:fill="EBFEFF"/>
          </w:tcPr>
          <w:p>
            <w:pPr>
              <w:spacing w:after="0"/>
              <w:rPr>
                <w:sz w:val="18"/>
                <w:szCs w:val="18"/>
                <w:color w:val="auto"/>
              </w:rPr>
            </w:pPr>
          </w:p>
        </w:tc>
        <w:tc>
          <w:tcPr>
            <w:tcW w:w="100" w:type="dxa"/>
            <w:vAlign w:val="bottom"/>
            <w:tcBorders>
              <w:top w:val="single" w:sz="8" w:color="EBFEFF"/>
            </w:tcBorders>
            <w:shd w:val="clear" w:color="auto" w:fill="EBFEFF"/>
          </w:tcPr>
          <w:p>
            <w:pPr>
              <w:spacing w:after="0"/>
              <w:rPr>
                <w:sz w:val="18"/>
                <w:szCs w:val="18"/>
                <w:color w:val="auto"/>
              </w:rPr>
            </w:pPr>
          </w:p>
        </w:tc>
        <w:tc>
          <w:tcPr>
            <w:tcW w:w="200" w:type="dxa"/>
            <w:vAlign w:val="bottom"/>
            <w:tcBorders>
              <w:top w:val="single" w:sz="8" w:color="auto"/>
            </w:tcBorders>
            <w:shd w:val="clear" w:color="auto" w:fill="EBFEFF"/>
          </w:tcPr>
          <w:p>
            <w:pPr>
              <w:spacing w:after="0"/>
              <w:rPr>
                <w:sz w:val="18"/>
                <w:szCs w:val="18"/>
                <w:color w:val="auto"/>
              </w:rPr>
            </w:pPr>
          </w:p>
        </w:tc>
        <w:tc>
          <w:tcPr>
            <w:tcW w:w="1220" w:type="dxa"/>
            <w:vAlign w:val="bottom"/>
            <w:tcBorders>
              <w:top w:val="single" w:sz="8" w:color="auto"/>
            </w:tcBorders>
            <w:shd w:val="clear" w:color="auto" w:fill="EBFEFF"/>
          </w:tcPr>
          <w:p>
            <w:pPr>
              <w:spacing w:after="0"/>
              <w:rPr>
                <w:sz w:val="18"/>
                <w:szCs w:val="18"/>
                <w:color w:val="auto"/>
              </w:rPr>
            </w:pPr>
          </w:p>
        </w:tc>
        <w:tc>
          <w:tcPr>
            <w:tcW w:w="80" w:type="dxa"/>
            <w:vAlign w:val="bottom"/>
            <w:tcBorders>
              <w:top w:val="single" w:sz="8" w:color="EBFEFF"/>
            </w:tcBorders>
            <w:shd w:val="clear" w:color="auto" w:fill="EBFEFF"/>
          </w:tcPr>
          <w:p>
            <w:pPr>
              <w:spacing w:after="0"/>
              <w:rPr>
                <w:sz w:val="18"/>
                <w:szCs w:val="18"/>
                <w:color w:val="auto"/>
              </w:rPr>
            </w:pPr>
          </w:p>
        </w:tc>
        <w:tc>
          <w:tcPr>
            <w:tcW w:w="960" w:type="dxa"/>
            <w:vAlign w:val="bottom"/>
            <w:tcBorders>
              <w:top w:val="single" w:sz="8" w:color="auto"/>
            </w:tcBorders>
            <w:shd w:val="clear" w:color="auto" w:fill="EBFEFF"/>
          </w:tcPr>
          <w:p>
            <w:pPr>
              <w:spacing w:after="0"/>
              <w:rPr>
                <w:sz w:val="18"/>
                <w:szCs w:val="18"/>
                <w:color w:val="auto"/>
              </w:rPr>
            </w:pPr>
          </w:p>
        </w:tc>
        <w:tc>
          <w:tcPr>
            <w:tcW w:w="460" w:type="dxa"/>
            <w:vAlign w:val="bottom"/>
            <w:tcBorders>
              <w:top w:val="single" w:sz="8" w:color="auto"/>
            </w:tcBorders>
            <w:shd w:val="clear" w:color="auto" w:fill="EBFEFF"/>
          </w:tcPr>
          <w:p>
            <w:pPr>
              <w:spacing w:after="0"/>
              <w:rPr>
                <w:sz w:val="18"/>
                <w:szCs w:val="18"/>
                <w:color w:val="auto"/>
              </w:rPr>
            </w:pPr>
          </w:p>
        </w:tc>
        <w:tc>
          <w:tcPr>
            <w:tcW w:w="80" w:type="dxa"/>
            <w:vAlign w:val="bottom"/>
            <w:tcBorders>
              <w:top w:val="single" w:sz="8" w:color="EBFEFF"/>
            </w:tcBorders>
            <w:shd w:val="clear" w:color="auto" w:fill="EBFEFF"/>
          </w:tcPr>
          <w:p>
            <w:pPr>
              <w:spacing w:after="0"/>
              <w:rPr>
                <w:sz w:val="18"/>
                <w:szCs w:val="18"/>
                <w:color w:val="auto"/>
              </w:rPr>
            </w:pPr>
          </w:p>
        </w:tc>
        <w:tc>
          <w:tcPr>
            <w:tcW w:w="400" w:type="dxa"/>
            <w:vAlign w:val="bottom"/>
            <w:tcBorders>
              <w:top w:val="single" w:sz="8" w:color="auto"/>
            </w:tcBorders>
            <w:shd w:val="clear" w:color="auto" w:fill="EBFEFF"/>
          </w:tcPr>
          <w:p>
            <w:pPr>
              <w:spacing w:after="0"/>
              <w:rPr>
                <w:sz w:val="18"/>
                <w:szCs w:val="18"/>
                <w:color w:val="auto"/>
              </w:rPr>
            </w:pPr>
          </w:p>
        </w:tc>
        <w:tc>
          <w:tcPr>
            <w:tcW w:w="1240" w:type="dxa"/>
            <w:vAlign w:val="bottom"/>
            <w:tcBorders>
              <w:top w:val="single" w:sz="8" w:color="auto"/>
            </w:tcBorders>
            <w:shd w:val="clear" w:color="auto" w:fill="EBF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Warrant liability, related</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party </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204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Warrant liability</w:t>
            </w:r>
          </w:p>
        </w:tc>
        <w:tc>
          <w:tcPr>
            <w:tcW w:w="340" w:type="dxa"/>
            <w:vAlign w:val="bottom"/>
            <w:shd w:val="clear" w:color="auto" w:fill="EBF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BF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BF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EBFEFF"/>
          </w:tcPr>
          <w:p>
            <w:pPr>
              <w:spacing w:after="0"/>
              <w:rPr>
                <w:sz w:val="19"/>
                <w:szCs w:val="19"/>
                <w:color w:val="auto"/>
              </w:rPr>
            </w:pPr>
          </w:p>
        </w:tc>
        <w:tc>
          <w:tcPr>
            <w:tcW w:w="24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BF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BF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EBF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BF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EBFEFF"/>
          </w:tcPr>
          <w:p>
            <w:pPr>
              <w:spacing w:after="0"/>
              <w:rPr>
                <w:sz w:val="19"/>
                <w:szCs w:val="19"/>
                <w:color w:val="auto"/>
              </w:rPr>
            </w:pPr>
          </w:p>
        </w:tc>
        <w:tc>
          <w:tcPr>
            <w:tcW w:w="40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shd w:val="clear" w:color="auto" w:fill="EBFEFF"/>
          </w:tcPr>
          <w:p>
            <w:pPr>
              <w:spacing w:after="0"/>
              <w:rPr>
                <w:sz w:val="19"/>
                <w:szCs w:val="19"/>
                <w:color w:val="auto"/>
              </w:rPr>
            </w:pPr>
          </w:p>
        </w:tc>
        <w:tc>
          <w:tcPr>
            <w:tcW w:w="108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2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240" w:type="dxa"/>
            <w:vAlign w:val="bottom"/>
            <w:shd w:val="clear" w:color="auto" w:fill="EBFEFF"/>
          </w:tcPr>
          <w:p>
            <w:pPr>
              <w:spacing w:after="0"/>
              <w:rPr>
                <w:sz w:val="19"/>
                <w:szCs w:val="19"/>
                <w:color w:val="auto"/>
              </w:rPr>
            </w:pPr>
          </w:p>
        </w:tc>
        <w:tc>
          <w:tcPr>
            <w:tcW w:w="118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20" w:type="dxa"/>
            <w:vAlign w:val="bottom"/>
            <w:shd w:val="clear" w:color="auto" w:fill="EBFEFF"/>
          </w:tcPr>
          <w:p>
            <w:pPr>
              <w:spacing w:after="0"/>
              <w:rPr>
                <w:sz w:val="19"/>
                <w:szCs w:val="19"/>
                <w:color w:val="auto"/>
              </w:rPr>
            </w:pPr>
          </w:p>
        </w:tc>
        <w:tc>
          <w:tcPr>
            <w:tcW w:w="80" w:type="dxa"/>
            <w:vAlign w:val="bottom"/>
            <w:shd w:val="clear" w:color="auto" w:fill="EBFEFF"/>
          </w:tcPr>
          <w:p>
            <w:pPr>
              <w:spacing w:after="0"/>
              <w:rPr>
                <w:sz w:val="19"/>
                <w:szCs w:val="19"/>
                <w:color w:val="auto"/>
              </w:rPr>
            </w:pPr>
          </w:p>
        </w:tc>
        <w:tc>
          <w:tcPr>
            <w:tcW w:w="960" w:type="dxa"/>
            <w:vAlign w:val="bottom"/>
            <w:shd w:val="clear" w:color="auto" w:fill="EBFEFF"/>
          </w:tcPr>
          <w:p>
            <w:pPr>
              <w:spacing w:after="0"/>
              <w:rPr>
                <w:sz w:val="19"/>
                <w:szCs w:val="19"/>
                <w:color w:val="auto"/>
              </w:rPr>
            </w:pPr>
          </w:p>
        </w:tc>
        <w:tc>
          <w:tcPr>
            <w:tcW w:w="460" w:type="dxa"/>
            <w:vAlign w:val="bottom"/>
            <w:shd w:val="clear" w:color="auto" w:fill="EBFEFF"/>
          </w:tcPr>
          <w:p>
            <w:pPr>
              <w:spacing w:after="0"/>
              <w:rPr>
                <w:sz w:val="19"/>
                <w:szCs w:val="19"/>
                <w:color w:val="auto"/>
              </w:rPr>
            </w:pPr>
          </w:p>
        </w:tc>
        <w:tc>
          <w:tcPr>
            <w:tcW w:w="80" w:type="dxa"/>
            <w:vAlign w:val="bottom"/>
            <w:shd w:val="clear" w:color="auto" w:fill="EBFEFF"/>
          </w:tcPr>
          <w:p>
            <w:pPr>
              <w:spacing w:after="0"/>
              <w:rPr>
                <w:sz w:val="19"/>
                <w:szCs w:val="19"/>
                <w:color w:val="auto"/>
              </w:rPr>
            </w:pPr>
          </w:p>
        </w:tc>
        <w:tc>
          <w:tcPr>
            <w:tcW w:w="400" w:type="dxa"/>
            <w:vAlign w:val="bottom"/>
            <w:shd w:val="clear" w:color="auto" w:fill="EBFEFF"/>
          </w:tcPr>
          <w:p>
            <w:pPr>
              <w:spacing w:after="0"/>
              <w:rPr>
                <w:sz w:val="19"/>
                <w:szCs w:val="19"/>
                <w:color w:val="auto"/>
              </w:rPr>
            </w:pPr>
          </w:p>
        </w:tc>
        <w:tc>
          <w:tcPr>
            <w:tcW w:w="1240" w:type="dxa"/>
            <w:vAlign w:val="bottom"/>
            <w:shd w:val="clear" w:color="auto" w:fill="EBF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Warrant liability, related</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party</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48"/>
        </w:trPr>
        <w:tc>
          <w:tcPr>
            <w:tcW w:w="2040" w:type="dxa"/>
            <w:vAlign w:val="bottom"/>
            <w:tcBorders>
              <w:top w:val="single" w:sz="8" w:color="EBFEFF"/>
              <w:bottom w:val="single" w:sz="8" w:color="EBFEFF"/>
            </w:tcBorders>
            <w:shd w:val="clear" w:color="auto" w:fill="EBF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bottom w:val="single" w:sz="8" w:color="auto"/>
            </w:tcBorders>
            <w:shd w:val="clear" w:color="auto" w:fill="EBF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200" w:type="dxa"/>
            <w:vAlign w:val="bottom"/>
            <w:tcBorders>
              <w:top w:val="single" w:sz="8" w:color="auto"/>
              <w:bottom w:val="single" w:sz="8" w:color="auto"/>
            </w:tcBorders>
            <w:shd w:val="clear" w:color="auto" w:fill="EBF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240" w:type="dxa"/>
            <w:vAlign w:val="bottom"/>
            <w:tcBorders>
              <w:top w:val="single" w:sz="8" w:color="auto"/>
              <w:bottom w:val="single" w:sz="8" w:color="auto"/>
            </w:tcBorders>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EBF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200" w:type="dxa"/>
            <w:vAlign w:val="bottom"/>
            <w:tcBorders>
              <w:top w:val="single" w:sz="8" w:color="auto"/>
              <w:bottom w:val="single" w:sz="8" w:color="auto"/>
            </w:tcBorders>
            <w:shd w:val="clear" w:color="auto" w:fill="EBF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BF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EBFEFF"/>
              <w:bottom w:val="single" w:sz="8" w:color="EBFEFF"/>
            </w:tcBorders>
            <w:shd w:val="clear" w:color="auto" w:fill="EBFEFF"/>
          </w:tcPr>
          <w:p>
            <w:pPr>
              <w:spacing w:after="0"/>
              <w:rPr>
                <w:sz w:val="21"/>
                <w:szCs w:val="21"/>
                <w:color w:val="auto"/>
              </w:rPr>
            </w:pPr>
          </w:p>
        </w:tc>
        <w:tc>
          <w:tcPr>
            <w:tcW w:w="960" w:type="dxa"/>
            <w:vAlign w:val="bottom"/>
            <w:tcBorders>
              <w:top w:val="single" w:sz="8" w:color="auto"/>
              <w:bottom w:val="single" w:sz="8" w:color="auto"/>
            </w:tcBorders>
            <w:shd w:val="clear" w:color="auto" w:fill="EBF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EBFEFF"/>
              <w:bottom w:val="single" w:sz="8" w:color="EBFEFF"/>
            </w:tcBorders>
            <w:shd w:val="clear" w:color="auto" w:fill="EBFEFF"/>
          </w:tcPr>
          <w:p>
            <w:pPr>
              <w:spacing w:after="0"/>
              <w:rPr>
                <w:sz w:val="21"/>
                <w:szCs w:val="21"/>
                <w:color w:val="auto"/>
              </w:rPr>
            </w:pPr>
          </w:p>
        </w:tc>
        <w:tc>
          <w:tcPr>
            <w:tcW w:w="400" w:type="dxa"/>
            <w:vAlign w:val="bottom"/>
            <w:tcBorders>
              <w:top w:val="single" w:sz="8" w:color="auto"/>
              <w:bottom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2040" w:type="dxa"/>
            <w:vAlign w:val="bottom"/>
            <w:tcBorders>
              <w:top w:val="single" w:sz="8" w:color="EBFEFF"/>
            </w:tcBorders>
          </w:tcPr>
          <w:p>
            <w:pPr>
              <w:spacing w:after="0" w:line="20" w:lineRule="exact"/>
              <w:rPr>
                <w:sz w:val="1"/>
                <w:szCs w:val="1"/>
                <w:color w:val="auto"/>
              </w:rPr>
            </w:pPr>
          </w:p>
        </w:tc>
        <w:tc>
          <w:tcPr>
            <w:tcW w:w="340" w:type="dxa"/>
            <w:vAlign w:val="bottom"/>
            <w:tcBorders>
              <w:top w:val="single" w:sz="8" w:color="EBFEFF"/>
              <w:bottom w:val="single" w:sz="8" w:color="auto"/>
            </w:tcBorders>
          </w:tcPr>
          <w:p>
            <w:pPr>
              <w:spacing w:after="0" w:line="20" w:lineRule="exact"/>
              <w:rPr>
                <w:sz w:val="1"/>
                <w:szCs w:val="1"/>
                <w:color w:val="auto"/>
              </w:rPr>
            </w:pPr>
          </w:p>
        </w:tc>
        <w:tc>
          <w:tcPr>
            <w:tcW w:w="108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200" w:type="dxa"/>
            <w:vAlign w:val="bottom"/>
            <w:tcBorders>
              <w:top w:val="single" w:sz="8" w:color="EBFEFF"/>
              <w:bottom w:val="single" w:sz="8" w:color="auto"/>
            </w:tcBorders>
          </w:tcPr>
          <w:p>
            <w:pPr>
              <w:spacing w:after="0" w:line="20" w:lineRule="exact"/>
              <w:rPr>
                <w:sz w:val="1"/>
                <w:szCs w:val="1"/>
                <w:color w:val="auto"/>
              </w:rPr>
            </w:pPr>
          </w:p>
        </w:tc>
        <w:tc>
          <w:tcPr>
            <w:tcW w:w="122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240" w:type="dxa"/>
            <w:vAlign w:val="bottom"/>
            <w:tcBorders>
              <w:top w:val="single" w:sz="8" w:color="EBFEFF"/>
              <w:bottom w:val="single" w:sz="8" w:color="auto"/>
            </w:tcBorders>
          </w:tcPr>
          <w:p>
            <w:pPr>
              <w:spacing w:after="0" w:line="20" w:lineRule="exact"/>
              <w:rPr>
                <w:sz w:val="1"/>
                <w:szCs w:val="1"/>
                <w:color w:val="auto"/>
              </w:rPr>
            </w:pPr>
          </w:p>
        </w:tc>
        <w:tc>
          <w:tcPr>
            <w:tcW w:w="118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200" w:type="dxa"/>
            <w:vAlign w:val="bottom"/>
            <w:tcBorders>
              <w:top w:val="single" w:sz="8" w:color="EBFEFF"/>
              <w:bottom w:val="single" w:sz="8" w:color="auto"/>
            </w:tcBorders>
          </w:tcPr>
          <w:p>
            <w:pPr>
              <w:spacing w:after="0" w:line="20" w:lineRule="exact"/>
              <w:rPr>
                <w:sz w:val="1"/>
                <w:szCs w:val="1"/>
                <w:color w:val="auto"/>
              </w:rPr>
            </w:pPr>
          </w:p>
        </w:tc>
        <w:tc>
          <w:tcPr>
            <w:tcW w:w="1220" w:type="dxa"/>
            <w:vAlign w:val="bottom"/>
            <w:tcBorders>
              <w:top w:val="single" w:sz="8" w:color="EBFEFF"/>
              <w:bottom w:val="single" w:sz="8" w:color="auto"/>
            </w:tcBorders>
          </w:tcPr>
          <w:p>
            <w:pPr>
              <w:spacing w:after="0" w:line="20" w:lineRule="exact"/>
              <w:rPr>
                <w:sz w:val="1"/>
                <w:szCs w:val="1"/>
                <w:color w:val="auto"/>
              </w:rPr>
            </w:pPr>
          </w:p>
        </w:tc>
        <w:tc>
          <w:tcPr>
            <w:tcW w:w="80" w:type="dxa"/>
            <w:vAlign w:val="bottom"/>
            <w:tcBorders>
              <w:top w:val="single" w:sz="8" w:color="EBFEFF"/>
            </w:tcBorders>
          </w:tcPr>
          <w:p>
            <w:pPr>
              <w:spacing w:after="0" w:line="20" w:lineRule="exact"/>
              <w:rPr>
                <w:sz w:val="1"/>
                <w:szCs w:val="1"/>
                <w:color w:val="auto"/>
              </w:rPr>
            </w:pPr>
          </w:p>
        </w:tc>
        <w:tc>
          <w:tcPr>
            <w:tcW w:w="960" w:type="dxa"/>
            <w:vAlign w:val="bottom"/>
            <w:tcBorders>
              <w:top w:val="single" w:sz="8" w:color="EBFEFF"/>
              <w:bottom w:val="single" w:sz="8" w:color="auto"/>
            </w:tcBorders>
          </w:tcPr>
          <w:p>
            <w:pPr>
              <w:spacing w:after="0" w:line="20" w:lineRule="exact"/>
              <w:rPr>
                <w:sz w:val="1"/>
                <w:szCs w:val="1"/>
                <w:color w:val="auto"/>
              </w:rPr>
            </w:pPr>
          </w:p>
        </w:tc>
        <w:tc>
          <w:tcPr>
            <w:tcW w:w="460" w:type="dxa"/>
            <w:vAlign w:val="bottom"/>
            <w:tcBorders>
              <w:top w:val="single" w:sz="8" w:color="EBFEFF"/>
              <w:bottom w:val="single" w:sz="8" w:color="auto"/>
            </w:tcBorders>
          </w:tcPr>
          <w:p>
            <w:pPr>
              <w:spacing w:after="0" w:line="20" w:lineRule="exact"/>
              <w:rPr>
                <w:sz w:val="1"/>
                <w:szCs w:val="1"/>
                <w:color w:val="auto"/>
              </w:rPr>
            </w:pPr>
          </w:p>
        </w:tc>
        <w:tc>
          <w:tcPr>
            <w:tcW w:w="80" w:type="dxa"/>
            <w:vAlign w:val="bottom"/>
            <w:tcBorders>
              <w:top w:val="single" w:sz="8" w:color="EBFEFF"/>
            </w:tcBorders>
          </w:tcPr>
          <w:p>
            <w:pPr>
              <w:spacing w:after="0" w:line="20" w:lineRule="exact"/>
              <w:rPr>
                <w:sz w:val="1"/>
                <w:szCs w:val="1"/>
                <w:color w:val="auto"/>
              </w:rPr>
            </w:pPr>
          </w:p>
        </w:tc>
        <w:tc>
          <w:tcPr>
            <w:tcW w:w="400" w:type="dxa"/>
            <w:vAlign w:val="bottom"/>
            <w:tcBorders>
              <w:top w:val="single" w:sz="8" w:color="EBFEFF"/>
              <w:bottom w:val="single" w:sz="8" w:color="auto"/>
            </w:tcBorders>
          </w:tcPr>
          <w:p>
            <w:pPr>
              <w:spacing w:after="0" w:line="20" w:lineRule="exact"/>
              <w:rPr>
                <w:sz w:val="1"/>
                <w:szCs w:val="1"/>
                <w:color w:val="auto"/>
              </w:rPr>
            </w:pPr>
          </w:p>
        </w:tc>
        <w:tc>
          <w:tcPr>
            <w:tcW w:w="1240" w:type="dxa"/>
            <w:vAlign w:val="bottom"/>
            <w:tcBorders>
              <w:top w:val="single" w:sz="8" w:color="EBF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560" w:hanging="534"/>
        <w:spacing w:after="0"/>
        <w:tabs>
          <w:tab w:leader="none" w:pos="56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CinRx is no longer deemed to be a related party. As a result the CinRx Warrants are no longer included.</w:t>
      </w:r>
    </w:p>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transfers into or out of level 3 instruments and/or between level 1 and level 2 instruments during the three and nine months ended September 30, 2024. Gains and losses recognized due to the change in fair value of the warrant liability, related party are recognized as a component of other income (expense), related party in the Company’s Condensed Consolidated Statements of Operations.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Letter Agreement Warrants was determined using the Black-Scholes option pricing model or option pricing models based on the Company’s current capitalization. Expected volatility is based on the historical volatility of the Company’s common stock over the most recent period. The risk-free rate is based on the U.S. Treasury yield curve in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 at the time of valuation. Significant inputs utilized in the valuation of the Letter Agreement Warrants as of September 30, 2024 and December 31, 2023, were: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386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900" w:type="dxa"/>
            <w:vAlign w:val="bottom"/>
          </w:tcPr>
          <w:p>
            <w:pPr>
              <w:spacing w:after="0"/>
              <w:rPr>
                <w:sz w:val="16"/>
                <w:szCs w:val="16"/>
                <w:color w:val="auto"/>
              </w:rPr>
            </w:pPr>
          </w:p>
        </w:tc>
        <w:tc>
          <w:tcPr>
            <w:tcW w:w="28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35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194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r>
      <w:tr>
        <w:trPr>
          <w:trHeight w:val="190"/>
        </w:trPr>
        <w:tc>
          <w:tcPr>
            <w:tcW w:w="3540" w:type="dxa"/>
            <w:vAlign w:val="bottom"/>
            <w:tcBorders>
              <w:bottom w:val="single" w:sz="8" w:color="EBFEFF"/>
            </w:tcBorders>
          </w:tcPr>
          <w:p>
            <w:pPr>
              <w:spacing w:after="0"/>
              <w:rPr>
                <w:sz w:val="16"/>
                <w:szCs w:val="16"/>
                <w:color w:val="auto"/>
              </w:rPr>
            </w:pPr>
          </w:p>
        </w:tc>
        <w:tc>
          <w:tcPr>
            <w:tcW w:w="19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8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80" w:type="dxa"/>
            <w:vAlign w:val="bottom"/>
            <w:tcBorders>
              <w:bottom w:val="single" w:sz="8" w:color="EBFEFF"/>
            </w:tcBorders>
          </w:tcPr>
          <w:p>
            <w:pPr>
              <w:spacing w:after="0"/>
              <w:rPr>
                <w:sz w:val="16"/>
                <w:szCs w:val="16"/>
                <w:color w:val="auto"/>
              </w:rPr>
            </w:pPr>
          </w:p>
        </w:tc>
        <w:tc>
          <w:tcPr>
            <w:tcW w:w="1940" w:type="dxa"/>
            <w:vAlign w:val="bottom"/>
            <w:tcBorders>
              <w:top w:val="single" w:sz="8" w:color="auto"/>
              <w:bottom w:val="single" w:sz="8" w:color="auto"/>
            </w:tcBorders>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8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29"/>
        </w:trPr>
        <w:tc>
          <w:tcPr>
            <w:tcW w:w="354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Expected volatility</w:t>
            </w:r>
          </w:p>
        </w:tc>
        <w:tc>
          <w:tcPr>
            <w:tcW w:w="1940" w:type="dxa"/>
            <w:vAlign w:val="bottom"/>
            <w:shd w:val="clear" w:color="auto" w:fill="EBFEFF"/>
          </w:tcPr>
          <w:p>
            <w:pPr>
              <w:jc w:val="right"/>
              <w:ind w:right="239"/>
              <w:spacing w:after="0"/>
              <w:rPr>
                <w:sz w:val="20"/>
                <w:szCs w:val="20"/>
                <w:color w:val="auto"/>
              </w:rPr>
            </w:pPr>
            <w:r>
              <w:rPr>
                <w:rFonts w:ascii="Times New Roman" w:cs="Times New Roman" w:eastAsia="Times New Roman" w:hAnsi="Times New Roman"/>
                <w:sz w:val="18"/>
                <w:szCs w:val="18"/>
                <w:color w:val="auto"/>
              </w:rPr>
              <w:t>95.13% - 124.70%</w:t>
            </w:r>
          </w:p>
        </w:tc>
        <w:tc>
          <w:tcPr>
            <w:tcW w:w="1840" w:type="dxa"/>
            <w:vAlign w:val="bottom"/>
            <w:shd w:val="clear" w:color="auto" w:fill="EBFEFF"/>
          </w:tcPr>
          <w:p>
            <w:pPr>
              <w:jc w:val="right"/>
              <w:ind w:right="556"/>
              <w:spacing w:after="0"/>
              <w:rPr>
                <w:sz w:val="20"/>
                <w:szCs w:val="20"/>
                <w:color w:val="auto"/>
              </w:rPr>
            </w:pPr>
            <w:r>
              <w:rPr>
                <w:rFonts w:ascii="Times New Roman" w:cs="Times New Roman" w:eastAsia="Times New Roman" w:hAnsi="Times New Roman"/>
                <w:sz w:val="18"/>
                <w:szCs w:val="18"/>
                <w:color w:val="auto"/>
              </w:rPr>
              <w:t>109.42%</w:t>
            </w:r>
          </w:p>
        </w:tc>
        <w:tc>
          <w:tcPr>
            <w:tcW w:w="80" w:type="dxa"/>
            <w:vAlign w:val="bottom"/>
            <w:shd w:val="clear" w:color="auto" w:fill="EBFEFF"/>
          </w:tcPr>
          <w:p>
            <w:pPr>
              <w:spacing w:after="0"/>
              <w:rPr>
                <w:sz w:val="19"/>
                <w:szCs w:val="19"/>
                <w:color w:val="auto"/>
              </w:rPr>
            </w:pPr>
          </w:p>
        </w:tc>
        <w:tc>
          <w:tcPr>
            <w:tcW w:w="9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10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- 89.61%</w:t>
            </w:r>
          </w:p>
        </w:tc>
        <w:tc>
          <w:tcPr>
            <w:tcW w:w="1840" w:type="dxa"/>
            <w:vAlign w:val="bottom"/>
            <w:shd w:val="clear" w:color="auto" w:fill="EBFEFF"/>
          </w:tcPr>
          <w:p>
            <w:pPr>
              <w:jc w:val="right"/>
              <w:ind w:right="576"/>
              <w:spacing w:after="0"/>
              <w:rPr>
                <w:sz w:val="20"/>
                <w:szCs w:val="20"/>
                <w:color w:val="auto"/>
              </w:rPr>
            </w:pPr>
            <w:r>
              <w:rPr>
                <w:rFonts w:ascii="Times New Roman" w:cs="Times New Roman" w:eastAsia="Times New Roman" w:hAnsi="Times New Roman"/>
                <w:sz w:val="18"/>
                <w:szCs w:val="18"/>
                <w:color w:val="auto"/>
              </w:rPr>
              <w:t>81.55%</w:t>
            </w:r>
          </w:p>
        </w:tc>
      </w:tr>
      <w:tr>
        <w:trPr>
          <w:trHeight w:val="234"/>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194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3.64% - 4.85%</w:t>
            </w:r>
          </w:p>
        </w:tc>
        <w:tc>
          <w:tcPr>
            <w:tcW w:w="1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- 4.87%</w:t>
            </w:r>
          </w:p>
        </w:tc>
        <w:tc>
          <w:tcPr>
            <w:tcW w:w="184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4.15%</w:t>
            </w:r>
          </w:p>
        </w:tc>
      </w:tr>
    </w:tbl>
    <w:p>
      <w:pPr>
        <w:spacing w:after="0" w:line="1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CinRx Warrants was determined using the Black-Scholes option pricing model. Expected volatility is based on the historical volatility of the Company’s common stock over the most recent period. The risk-free rate is based on the U.S. Treasury yield curve in effect at the time of valuation. Significant inputs utilized in the valuation of the CinRx Warrants as of September 30, 2024, were: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7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98.2 %</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65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7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 average expected volatility and risk-free interest rate was based on the relative fair values of the warrants.</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Changes in the unobservable inputs noted above would impact the amount of the liability for the Letter Agreement Warrants and CinRx Warrants. Increases (decreases) in the estimates of the Company’s annual volatility would increase (decrease) the liability and an increase (decrease) in the annual risk-free rate would increase (decrease) the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through November 12, 2024, and determined that there have been no events that have occurred that would require adjustments to our disclosures or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100"/>
        <w:spacing w:after="0" w:line="37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Cautionary Note Regarding Forward Looking Statements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Quarterly Report on Form 10-Q contains forward-looking statements within the meaning of the federal securities laws regarding, among other things, our intentions, plans, estimates, assumptions, predictions and beliefs. Although we believe that these forward-looking statements are based upon reasonable assumptions that we have made in light of our experience in the industry, as well as our perceptions of historical trends, current conditions, expected future developments and other factors that we believe are appropriate under the circumstances, our actual results could differ materially from those discussed in the forward-looking statements. Factors that could cause or contribute to these differences include those discussed below and elsewhere in this report under “Part II, Other Information—Item 1A, Risk Factors” and under the heading “Risk Factors” under Item 1A of Part I in our Annual Report on Form 10-K.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 numerous uncertainties and factors to our operations and business environment, all of which are difficult to predict and many of which are beyond our control, you should not place undue reliance on these forward-looking statements and understand that these statements are not guarantees of performance or results.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are a clinical stage pharmaceutical company focused on treating metabolic and inflammatory diseases to minimize their long-term complications and improve the lives of patients. We have an innovative pipeline of first-in-class small molecule clinical and preclinical drug candidates. Our lead program is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an orally administered, small molecule, liver-selective glucokinase activator (“GKA”) in development as an adjunctive therapy to insulin for the treatment of type 1 diabetes (“T1D”).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12529"/>
        </w:rPr>
        <w:t>On October 22, 2024, the Company, received notice from OnKure Therapeutics, formerly Reneo Pharmaceuticals, Inc. ("OnKure"), of its intent to terminate the License Agreement between vTv LLC and Reneo Pharmaceuticals, Inc., dated December 21, 2017, as amended December 20, 2021 (the “Agreement”). Under the Agreement, the Company had granted OnKure an exclusive, worldwide license to intellectual property pertaining to the Company's peroxisome proliferator-activated receptor delta (ppar-δ) agonist program. In its notice, OnKure indicated that it had decided to discontinue development of the program. Under the Agreement, the termination will become effective as of January 20,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drug candidates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their partnership status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5760720" cy="33947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072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0" w:firstLine="8"/>
        <w:spacing w:after="0" w:line="197" w:lineRule="auto"/>
        <w:tabs>
          <w:tab w:leader="none" w:pos="101"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These product candidates are under investigation and their safety and efficacy have not been established. There is no guarantee that these products will receive health authority approval or become commercially available for the uses being investigated.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Our Type 1 Diabetes Program – </w:t>
      </w:r>
      <w:r>
        <w:rPr>
          <w:rFonts w:ascii="Times New Roman" w:cs="Times New Roman" w:eastAsia="Times New Roman" w:hAnsi="Times New Roman"/>
          <w:sz w:val="18"/>
          <w:szCs w:val="18"/>
          <w:b w:val="1"/>
          <w:bCs w:val="1"/>
          <w:i w:val="1"/>
          <w:iCs w:val="1"/>
          <w:color w:val="auto"/>
        </w:rPr>
        <w:t>Cadisegliatin (TTP399)</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U.S. Food and Drug Administration (FDA) granted Breakthrough Therapy designation in 2021 for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as an adjunctive therapy to insulin for the treatment of type 1 diabetes. The Breakthrough Therapy designation provides a sponsor with added support and the potential to expedite development and review timelines for a promising new investigational medicine. The Breakthrough Therapy designation for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in T1D was supported by the positive results from the Phase 2 SimpliciT-1 Study, a multi-center, randomized, double-blind, adaptive study assessing the safety and efficacy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as an adjunct to insulin therapy in adults with T1D. In this trial, treatment with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resulted in a statistically significant improvement in HbA1c relative to placebo and a clinically meaningful decrease (40%) in the frequency of severe and symptomatic hypoglycemia. </w:t>
      </w:r>
      <w:r>
        <w:rPr>
          <w:rFonts w:ascii="Times New Roman" w:cs="Times New Roman" w:eastAsia="Times New Roman" w:hAnsi="Times New Roman"/>
          <w:sz w:val="18"/>
          <w:szCs w:val="18"/>
          <w:i w:val="1"/>
          <w:iCs w:val="1"/>
          <w:color w:val="auto"/>
        </w:rPr>
        <w:t xml:space="preserve">Cadisegliatin </w:t>
      </w:r>
      <w:r>
        <w:rPr>
          <w:rFonts w:ascii="Times New Roman" w:cs="Times New Roman" w:eastAsia="Times New Roman" w:hAnsi="Times New Roman"/>
          <w:sz w:val="18"/>
          <w:szCs w:val="18"/>
          <w:color w:val="auto"/>
        </w:rPr>
        <w:t>demonstrated a favorable safety profile, in which abnormal levels of serum or urine ketones were detected less frequently in patients taking</w:t>
      </w:r>
      <w:r>
        <w:rPr>
          <w:rFonts w:ascii="Times New Roman" w:cs="Times New Roman" w:eastAsia="Times New Roman" w:hAnsi="Times New Roman"/>
          <w:sz w:val="18"/>
          <w:szCs w:val="18"/>
          <w:i w:val="1"/>
          <w:iCs w:val="1"/>
          <w:color w:val="auto"/>
        </w:rPr>
        <w:t xml:space="preserve"> cadisegliatin </w:t>
      </w:r>
      <w:r>
        <w:rPr>
          <w:rFonts w:ascii="Times New Roman" w:cs="Times New Roman" w:eastAsia="Times New Roman" w:hAnsi="Times New Roman"/>
          <w:sz w:val="18"/>
          <w:szCs w:val="18"/>
          <w:color w:val="auto"/>
        </w:rPr>
        <w:t>than those taking placebo.</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May of 2023, the FDA issued new draft guidance on "Diabetes Mellitus: Efficacy Endpoints for Clinical Trials Investigating Antidiabetic Drugs and Biological Products" which, for the first time, permitted the use of hypoglycemia as an endpoint to support a label claim. Consistent with this guidance and with input from the FDA, we initiated our CATT1 trial to assess the effect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on reducing the frequency of Level 2 hypoglycemia (blood glucose levels are less than 54 mg/dL or 3 mmol/L, regardless of symptoms) and Level 3 hypoglycemia ("severe" hypoglycemia e.g., requiring assistance of another person) in 150 patients with type 1 diabetes. On July 26, 2024, the FDA issued a clinical hold for the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program, including the CATT1 trial, based on the discovery of a chromatographic signal in a recent human absorption, distribution, metabolism, and excretion (ADME) study of </w:t>
      </w:r>
      <w:r>
        <w:rPr>
          <w:rFonts w:ascii="Times New Roman" w:cs="Times New Roman" w:eastAsia="Times New Roman" w:hAnsi="Times New Roman"/>
          <w:sz w:val="18"/>
          <w:szCs w:val="18"/>
          <w:i w:val="1"/>
          <w:iCs w:val="1"/>
          <w:color w:val="auto"/>
        </w:rPr>
        <w:t xml:space="preserve">cadisegliatin </w:t>
      </w:r>
      <w:r>
        <w:rPr>
          <w:rFonts w:ascii="Times New Roman" w:cs="Times New Roman" w:eastAsia="Times New Roman" w:hAnsi="Times New Roman"/>
          <w:sz w:val="18"/>
          <w:szCs w:val="18"/>
          <w:color w:val="auto"/>
        </w:rPr>
        <w:t>that could not be resolved by standard mass spectroscopy. The FDA will require a single in vitro study to characterize this signal before the</w:t>
      </w:r>
      <w:r>
        <w:rPr>
          <w:rFonts w:ascii="Times New Roman" w:cs="Times New Roman" w:eastAsia="Times New Roman" w:hAnsi="Times New Roman"/>
          <w:sz w:val="18"/>
          <w:szCs w:val="18"/>
          <w:i w:val="1"/>
          <w:iCs w:val="1"/>
          <w:color w:val="auto"/>
        </w:rPr>
        <w:t xml:space="preserve"> cadisegliatin </w:t>
      </w:r>
      <w:r>
        <w:rPr>
          <w:rFonts w:ascii="Times New Roman" w:cs="Times New Roman" w:eastAsia="Times New Roman" w:hAnsi="Times New Roman"/>
          <w:sz w:val="18"/>
          <w:szCs w:val="18"/>
          <w:color w:val="auto"/>
        </w:rPr>
        <w:t>program, including the CATT1 trial, can resume. At the time of the clinical hold, no patient had been dosed in the CATT1 trial and past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studies did not reveal any clinically concerning safety issues. The Company has conducted activities to address the issue identified by FDA and restart clinical trial activities.</w:t>
      </w:r>
    </w:p>
    <w:p>
      <w:pPr>
        <w:spacing w:after="0" w:line="84"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Company continues to work on the design for two international registrational studies for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in type 1 diabetes, which we expect to start in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we continue to work with our partner, G42 Investments AI Holding RSC Ltd. (“G42”), to initiate a double-blind, randomized, controlled Phase 2 trial in the Middle East region in 450 insulin-using patients with type 2 diabetes. We expect that trial to begin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 from drug sales. Our revenue has been primarily derived from milestone payments, up-front proceeds and research fees under collaboration and license agreements.</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by project for the three and nine months ended September 30, 2024 and 2023 were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3000" w:type="dxa"/>
            <w:vAlign w:val="bottom"/>
            <w:gridSpan w:val="5"/>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3"/>
        </w:trPr>
        <w:tc>
          <w:tcPr>
            <w:tcW w:w="47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0"/>
        </w:trPr>
        <w:tc>
          <w:tcPr>
            <w:tcW w:w="472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w:t>
            </w:r>
          </w:p>
        </w:tc>
        <w:tc>
          <w:tcPr>
            <w:tcW w:w="920" w:type="dxa"/>
            <w:vAlign w:val="bottom"/>
            <w:shd w:val="clear" w:color="auto" w:fill="EBFEFF"/>
          </w:tcPr>
          <w:p>
            <w:pPr>
              <w:spacing w:after="0"/>
              <w:rPr>
                <w:sz w:val="19"/>
                <w:szCs w:val="19"/>
                <w:color w:val="auto"/>
              </w:rPr>
            </w:pPr>
          </w:p>
        </w:tc>
        <w:tc>
          <w:tcPr>
            <w:tcW w:w="52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340" w:type="dxa"/>
            <w:vAlign w:val="bottom"/>
            <w:shd w:val="clear" w:color="auto" w:fill="EBFEFF"/>
          </w:tcPr>
          <w:p>
            <w:pPr>
              <w:spacing w:after="0"/>
              <w:rPr>
                <w:sz w:val="19"/>
                <w:szCs w:val="19"/>
                <w:color w:val="auto"/>
              </w:rPr>
            </w:pPr>
          </w:p>
        </w:tc>
        <w:tc>
          <w:tcPr>
            <w:tcW w:w="112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360" w:type="dxa"/>
            <w:vAlign w:val="bottom"/>
            <w:shd w:val="clear" w:color="auto" w:fill="EBFEFF"/>
          </w:tcPr>
          <w:p>
            <w:pPr>
              <w:spacing w:after="0"/>
              <w:rPr>
                <w:sz w:val="19"/>
                <w:szCs w:val="19"/>
                <w:color w:val="auto"/>
              </w:rPr>
            </w:pPr>
          </w:p>
        </w:tc>
        <w:tc>
          <w:tcPr>
            <w:tcW w:w="1300" w:type="dxa"/>
            <w:vAlign w:val="bottom"/>
            <w:shd w:val="clear" w:color="auto" w:fill="EBFEFF"/>
          </w:tcPr>
          <w:p>
            <w:pPr>
              <w:spacing w:after="0"/>
              <w:rPr>
                <w:sz w:val="19"/>
                <w:szCs w:val="19"/>
                <w:color w:val="auto"/>
              </w:rPr>
            </w:pPr>
          </w:p>
        </w:tc>
        <w:tc>
          <w:tcPr>
            <w:tcW w:w="80" w:type="dxa"/>
            <w:vAlign w:val="bottom"/>
            <w:shd w:val="clear" w:color="auto" w:fill="EBFEFF"/>
          </w:tcPr>
          <w:p>
            <w:pPr>
              <w:spacing w:after="0"/>
              <w:rPr>
                <w:sz w:val="19"/>
                <w:szCs w:val="19"/>
                <w:color w:val="auto"/>
              </w:rPr>
            </w:pPr>
          </w:p>
        </w:tc>
        <w:tc>
          <w:tcPr>
            <w:tcW w:w="400" w:type="dxa"/>
            <w:vAlign w:val="bottom"/>
            <w:shd w:val="clear" w:color="auto" w:fill="EBFEFF"/>
          </w:tcPr>
          <w:p>
            <w:pPr>
              <w:spacing w:after="0"/>
              <w:rPr>
                <w:sz w:val="19"/>
                <w:szCs w:val="19"/>
                <w:color w:val="auto"/>
              </w:rPr>
            </w:pPr>
          </w:p>
        </w:tc>
        <w:tc>
          <w:tcPr>
            <w:tcW w:w="1280" w:type="dxa"/>
            <w:vAlign w:val="bottom"/>
            <w:shd w:val="clear" w:color="auto" w:fill="EBFEFF"/>
          </w:tcPr>
          <w:p>
            <w:pPr>
              <w:spacing w:after="0"/>
              <w:rPr>
                <w:sz w:val="19"/>
                <w:szCs w:val="19"/>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Cadisegliatin</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8,943</w:t>
            </w:r>
          </w:p>
        </w:tc>
      </w:tr>
      <w:tr>
        <w:trPr>
          <w:trHeight w:val="230"/>
        </w:trPr>
        <w:tc>
          <w:tcPr>
            <w:tcW w:w="4720" w:type="dxa"/>
            <w:vAlign w:val="bottom"/>
            <w:shd w:val="clear" w:color="auto" w:fill="EBFEFF"/>
          </w:tcPr>
          <w:p>
            <w:pPr>
              <w:ind w:left="140"/>
              <w:spacing w:after="0"/>
              <w:rPr>
                <w:sz w:val="20"/>
                <w:szCs w:val="20"/>
                <w:color w:val="auto"/>
              </w:rPr>
            </w:pPr>
            <w:r>
              <w:rPr>
                <w:rFonts w:ascii="Times New Roman" w:cs="Times New Roman" w:eastAsia="Times New Roman" w:hAnsi="Times New Roman"/>
                <w:sz w:val="18"/>
                <w:szCs w:val="18"/>
                <w:color w:val="auto"/>
              </w:rPr>
              <w:t>Other projects*</w:t>
            </w:r>
          </w:p>
        </w:tc>
        <w:tc>
          <w:tcPr>
            <w:tcW w:w="920" w:type="dxa"/>
            <w:vAlign w:val="bottom"/>
            <w:shd w:val="clear" w:color="auto" w:fill="EBFEFF"/>
          </w:tcPr>
          <w:p>
            <w:pPr>
              <w:spacing w:after="0"/>
              <w:rPr>
                <w:sz w:val="19"/>
                <w:szCs w:val="19"/>
                <w:color w:val="auto"/>
              </w:rPr>
            </w:pPr>
          </w:p>
        </w:tc>
        <w:tc>
          <w:tcPr>
            <w:tcW w:w="5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EBFEFF"/>
          </w:tcPr>
          <w:p>
            <w:pPr>
              <w:spacing w:after="0"/>
              <w:rPr>
                <w:sz w:val="19"/>
                <w:szCs w:val="19"/>
                <w:color w:val="auto"/>
              </w:rPr>
            </w:pPr>
          </w:p>
        </w:tc>
        <w:tc>
          <w:tcPr>
            <w:tcW w:w="340" w:type="dxa"/>
            <w:vAlign w:val="bottom"/>
            <w:shd w:val="clear" w:color="auto" w:fill="EBFEFF"/>
          </w:tcPr>
          <w:p>
            <w:pPr>
              <w:spacing w:after="0"/>
              <w:rPr>
                <w:sz w:val="19"/>
                <w:szCs w:val="19"/>
                <w:color w:val="auto"/>
              </w:rPr>
            </w:pPr>
          </w:p>
        </w:tc>
        <w:tc>
          <w:tcPr>
            <w:tcW w:w="11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EBFEFF"/>
          </w:tcPr>
          <w:p>
            <w:pPr>
              <w:spacing w:after="0"/>
              <w:rPr>
                <w:sz w:val="19"/>
                <w:szCs w:val="19"/>
                <w:color w:val="auto"/>
              </w:rPr>
            </w:pPr>
          </w:p>
        </w:tc>
        <w:tc>
          <w:tcPr>
            <w:tcW w:w="360" w:type="dxa"/>
            <w:vAlign w:val="bottom"/>
            <w:shd w:val="clear" w:color="auto" w:fill="EBFEFF"/>
          </w:tcPr>
          <w:p>
            <w:pPr>
              <w:spacing w:after="0"/>
              <w:rPr>
                <w:sz w:val="19"/>
                <w:szCs w:val="19"/>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EBFEFF"/>
          </w:tcPr>
          <w:p>
            <w:pPr>
              <w:spacing w:after="0"/>
              <w:rPr>
                <w:sz w:val="19"/>
                <w:szCs w:val="19"/>
                <w:color w:val="auto"/>
              </w:rPr>
            </w:pPr>
          </w:p>
        </w:tc>
        <w:tc>
          <w:tcPr>
            <w:tcW w:w="400" w:type="dxa"/>
            <w:vAlign w:val="bottom"/>
            <w:shd w:val="clear" w:color="auto" w:fill="EBFEFF"/>
          </w:tcPr>
          <w:p>
            <w:pPr>
              <w:spacing w:after="0"/>
              <w:rPr>
                <w:sz w:val="19"/>
                <w:szCs w:val="19"/>
                <w:color w:val="auto"/>
              </w:rPr>
            </w:pPr>
          </w:p>
        </w:tc>
        <w:tc>
          <w:tcPr>
            <w:tcW w:w="128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30"/>
        </w:trPr>
        <w:tc>
          <w:tcPr>
            <w:tcW w:w="4720" w:type="dxa"/>
            <w:vAlign w:val="bottom"/>
            <w:tcBorders>
              <w:bottom w:val="single" w:sz="8" w:color="EBFEFF"/>
            </w:tcBorders>
          </w:tcPr>
          <w:p>
            <w:pPr>
              <w:ind w:left="140"/>
              <w:spacing w:after="0"/>
              <w:rPr>
                <w:sz w:val="20"/>
                <w:szCs w:val="20"/>
                <w:color w:val="auto"/>
              </w:rPr>
            </w:pPr>
            <w:r>
              <w:rPr>
                <w:rFonts w:ascii="Times New Roman" w:cs="Times New Roman" w:eastAsia="Times New Roman" w:hAnsi="Times New Roman"/>
                <w:sz w:val="18"/>
                <w:szCs w:val="18"/>
                <w:color w:val="auto"/>
              </w:rPr>
              <w:t>Indirect research and development expense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48"/>
        </w:trPr>
        <w:tc>
          <w:tcPr>
            <w:tcW w:w="4720" w:type="dxa"/>
            <w:vAlign w:val="bottom"/>
            <w:tcBorders>
              <w:bottom w:val="single" w:sz="8" w:color="EBFEFF"/>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920" w:type="dxa"/>
            <w:vAlign w:val="bottom"/>
            <w:tcBorders>
              <w:bottom w:val="single" w:sz="8" w:color="auto"/>
            </w:tcBorders>
            <w:shd w:val="clear" w:color="auto" w:fill="EBF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EBF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tcPr>
          <w:p>
            <w:pPr>
              <w:spacing w:after="0"/>
              <w:rPr>
                <w:sz w:val="21"/>
                <w:szCs w:val="21"/>
                <w:color w:val="auto"/>
              </w:rPr>
            </w:pPr>
          </w:p>
        </w:tc>
        <w:tc>
          <w:tcPr>
            <w:tcW w:w="360" w:type="dxa"/>
            <w:vAlign w:val="bottom"/>
            <w:tcBorders>
              <w:bottom w:val="single" w:sz="8" w:color="auto"/>
            </w:tcBorders>
            <w:shd w:val="clear" w:color="auto" w:fill="EBF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80" w:type="dxa"/>
            <w:vAlign w:val="bottom"/>
          </w:tcPr>
          <w:p>
            <w:pPr>
              <w:spacing w:after="0"/>
              <w:rPr>
                <w:sz w:val="21"/>
                <w:szCs w:val="21"/>
                <w:color w:val="auto"/>
              </w:rPr>
            </w:pPr>
          </w:p>
        </w:tc>
        <w:tc>
          <w:tcPr>
            <w:tcW w:w="400" w:type="dxa"/>
            <w:vAlign w:val="bottom"/>
            <w:tcBorders>
              <w:bottom w:val="single" w:sz="8" w:color="auto"/>
            </w:tcBorders>
            <w:shd w:val="clear" w:color="auto" w:fill="EBF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11,457</w:t>
            </w:r>
          </w:p>
        </w:tc>
      </w:tr>
      <w:tr>
        <w:trPr>
          <w:trHeight w:val="20"/>
        </w:trPr>
        <w:tc>
          <w:tcPr>
            <w:tcW w:w="4720" w:type="dxa"/>
            <w:vAlign w:val="bottom"/>
            <w:tcBorders>
              <w:top w:val="single" w:sz="8" w:color="EBFEFF"/>
            </w:tcBorders>
          </w:tcPr>
          <w:p>
            <w:pPr>
              <w:spacing w:after="0" w:line="20" w:lineRule="exact"/>
              <w:rPr>
                <w:sz w:val="1"/>
                <w:szCs w:val="1"/>
                <w:color w:val="auto"/>
              </w:rPr>
            </w:pPr>
          </w:p>
        </w:tc>
        <w:tc>
          <w:tcPr>
            <w:tcW w:w="920" w:type="dxa"/>
            <w:vAlign w:val="bottom"/>
            <w:tcBorders>
              <w:top w:val="single" w:sz="8" w:color="EBFEFF"/>
              <w:bottom w:val="single" w:sz="8" w:color="auto"/>
            </w:tcBorders>
          </w:tcPr>
          <w:p>
            <w:pPr>
              <w:spacing w:after="0" w:line="20" w:lineRule="exact"/>
              <w:rPr>
                <w:sz w:val="1"/>
                <w:szCs w:val="1"/>
                <w:color w:val="auto"/>
              </w:rPr>
            </w:pPr>
          </w:p>
        </w:tc>
        <w:tc>
          <w:tcPr>
            <w:tcW w:w="52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EBFEFF"/>
              <w:bottom w:val="single" w:sz="8" w:color="auto"/>
            </w:tcBorders>
          </w:tcPr>
          <w:p>
            <w:pPr>
              <w:spacing w:after="0" w:line="20" w:lineRule="exact"/>
              <w:rPr>
                <w:sz w:val="1"/>
                <w:szCs w:val="1"/>
                <w:color w:val="auto"/>
              </w:rPr>
            </w:pPr>
          </w:p>
        </w:tc>
        <w:tc>
          <w:tcPr>
            <w:tcW w:w="112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EBFEFF"/>
              <w:bottom w:val="single" w:sz="8" w:color="auto"/>
            </w:tcBorders>
          </w:tcPr>
          <w:p>
            <w:pPr>
              <w:spacing w:after="0" w:line="20" w:lineRule="exact"/>
              <w:rPr>
                <w:sz w:val="1"/>
                <w:szCs w:val="1"/>
                <w:color w:val="auto"/>
              </w:rPr>
            </w:pPr>
          </w:p>
        </w:tc>
        <w:tc>
          <w:tcPr>
            <w:tcW w:w="1300" w:type="dxa"/>
            <w:vAlign w:val="bottom"/>
            <w:tcBorders>
              <w:top w:val="single" w:sz="8" w:color="EBF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EBFEFF"/>
              <w:bottom w:val="single" w:sz="8" w:color="auto"/>
            </w:tcBorders>
          </w:tcPr>
          <w:p>
            <w:pPr>
              <w:spacing w:after="0" w:line="20" w:lineRule="exact"/>
              <w:rPr>
                <w:sz w:val="1"/>
                <w:szCs w:val="1"/>
                <w:color w:val="auto"/>
              </w:rPr>
            </w:pPr>
          </w:p>
        </w:tc>
        <w:tc>
          <w:tcPr>
            <w:tcW w:w="1280" w:type="dxa"/>
            <w:vAlign w:val="bottom"/>
            <w:tcBorders>
              <w:top w:val="single" w:sz="8" w:color="EBF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Includes </w:t>
      </w:r>
      <w:r>
        <w:rPr>
          <w:rFonts w:ascii="Times New Roman" w:cs="Times New Roman" w:eastAsia="Times New Roman" w:hAnsi="Times New Roman"/>
          <w:sz w:val="14"/>
          <w:szCs w:val="14"/>
          <w:i w:val="1"/>
          <w:iCs w:val="1"/>
          <w:color w:val="auto"/>
        </w:rPr>
        <w:t>HPP737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azeliragon</w:t>
      </w:r>
    </w:p>
    <w:p>
      <w:pPr>
        <w:spacing w:after="0" w:line="11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We plan to continue to incur significant research and development expenses for the foreseeable future as we continue the development of </w:t>
      </w:r>
      <w:r>
        <w:rPr>
          <w:rFonts w:ascii="Times New Roman" w:cs="Times New Roman" w:eastAsia="Times New Roman" w:hAnsi="Times New Roman"/>
          <w:sz w:val="18"/>
          <w:szCs w:val="18"/>
          <w:i w:val="1"/>
          <w:iCs w:val="1"/>
          <w:color w:val="auto"/>
        </w:rPr>
        <w:t xml:space="preserve">cadisegliatin </w:t>
      </w:r>
      <w:r>
        <w:rPr>
          <w:rFonts w:ascii="Times New Roman" w:cs="Times New Roman" w:eastAsia="Times New Roman" w:hAnsi="Times New Roman"/>
          <w:sz w:val="18"/>
          <w:szCs w:val="18"/>
          <w:color w:val="auto"/>
        </w:rPr>
        <w:t>and further advance the development of our other drug candidates, subject to the availability of additional funding.</w:t>
      </w:r>
    </w:p>
    <w:p>
      <w:pPr>
        <w:spacing w:after="0" w:line="54"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52" w:lineRule="exact"/>
        <w:rPr>
          <w:sz w:val="20"/>
          <w:szCs w:val="20"/>
          <w:color w:val="auto"/>
        </w:rPr>
      </w:pPr>
    </w:p>
    <w:p>
      <w:pPr>
        <w:ind w:left="980" w:hanging="486"/>
        <w:spacing w:after="0" w:line="284"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uncertainty of the duration of the clinical hold placed on the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program and the scope, rate of progress and expense of our clinical trials once resumed as well as any additional, clinical trials and other research and development activities;</w:t>
      </w:r>
    </w:p>
    <w:p>
      <w:pPr>
        <w:spacing w:after="0" w:line="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candidates over other therapies;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commercialize and achieve market acceptance for any of our drug candidates that we are developing or may develop in the future;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clinical trial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our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sufficient capital and cash resources, including access to available debt and equity financing and revenues from operations, to satisfy all of our short-term and longer-term cash requirements and other cash needs, at the times and in the amounts needed;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and regulatory actions and changes in laws or regulations;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prosecuting, defending and enforcing of patent claims and other intellectual property rights, and the expense of doing so.</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Interest income represents noncash interest income related to the imputed interest from the G42 Promissory Note receivable using the effective interest method, which ended in 2023, and cash interest income from dividends and interest from our money market account, all of which are recognized in our Condensed Consolidated Statement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(expense) primarily consists of unrealized gains or losses attributable to the changes in fair value of the equity investments in OnKure, the recognition of changes in fair value of the warrants to purchase shares of our Class A common stock, the loss from the G42 promissory note early redemption on February 28, 2023 and the impairment charge from Anteris Bio, Inc. (“Anteris”) liquidation and dissolution..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results of operations for the periods shown: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20" w:type="dxa"/>
            <w:vAlign w:val="bottom"/>
          </w:tcPr>
          <w:p>
            <w:pPr>
              <w:spacing w:after="0"/>
              <w:rPr>
                <w:sz w:val="19"/>
                <w:szCs w:val="19"/>
                <w:color w:val="auto"/>
              </w:rPr>
            </w:pPr>
          </w:p>
        </w:tc>
        <w:tc>
          <w:tcPr>
            <w:tcW w:w="4240" w:type="dxa"/>
            <w:vAlign w:val="bottom"/>
            <w:gridSpan w:val="7"/>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38"/>
        </w:trPr>
        <w:tc>
          <w:tcPr>
            <w:tcW w:w="6680" w:type="dxa"/>
            <w:vAlign w:val="bottom"/>
            <w:tcBorders>
              <w:bottom w:val="single" w:sz="8" w:color="EBF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EBF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EBF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668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EBF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BFEFF"/>
          </w:tcPr>
          <w:p>
            <w:pPr>
              <w:spacing w:after="0"/>
              <w:rPr>
                <w:sz w:val="19"/>
                <w:szCs w:val="19"/>
                <w:color w:val="auto"/>
              </w:rPr>
            </w:pPr>
          </w:p>
        </w:tc>
        <w:tc>
          <w:tcPr>
            <w:tcW w:w="340" w:type="dxa"/>
            <w:vAlign w:val="bottom"/>
            <w:shd w:val="clear" w:color="auto" w:fill="EBF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BFEFF"/>
          </w:tcPr>
          <w:p>
            <w:pPr>
              <w:spacing w:after="0"/>
              <w:rPr>
                <w:sz w:val="19"/>
                <w:szCs w:val="19"/>
                <w:color w:val="auto"/>
              </w:rPr>
            </w:pPr>
          </w:p>
        </w:tc>
        <w:tc>
          <w:tcPr>
            <w:tcW w:w="280" w:type="dxa"/>
            <w:vAlign w:val="bottom"/>
            <w:shd w:val="clear" w:color="auto" w:fill="EBF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680" w:type="dxa"/>
            <w:vAlign w:val="bottom"/>
            <w:shd w:val="clear" w:color="auto" w:fill="EBF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EBFEFF"/>
          </w:tcPr>
          <w:p>
            <w:pPr>
              <w:spacing w:after="0"/>
              <w:rPr>
                <w:sz w:val="19"/>
                <w:szCs w:val="19"/>
                <w:color w:val="auto"/>
              </w:rPr>
            </w:pPr>
          </w:p>
        </w:tc>
        <w:tc>
          <w:tcPr>
            <w:tcW w:w="1140" w:type="dxa"/>
            <w:vAlign w:val="bottom"/>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rPr>
              <w:t>3,224</w:t>
            </w:r>
          </w:p>
        </w:tc>
        <w:tc>
          <w:tcPr>
            <w:tcW w:w="80" w:type="dxa"/>
            <w:vAlign w:val="bottom"/>
            <w:shd w:val="clear" w:color="auto" w:fill="EBFEFF"/>
          </w:tcPr>
          <w:p>
            <w:pPr>
              <w:spacing w:after="0"/>
              <w:rPr>
                <w:sz w:val="19"/>
                <w:szCs w:val="19"/>
                <w:color w:val="auto"/>
              </w:rPr>
            </w:pPr>
          </w:p>
        </w:tc>
        <w:tc>
          <w:tcPr>
            <w:tcW w:w="340" w:type="dxa"/>
            <w:vAlign w:val="bottom"/>
            <w:shd w:val="clear" w:color="auto" w:fill="EBFEFF"/>
          </w:tcPr>
          <w:p>
            <w:pPr>
              <w:spacing w:after="0"/>
              <w:rPr>
                <w:sz w:val="19"/>
                <w:szCs w:val="19"/>
                <w:color w:val="auto"/>
              </w:rPr>
            </w:pPr>
          </w:p>
        </w:tc>
        <w:tc>
          <w:tcPr>
            <w:tcW w:w="112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shd w:val="clear" w:color="auto" w:fill="EBFEFF"/>
          </w:tcPr>
          <w:p>
            <w:pPr>
              <w:spacing w:after="0"/>
              <w:rPr>
                <w:sz w:val="19"/>
                <w:szCs w:val="19"/>
                <w:color w:val="auto"/>
              </w:rPr>
            </w:pPr>
          </w:p>
        </w:tc>
        <w:tc>
          <w:tcPr>
            <w:tcW w:w="280" w:type="dxa"/>
            <w:vAlign w:val="bottom"/>
            <w:shd w:val="clear" w:color="auto" w:fill="EBFEFF"/>
          </w:tcPr>
          <w:p>
            <w:pPr>
              <w:spacing w:after="0"/>
              <w:rPr>
                <w:sz w:val="19"/>
                <w:szCs w:val="19"/>
                <w:color w:val="auto"/>
              </w:rPr>
            </w:pPr>
          </w:p>
        </w:tc>
        <w:tc>
          <w:tcPr>
            <w:tcW w:w="118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6680" w:type="dxa"/>
            <w:vAlign w:val="bottom"/>
            <w:tcBorders>
              <w:bottom w:val="single" w:sz="8" w:color="EBF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3,282</w:t>
            </w:r>
          </w:p>
        </w:tc>
        <w:tc>
          <w:tcPr>
            <w:tcW w:w="80" w:type="dxa"/>
            <w:vAlign w:val="bottom"/>
            <w:tcBorders>
              <w:bottom w:val="single" w:sz="8" w:color="EBF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tcBorders>
              <w:bottom w:val="single" w:sz="8" w:color="EBF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738</w:t>
            </w:r>
          </w:p>
        </w:tc>
      </w:tr>
      <w:tr>
        <w:trPr>
          <w:trHeight w:val="223"/>
        </w:trPr>
        <w:tc>
          <w:tcPr>
            <w:tcW w:w="6680" w:type="dxa"/>
            <w:vAlign w:val="bottom"/>
            <w:shd w:val="clear" w:color="auto" w:fill="EBF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EBFEFF"/>
          </w:tcPr>
          <w:p>
            <w:pPr>
              <w:spacing w:after="0"/>
              <w:rPr>
                <w:sz w:val="19"/>
                <w:szCs w:val="19"/>
                <w:color w:val="auto"/>
              </w:rPr>
            </w:pPr>
          </w:p>
        </w:tc>
        <w:tc>
          <w:tcPr>
            <w:tcW w:w="1140" w:type="dxa"/>
            <w:vAlign w:val="bottom"/>
            <w:tcBorders>
              <w:bottom w:val="single" w:sz="8" w:color="auto"/>
            </w:tcBorders>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rPr>
              <w:t>6,506</w:t>
            </w:r>
          </w:p>
        </w:tc>
        <w:tc>
          <w:tcPr>
            <w:tcW w:w="80" w:type="dxa"/>
            <w:vAlign w:val="bottom"/>
            <w:shd w:val="clear" w:color="auto" w:fill="EBFEFF"/>
          </w:tcPr>
          <w:p>
            <w:pPr>
              <w:spacing w:after="0"/>
              <w:rPr>
                <w:sz w:val="19"/>
                <w:szCs w:val="19"/>
                <w:color w:val="auto"/>
              </w:rPr>
            </w:pPr>
          </w:p>
        </w:tc>
        <w:tc>
          <w:tcPr>
            <w:tcW w:w="340" w:type="dxa"/>
            <w:vAlign w:val="bottom"/>
            <w:tcBorders>
              <w:bottom w:val="single" w:sz="8" w:color="auto"/>
            </w:tcBorders>
            <w:shd w:val="clear" w:color="auto" w:fill="EBFEFF"/>
          </w:tcPr>
          <w:p>
            <w:pPr>
              <w:spacing w:after="0"/>
              <w:rPr>
                <w:sz w:val="19"/>
                <w:szCs w:val="19"/>
                <w:color w:val="auto"/>
              </w:rPr>
            </w:pPr>
          </w:p>
        </w:tc>
        <w:tc>
          <w:tcPr>
            <w:tcW w:w="1120" w:type="dxa"/>
            <w:vAlign w:val="bottom"/>
            <w:tcBorders>
              <w:bottom w:val="single" w:sz="8" w:color="auto"/>
            </w:tcBorders>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shd w:val="clear" w:color="auto" w:fill="EBFEFF"/>
          </w:tcPr>
          <w:p>
            <w:pPr>
              <w:spacing w:after="0"/>
              <w:rPr>
                <w:sz w:val="19"/>
                <w:szCs w:val="19"/>
                <w:color w:val="auto"/>
              </w:rPr>
            </w:pPr>
          </w:p>
        </w:tc>
        <w:tc>
          <w:tcPr>
            <w:tcW w:w="280" w:type="dxa"/>
            <w:vAlign w:val="bottom"/>
            <w:tcBorders>
              <w:bottom w:val="single" w:sz="8" w:color="auto"/>
            </w:tcBorders>
            <w:shd w:val="clear" w:color="auto" w:fill="EBFEFF"/>
          </w:tcPr>
          <w:p>
            <w:pPr>
              <w:spacing w:after="0"/>
              <w:rPr>
                <w:sz w:val="19"/>
                <w:szCs w:val="19"/>
                <w:color w:val="auto"/>
              </w:rPr>
            </w:pPr>
          </w:p>
        </w:tc>
        <w:tc>
          <w:tcPr>
            <w:tcW w:w="1180" w:type="dxa"/>
            <w:vAlign w:val="bottom"/>
            <w:tcBorders>
              <w:bottom w:val="single" w:sz="8" w:color="auto"/>
            </w:tcBorders>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1,138</w:t>
            </w:r>
          </w:p>
        </w:tc>
      </w:tr>
      <w:tr>
        <w:trPr>
          <w:trHeight w:val="223"/>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(1,138)</w:t>
            </w:r>
          </w:p>
        </w:tc>
      </w:tr>
      <w:tr>
        <w:trPr>
          <w:trHeight w:val="230"/>
        </w:trPr>
        <w:tc>
          <w:tcPr>
            <w:tcW w:w="668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EBFEFF"/>
          </w:tcPr>
          <w:p>
            <w:pPr>
              <w:spacing w:after="0"/>
              <w:rPr>
                <w:sz w:val="19"/>
                <w:szCs w:val="19"/>
                <w:color w:val="auto"/>
              </w:rPr>
            </w:pPr>
          </w:p>
        </w:tc>
        <w:tc>
          <w:tcPr>
            <w:tcW w:w="1140" w:type="dxa"/>
            <w:vAlign w:val="bottom"/>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EBFEFF"/>
          </w:tcPr>
          <w:p>
            <w:pPr>
              <w:spacing w:after="0"/>
              <w:rPr>
                <w:sz w:val="19"/>
                <w:szCs w:val="19"/>
                <w:color w:val="auto"/>
              </w:rPr>
            </w:pPr>
          </w:p>
        </w:tc>
        <w:tc>
          <w:tcPr>
            <w:tcW w:w="340" w:type="dxa"/>
            <w:vAlign w:val="bottom"/>
            <w:shd w:val="clear" w:color="auto" w:fill="EBFEFF"/>
          </w:tcPr>
          <w:p>
            <w:pPr>
              <w:spacing w:after="0"/>
              <w:rPr>
                <w:sz w:val="19"/>
                <w:szCs w:val="19"/>
                <w:color w:val="auto"/>
              </w:rPr>
            </w:pPr>
          </w:p>
        </w:tc>
        <w:tc>
          <w:tcPr>
            <w:tcW w:w="112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EBFEFF"/>
          </w:tcPr>
          <w:p>
            <w:pPr>
              <w:spacing w:after="0"/>
              <w:rPr>
                <w:sz w:val="19"/>
                <w:szCs w:val="19"/>
                <w:color w:val="auto"/>
              </w:rPr>
            </w:pPr>
          </w:p>
        </w:tc>
        <w:tc>
          <w:tcPr>
            <w:tcW w:w="280" w:type="dxa"/>
            <w:vAlign w:val="bottom"/>
            <w:shd w:val="clear" w:color="auto" w:fill="EBFEFF"/>
          </w:tcPr>
          <w:p>
            <w:pPr>
              <w:spacing w:after="0"/>
              <w:rPr>
                <w:sz w:val="19"/>
                <w:szCs w:val="19"/>
                <w:color w:val="auto"/>
              </w:rPr>
            </w:pPr>
          </w:p>
        </w:tc>
        <w:tc>
          <w:tcPr>
            <w:tcW w:w="118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373</w:t>
            </w: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68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EBFEFF"/>
          </w:tcPr>
          <w:p>
            <w:pPr>
              <w:spacing w:after="0"/>
              <w:rPr>
                <w:sz w:val="19"/>
                <w:szCs w:val="19"/>
                <w:color w:val="auto"/>
              </w:rPr>
            </w:pPr>
          </w:p>
        </w:tc>
        <w:tc>
          <w:tcPr>
            <w:tcW w:w="1140" w:type="dxa"/>
            <w:vAlign w:val="bottom"/>
            <w:tcBorders>
              <w:bottom w:val="single" w:sz="8" w:color="auto"/>
            </w:tcBorders>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EBFEFF"/>
          </w:tcPr>
          <w:p>
            <w:pPr>
              <w:spacing w:after="0"/>
              <w:rPr>
                <w:sz w:val="19"/>
                <w:szCs w:val="19"/>
                <w:color w:val="auto"/>
              </w:rPr>
            </w:pPr>
          </w:p>
        </w:tc>
        <w:tc>
          <w:tcPr>
            <w:tcW w:w="340" w:type="dxa"/>
            <w:vAlign w:val="bottom"/>
            <w:tcBorders>
              <w:bottom w:val="single" w:sz="8" w:color="auto"/>
            </w:tcBorders>
            <w:shd w:val="clear" w:color="auto" w:fill="EBFEFF"/>
          </w:tcPr>
          <w:p>
            <w:pPr>
              <w:spacing w:after="0"/>
              <w:rPr>
                <w:sz w:val="19"/>
                <w:szCs w:val="19"/>
                <w:color w:val="auto"/>
              </w:rPr>
            </w:pPr>
          </w:p>
        </w:tc>
        <w:tc>
          <w:tcPr>
            <w:tcW w:w="1120" w:type="dxa"/>
            <w:vAlign w:val="bottom"/>
            <w:tcBorders>
              <w:bottom w:val="single" w:sz="8" w:color="auto"/>
            </w:tcBorders>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shd w:val="clear" w:color="auto" w:fill="EBFEFF"/>
          </w:tcPr>
          <w:p>
            <w:pPr>
              <w:spacing w:after="0"/>
              <w:rPr>
                <w:sz w:val="19"/>
                <w:szCs w:val="19"/>
                <w:color w:val="auto"/>
              </w:rPr>
            </w:pPr>
          </w:p>
        </w:tc>
        <w:tc>
          <w:tcPr>
            <w:tcW w:w="280" w:type="dxa"/>
            <w:vAlign w:val="bottom"/>
            <w:tcBorders>
              <w:bottom w:val="single" w:sz="8" w:color="auto"/>
            </w:tcBorders>
            <w:shd w:val="clear" w:color="auto" w:fill="EBFEFF"/>
          </w:tcPr>
          <w:p>
            <w:pPr>
              <w:spacing w:after="0"/>
              <w:rPr>
                <w:sz w:val="19"/>
                <w:szCs w:val="19"/>
                <w:color w:val="auto"/>
              </w:rPr>
            </w:pPr>
          </w:p>
        </w:tc>
        <w:tc>
          <w:tcPr>
            <w:tcW w:w="1180" w:type="dxa"/>
            <w:vAlign w:val="bottom"/>
            <w:tcBorders>
              <w:bottom w:val="single" w:sz="8" w:color="auto"/>
            </w:tcBorders>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3,461</w:t>
            </w:r>
          </w:p>
        </w:tc>
      </w:tr>
      <w:tr>
        <w:trPr>
          <w:trHeight w:val="223"/>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before income taxes and noncontrolling interest</w:t>
            </w: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2,700</w:t>
            </w:r>
          </w:p>
        </w:tc>
      </w:tr>
      <w:tr>
        <w:trPr>
          <w:trHeight w:val="229"/>
        </w:trPr>
        <w:tc>
          <w:tcPr>
            <w:tcW w:w="668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shd w:val="clear" w:color="auto" w:fill="EBFEFF"/>
          </w:tcPr>
          <w:p>
            <w:pPr>
              <w:spacing w:after="0"/>
              <w:rPr>
                <w:sz w:val="19"/>
                <w:szCs w:val="19"/>
                <w:color w:val="auto"/>
              </w:rPr>
            </w:pPr>
          </w:p>
        </w:tc>
        <w:tc>
          <w:tcPr>
            <w:tcW w:w="1220" w:type="dxa"/>
            <w:vAlign w:val="bottom"/>
            <w:gridSpan w:val="2"/>
            <w:shd w:val="clear" w:color="auto" w:fill="EBF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BFEFF"/>
          </w:tcPr>
          <w:p>
            <w:pPr>
              <w:spacing w:after="0"/>
              <w:rPr>
                <w:sz w:val="19"/>
                <w:szCs w:val="19"/>
                <w:color w:val="auto"/>
              </w:rPr>
            </w:pPr>
          </w:p>
        </w:tc>
        <w:tc>
          <w:tcPr>
            <w:tcW w:w="1220" w:type="dxa"/>
            <w:vAlign w:val="bottom"/>
            <w:gridSpan w:val="2"/>
            <w:shd w:val="clear" w:color="auto" w:fill="EBF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BFEFF"/>
          </w:tcPr>
          <w:p>
            <w:pPr>
              <w:spacing w:after="0"/>
              <w:rPr>
                <w:sz w:val="19"/>
                <w:szCs w:val="19"/>
                <w:color w:val="auto"/>
              </w:rPr>
            </w:pPr>
          </w:p>
        </w:tc>
        <w:tc>
          <w:tcPr>
            <w:tcW w:w="118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(5,840)</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(8,540)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2,700</w:t>
            </w:r>
          </w:p>
        </w:tc>
      </w:tr>
      <w:tr>
        <w:trPr>
          <w:trHeight w:val="229"/>
        </w:trPr>
        <w:tc>
          <w:tcPr>
            <w:tcW w:w="668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20" w:type="dxa"/>
            <w:vAlign w:val="bottom"/>
            <w:tcBorders>
              <w:bottom w:val="single" w:sz="8" w:color="auto"/>
            </w:tcBorders>
            <w:shd w:val="clear" w:color="auto" w:fill="EBFEFF"/>
          </w:tcPr>
          <w:p>
            <w:pPr>
              <w:spacing w:after="0"/>
              <w:rPr>
                <w:sz w:val="19"/>
                <w:szCs w:val="19"/>
                <w:color w:val="auto"/>
              </w:rPr>
            </w:pPr>
          </w:p>
        </w:tc>
        <w:tc>
          <w:tcPr>
            <w:tcW w:w="1140" w:type="dxa"/>
            <w:vAlign w:val="bottom"/>
            <w:tcBorders>
              <w:bottom w:val="single" w:sz="8" w:color="auto"/>
            </w:tcBorders>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rPr>
              <w:t>(1,057)</w:t>
            </w:r>
          </w:p>
        </w:tc>
        <w:tc>
          <w:tcPr>
            <w:tcW w:w="80" w:type="dxa"/>
            <w:vAlign w:val="bottom"/>
            <w:shd w:val="clear" w:color="auto" w:fill="EBFEFF"/>
          </w:tcPr>
          <w:p>
            <w:pPr>
              <w:spacing w:after="0"/>
              <w:rPr>
                <w:sz w:val="19"/>
                <w:szCs w:val="19"/>
                <w:color w:val="auto"/>
              </w:rPr>
            </w:pPr>
          </w:p>
        </w:tc>
        <w:tc>
          <w:tcPr>
            <w:tcW w:w="340" w:type="dxa"/>
            <w:vAlign w:val="bottom"/>
            <w:tcBorders>
              <w:bottom w:val="single" w:sz="8" w:color="auto"/>
            </w:tcBorders>
            <w:shd w:val="clear" w:color="auto" w:fill="EBFEFF"/>
          </w:tcPr>
          <w:p>
            <w:pPr>
              <w:spacing w:after="0"/>
              <w:rPr>
                <w:sz w:val="19"/>
                <w:szCs w:val="19"/>
                <w:color w:val="auto"/>
              </w:rPr>
            </w:pPr>
          </w:p>
        </w:tc>
        <w:tc>
          <w:tcPr>
            <w:tcW w:w="1120" w:type="dxa"/>
            <w:vAlign w:val="bottom"/>
            <w:tcBorders>
              <w:bottom w:val="single" w:sz="8" w:color="auto"/>
            </w:tcBorders>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EBFEFF"/>
          </w:tcPr>
          <w:p>
            <w:pPr>
              <w:spacing w:after="0"/>
              <w:rPr>
                <w:sz w:val="19"/>
                <w:szCs w:val="19"/>
                <w:color w:val="auto"/>
              </w:rPr>
            </w:pPr>
          </w:p>
        </w:tc>
        <w:tc>
          <w:tcPr>
            <w:tcW w:w="280" w:type="dxa"/>
            <w:vAlign w:val="bottom"/>
            <w:tcBorders>
              <w:bottom w:val="single" w:sz="8" w:color="auto"/>
            </w:tcBorders>
            <w:shd w:val="clear" w:color="auto" w:fill="EBFEFF"/>
          </w:tcPr>
          <w:p>
            <w:pPr>
              <w:spacing w:after="0"/>
              <w:rPr>
                <w:sz w:val="19"/>
                <w:szCs w:val="19"/>
                <w:color w:val="auto"/>
              </w:rPr>
            </w:pPr>
          </w:p>
        </w:tc>
        <w:tc>
          <w:tcPr>
            <w:tcW w:w="1180" w:type="dxa"/>
            <w:vAlign w:val="bottom"/>
            <w:tcBorders>
              <w:bottom w:val="single" w:sz="8" w:color="auto"/>
            </w:tcBorders>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829</w:t>
            </w:r>
          </w:p>
        </w:tc>
      </w:tr>
      <w:tr>
        <w:trPr>
          <w:trHeight w:val="223"/>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vTv Therapeutics Inc.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(4,783)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1,871</w:t>
            </w:r>
          </w:p>
        </w:tc>
      </w:tr>
      <w:tr>
        <w:trPr>
          <w:trHeight w:val="21"/>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no revenue for the three months ended September 30, 2024 and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Research and development expenses were $3.2 million and $2.8 million for the three months ended September 30, 2024 and 2023, respectively. The increase in research and development expenses during this period of $0.4 million or 14.2%, was primarily driven by i) an increase in indirect costs and other projects of $0.7 million and offset by ii) lower spending on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of $0.3 million, due to decreases in toxicity study costs and drug manufacturing related costs partially offset by increases in clinical trial start-up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r>
        <w:rPr>
          <w:rFonts w:ascii="Times New Roman" w:cs="Times New Roman" w:eastAsia="Times New Roman" w:hAnsi="Times New Roman"/>
          <w:sz w:val="18"/>
          <w:szCs w:val="18"/>
          <w:i w:val="1"/>
          <w:iCs w:val="1"/>
          <w:color w:val="auto"/>
        </w:rPr>
        <w: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$3.3 million and $2.5 million for the three months ended September 30, 2024 and 2023, respectively. The increase in general and administrative expenses during this period of $0.7 million, or 29.0%, was primarily driven by i) increases of $0.3 million in share-based expense, ii) increases of $0.2 million in legal expenses and iii) increases of $0.2 million in payroll related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for the three months ended September 30, 2024, of $0.5 million, is related to dividend income from our money market accounts.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for the three months ended September 30, 2023, of $0.1 million, is related to dividend income from our money market account.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income was $0.2 million for the three months ended September 30, 2024, and was driven by gains related to the change in the fair value of the warrants to purchase shares of our own stock. Other expense was $3.3 million for the three months ended September 30, 2023, and was driven by an impairment charge on a cost-method investment of $4.2 million. This was partially offset by an unrealized gain from the Company’s investment in OnKure and gains from changes in the fair value of warrants to purchase shares of our own stock issued to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85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results of operations for the periods shown:</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40" w:type="dxa"/>
            <w:vAlign w:val="bottom"/>
          </w:tcPr>
          <w:p>
            <w:pPr>
              <w:spacing w:after="0"/>
              <w:rPr>
                <w:sz w:val="24"/>
                <w:szCs w:val="24"/>
                <w:color w:val="auto"/>
              </w:rPr>
            </w:pPr>
          </w:p>
        </w:tc>
        <w:tc>
          <w:tcPr>
            <w:tcW w:w="4220" w:type="dxa"/>
            <w:vAlign w:val="bottom"/>
            <w:gridSpan w:val="7"/>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8"/>
        </w:trPr>
        <w:tc>
          <w:tcPr>
            <w:tcW w:w="6620" w:type="dxa"/>
            <w:vAlign w:val="bottom"/>
            <w:tcBorders>
              <w:bottom w:val="single" w:sz="8" w:color="EBF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EBF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EBF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662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EBF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BFEFF"/>
          </w:tcPr>
          <w:p>
            <w:pPr>
              <w:spacing w:after="0"/>
              <w:rPr>
                <w:sz w:val="19"/>
                <w:szCs w:val="19"/>
                <w:color w:val="auto"/>
              </w:rPr>
            </w:pPr>
          </w:p>
        </w:tc>
        <w:tc>
          <w:tcPr>
            <w:tcW w:w="280" w:type="dxa"/>
            <w:vAlign w:val="bottom"/>
            <w:shd w:val="clear" w:color="auto" w:fill="EBF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620" w:type="dxa"/>
            <w:vAlign w:val="bottom"/>
            <w:shd w:val="clear" w:color="auto" w:fill="EBF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EBFEFF"/>
          </w:tcPr>
          <w:p>
            <w:pPr>
              <w:spacing w:after="0"/>
              <w:rPr>
                <w:sz w:val="19"/>
                <w:szCs w:val="19"/>
                <w:color w:val="auto"/>
              </w:rPr>
            </w:pPr>
          </w:p>
        </w:tc>
        <w:tc>
          <w:tcPr>
            <w:tcW w:w="112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9,312</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spacing w:after="0"/>
              <w:rPr>
                <w:sz w:val="19"/>
                <w:szCs w:val="19"/>
                <w:color w:val="auto"/>
              </w:rPr>
            </w:pPr>
          </w:p>
        </w:tc>
        <w:tc>
          <w:tcPr>
            <w:tcW w:w="1080" w:type="dxa"/>
            <w:vAlign w:val="bottom"/>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rPr>
              <w:t>11,457</w:t>
            </w:r>
          </w:p>
        </w:tc>
        <w:tc>
          <w:tcPr>
            <w:tcW w:w="80" w:type="dxa"/>
            <w:vAlign w:val="bottom"/>
            <w:shd w:val="clear" w:color="auto" w:fill="EBFEFF"/>
          </w:tcPr>
          <w:p>
            <w:pPr>
              <w:spacing w:after="0"/>
              <w:rPr>
                <w:sz w:val="19"/>
                <w:szCs w:val="19"/>
                <w:color w:val="auto"/>
              </w:rPr>
            </w:pPr>
          </w:p>
        </w:tc>
        <w:tc>
          <w:tcPr>
            <w:tcW w:w="280" w:type="dxa"/>
            <w:vAlign w:val="bottom"/>
            <w:shd w:val="clear" w:color="auto" w:fill="EBFEFF"/>
          </w:tcPr>
          <w:p>
            <w:pPr>
              <w:spacing w:after="0"/>
              <w:rPr>
                <w:sz w:val="19"/>
                <w:szCs w:val="19"/>
                <w:color w:val="auto"/>
              </w:rPr>
            </w:pPr>
          </w:p>
        </w:tc>
        <w:tc>
          <w:tcPr>
            <w:tcW w:w="118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(2,145)</w:t>
            </w:r>
          </w:p>
        </w:tc>
      </w:tr>
      <w:tr>
        <w:trPr>
          <w:trHeight w:val="229"/>
        </w:trPr>
        <w:tc>
          <w:tcPr>
            <w:tcW w:w="6620" w:type="dxa"/>
            <w:vAlign w:val="bottom"/>
            <w:tcBorders>
              <w:bottom w:val="single" w:sz="8" w:color="EBF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10,976</w:t>
            </w:r>
          </w:p>
        </w:tc>
        <w:tc>
          <w:tcPr>
            <w:tcW w:w="100" w:type="dxa"/>
            <w:vAlign w:val="bottom"/>
            <w:tcBorders>
              <w:bottom w:val="single" w:sz="8" w:color="EBF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9,338</w:t>
            </w:r>
          </w:p>
        </w:tc>
        <w:tc>
          <w:tcPr>
            <w:tcW w:w="80" w:type="dxa"/>
            <w:vAlign w:val="bottom"/>
            <w:tcBorders>
              <w:bottom w:val="single" w:sz="8" w:color="EBF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1,638</w:t>
            </w:r>
          </w:p>
        </w:tc>
      </w:tr>
      <w:tr>
        <w:trPr>
          <w:trHeight w:val="223"/>
        </w:trPr>
        <w:tc>
          <w:tcPr>
            <w:tcW w:w="6620" w:type="dxa"/>
            <w:vAlign w:val="bottom"/>
            <w:shd w:val="clear" w:color="auto" w:fill="EBF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EBFEFF"/>
          </w:tcPr>
          <w:p>
            <w:pPr>
              <w:spacing w:after="0"/>
              <w:rPr>
                <w:sz w:val="19"/>
                <w:szCs w:val="19"/>
                <w:color w:val="auto"/>
              </w:rPr>
            </w:pPr>
          </w:p>
        </w:tc>
        <w:tc>
          <w:tcPr>
            <w:tcW w:w="1120" w:type="dxa"/>
            <w:vAlign w:val="bottom"/>
            <w:tcBorders>
              <w:bottom w:val="single" w:sz="8" w:color="auto"/>
            </w:tcBorders>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20,288</w:t>
            </w:r>
          </w:p>
        </w:tc>
        <w:tc>
          <w:tcPr>
            <w:tcW w:w="100" w:type="dxa"/>
            <w:vAlign w:val="bottom"/>
            <w:shd w:val="clear" w:color="auto" w:fill="EBFEFF"/>
          </w:tcPr>
          <w:p>
            <w:pPr>
              <w:spacing w:after="0"/>
              <w:rPr>
                <w:sz w:val="19"/>
                <w:szCs w:val="19"/>
                <w:color w:val="auto"/>
              </w:rPr>
            </w:pPr>
          </w:p>
        </w:tc>
        <w:tc>
          <w:tcPr>
            <w:tcW w:w="380" w:type="dxa"/>
            <w:vAlign w:val="bottom"/>
            <w:tcBorders>
              <w:bottom w:val="single" w:sz="8" w:color="auto"/>
            </w:tcBorders>
            <w:shd w:val="clear" w:color="auto" w:fill="EBFEFF"/>
          </w:tcPr>
          <w:p>
            <w:pPr>
              <w:spacing w:after="0"/>
              <w:rPr>
                <w:sz w:val="19"/>
                <w:szCs w:val="19"/>
                <w:color w:val="auto"/>
              </w:rPr>
            </w:pPr>
          </w:p>
        </w:tc>
        <w:tc>
          <w:tcPr>
            <w:tcW w:w="1080" w:type="dxa"/>
            <w:vAlign w:val="bottom"/>
            <w:tcBorders>
              <w:bottom w:val="single" w:sz="8" w:color="auto"/>
            </w:tcBorders>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rPr>
              <w:t>20,795</w:t>
            </w:r>
          </w:p>
        </w:tc>
        <w:tc>
          <w:tcPr>
            <w:tcW w:w="80" w:type="dxa"/>
            <w:vAlign w:val="bottom"/>
            <w:shd w:val="clear" w:color="auto" w:fill="EBFEFF"/>
          </w:tcPr>
          <w:p>
            <w:pPr>
              <w:spacing w:after="0"/>
              <w:rPr>
                <w:sz w:val="19"/>
                <w:szCs w:val="19"/>
                <w:color w:val="auto"/>
              </w:rPr>
            </w:pPr>
          </w:p>
        </w:tc>
        <w:tc>
          <w:tcPr>
            <w:tcW w:w="280" w:type="dxa"/>
            <w:vAlign w:val="bottom"/>
            <w:tcBorders>
              <w:bottom w:val="single" w:sz="8" w:color="auto"/>
            </w:tcBorders>
            <w:shd w:val="clear" w:color="auto" w:fill="EBFEFF"/>
          </w:tcPr>
          <w:p>
            <w:pPr>
              <w:spacing w:after="0"/>
              <w:rPr>
                <w:sz w:val="19"/>
                <w:szCs w:val="19"/>
                <w:color w:val="auto"/>
              </w:rPr>
            </w:pPr>
          </w:p>
        </w:tc>
        <w:tc>
          <w:tcPr>
            <w:tcW w:w="1180" w:type="dxa"/>
            <w:vAlign w:val="bottom"/>
            <w:tcBorders>
              <w:bottom w:val="single" w:sz="8" w:color="auto"/>
            </w:tcBorders>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(507)</w:t>
            </w:r>
          </w:p>
        </w:tc>
      </w:tr>
      <w:tr>
        <w:trPr>
          <w:trHeight w:val="223"/>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(20,795)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1,507</w:t>
            </w:r>
          </w:p>
        </w:tc>
      </w:tr>
      <w:tr>
        <w:trPr>
          <w:trHeight w:val="230"/>
        </w:trPr>
        <w:tc>
          <w:tcPr>
            <w:tcW w:w="662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EBFEFF"/>
          </w:tcPr>
          <w:p>
            <w:pPr>
              <w:spacing w:after="0"/>
              <w:rPr>
                <w:sz w:val="19"/>
                <w:szCs w:val="19"/>
                <w:color w:val="auto"/>
              </w:rPr>
            </w:pPr>
          </w:p>
        </w:tc>
        <w:tc>
          <w:tcPr>
            <w:tcW w:w="112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spacing w:after="0"/>
              <w:rPr>
                <w:sz w:val="19"/>
                <w:szCs w:val="19"/>
                <w:color w:val="auto"/>
              </w:rPr>
            </w:pPr>
          </w:p>
        </w:tc>
        <w:tc>
          <w:tcPr>
            <w:tcW w:w="1080" w:type="dxa"/>
            <w:vAlign w:val="bottom"/>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EBFEFF"/>
          </w:tcPr>
          <w:p>
            <w:pPr>
              <w:spacing w:after="0"/>
              <w:rPr>
                <w:sz w:val="19"/>
                <w:szCs w:val="19"/>
                <w:color w:val="auto"/>
              </w:rPr>
            </w:pPr>
          </w:p>
        </w:tc>
        <w:tc>
          <w:tcPr>
            <w:tcW w:w="280" w:type="dxa"/>
            <w:vAlign w:val="bottom"/>
            <w:shd w:val="clear" w:color="auto" w:fill="EBFEFF"/>
          </w:tcPr>
          <w:p>
            <w:pPr>
              <w:spacing w:after="0"/>
              <w:rPr>
                <w:sz w:val="19"/>
                <w:szCs w:val="19"/>
                <w:color w:val="auto"/>
              </w:rPr>
            </w:pPr>
          </w:p>
        </w:tc>
        <w:tc>
          <w:tcPr>
            <w:tcW w:w="118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752</w:t>
            </w:r>
          </w:p>
        </w:tc>
      </w:tr>
      <w:tr>
        <w:trPr>
          <w:trHeight w:val="229"/>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62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shd w:val="clear" w:color="auto" w:fill="EBFEFF"/>
          </w:tcPr>
          <w:p>
            <w:pPr>
              <w:spacing w:after="0"/>
              <w:rPr>
                <w:sz w:val="19"/>
                <w:szCs w:val="19"/>
                <w:color w:val="auto"/>
              </w:rPr>
            </w:pPr>
          </w:p>
        </w:tc>
        <w:tc>
          <w:tcPr>
            <w:tcW w:w="1120" w:type="dxa"/>
            <w:vAlign w:val="bottom"/>
            <w:tcBorders>
              <w:bottom w:val="single" w:sz="8" w:color="auto"/>
            </w:tcBorders>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EBFEFF"/>
          </w:tcPr>
          <w:p>
            <w:pPr>
              <w:spacing w:after="0"/>
              <w:rPr>
                <w:sz w:val="19"/>
                <w:szCs w:val="19"/>
                <w:color w:val="auto"/>
              </w:rPr>
            </w:pPr>
          </w:p>
        </w:tc>
        <w:tc>
          <w:tcPr>
            <w:tcW w:w="380" w:type="dxa"/>
            <w:vAlign w:val="bottom"/>
            <w:tcBorders>
              <w:bottom w:val="single" w:sz="8" w:color="auto"/>
            </w:tcBorders>
            <w:shd w:val="clear" w:color="auto" w:fill="EBFEFF"/>
          </w:tcPr>
          <w:p>
            <w:pPr>
              <w:spacing w:after="0"/>
              <w:rPr>
                <w:sz w:val="19"/>
                <w:szCs w:val="19"/>
                <w:color w:val="auto"/>
              </w:rPr>
            </w:pPr>
          </w:p>
        </w:tc>
        <w:tc>
          <w:tcPr>
            <w:tcW w:w="1080" w:type="dxa"/>
            <w:vAlign w:val="bottom"/>
            <w:tcBorders>
              <w:bottom w:val="single" w:sz="8" w:color="auto"/>
            </w:tcBorders>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shd w:val="clear" w:color="auto" w:fill="EBFEFF"/>
          </w:tcPr>
          <w:p>
            <w:pPr>
              <w:spacing w:after="0"/>
              <w:rPr>
                <w:sz w:val="19"/>
                <w:szCs w:val="19"/>
                <w:color w:val="auto"/>
              </w:rPr>
            </w:pPr>
          </w:p>
        </w:tc>
        <w:tc>
          <w:tcPr>
            <w:tcW w:w="280" w:type="dxa"/>
            <w:vAlign w:val="bottom"/>
            <w:tcBorders>
              <w:bottom w:val="single" w:sz="8" w:color="auto"/>
            </w:tcBorders>
            <w:shd w:val="clear" w:color="auto" w:fill="EBFEFF"/>
          </w:tcPr>
          <w:p>
            <w:pPr>
              <w:spacing w:after="0"/>
              <w:rPr>
                <w:sz w:val="19"/>
                <w:szCs w:val="19"/>
                <w:color w:val="auto"/>
              </w:rPr>
            </w:pPr>
          </w:p>
        </w:tc>
        <w:tc>
          <w:tcPr>
            <w:tcW w:w="1180" w:type="dxa"/>
            <w:vAlign w:val="bottom"/>
            <w:tcBorders>
              <w:bottom w:val="single" w:sz="8" w:color="auto"/>
            </w:tcBorders>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1,092</w:t>
            </w:r>
          </w:p>
        </w:tc>
      </w:tr>
      <w:tr>
        <w:trPr>
          <w:trHeight w:val="223"/>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before income taxes and noncontrolling interest</w:t>
            </w: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(21,525)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3,357</w:t>
            </w:r>
          </w:p>
        </w:tc>
      </w:tr>
      <w:tr>
        <w:trPr>
          <w:trHeight w:val="230"/>
        </w:trPr>
        <w:tc>
          <w:tcPr>
            <w:tcW w:w="662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shd w:val="clear" w:color="auto" w:fill="EBFEFF"/>
          </w:tcPr>
          <w:p>
            <w:pPr>
              <w:spacing w:after="0"/>
              <w:rPr>
                <w:sz w:val="19"/>
                <w:szCs w:val="19"/>
                <w:color w:val="auto"/>
              </w:rPr>
            </w:pPr>
          </w:p>
        </w:tc>
        <w:tc>
          <w:tcPr>
            <w:tcW w:w="112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spacing w:after="0"/>
              <w:rPr>
                <w:sz w:val="19"/>
                <w:szCs w:val="19"/>
                <w:color w:val="auto"/>
              </w:rPr>
            </w:pPr>
          </w:p>
        </w:tc>
        <w:tc>
          <w:tcPr>
            <w:tcW w:w="1160" w:type="dxa"/>
            <w:vAlign w:val="bottom"/>
            <w:gridSpan w:val="2"/>
            <w:shd w:val="clear" w:color="auto" w:fill="EBF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BFEFF"/>
          </w:tcPr>
          <w:p>
            <w:pPr>
              <w:spacing w:after="0"/>
              <w:rPr>
                <w:sz w:val="19"/>
                <w:szCs w:val="19"/>
                <w:color w:val="auto"/>
              </w:rPr>
            </w:pPr>
          </w:p>
        </w:tc>
        <w:tc>
          <w:tcPr>
            <w:tcW w:w="118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(18,268)</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(21,525)</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3,257</w:t>
            </w:r>
          </w:p>
        </w:tc>
      </w:tr>
      <w:tr>
        <w:trPr>
          <w:trHeight w:val="229"/>
        </w:trPr>
        <w:tc>
          <w:tcPr>
            <w:tcW w:w="662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40" w:type="dxa"/>
            <w:vAlign w:val="bottom"/>
            <w:tcBorders>
              <w:bottom w:val="single" w:sz="8" w:color="auto"/>
            </w:tcBorders>
            <w:shd w:val="clear" w:color="auto" w:fill="EBFEFF"/>
          </w:tcPr>
          <w:p>
            <w:pPr>
              <w:spacing w:after="0"/>
              <w:rPr>
                <w:sz w:val="19"/>
                <w:szCs w:val="19"/>
                <w:color w:val="auto"/>
              </w:rPr>
            </w:pPr>
          </w:p>
        </w:tc>
        <w:tc>
          <w:tcPr>
            <w:tcW w:w="1120" w:type="dxa"/>
            <w:vAlign w:val="bottom"/>
            <w:tcBorders>
              <w:bottom w:val="single" w:sz="8" w:color="auto"/>
            </w:tcBorders>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shd w:val="clear" w:color="auto" w:fill="EBFEFF"/>
          </w:tcPr>
          <w:p>
            <w:pPr>
              <w:spacing w:after="0"/>
              <w:rPr>
                <w:sz w:val="19"/>
                <w:szCs w:val="19"/>
                <w:color w:val="auto"/>
              </w:rPr>
            </w:pPr>
          </w:p>
        </w:tc>
        <w:tc>
          <w:tcPr>
            <w:tcW w:w="380" w:type="dxa"/>
            <w:vAlign w:val="bottom"/>
            <w:tcBorders>
              <w:bottom w:val="single" w:sz="8" w:color="auto"/>
            </w:tcBorders>
            <w:shd w:val="clear" w:color="auto" w:fill="EBFEFF"/>
          </w:tcPr>
          <w:p>
            <w:pPr>
              <w:spacing w:after="0"/>
              <w:rPr>
                <w:sz w:val="19"/>
                <w:szCs w:val="19"/>
                <w:color w:val="auto"/>
              </w:rPr>
            </w:pPr>
          </w:p>
        </w:tc>
        <w:tc>
          <w:tcPr>
            <w:tcW w:w="1080" w:type="dxa"/>
            <w:vAlign w:val="bottom"/>
            <w:tcBorders>
              <w:bottom w:val="single" w:sz="8" w:color="auto"/>
            </w:tcBorders>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rPr>
              <w:t>(4,753)</w:t>
            </w:r>
          </w:p>
        </w:tc>
        <w:tc>
          <w:tcPr>
            <w:tcW w:w="80" w:type="dxa"/>
            <w:vAlign w:val="bottom"/>
            <w:shd w:val="clear" w:color="auto" w:fill="EBFEFF"/>
          </w:tcPr>
          <w:p>
            <w:pPr>
              <w:spacing w:after="0"/>
              <w:rPr>
                <w:sz w:val="19"/>
                <w:szCs w:val="19"/>
                <w:color w:val="auto"/>
              </w:rPr>
            </w:pPr>
          </w:p>
        </w:tc>
        <w:tc>
          <w:tcPr>
            <w:tcW w:w="280" w:type="dxa"/>
            <w:vAlign w:val="bottom"/>
            <w:tcBorders>
              <w:bottom w:val="single" w:sz="8" w:color="auto"/>
            </w:tcBorders>
            <w:shd w:val="clear" w:color="auto" w:fill="EBFEFF"/>
          </w:tcPr>
          <w:p>
            <w:pPr>
              <w:spacing w:after="0"/>
              <w:rPr>
                <w:sz w:val="19"/>
                <w:szCs w:val="19"/>
                <w:color w:val="auto"/>
              </w:rPr>
            </w:pPr>
          </w:p>
        </w:tc>
        <w:tc>
          <w:tcPr>
            <w:tcW w:w="1180" w:type="dxa"/>
            <w:vAlign w:val="bottom"/>
            <w:tcBorders>
              <w:bottom w:val="single" w:sz="8" w:color="auto"/>
            </w:tcBorders>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1,313</w:t>
            </w:r>
          </w:p>
        </w:tc>
      </w:tr>
      <w:tr>
        <w:trPr>
          <w:trHeight w:val="223"/>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vTv Therapeutics Inc.</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(14,828)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(16,772)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1,944</w:t>
            </w:r>
          </w:p>
        </w:tc>
      </w:tr>
      <w:tr>
        <w:trPr>
          <w:trHeight w:val="21"/>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for the nine months ended September 30, 2024 includes a $1.0 million increase to the transaction price for the license performance obligation under the Newsoara License Agreement due to the satisfaction of a development milestone. There was no revenue for the nine months ended September 30,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Research and development expenses were $9.3 million and $11.5 million for the nine months ended September 30, 2024 and 2023, respectively. The decrease in research and development expenses during the period of $2.1 million, or 18.7%, was primarily driven by i) lower spending on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of $3.8 million due to decreases in toxicity study costs and drug manufacturing related costs, partially offset by increases in clinical trial start-up costs, and ii) increases in indirect costs and other projects of $1.7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r>
        <w:rPr>
          <w:rFonts w:ascii="Times New Roman" w:cs="Times New Roman" w:eastAsia="Times New Roman" w:hAnsi="Times New Roman"/>
          <w:sz w:val="18"/>
          <w:szCs w:val="18"/>
          <w:i w:val="1"/>
          <w:iCs w:val="1"/>
          <w:color w:val="auto"/>
        </w:rPr>
        <w: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$11.0 million and $9.3 million for the nine months ended September 30, 2024 and 2023, respectively. The increase of $1.6 million or 17.5%, was primarily driven by i) increases of $1.0 million in payroll costs, ii) increases of $0.7 million in legal expense, iii) increases of $0.5 million in share-based expense, partially offset by iv) decreases of $0.6 million in other general and administrative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Interest income for the nine months ended September 30, 2024, of $1.1 million, is related to dividend income from our money market accounts. Interest income for the nine months ended September 30, 2023 of 0.4 million is related to imputed interest on the G42 Promissory Note and dividend income from our money market account.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auto"/>
        </w:rPr>
        <w:t>Other expense for the nine months ended September 30, 2024 was immaterial. Other expense was $1.1 million for the nine months ended September 30, 2023, and was driven by an impairment charge on a cost-method investment of $4.2 million. This was partially offset by an unrealized gain from the Company’s investment in OnKure and gains from changes in the fair value of warrants to purchase shares of our own stock issued to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September 30, 2024, we had an accumulated deficit of $296.1 million. Since our inception, we have experienced a history of negative cash flows from operating activities. We anticipate that we will continue to incur losses and negative cash flow from operations for the foreseeable future as we continue our clinical trials. Further, we expect that we will need additional capital to continue to fund our operations. As of September 30, 2024, we had cash and cash equivalents of $41.6 million.</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On February 27, 2024, the Company closed a private placement financing of up to $51.0 million and additionally granting investors the right to purchase up to an additional $30.0 million of common stock 18 months following the closing of the private placement financing. The financing raised will allow the Company to further advance its lead program for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available cash and cash equivalents and available funds discussed above, we are seeking possible additional partnering opportunities for our GKA, GLP-1r and other drug candidates which we believe may provide additional cash for use in our operations and the continuation of the clinical trials for our drug candidates. We are evaluating several financing strategies to fund our planned and ongoing clinical trials, including direct equity investments and future public offerings of our common stock. The timing and availability of such additional financing are not yet known.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TD Cowen Sales Agreement</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although we may only offer and sell under the TD Cowen ATM Offering up to one-third of the aggregate market value of our Class A common stock held by non-affiliates during any 12 calendar month period pursuant to General Instruction I.B.6 of Form S-3. We are not obligated to sell any shares under the TD Cowen Sales Agreement. Under the terms of the TD Cowen Sales Agreement, we will pay TD Cowen a commission of 3% of the aggregate proceeds from the sale of shares and reimburse certain legal fees or other disbursements. As of September 30, 2024, we have sold 179,400 shares of Class A common stock under the TD Cowen ATM Offering for net proceeds of $2.5 million, leaving $47.5 million available to be sold. The shares are offered and sold pursuant to the Company’s shelf registration statement on Form S-3. In no event will we sell Class A common stock under this registration statement with a value exceeding more than one-third of the “public float” (the market value of our Class A common stock and any other equity securities that we may issue in the future that are held by non-affiliates) in any 12-calendar month period so long as our public float remains below $75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8020" w:type="dxa"/>
            <w:vAlign w:val="bottom"/>
            <w:shd w:val="clear" w:color="auto" w:fill="EBF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EBF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BFEFF"/>
          </w:tcPr>
          <w:p>
            <w:pPr>
              <w:jc w:val="center"/>
              <w:ind w:left="437"/>
              <w:spacing w:after="0"/>
              <w:rPr>
                <w:sz w:val="20"/>
                <w:szCs w:val="20"/>
                <w:color w:val="auto"/>
              </w:rPr>
            </w:pPr>
            <w:r>
              <w:rPr>
                <w:rFonts w:ascii="Times New Roman" w:cs="Times New Roman" w:eastAsia="Times New Roman" w:hAnsi="Times New Roman"/>
                <w:sz w:val="18"/>
                <w:szCs w:val="18"/>
                <w:color w:val="auto"/>
              </w:rPr>
              <w:t>(20,482)</w:t>
            </w:r>
          </w:p>
        </w:tc>
        <w:tc>
          <w:tcPr>
            <w:tcW w:w="100" w:type="dxa"/>
            <w:vAlign w:val="bottom"/>
            <w:shd w:val="clear" w:color="auto" w:fill="EBFEFF"/>
          </w:tcPr>
          <w:p>
            <w:pPr>
              <w:spacing w:after="0"/>
              <w:rPr>
                <w:sz w:val="19"/>
                <w:szCs w:val="19"/>
                <w:color w:val="auto"/>
              </w:rPr>
            </w:pPr>
          </w:p>
        </w:tc>
        <w:tc>
          <w:tcPr>
            <w:tcW w:w="340" w:type="dxa"/>
            <w:vAlign w:val="bottom"/>
            <w:shd w:val="clear" w:color="auto" w:fill="EBF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(16,167)</w:t>
            </w:r>
          </w:p>
        </w:tc>
      </w:tr>
      <w:tr>
        <w:trPr>
          <w:trHeight w:val="229"/>
        </w:trPr>
        <w:tc>
          <w:tcPr>
            <w:tcW w:w="8020" w:type="dxa"/>
            <w:vAlign w:val="bottom"/>
            <w:tcBorders>
              <w:bottom w:val="single" w:sz="8" w:color="EBF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477"/>
              <w:spacing w:after="0"/>
              <w:rPr>
                <w:sz w:val="20"/>
                <w:szCs w:val="20"/>
                <w:color w:val="auto"/>
              </w:rPr>
            </w:pPr>
            <w:r>
              <w:rPr>
                <w:rFonts w:ascii="Times New Roman" w:cs="Times New Roman" w:eastAsia="Times New Roman" w:hAnsi="Times New Roman"/>
                <w:sz w:val="18"/>
                <w:szCs w:val="18"/>
                <w:color w:val="auto"/>
              </w:rPr>
              <w:t>52,607</w:t>
            </w:r>
          </w:p>
        </w:tc>
        <w:tc>
          <w:tcPr>
            <w:tcW w:w="100" w:type="dxa"/>
            <w:vAlign w:val="bottom"/>
            <w:tcBorders>
              <w:bottom w:val="single" w:sz="8" w:color="EBF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12,279</w:t>
            </w:r>
          </w:p>
        </w:tc>
      </w:tr>
      <w:tr>
        <w:trPr>
          <w:trHeight w:val="248"/>
        </w:trPr>
        <w:tc>
          <w:tcPr>
            <w:tcW w:w="8020" w:type="dxa"/>
            <w:vAlign w:val="bottom"/>
            <w:tcBorders>
              <w:bottom w:val="single" w:sz="8" w:color="EBFEFF"/>
            </w:tcBorders>
            <w:shd w:val="clear" w:color="auto" w:fill="EBFEFF"/>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Borders>
              <w:bottom w:val="single" w:sz="8" w:color="auto"/>
            </w:tcBorders>
            <w:shd w:val="clear" w:color="auto" w:fill="EBF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EBFEFF"/>
          </w:tcPr>
          <w:p>
            <w:pPr>
              <w:jc w:val="center"/>
              <w:ind w:left="477"/>
              <w:spacing w:after="0"/>
              <w:rPr>
                <w:sz w:val="20"/>
                <w:szCs w:val="20"/>
                <w:color w:val="auto"/>
              </w:rPr>
            </w:pPr>
            <w:r>
              <w:rPr>
                <w:rFonts w:ascii="Times New Roman" w:cs="Times New Roman" w:eastAsia="Times New Roman" w:hAnsi="Times New Roman"/>
                <w:sz w:val="18"/>
                <w:szCs w:val="18"/>
                <w:color w:val="auto"/>
              </w:rPr>
              <w:t>32,125</w:t>
            </w:r>
          </w:p>
        </w:tc>
        <w:tc>
          <w:tcPr>
            <w:tcW w:w="100" w:type="dxa"/>
            <w:vAlign w:val="bottom"/>
            <w:tcBorders>
              <w:bottom w:val="single" w:sz="8" w:color="EBFEFF"/>
            </w:tcBorders>
            <w:shd w:val="clear" w:color="auto" w:fill="EBFEFF"/>
          </w:tcPr>
          <w:p>
            <w:pPr>
              <w:spacing w:after="0"/>
              <w:rPr>
                <w:sz w:val="21"/>
                <w:szCs w:val="21"/>
                <w:color w:val="auto"/>
              </w:rPr>
            </w:pPr>
          </w:p>
        </w:tc>
        <w:tc>
          <w:tcPr>
            <w:tcW w:w="340" w:type="dxa"/>
            <w:vAlign w:val="bottom"/>
            <w:tcBorders>
              <w:bottom w:val="single" w:sz="8" w:color="auto"/>
            </w:tcBorders>
            <w:shd w:val="clear" w:color="auto" w:fill="EBF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(3,888)</w:t>
            </w:r>
          </w:p>
        </w:tc>
      </w:tr>
      <w:tr>
        <w:trPr>
          <w:trHeight w:val="20"/>
        </w:trPr>
        <w:tc>
          <w:tcPr>
            <w:tcW w:w="8020" w:type="dxa"/>
            <w:vAlign w:val="bottom"/>
            <w:tcBorders>
              <w:top w:val="single" w:sz="8" w:color="EBFEFF"/>
            </w:tcBorders>
          </w:tcPr>
          <w:p>
            <w:pPr>
              <w:spacing w:after="0" w:line="20" w:lineRule="exact"/>
              <w:rPr>
                <w:sz w:val="1"/>
                <w:szCs w:val="1"/>
                <w:color w:val="auto"/>
              </w:rPr>
            </w:pPr>
          </w:p>
        </w:tc>
        <w:tc>
          <w:tcPr>
            <w:tcW w:w="280" w:type="dxa"/>
            <w:vAlign w:val="bottom"/>
            <w:tcBorders>
              <w:top w:val="single" w:sz="8" w:color="EBFEFF"/>
              <w:bottom w:val="single" w:sz="8" w:color="auto"/>
            </w:tcBorders>
          </w:tcPr>
          <w:p>
            <w:pPr>
              <w:spacing w:after="0" w:line="20" w:lineRule="exact"/>
              <w:rPr>
                <w:sz w:val="1"/>
                <w:szCs w:val="1"/>
                <w:color w:val="auto"/>
              </w:rPr>
            </w:pPr>
          </w:p>
        </w:tc>
        <w:tc>
          <w:tcPr>
            <w:tcW w:w="118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340" w:type="dxa"/>
            <w:vAlign w:val="bottom"/>
            <w:tcBorders>
              <w:top w:val="single" w:sz="8" w:color="EBFEFF"/>
              <w:bottom w:val="single" w:sz="8" w:color="auto"/>
            </w:tcBorders>
          </w:tcPr>
          <w:p>
            <w:pPr>
              <w:spacing w:after="0" w:line="20" w:lineRule="exact"/>
              <w:rPr>
                <w:sz w:val="1"/>
                <w:szCs w:val="1"/>
                <w:color w:val="auto"/>
              </w:rPr>
            </w:pPr>
          </w:p>
        </w:tc>
        <w:tc>
          <w:tcPr>
            <w:tcW w:w="1120" w:type="dxa"/>
            <w:vAlign w:val="bottom"/>
            <w:tcBorders>
              <w:top w:val="single" w:sz="8" w:color="EBF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firstLine="50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our net cash used in operating activities increased by $4.3 million from the nine months ended September 30, 2023. The significant contributor to the change in cash used during the year was working capital changes.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cash flows from investing activities for the nine months ended September 30, 2024 and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firstLine="50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financing activities was driven by sales of our Class A common stock and proceeds from pre-funded warrants of $51.0 million from the Private Placement financing and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proceeds from the TD Cowen ATM Offering of $2.5 million. For the nine months ended September 30, 2023, net cash provided by financing activities was driven by the receipt of proceeds of $12.0 million from the G42 promissory note early redemption.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Based on our current operating plan, we believe that our current cash and cash equivalents will allow us to meet our liquidity requirements for at least the next twelve months. We plan to finance our operations through the use of our cash and cash equivalents, including funding activities needed to lift the clinical hold and resume the CATT1 trial. We continue to evaluate financing strategies to fund future clinical trials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including direct equity investments and the potential licensing and monetization of other Company programs. The timing of any such transactions is not certain, and we may not be able to complete such transactions on acceptable terms, or at all. Even if we are able to complete such transactions, they may contain restrictions on our operations or cause substantial dilution to our stockholders.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 Additionally, we may rely on our ability to sell shares of our Class A common stock pursuant to the ATM Offering. However, the ability to use this source of capital is dependent on a number of factors, including the prevailing market price of and the volume of trading in the Company’s Class A common stock.</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5"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costs, results and timing needed to lift the clinical hold on the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program;</w:t>
      </w:r>
    </w:p>
    <w:p>
      <w:pPr>
        <w:spacing w:after="0" w:line="117" w:lineRule="exact"/>
        <w:rPr>
          <w:rFonts w:ascii="Times New Roman" w:cs="Times New Roman" w:eastAsia="Times New Roman" w:hAnsi="Times New Roman"/>
          <w:sz w:val="18"/>
          <w:szCs w:val="18"/>
          <w:color w:val="auto"/>
        </w:rPr>
      </w:pPr>
    </w:p>
    <w:p>
      <w:pPr>
        <w:ind w:left="980" w:right="20" w:hanging="486"/>
        <w:spacing w:after="0" w:line="284"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progress, costs, results and timing of restarting our trials to evaluate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as a potential adjunctive therapy for the treatment of type 1 diabetes;</w:t>
      </w:r>
    </w:p>
    <w:p>
      <w:pPr>
        <w:spacing w:after="0" w:line="52"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FDA to lift the clinical hold and to rely upon our completed and planned clinical and preclinical studies and other work, as the basis for review and approval of our drug candidates;</w:t>
      </w:r>
    </w:p>
    <w:p>
      <w:pPr>
        <w:spacing w:after="0" w:line="5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ability to maintain control over our costs in line with our budget for our lead product candidate,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seeking and obtaining FDA and any other regulatory approvals;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drug candidates that we pursue, including our drug candidates in preclinical development;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drug candidates to progress through clinical development successfully;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expand our research and development activities;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securing, establishing and maintaining commercialization capabilities;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businesses, products, drug candidates and technologies;</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hire additional management, scientific, and medical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right="2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and success of our existing licensing arrangements and any collaboration, licensing or other arrangements into which we may enter in the future;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payments we are required to make to M&amp;F TTP Holdings Two LLC in the future under the Tax Receivable Agreement.</w:t>
      </w:r>
    </w:p>
    <w:p>
      <w:pPr>
        <w:spacing w:after="0" w:line="11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2024, we did not have outstanding any off-balance sheet arrangements as defined under SEC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Critical Accounting Policies and Estimates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 discussion of our critical accounting policies and estimates, please refer to Part II, Item 7. “Management’s Discussion and Analysis of Financial Condition and Results of Operations” in our Annual Report on Form 10-K for the year ended December 31, 2023. There have been no material changes to our critical accounting policies and estimates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“anticipates,” “believes,” “could,” “seeks,” “estimates,” “expects,” “intends,” “may,” “plans,” “potential,” “predicts,” “projects,” “should,” “will,” “would” or similar expressions and the negatives of those terms.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spacing w:after="0" w:line="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Recent Accounting Pronouncements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See discussion of recent accounting pronouncements in Note 2, “Summary of Significant Accounting Policies”, to the Condensed Consolidated Financial Statements in this Form 10-Q.</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do not currently have any material interest rate exposure.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cash and cash equivalents with multiple financial institutions that management believes to be of high credit quality.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do not have any material foreign currency exposure.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(our Principal Executive Officer) and Chief Financial Officer (our Principal Financial Officer), management has evaluated the effectiveness of the design and operation of our disclosure controls and procedures (as defined in Rules 13a-15(e) or 15d-15(e) of the Securities Exchange Act of 1934) as of September 30, 2024. Based upon that evaluation, our Chief Executive Officer and Chief Financial Officer concluded that, as of September 30, 2024,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Internal Control over Financial Reporting</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Availability of Reports and other Corporate Governance Information</w:t>
      </w:r>
    </w:p>
    <w:p>
      <w:pPr>
        <w:spacing w:after="0" w:line="3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11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risk factors are set forth under the heading “Risk Factors” under Item 1A of Part I in our Annual Report on Form 10-K for the year ended December 31, 2023. There have been no material changes to our risk factors from those previously disclosed in our Annual Report on Form 10-K for the year ended December 31, 2023.</w:t>
      </w:r>
    </w:p>
    <w:p>
      <w:pPr>
        <w:spacing w:after="0" w:line="1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third fiscal quarter ended September 30, 2024, none of our directors or executive officers adopted or terminated any contract, instruction or written plan for the purchase or sale of our securities to satisfy the affirmative defense conditions of Rule 10b5-1(c) or any “non-Rule 10b5-1 trading arrangement.”</w:t>
      </w:r>
    </w:p>
    <w:p>
      <w:pPr>
        <w:spacing w:after="0" w:line="6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520" w:type="dxa"/>
            <w:vAlign w:val="bottom"/>
            <w:gridSpan w:val="7"/>
            <w:vMerge w:val="restart"/>
          </w:tcPr>
          <w:p>
            <w:pPr>
              <w:ind w:left="2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52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962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 required by Rule 13a-14(a)/15d-14(a) under the Securities Exchange Act of</w:t>
            </w: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0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1934, as amended, as adopted pursuant to Section 302 of the Sarbanes-Oxley Act of 2002.</w:t>
            </w:r>
          </w:p>
        </w:tc>
        <w:tc>
          <w:tcPr>
            <w:tcW w:w="306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required by Rule 13a-14(a)/15d-14(a) under the Securities Exchange Act of 1934, as</w:t>
            </w: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7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44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324"/>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324"/>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Document</w:t>
            </w:r>
          </w:p>
        </w:tc>
        <w:tc>
          <w:tcPr>
            <w:tcW w:w="0" w:type="dxa"/>
            <w:vAlign w:val="bottom"/>
          </w:tcPr>
          <w:p>
            <w:pPr>
              <w:spacing w:after="0"/>
              <w:rPr>
                <w:sz w:val="1"/>
                <w:szCs w:val="1"/>
                <w:color w:val="auto"/>
              </w:rPr>
            </w:pPr>
          </w:p>
        </w:tc>
      </w:tr>
      <w:tr>
        <w:trPr>
          <w:trHeight w:val="324"/>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324"/>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460" w:hanging="1434"/>
        <w:spacing w:after="0"/>
        <w:tabs>
          <w:tab w:leader="none" w:pos="14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9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158"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8"/>
          <w:szCs w:val="18"/>
          <w:color w:val="auto"/>
        </w:rPr>
        <w:t>VTV THERAPEUTICS INC.</w:t>
      </w:r>
    </w:p>
    <w:p>
      <w:pPr>
        <w:spacing w:after="0" w:line="27"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6580"/>
        <w:spacing w:after="0"/>
        <w:tabs>
          <w:tab w:leader="none" w:pos="7020" w:val="left"/>
        </w:tabs>
        <w:rPr>
          <w:sz w:val="20"/>
          <w:szCs w:val="20"/>
          <w:color w:val="auto"/>
        </w:rPr>
      </w:pPr>
      <w:r>
        <w:rPr>
          <w:rFonts w:ascii="Times New Roman" w:cs="Times New Roman" w:eastAsia="Times New Roman" w:hAnsi="Times New Roman"/>
          <w:sz w:val="18"/>
          <w:szCs w:val="18"/>
          <w:color w:val="auto"/>
        </w:rPr>
        <w:t>By:</w:t>
        <w:tab/>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17145</wp:posOffset>
            </wp:positionV>
            <wp:extent cx="25546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Paul J. Sekhri</w:t>
      </w:r>
    </w:p>
    <w:p>
      <w:pPr>
        <w:spacing w:after="0" w:line="11"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President, Chief Executive Officer and Executive</w:t>
      </w:r>
    </w:p>
    <w:p>
      <w:pPr>
        <w:ind w:left="7040"/>
        <w:spacing w:after="0"/>
        <w:rPr>
          <w:sz w:val="20"/>
          <w:szCs w:val="20"/>
          <w:color w:val="auto"/>
        </w:rPr>
      </w:pPr>
      <w:r>
        <w:rPr>
          <w:rFonts w:ascii="Times New Roman" w:cs="Times New Roman" w:eastAsia="Times New Roman" w:hAnsi="Times New Roman"/>
          <w:sz w:val="18"/>
          <w:szCs w:val="18"/>
          <w:color w:val="auto"/>
        </w:rPr>
        <w:t>Chairperson</w:t>
      </w:r>
    </w:p>
    <w:p>
      <w:pPr>
        <w:spacing w:after="0" w:line="286" w:lineRule="exact"/>
        <w:rPr>
          <w:sz w:val="20"/>
          <w:szCs w:val="20"/>
          <w:color w:val="auto"/>
        </w:rPr>
      </w:pPr>
    </w:p>
    <w:p>
      <w:pPr>
        <w:ind w:left="6580"/>
        <w:spacing w:after="0"/>
        <w:tabs>
          <w:tab w:leader="none" w:pos="7020" w:val="left"/>
        </w:tabs>
        <w:rPr>
          <w:sz w:val="20"/>
          <w:szCs w:val="20"/>
          <w:color w:val="auto"/>
        </w:rPr>
      </w:pPr>
      <w:r>
        <w:rPr>
          <w:rFonts w:ascii="Times New Roman" w:cs="Times New Roman" w:eastAsia="Times New Roman" w:hAnsi="Times New Roman"/>
          <w:sz w:val="18"/>
          <w:szCs w:val="18"/>
          <w:color w:val="auto"/>
        </w:rPr>
        <w:t>By:</w:t>
        <w:tab/>
        <w:t>/s/ Steven Tuch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17145</wp:posOffset>
            </wp:positionV>
            <wp:extent cx="25546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Steven Tuch</w:t>
      </w:r>
    </w:p>
    <w:p>
      <w:pPr>
        <w:spacing w:after="0" w:line="2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22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Sekhri, certify that:</w:t>
      </w:r>
    </w:p>
    <w:p>
      <w:pPr>
        <w:spacing w:after="0" w:line="117"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vTv Therapeutics Inc. (the “registrant”);</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460" w:hanging="480"/>
        <w:spacing w:after="0" w:line="282" w:lineRule="auto"/>
        <w:tabs>
          <w:tab w:leader="none" w:pos="14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171" w:lineRule="exact"/>
        <w:rPr>
          <w:sz w:val="20"/>
          <w:szCs w:val="20"/>
          <w:color w:val="auto"/>
        </w:rPr>
      </w:pPr>
    </w:p>
    <w:p>
      <w:pPr>
        <w:ind w:left="6920"/>
        <w:spacing w:after="0"/>
        <w:tabs>
          <w:tab w:leader="none" w:pos="7360" w:val="left"/>
        </w:tabs>
        <w:rPr>
          <w:sz w:val="20"/>
          <w:szCs w:val="20"/>
          <w:color w:val="auto"/>
        </w:rPr>
      </w:pPr>
      <w:r>
        <w:rPr>
          <w:rFonts w:ascii="Times New Roman" w:cs="Times New Roman" w:eastAsia="Times New Roman" w:hAnsi="Times New Roman"/>
          <w:sz w:val="18"/>
          <w:szCs w:val="18"/>
          <w:color w:val="auto"/>
        </w:rPr>
        <w:t>By:</w:t>
        <w:tab/>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26035</wp:posOffset>
            </wp:positionV>
            <wp:extent cx="24599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Paul J. Sekhri</w:t>
      </w:r>
    </w:p>
    <w:p>
      <w:pPr>
        <w:spacing w:after="0" w:line="11"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President, Chief Executive Officer and Executive</w:t>
      </w:r>
    </w:p>
    <w:p>
      <w:pPr>
        <w:ind w:left="7380"/>
        <w:spacing w:after="0"/>
        <w:rPr>
          <w:sz w:val="20"/>
          <w:szCs w:val="20"/>
          <w:color w:val="auto"/>
        </w:rPr>
      </w:pPr>
      <w:r>
        <w:rPr>
          <w:rFonts w:ascii="Times New Roman" w:cs="Times New Roman" w:eastAsia="Times New Roman" w:hAnsi="Times New Roman"/>
          <w:sz w:val="18"/>
          <w:szCs w:val="18"/>
          <w:color w:val="auto"/>
        </w:rPr>
        <w:t>Chairperson</w:t>
      </w:r>
    </w:p>
    <w:p>
      <w:pPr>
        <w:sectPr>
          <w:pgSz w:w="11900" w:h="16838" w:orient="portrait"/>
          <w:cols w:equalWidth="0" w:num="1">
            <w:col w:w="11240"/>
          </w:cols>
          <w:pgMar w:left="320" w:top="1035"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Tuch, certify that:</w:t>
      </w:r>
    </w:p>
    <w:p>
      <w:pPr>
        <w:spacing w:after="0" w:line="117"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vTv Therapeutics Inc. (the “registrant”);</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460" w:hanging="480"/>
        <w:spacing w:after="0" w:line="282" w:lineRule="auto"/>
        <w:tabs>
          <w:tab w:leader="none" w:pos="14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171" w:lineRule="exact"/>
        <w:rPr>
          <w:sz w:val="20"/>
          <w:szCs w:val="20"/>
          <w:color w:val="auto"/>
        </w:rPr>
      </w:pPr>
    </w:p>
    <w:p>
      <w:pPr>
        <w:ind w:left="6920"/>
        <w:spacing w:after="0"/>
        <w:tabs>
          <w:tab w:leader="none" w:pos="7360" w:val="left"/>
        </w:tabs>
        <w:rPr>
          <w:sz w:val="20"/>
          <w:szCs w:val="20"/>
          <w:color w:val="auto"/>
        </w:rPr>
      </w:pPr>
      <w:r>
        <w:rPr>
          <w:rFonts w:ascii="Times New Roman" w:cs="Times New Roman" w:eastAsia="Times New Roman" w:hAnsi="Times New Roman"/>
          <w:sz w:val="18"/>
          <w:szCs w:val="18"/>
          <w:color w:val="auto"/>
        </w:rPr>
        <w:t>By:</w:t>
        <w:tab/>
        <w:t>/s/ Steven Tuch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26035</wp:posOffset>
            </wp:positionV>
            <wp:extent cx="24599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43"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Steven Tuch</w:t>
      </w:r>
    </w:p>
    <w:p>
      <w:pPr>
        <w:spacing w:after="0" w:line="5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1035"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vTv Therapeutics Inc. (the “Company”) on Form 10-Q for the period ended September 30, 2024, as filed with the Securities and Exchange Commission on the date hereof (the “Report”), I, Paul J. Sekhri, certify, pursuant to 18 U.S.C. Section 1350, as adopted pursuant to Section 906 of the Sarbanes-Oxley Act of 2002, in my capacity as an officer of the Company that, to my knowledge:</w:t>
      </w:r>
    </w:p>
    <w:p>
      <w:pPr>
        <w:spacing w:after="0" w:line="68" w:lineRule="exact"/>
        <w:rPr>
          <w:sz w:val="20"/>
          <w:szCs w:val="20"/>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171" w:lineRule="exact"/>
        <w:rPr>
          <w:sz w:val="20"/>
          <w:szCs w:val="20"/>
          <w:color w:val="auto"/>
        </w:rPr>
      </w:pPr>
    </w:p>
    <w:p>
      <w:pPr>
        <w:ind w:left="6920"/>
        <w:spacing w:after="0"/>
        <w:tabs>
          <w:tab w:leader="none" w:pos="7360" w:val="left"/>
        </w:tabs>
        <w:rPr>
          <w:sz w:val="20"/>
          <w:szCs w:val="20"/>
          <w:color w:val="auto"/>
        </w:rPr>
      </w:pPr>
      <w:r>
        <w:rPr>
          <w:rFonts w:ascii="Times New Roman" w:cs="Times New Roman" w:eastAsia="Times New Roman" w:hAnsi="Times New Roman"/>
          <w:sz w:val="18"/>
          <w:szCs w:val="18"/>
          <w:color w:val="auto"/>
        </w:rPr>
        <w:t>By:</w:t>
        <w:tab/>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26035</wp:posOffset>
            </wp:positionV>
            <wp:extent cx="24599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Paul J. Sekhri</w:t>
      </w:r>
    </w:p>
    <w:p>
      <w:pPr>
        <w:spacing w:after="0" w:line="11"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President, Chief Executive Officer and Executive</w:t>
      </w:r>
    </w:p>
    <w:p>
      <w:pPr>
        <w:ind w:left="7380"/>
        <w:spacing w:after="0"/>
        <w:rPr>
          <w:sz w:val="20"/>
          <w:szCs w:val="20"/>
          <w:color w:val="auto"/>
        </w:rPr>
      </w:pPr>
      <w:r>
        <w:rPr>
          <w:rFonts w:ascii="Times New Roman" w:cs="Times New Roman" w:eastAsia="Times New Roman" w:hAnsi="Times New Roman"/>
          <w:sz w:val="18"/>
          <w:szCs w:val="18"/>
          <w:color w:val="auto"/>
        </w:rPr>
        <w:t>Chairperson</w:t>
      </w:r>
    </w:p>
    <w:p>
      <w:pPr>
        <w:sectPr>
          <w:pgSz w:w="11900" w:h="16838" w:orient="portrait"/>
          <w:cols w:equalWidth="0" w:num="1">
            <w:col w:w="11240"/>
          </w:cols>
          <w:pgMar w:left="320" w:top="1035"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vTv Therapeutics Inc. (the “Company”) on Form 10-Q for the period ended September 30, 2024, as filed with the Securities and Exchange Commission on the date hereof (the “Report”), I, Steven Tuch, certify, pursuant to 18 U.S.C. Section 1350, as adopted pursuant to Section 906 of the Sarbanes-Oxley Act of 2002, in my capacity as an officer of the Company that, to my knowledge:</w:t>
      </w:r>
    </w:p>
    <w:p>
      <w:pPr>
        <w:spacing w:after="0" w:line="68" w:lineRule="exact"/>
        <w:rPr>
          <w:sz w:val="20"/>
          <w:szCs w:val="20"/>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158" w:lineRule="exact"/>
        <w:rPr>
          <w:sz w:val="20"/>
          <w:szCs w:val="20"/>
          <w:color w:val="auto"/>
        </w:rPr>
      </w:pPr>
    </w:p>
    <w:p>
      <w:pPr>
        <w:ind w:left="6920"/>
        <w:spacing w:after="0"/>
        <w:tabs>
          <w:tab w:leader="none" w:pos="7360" w:val="left"/>
        </w:tabs>
        <w:rPr>
          <w:sz w:val="20"/>
          <w:szCs w:val="20"/>
          <w:color w:val="auto"/>
        </w:rPr>
      </w:pPr>
      <w:r>
        <w:rPr>
          <w:rFonts w:ascii="Times New Roman" w:cs="Times New Roman" w:eastAsia="Times New Roman" w:hAnsi="Times New Roman"/>
          <w:sz w:val="18"/>
          <w:szCs w:val="18"/>
          <w:color w:val="auto"/>
        </w:rPr>
        <w:t>By:</w:t>
        <w:tab/>
        <w:t>/s/ Steven Tuch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17145</wp:posOffset>
            </wp:positionV>
            <wp:extent cx="24599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Steven Tuch</w:t>
      </w:r>
    </w:p>
    <w:p>
      <w:pPr>
        <w:spacing w:after="0" w:line="2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lowerRoman"/>
      <w:start w:val="2"/>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lvl w:ilvl="1">
      <w:lvlJc w:val="left"/>
      <w:lvlText w:val="%2"/>
      <w:numFmt w:val="decimal"/>
      <w:start w:val="104"/>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2024-11-12T16:26:41Z</dcterms:created>
  <dcterms:modified xsi:type="dcterms:W3CDTF">2024-11-12T16:26:41Z</dcterms:modified>
</cp:coreProperties>
</file>