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503555</wp:posOffset>
            </wp:positionH>
            <wp:positionV relativeFrom="paragraph">
              <wp:posOffset>182245</wp:posOffset>
            </wp:positionV>
            <wp:extent cx="6166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66485" cy="571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199390</wp:posOffset>
            </wp:positionV>
            <wp:extent cx="6166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66485" cy="5715"/>
                    </a:xfrm>
                    <a:prstGeom prst="rect">
                      <a:avLst/>
                    </a:prstGeom>
                    <a:noFill/>
                  </pic:spPr>
                </pic:pic>
              </a:graphicData>
            </a:graphic>
          </wp:anchor>
        </w:drawing>
      </w:r>
    </w:p>
    <w:p>
      <w:pPr>
        <w:spacing w:after="0" w:line="3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6"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_____________________________________________________________________________________________________</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14"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_____________________________________________________________________________________________________</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41" w:lineRule="exact"/>
        <w:rPr>
          <w:sz w:val="24"/>
          <w:szCs w:val="24"/>
          <w:color w:val="auto"/>
        </w:rPr>
      </w:pPr>
    </w:p>
    <w:p>
      <w:pPr>
        <w:ind w:left="400" w:hanging="396"/>
        <w:spacing w:after="0"/>
        <w:tabs>
          <w:tab w:leader="none" w:pos="400" w:val="left"/>
        </w:tabs>
        <w:numPr>
          <w:ilvl w:val="0"/>
          <w:numId w:val="1"/>
        </w:numPr>
        <w:rPr>
          <w:rFonts w:ascii="Wingdings" w:cs="Wingdings" w:eastAsia="Wingdings" w:hAnsi="Wingdings"/>
          <w:sz w:val="12"/>
          <w:szCs w:val="12"/>
          <w:b w:val="1"/>
          <w:bCs w:val="1"/>
          <w:color w:val="auto"/>
          <w:highlight w:val="black"/>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1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2023</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68" w:lineRule="exact"/>
        <w:rPr>
          <w:sz w:val="24"/>
          <w:szCs w:val="24"/>
          <w:color w:val="auto"/>
        </w:rPr>
      </w:pPr>
    </w:p>
    <w:p>
      <w:pPr>
        <w:ind w:left="400" w:hanging="396"/>
        <w:spacing w:after="0"/>
        <w:tabs>
          <w:tab w:leader="none" w:pos="400" w:val="left"/>
        </w:tabs>
        <w:numPr>
          <w:ilvl w:val="0"/>
          <w:numId w:val="2"/>
        </w:numPr>
        <w:rPr>
          <w:rFonts w:ascii="Wingdings" w:cs="Wingdings" w:eastAsia="Wingdings" w:hAnsi="Wingdings"/>
          <w:sz w:val="12"/>
          <w:szCs w:val="12"/>
          <w:b w:val="1"/>
          <w:bCs w:val="1"/>
          <w:color w:val="auto"/>
          <w:highlight w:val="black"/>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127"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1"/>
          <w:szCs w:val="11"/>
          <w:b w:val="1"/>
          <w:bCs w:val="1"/>
          <w:color w:val="auto"/>
        </w:rPr>
        <w:t>For the transition period from _______ to _______</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Commission file number: 001-37524</w:t>
      </w:r>
    </w:p>
    <w:p>
      <w:pPr>
        <w:spacing w:after="0" w:line="3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_____________________________________________________________________________________________________</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vTv Therapeutics Inc.</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3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_____________________________________________________________________________________________________</w:t>
      </w:r>
    </w:p>
    <w:p>
      <w:pPr>
        <w:spacing w:after="0" w:line="70" w:lineRule="exact"/>
        <w:rPr>
          <w:sz w:val="24"/>
          <w:szCs w:val="24"/>
          <w:color w:val="auto"/>
        </w:rPr>
      </w:pPr>
    </w:p>
    <w:tbl>
      <w:tblPr>
        <w:tblLayout w:type="fixed"/>
        <w:tblInd w:w="840" w:type="dxa"/>
        <w:tblCellMar>
          <w:top w:w="0" w:type="dxa"/>
          <w:left w:w="0" w:type="dxa"/>
          <w:bottom w:w="0" w:type="dxa"/>
          <w:right w:w="0" w:type="dxa"/>
        </w:tblCellMar>
      </w:tblPr>
      <w:tr>
        <w:trPr>
          <w:trHeight w:val="142"/>
        </w:trPr>
        <w:tc>
          <w:tcPr>
            <w:tcW w:w="1920" w:type="dxa"/>
            <w:vAlign w:val="bottom"/>
          </w:tcPr>
          <w:p>
            <w:pPr>
              <w:spacing w:after="0"/>
              <w:rPr>
                <w:sz w:val="12"/>
                <w:szCs w:val="12"/>
                <w:color w:val="auto"/>
              </w:rPr>
            </w:pPr>
          </w:p>
        </w:tc>
        <w:tc>
          <w:tcPr>
            <w:tcW w:w="1520" w:type="dxa"/>
            <w:vAlign w:val="bottom"/>
          </w:tcPr>
          <w:p>
            <w:pPr>
              <w:jc w:val="center"/>
              <w:ind w:right="526"/>
              <w:spacing w:after="0"/>
              <w:rPr>
                <w:sz w:val="20"/>
                <w:szCs w:val="20"/>
                <w:color w:val="auto"/>
              </w:rPr>
            </w:pPr>
            <w:r>
              <w:rPr>
                <w:rFonts w:ascii="Times New Roman" w:cs="Times New Roman" w:eastAsia="Times New Roman" w:hAnsi="Times New Roman"/>
                <w:sz w:val="11"/>
                <w:szCs w:val="11"/>
                <w:b w:val="1"/>
                <w:bCs w:val="1"/>
                <w:color w:val="auto"/>
                <w:w w:val="94"/>
              </w:rPr>
              <w:t>Delaware</w:t>
            </w:r>
          </w:p>
        </w:tc>
        <w:tc>
          <w:tcPr>
            <w:tcW w:w="3040" w:type="dxa"/>
            <w:vAlign w:val="bottom"/>
          </w:tcPr>
          <w:p>
            <w:pPr>
              <w:spacing w:after="0"/>
              <w:rPr>
                <w:sz w:val="12"/>
                <w:szCs w:val="12"/>
                <w:color w:val="auto"/>
              </w:rPr>
            </w:pPr>
          </w:p>
        </w:tc>
        <w:tc>
          <w:tcPr>
            <w:tcW w:w="1240" w:type="dxa"/>
            <w:vAlign w:val="bottom"/>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47-3916571</w:t>
            </w:r>
          </w:p>
        </w:tc>
        <w:tc>
          <w:tcPr>
            <w:tcW w:w="1880" w:type="dxa"/>
            <w:vAlign w:val="bottom"/>
          </w:tcPr>
          <w:p>
            <w:pPr>
              <w:spacing w:after="0"/>
              <w:rPr>
                <w:sz w:val="12"/>
                <w:szCs w:val="12"/>
                <w:color w:val="auto"/>
              </w:rPr>
            </w:pPr>
          </w:p>
        </w:tc>
      </w:tr>
      <w:tr>
        <w:trPr>
          <w:trHeight w:val="123"/>
        </w:trPr>
        <w:tc>
          <w:tcPr>
            <w:tcW w:w="3440" w:type="dxa"/>
            <w:vAlign w:val="bottom"/>
            <w:gridSpan w:val="2"/>
          </w:tcPr>
          <w:p>
            <w:pPr>
              <w:jc w:val="center"/>
              <w:ind w:left="1312"/>
              <w:spacing w:after="0"/>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3040" w:type="dxa"/>
            <w:vAlign w:val="bottom"/>
          </w:tcPr>
          <w:p>
            <w:pPr>
              <w:spacing w:after="0"/>
              <w:rPr>
                <w:sz w:val="10"/>
                <w:szCs w:val="10"/>
                <w:color w:val="auto"/>
              </w:rPr>
            </w:pPr>
          </w:p>
        </w:tc>
        <w:tc>
          <w:tcPr>
            <w:tcW w:w="3120" w:type="dxa"/>
            <w:vAlign w:val="bottom"/>
            <w:gridSpan w:val="2"/>
          </w:tcPr>
          <w:p>
            <w:pPr>
              <w:jc w:val="center"/>
              <w:ind w:right="1660"/>
              <w:spacing w:after="0"/>
              <w:rPr>
                <w:sz w:val="20"/>
                <w:szCs w:val="20"/>
                <w:color w:val="auto"/>
              </w:rPr>
            </w:pPr>
            <w:r>
              <w:rPr>
                <w:rFonts w:ascii="Times New Roman" w:cs="Times New Roman" w:eastAsia="Times New Roman" w:hAnsi="Times New Roman"/>
                <w:sz w:val="10"/>
                <w:szCs w:val="10"/>
                <w:b w:val="1"/>
                <w:bCs w:val="1"/>
                <w:color w:val="auto"/>
                <w:w w:val="96"/>
              </w:rPr>
              <w:t>(I.R.S. Employer</w:t>
            </w:r>
          </w:p>
        </w:tc>
      </w:tr>
      <w:tr>
        <w:trPr>
          <w:trHeight w:val="125"/>
        </w:trPr>
        <w:tc>
          <w:tcPr>
            <w:tcW w:w="3440" w:type="dxa"/>
            <w:vAlign w:val="bottom"/>
            <w:gridSpan w:val="2"/>
          </w:tcPr>
          <w:p>
            <w:pPr>
              <w:jc w:val="center"/>
              <w:ind w:left="1292"/>
              <w:spacing w:after="0"/>
              <w:rPr>
                <w:sz w:val="20"/>
                <w:szCs w:val="20"/>
                <w:color w:val="auto"/>
              </w:rPr>
            </w:pPr>
            <w:r>
              <w:rPr>
                <w:rFonts w:ascii="Times New Roman" w:cs="Times New Roman" w:eastAsia="Times New Roman" w:hAnsi="Times New Roman"/>
                <w:sz w:val="10"/>
                <w:szCs w:val="10"/>
                <w:b w:val="1"/>
                <w:bCs w:val="1"/>
                <w:color w:val="auto"/>
                <w:w w:val="96"/>
              </w:rPr>
              <w:t>incorporation or organization)</w:t>
            </w:r>
          </w:p>
        </w:tc>
        <w:tc>
          <w:tcPr>
            <w:tcW w:w="3040" w:type="dxa"/>
            <w:vAlign w:val="bottom"/>
          </w:tcPr>
          <w:p>
            <w:pPr>
              <w:spacing w:after="0"/>
              <w:rPr>
                <w:sz w:val="10"/>
                <w:szCs w:val="10"/>
                <w:color w:val="auto"/>
              </w:rPr>
            </w:pPr>
          </w:p>
        </w:tc>
        <w:tc>
          <w:tcPr>
            <w:tcW w:w="3120" w:type="dxa"/>
            <w:vAlign w:val="bottom"/>
            <w:gridSpan w:val="2"/>
          </w:tcPr>
          <w:p>
            <w:pPr>
              <w:jc w:val="center"/>
              <w:ind w:right="1640"/>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r>
        <w:trPr>
          <w:trHeight w:val="181"/>
        </w:trPr>
        <w:tc>
          <w:tcPr>
            <w:tcW w:w="3440" w:type="dxa"/>
            <w:vAlign w:val="bottom"/>
            <w:gridSpan w:val="2"/>
          </w:tcPr>
          <w:p>
            <w:pPr>
              <w:jc w:val="center"/>
              <w:ind w:left="1312"/>
              <w:spacing w:after="0"/>
              <w:rPr>
                <w:sz w:val="20"/>
                <w:szCs w:val="20"/>
                <w:color w:val="auto"/>
              </w:rPr>
            </w:pPr>
            <w:r>
              <w:rPr>
                <w:rFonts w:ascii="Times New Roman" w:cs="Times New Roman" w:eastAsia="Times New Roman" w:hAnsi="Times New Roman"/>
                <w:sz w:val="11"/>
                <w:szCs w:val="11"/>
                <w:b w:val="1"/>
                <w:bCs w:val="1"/>
                <w:color w:val="auto"/>
                <w:w w:val="97"/>
              </w:rPr>
              <w:t>3980 Premier Dr, Suite 310, High Point, NC</w:t>
            </w:r>
          </w:p>
        </w:tc>
        <w:tc>
          <w:tcPr>
            <w:tcW w:w="3040" w:type="dxa"/>
            <w:vAlign w:val="bottom"/>
          </w:tcPr>
          <w:p>
            <w:pPr>
              <w:spacing w:after="0"/>
              <w:rPr>
                <w:sz w:val="15"/>
                <w:szCs w:val="15"/>
                <w:color w:val="auto"/>
              </w:rPr>
            </w:pPr>
          </w:p>
        </w:tc>
        <w:tc>
          <w:tcPr>
            <w:tcW w:w="1240" w:type="dxa"/>
            <w:vAlign w:val="bottom"/>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27265</w:t>
            </w:r>
          </w:p>
        </w:tc>
        <w:tc>
          <w:tcPr>
            <w:tcW w:w="1880" w:type="dxa"/>
            <w:vAlign w:val="bottom"/>
          </w:tcPr>
          <w:p>
            <w:pPr>
              <w:spacing w:after="0"/>
              <w:rPr>
                <w:sz w:val="15"/>
                <w:szCs w:val="15"/>
                <w:color w:val="auto"/>
              </w:rPr>
            </w:pPr>
          </w:p>
        </w:tc>
      </w:tr>
      <w:tr>
        <w:trPr>
          <w:trHeight w:val="125"/>
        </w:trPr>
        <w:tc>
          <w:tcPr>
            <w:tcW w:w="3440" w:type="dxa"/>
            <w:vAlign w:val="bottom"/>
            <w:gridSpan w:val="2"/>
          </w:tcPr>
          <w:p>
            <w:pPr>
              <w:jc w:val="center"/>
              <w:ind w:left="1292"/>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w:t>
            </w:r>
          </w:p>
        </w:tc>
        <w:tc>
          <w:tcPr>
            <w:tcW w:w="3040" w:type="dxa"/>
            <w:vAlign w:val="bottom"/>
          </w:tcPr>
          <w:p>
            <w:pPr>
              <w:spacing w:after="0"/>
              <w:rPr>
                <w:sz w:val="10"/>
                <w:szCs w:val="10"/>
                <w:color w:val="auto"/>
              </w:rPr>
            </w:pPr>
          </w:p>
        </w:tc>
        <w:tc>
          <w:tcPr>
            <w:tcW w:w="3120" w:type="dxa"/>
            <w:vAlign w:val="bottom"/>
            <w:gridSpan w:val="2"/>
          </w:tcPr>
          <w:p>
            <w:pPr>
              <w:jc w:val="center"/>
              <w:ind w:right="1640"/>
              <w:spacing w:after="0"/>
              <w:rPr>
                <w:sz w:val="20"/>
                <w:szCs w:val="20"/>
                <w:color w:val="auto"/>
              </w:rPr>
            </w:pPr>
            <w:r>
              <w:rPr>
                <w:rFonts w:ascii="Times New Roman" w:cs="Times New Roman" w:eastAsia="Times New Roman" w:hAnsi="Times New Roman"/>
                <w:sz w:val="10"/>
                <w:szCs w:val="10"/>
                <w:b w:val="1"/>
                <w:bCs w:val="1"/>
                <w:color w:val="auto"/>
                <w:w w:val="94"/>
              </w:rPr>
              <w:t>(Zip Code)</w:t>
            </w:r>
          </w:p>
        </w:tc>
      </w:tr>
      <w:tr>
        <w:trPr>
          <w:trHeight w:val="208"/>
        </w:trPr>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40" w:type="dxa"/>
            <w:vAlign w:val="bottom"/>
          </w:tcPr>
          <w:p>
            <w:pPr>
              <w:jc w:val="center"/>
              <w:ind w:right="271"/>
              <w:spacing w:after="0"/>
              <w:rPr>
                <w:sz w:val="20"/>
                <w:szCs w:val="20"/>
                <w:color w:val="auto"/>
              </w:rPr>
            </w:pPr>
            <w:r>
              <w:rPr>
                <w:rFonts w:ascii="Times New Roman" w:cs="Times New Roman" w:eastAsia="Times New Roman" w:hAnsi="Times New Roman"/>
                <w:sz w:val="11"/>
                <w:szCs w:val="11"/>
                <w:b w:val="1"/>
                <w:bCs w:val="1"/>
                <w:color w:val="auto"/>
                <w:w w:val="98"/>
              </w:rPr>
              <w:t>(336) 841-0300</w:t>
            </w:r>
          </w:p>
        </w:tc>
        <w:tc>
          <w:tcPr>
            <w:tcW w:w="12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122"/>
        </w:trPr>
        <w:tc>
          <w:tcPr>
            <w:tcW w:w="19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040" w:type="dxa"/>
            <w:vAlign w:val="bottom"/>
          </w:tcPr>
          <w:p>
            <w:pPr>
              <w:jc w:val="center"/>
              <w:ind w:right="271"/>
              <w:spacing w:after="0"/>
              <w:rPr>
                <w:sz w:val="20"/>
                <w:szCs w:val="20"/>
                <w:color w:val="auto"/>
              </w:rPr>
            </w:pPr>
            <w:r>
              <w:rPr>
                <w:rFonts w:ascii="Times New Roman" w:cs="Times New Roman" w:eastAsia="Times New Roman" w:hAnsi="Times New Roman"/>
                <w:sz w:val="10"/>
                <w:szCs w:val="10"/>
                <w:b w:val="1"/>
                <w:bCs w:val="1"/>
                <w:color w:val="auto"/>
                <w:w w:val="95"/>
              </w:rPr>
              <w:t>(Registrant’s telephone number, including area code)</w:t>
            </w:r>
          </w:p>
        </w:tc>
        <w:tc>
          <w:tcPr>
            <w:tcW w:w="1240" w:type="dxa"/>
            <w:vAlign w:val="bottom"/>
          </w:tcPr>
          <w:p>
            <w:pPr>
              <w:spacing w:after="0"/>
              <w:rPr>
                <w:sz w:val="10"/>
                <w:szCs w:val="10"/>
                <w:color w:val="auto"/>
              </w:rPr>
            </w:pPr>
          </w:p>
        </w:tc>
        <w:tc>
          <w:tcPr>
            <w:tcW w:w="1880" w:type="dxa"/>
            <w:vAlign w:val="bottom"/>
          </w:tcPr>
          <w:p>
            <w:pPr>
              <w:spacing w:after="0"/>
              <w:rPr>
                <w:sz w:val="10"/>
                <w:szCs w:val="10"/>
                <w:color w:val="auto"/>
              </w:rPr>
            </w:pPr>
          </w:p>
        </w:tc>
      </w:tr>
      <w:tr>
        <w:trPr>
          <w:trHeight w:val="142"/>
        </w:trPr>
        <w:tc>
          <w:tcPr>
            <w:tcW w:w="19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40" w:type="dxa"/>
            <w:vAlign w:val="bottom"/>
          </w:tcPr>
          <w:p>
            <w:pPr>
              <w:jc w:val="center"/>
              <w:ind w:right="271"/>
              <w:spacing w:after="0"/>
              <w:rPr>
                <w:sz w:val="20"/>
                <w:szCs w:val="20"/>
                <w:color w:val="auto"/>
              </w:rPr>
            </w:pPr>
            <w:r>
              <w:rPr>
                <w:rFonts w:ascii="Times New Roman" w:cs="Times New Roman" w:eastAsia="Times New Roman" w:hAnsi="Times New Roman"/>
                <w:sz w:val="11"/>
                <w:szCs w:val="11"/>
                <w:b w:val="1"/>
                <w:bCs w:val="1"/>
                <w:color w:val="auto"/>
                <w:w w:val="97"/>
              </w:rPr>
              <w:t>Securities registered pursuant to Section 12(b) of the Act:</w:t>
            </w:r>
          </w:p>
        </w:tc>
        <w:tc>
          <w:tcPr>
            <w:tcW w:w="1240" w:type="dxa"/>
            <w:vAlign w:val="bottom"/>
          </w:tcPr>
          <w:p>
            <w:pPr>
              <w:spacing w:after="0"/>
              <w:rPr>
                <w:sz w:val="12"/>
                <w:szCs w:val="12"/>
                <w:color w:val="auto"/>
              </w:rPr>
            </w:pPr>
          </w:p>
        </w:tc>
        <w:tc>
          <w:tcPr>
            <w:tcW w:w="1880" w:type="dxa"/>
            <w:vAlign w:val="bottom"/>
          </w:tcPr>
          <w:p>
            <w:pPr>
              <w:spacing w:after="0"/>
              <w:rPr>
                <w:sz w:val="12"/>
                <w:szCs w:val="12"/>
                <w:color w:val="auto"/>
              </w:rPr>
            </w:pPr>
          </w:p>
        </w:tc>
      </w:tr>
      <w:tr>
        <w:trPr>
          <w:trHeight w:val="142"/>
        </w:trPr>
        <w:tc>
          <w:tcPr>
            <w:tcW w:w="3440" w:type="dxa"/>
            <w:vAlign w:val="bottom"/>
            <w:tcBorders>
              <w:bottom w:val="single" w:sz="8" w:color="auto"/>
            </w:tcBorders>
            <w:gridSpan w:val="2"/>
          </w:tcPr>
          <w:p>
            <w:pPr>
              <w:jc w:val="center"/>
              <w:ind w:left="332"/>
              <w:spacing w:after="0"/>
              <w:rPr>
                <w:sz w:val="20"/>
                <w:szCs w:val="20"/>
                <w:color w:val="auto"/>
              </w:rPr>
            </w:pPr>
            <w:r>
              <w:rPr>
                <w:rFonts w:ascii="Times New Roman" w:cs="Times New Roman" w:eastAsia="Times New Roman" w:hAnsi="Times New Roman"/>
                <w:sz w:val="8"/>
                <w:szCs w:val="8"/>
                <w:b w:val="1"/>
                <w:bCs w:val="1"/>
                <w:color w:val="auto"/>
              </w:rPr>
              <w:t>Title of each Class</w:t>
            </w:r>
          </w:p>
        </w:tc>
        <w:tc>
          <w:tcPr>
            <w:tcW w:w="3040" w:type="dxa"/>
            <w:vAlign w:val="bottom"/>
            <w:tcBorders>
              <w:bottom w:val="single" w:sz="8" w:color="auto"/>
            </w:tcBorders>
          </w:tcPr>
          <w:p>
            <w:pPr>
              <w:jc w:val="center"/>
              <w:ind w:right="291"/>
              <w:spacing w:after="0"/>
              <w:rPr>
                <w:sz w:val="20"/>
                <w:szCs w:val="20"/>
                <w:color w:val="auto"/>
              </w:rPr>
            </w:pPr>
            <w:r>
              <w:rPr>
                <w:rFonts w:ascii="Times New Roman" w:cs="Times New Roman" w:eastAsia="Times New Roman" w:hAnsi="Times New Roman"/>
                <w:sz w:val="8"/>
                <w:szCs w:val="8"/>
                <w:b w:val="1"/>
                <w:bCs w:val="1"/>
                <w:color w:val="auto"/>
              </w:rPr>
              <w:t>Trading Symbol</w:t>
            </w:r>
          </w:p>
        </w:tc>
        <w:tc>
          <w:tcPr>
            <w:tcW w:w="3120" w:type="dxa"/>
            <w:vAlign w:val="bottom"/>
            <w:tcBorders>
              <w:bottom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8"/>
                <w:szCs w:val="8"/>
                <w:b w:val="1"/>
                <w:bCs w:val="1"/>
                <w:color w:val="auto"/>
              </w:rPr>
              <w:t>Name of each exchange on which registered</w:t>
            </w:r>
          </w:p>
        </w:tc>
      </w:tr>
      <w:tr>
        <w:trPr>
          <w:trHeight w:val="118"/>
        </w:trPr>
        <w:tc>
          <w:tcPr>
            <w:tcW w:w="3440" w:type="dxa"/>
            <w:vAlign w:val="bottom"/>
            <w:gridSpan w:val="2"/>
          </w:tcPr>
          <w:p>
            <w:pPr>
              <w:jc w:val="center"/>
              <w:ind w:left="332"/>
              <w:spacing w:after="0"/>
              <w:rPr>
                <w:sz w:val="20"/>
                <w:szCs w:val="20"/>
                <w:color w:val="auto"/>
              </w:rPr>
            </w:pPr>
            <w:r>
              <w:rPr>
                <w:rFonts w:ascii="Times New Roman" w:cs="Times New Roman" w:eastAsia="Times New Roman" w:hAnsi="Times New Roman"/>
                <w:sz w:val="10"/>
                <w:szCs w:val="10"/>
                <w:color w:val="auto"/>
                <w:w w:val="95"/>
              </w:rPr>
              <w:t>Class A Common Stock (Par Value $0.01)</w:t>
            </w:r>
          </w:p>
        </w:tc>
        <w:tc>
          <w:tcPr>
            <w:tcW w:w="3040" w:type="dxa"/>
            <w:vAlign w:val="bottom"/>
          </w:tcPr>
          <w:p>
            <w:pPr>
              <w:jc w:val="center"/>
              <w:ind w:right="271"/>
              <w:spacing w:after="0"/>
              <w:rPr>
                <w:sz w:val="20"/>
                <w:szCs w:val="20"/>
                <w:color w:val="auto"/>
              </w:rPr>
            </w:pPr>
            <w:r>
              <w:rPr>
                <w:rFonts w:ascii="Times New Roman" w:cs="Times New Roman" w:eastAsia="Times New Roman" w:hAnsi="Times New Roman"/>
                <w:sz w:val="10"/>
                <w:szCs w:val="10"/>
                <w:color w:val="auto"/>
                <w:w w:val="89"/>
              </w:rPr>
              <w:t>VTVT</w:t>
            </w:r>
          </w:p>
        </w:tc>
        <w:tc>
          <w:tcPr>
            <w:tcW w:w="3120" w:type="dxa"/>
            <w:vAlign w:val="bottom"/>
            <w:gridSpan w:val="2"/>
          </w:tcPr>
          <w:p>
            <w:pPr>
              <w:jc w:val="center"/>
              <w:ind w:right="680"/>
              <w:spacing w:after="0"/>
              <w:rPr>
                <w:sz w:val="20"/>
                <w:szCs w:val="20"/>
                <w:color w:val="auto"/>
              </w:rPr>
            </w:pPr>
            <w:r>
              <w:rPr>
                <w:rFonts w:ascii="Times New Roman" w:cs="Times New Roman" w:eastAsia="Times New Roman" w:hAnsi="Times New Roman"/>
                <w:sz w:val="10"/>
                <w:szCs w:val="10"/>
                <w:color w:val="auto"/>
                <w:w w:val="95"/>
              </w:rPr>
              <w:t>NASDAQ Capital Market</w:t>
            </w:r>
          </w:p>
        </w:tc>
      </w:tr>
      <w:tr>
        <w:trPr>
          <w:trHeight w:val="274"/>
        </w:trPr>
        <w:tc>
          <w:tcPr>
            <w:tcW w:w="19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040" w:type="dxa"/>
            <w:vAlign w:val="bottom"/>
          </w:tcPr>
          <w:p>
            <w:pPr>
              <w:jc w:val="center"/>
              <w:ind w:right="251"/>
              <w:spacing w:after="0"/>
              <w:rPr>
                <w:sz w:val="20"/>
                <w:szCs w:val="20"/>
                <w:color w:val="auto"/>
              </w:rPr>
            </w:pPr>
            <w:r>
              <w:rPr>
                <w:rFonts w:ascii="Times New Roman" w:cs="Times New Roman" w:eastAsia="Times New Roman" w:hAnsi="Times New Roman"/>
                <w:sz w:val="10"/>
                <w:szCs w:val="10"/>
                <w:b w:val="1"/>
                <w:bCs w:val="1"/>
                <w:color w:val="auto"/>
                <w:w w:val="95"/>
              </w:rPr>
              <w:t>Securities registered pursuant to Section 12(g) of the Act: None</w:t>
            </w:r>
          </w:p>
        </w:tc>
        <w:tc>
          <w:tcPr>
            <w:tcW w:w="124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6"/>
        </w:trPr>
        <w:tc>
          <w:tcPr>
            <w:tcW w:w="19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80" w:type="dxa"/>
            <w:vAlign w:val="bottom"/>
          </w:tcPr>
          <w:p>
            <w:pPr>
              <w:spacing w:after="0"/>
              <w:rPr>
                <w:sz w:val="2"/>
                <w:szCs w:val="2"/>
                <w:color w:val="auto"/>
              </w:rPr>
            </w:pPr>
          </w:p>
        </w:tc>
      </w:tr>
    </w:tbl>
    <w:p>
      <w:pPr>
        <w:spacing w:after="0" w:line="25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0"/>
          <w:szCs w:val="10"/>
          <w:color w:val="auto"/>
        </w:rPr>
        <w:t xml:space="preserve">Indicate by check mark if the Registrant is a well-known seasoned issuer, as defined in Rule 405 of the Securities Act. Yes </w:t>
      </w:r>
      <w:r>
        <w:rPr>
          <w:rFonts w:ascii="Wingdings" w:cs="Wingdings" w:eastAsia="Wingdings" w:hAnsi="Wingdings"/>
          <w:sz w:val="10"/>
          <w:szCs w:val="10"/>
          <w:b w:val="1"/>
          <w:bCs w:val="1"/>
          <w:color w:val="auto"/>
        </w:rPr>
        <w:t>o</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x</w:t>
      </w:r>
    </w:p>
    <w:p>
      <w:pPr>
        <w:spacing w:after="0" w:line="3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0"/>
          <w:szCs w:val="10"/>
          <w:color w:val="auto"/>
        </w:rPr>
        <w:t xml:space="preserve">Indicate by check mark if the Registrant is not required to file reports pursuant to Section 13 or Section 15(d) of the Exchange Act. Yes </w:t>
      </w:r>
      <w:r>
        <w:rPr>
          <w:rFonts w:ascii="Wingdings" w:cs="Wingdings" w:eastAsia="Wingdings" w:hAnsi="Wingdings"/>
          <w:sz w:val="10"/>
          <w:szCs w:val="10"/>
          <w:b w:val="1"/>
          <w:bCs w:val="1"/>
          <w:color w:val="auto"/>
        </w:rPr>
        <w:t>o</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x</w:t>
      </w:r>
    </w:p>
    <w:p>
      <w:pPr>
        <w:spacing w:after="0" w:line="3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0"/>
          <w:szCs w:val="10"/>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Wingdings" w:cs="Wingdings" w:eastAsia="Wingdings" w:hAnsi="Wingdings"/>
          <w:sz w:val="10"/>
          <w:szCs w:val="10"/>
          <w:b w:val="1"/>
          <w:bCs w:val="1"/>
          <w:color w:val="auto"/>
        </w:rPr>
        <w:t>x</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o</w:t>
      </w:r>
    </w:p>
    <w:p>
      <w:pPr>
        <w:spacing w:after="0" w:line="29" w:lineRule="exact"/>
        <w:rPr>
          <w:sz w:val="24"/>
          <w:szCs w:val="24"/>
          <w:color w:val="auto"/>
        </w:rPr>
      </w:pPr>
    </w:p>
    <w:p>
      <w:pPr>
        <w:ind w:right="280" w:firstLine="324"/>
        <w:spacing w:after="0" w:line="243" w:lineRule="auto"/>
        <w:rPr>
          <w:sz w:val="20"/>
          <w:szCs w:val="20"/>
          <w:color w:val="auto"/>
        </w:rPr>
      </w:pPr>
      <w:r>
        <w:rPr>
          <w:rFonts w:ascii="Times New Roman" w:cs="Times New Roman" w:eastAsia="Times New Roman" w:hAnsi="Times New Roman"/>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0"/>
          <w:szCs w:val="10"/>
          <w:b w:val="1"/>
          <w:bCs w:val="1"/>
          <w:color w:val="auto"/>
        </w:rPr>
        <w:t>x</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o</w:t>
      </w:r>
    </w:p>
    <w:p>
      <w:pPr>
        <w:spacing w:after="0" w:line="19" w:lineRule="exact"/>
        <w:rPr>
          <w:sz w:val="24"/>
          <w:szCs w:val="24"/>
          <w:color w:val="auto"/>
        </w:rPr>
      </w:pPr>
    </w:p>
    <w:p>
      <w:pPr>
        <w:ind w:right="160" w:firstLine="324"/>
        <w:spacing w:after="0" w:line="222"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780" w:type="dxa"/>
        <w:tblCellMar>
          <w:top w:w="0" w:type="dxa"/>
          <w:left w:w="0" w:type="dxa"/>
          <w:bottom w:w="0" w:type="dxa"/>
          <w:right w:w="0" w:type="dxa"/>
        </w:tblCellMar>
      </w:tblPr>
      <w:tr>
        <w:trPr>
          <w:trHeight w:val="124"/>
        </w:trPr>
        <w:tc>
          <w:tcPr>
            <w:tcW w:w="2040" w:type="dxa"/>
            <w:vAlign w:val="bottom"/>
          </w:tcPr>
          <w:p>
            <w:pPr>
              <w:spacing w:after="0"/>
              <w:rPr>
                <w:sz w:val="20"/>
                <w:szCs w:val="20"/>
                <w:color w:val="auto"/>
              </w:rPr>
            </w:pPr>
            <w:r>
              <w:rPr>
                <w:rFonts w:ascii="Times New Roman" w:cs="Times New Roman" w:eastAsia="Times New Roman" w:hAnsi="Times New Roman"/>
                <w:sz w:val="10"/>
                <w:szCs w:val="10"/>
                <w:color w:val="auto"/>
              </w:rPr>
              <w:t>Large accelerated filer</w:t>
            </w:r>
          </w:p>
        </w:tc>
        <w:tc>
          <w:tcPr>
            <w:tcW w:w="2720" w:type="dxa"/>
            <w:vAlign w:val="bottom"/>
          </w:tcPr>
          <w:p>
            <w:pPr>
              <w:ind w:left="1000"/>
              <w:spacing w:after="0"/>
              <w:rPr>
                <w:sz w:val="20"/>
                <w:szCs w:val="20"/>
                <w:color w:val="auto"/>
              </w:rPr>
            </w:pPr>
            <w:r>
              <w:rPr>
                <w:rFonts w:ascii="Wingdings" w:cs="Wingdings" w:eastAsia="Wingdings" w:hAnsi="Wingdings"/>
                <w:sz w:val="10"/>
                <w:szCs w:val="10"/>
                <w:b w:val="1"/>
                <w:bCs w:val="1"/>
                <w:color w:val="auto"/>
              </w:rPr>
              <w:t>o</w:t>
            </w:r>
          </w:p>
        </w:tc>
        <w:tc>
          <w:tcPr>
            <w:tcW w:w="3660" w:type="dxa"/>
            <w:vAlign w:val="bottom"/>
          </w:tcPr>
          <w:p>
            <w:pPr>
              <w:ind w:left="1620"/>
              <w:spacing w:after="0"/>
              <w:rPr>
                <w:sz w:val="20"/>
                <w:szCs w:val="20"/>
                <w:color w:val="auto"/>
              </w:rPr>
            </w:pPr>
            <w:r>
              <w:rPr>
                <w:rFonts w:ascii="Times New Roman" w:cs="Times New Roman" w:eastAsia="Times New Roman" w:hAnsi="Times New Roman"/>
                <w:sz w:val="10"/>
                <w:szCs w:val="10"/>
                <w:color w:val="auto"/>
              </w:rPr>
              <w:t>Accelerated filer</w:t>
            </w:r>
          </w:p>
        </w:tc>
        <w:tc>
          <w:tcPr>
            <w:tcW w:w="1100" w:type="dxa"/>
            <w:vAlign w:val="bottom"/>
          </w:tcPr>
          <w:p>
            <w:pPr>
              <w:ind w:left="1000"/>
              <w:spacing w:after="0"/>
              <w:rPr>
                <w:sz w:val="20"/>
                <w:szCs w:val="20"/>
                <w:color w:val="auto"/>
              </w:rPr>
            </w:pPr>
            <w:r>
              <w:rPr>
                <w:rFonts w:ascii="Wingdings" w:cs="Wingdings" w:eastAsia="Wingdings" w:hAnsi="Wingdings"/>
                <w:sz w:val="10"/>
                <w:szCs w:val="10"/>
                <w:b w:val="1"/>
                <w:bCs w:val="1"/>
                <w:color w:val="auto"/>
                <w:w w:val="89"/>
              </w:rPr>
              <w:t>o</w:t>
            </w:r>
          </w:p>
        </w:tc>
      </w:tr>
      <w:tr>
        <w:trPr>
          <w:trHeight w:val="135"/>
        </w:trPr>
        <w:tc>
          <w:tcPr>
            <w:tcW w:w="2040" w:type="dxa"/>
            <w:vAlign w:val="bottom"/>
          </w:tcPr>
          <w:p>
            <w:pPr>
              <w:spacing w:after="0"/>
              <w:rPr>
                <w:sz w:val="20"/>
                <w:szCs w:val="20"/>
                <w:color w:val="auto"/>
              </w:rPr>
            </w:pPr>
            <w:r>
              <w:rPr>
                <w:rFonts w:ascii="Times New Roman" w:cs="Times New Roman" w:eastAsia="Times New Roman" w:hAnsi="Times New Roman"/>
                <w:sz w:val="10"/>
                <w:szCs w:val="10"/>
                <w:color w:val="auto"/>
              </w:rPr>
              <w:t>Non-accelerated filer</w:t>
            </w:r>
          </w:p>
        </w:tc>
        <w:tc>
          <w:tcPr>
            <w:tcW w:w="2720" w:type="dxa"/>
            <w:vAlign w:val="bottom"/>
          </w:tcPr>
          <w:p>
            <w:pPr>
              <w:ind w:left="1000"/>
              <w:spacing w:after="0"/>
              <w:rPr>
                <w:sz w:val="20"/>
                <w:szCs w:val="20"/>
                <w:color w:val="auto"/>
              </w:rPr>
            </w:pPr>
            <w:r>
              <w:rPr>
                <w:rFonts w:ascii="Wingdings" w:cs="Wingdings" w:eastAsia="Wingdings" w:hAnsi="Wingdings"/>
                <w:sz w:val="10"/>
                <w:szCs w:val="10"/>
                <w:b w:val="1"/>
                <w:bCs w:val="1"/>
                <w:color w:val="auto"/>
              </w:rPr>
              <w:t>o</w:t>
            </w:r>
          </w:p>
        </w:tc>
        <w:tc>
          <w:tcPr>
            <w:tcW w:w="3660" w:type="dxa"/>
            <w:vAlign w:val="bottom"/>
          </w:tcPr>
          <w:p>
            <w:pPr>
              <w:ind w:left="1620"/>
              <w:spacing w:after="0"/>
              <w:rPr>
                <w:sz w:val="20"/>
                <w:szCs w:val="20"/>
                <w:color w:val="auto"/>
              </w:rPr>
            </w:pPr>
            <w:r>
              <w:rPr>
                <w:rFonts w:ascii="Times New Roman" w:cs="Times New Roman" w:eastAsia="Times New Roman" w:hAnsi="Times New Roman"/>
                <w:sz w:val="10"/>
                <w:szCs w:val="10"/>
                <w:color w:val="auto"/>
              </w:rPr>
              <w:t>Smaller reporting company</w:t>
            </w:r>
          </w:p>
        </w:tc>
        <w:tc>
          <w:tcPr>
            <w:tcW w:w="1100" w:type="dxa"/>
            <w:vAlign w:val="bottom"/>
          </w:tcPr>
          <w:p>
            <w:pPr>
              <w:ind w:left="1000"/>
              <w:spacing w:after="0"/>
              <w:rPr>
                <w:sz w:val="20"/>
                <w:szCs w:val="20"/>
                <w:color w:val="auto"/>
              </w:rPr>
            </w:pPr>
            <w:r>
              <w:rPr>
                <w:rFonts w:ascii="Wingdings" w:cs="Wingdings" w:eastAsia="Wingdings" w:hAnsi="Wingdings"/>
                <w:sz w:val="10"/>
                <w:szCs w:val="10"/>
                <w:b w:val="1"/>
                <w:bCs w:val="1"/>
                <w:color w:val="auto"/>
                <w:w w:val="74"/>
              </w:rPr>
              <w:t>x</w:t>
            </w:r>
          </w:p>
        </w:tc>
      </w:tr>
      <w:tr>
        <w:trPr>
          <w:trHeight w:val="135"/>
        </w:trPr>
        <w:tc>
          <w:tcPr>
            <w:tcW w:w="2040" w:type="dxa"/>
            <w:vAlign w:val="bottom"/>
          </w:tcPr>
          <w:p>
            <w:pPr>
              <w:spacing w:after="0"/>
              <w:rPr>
                <w:sz w:val="20"/>
                <w:szCs w:val="20"/>
                <w:color w:val="auto"/>
              </w:rPr>
            </w:pPr>
            <w:r>
              <w:rPr>
                <w:rFonts w:ascii="Times New Roman" w:cs="Times New Roman" w:eastAsia="Times New Roman" w:hAnsi="Times New Roman"/>
                <w:sz w:val="10"/>
                <w:szCs w:val="10"/>
                <w:color w:val="auto"/>
              </w:rPr>
              <w:t>Emerging growth company</w:t>
            </w:r>
          </w:p>
        </w:tc>
        <w:tc>
          <w:tcPr>
            <w:tcW w:w="2720" w:type="dxa"/>
            <w:vAlign w:val="bottom"/>
          </w:tcPr>
          <w:p>
            <w:pPr>
              <w:ind w:left="1000"/>
              <w:spacing w:after="0"/>
              <w:rPr>
                <w:sz w:val="20"/>
                <w:szCs w:val="20"/>
                <w:color w:val="auto"/>
              </w:rPr>
            </w:pPr>
            <w:r>
              <w:rPr>
                <w:rFonts w:ascii="Wingdings" w:cs="Wingdings" w:eastAsia="Wingdings" w:hAnsi="Wingdings"/>
                <w:sz w:val="10"/>
                <w:szCs w:val="10"/>
                <w:b w:val="1"/>
                <w:bCs w:val="1"/>
                <w:color w:val="auto"/>
              </w:rPr>
              <w:t>o</w:t>
            </w:r>
          </w:p>
        </w:tc>
        <w:tc>
          <w:tcPr>
            <w:tcW w:w="3660" w:type="dxa"/>
            <w:vAlign w:val="bottom"/>
          </w:tcPr>
          <w:p>
            <w:pPr>
              <w:spacing w:after="0"/>
              <w:rPr>
                <w:sz w:val="11"/>
                <w:szCs w:val="11"/>
                <w:color w:val="auto"/>
              </w:rPr>
            </w:pPr>
          </w:p>
        </w:tc>
        <w:tc>
          <w:tcPr>
            <w:tcW w:w="1100" w:type="dxa"/>
            <w:vAlign w:val="bottom"/>
          </w:tcPr>
          <w:p>
            <w:pPr>
              <w:spacing w:after="0"/>
              <w:rPr>
                <w:sz w:val="11"/>
                <w:szCs w:val="11"/>
                <w:color w:val="auto"/>
              </w:rPr>
            </w:pPr>
          </w:p>
        </w:tc>
      </w:tr>
    </w:tbl>
    <w:p>
      <w:pPr>
        <w:spacing w:after="0" w:line="11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0"/>
          <w:szCs w:val="10"/>
          <w:b w:val="1"/>
          <w:bCs w:val="1"/>
          <w:color w:val="auto"/>
        </w:rPr>
        <w:t>o</w:t>
      </w:r>
    </w:p>
    <w:p>
      <w:pPr>
        <w:spacing w:after="0" w:line="29" w:lineRule="exact"/>
        <w:rPr>
          <w:sz w:val="24"/>
          <w:szCs w:val="24"/>
          <w:color w:val="auto"/>
        </w:rPr>
      </w:pPr>
    </w:p>
    <w:p>
      <w:pPr>
        <w:ind w:firstLine="324"/>
        <w:spacing w:after="0" w:line="243" w:lineRule="auto"/>
        <w:rPr>
          <w:sz w:val="20"/>
          <w:szCs w:val="20"/>
          <w:color w:val="auto"/>
        </w:rPr>
      </w:pPr>
      <w:r>
        <w:rPr>
          <w:rFonts w:ascii="Times New Roman" w:cs="Times New Roman" w:eastAsia="Times New Roman" w:hAnsi="Times New Roman"/>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0"/>
          <w:szCs w:val="10"/>
          <w:b w:val="1"/>
          <w:bCs w:val="1"/>
          <w:color w:val="auto"/>
        </w:rPr>
        <w:t>o</w:t>
      </w:r>
    </w:p>
    <w:p>
      <w:pPr>
        <w:spacing w:after="0" w:line="43" w:lineRule="exact"/>
        <w:rPr>
          <w:sz w:val="24"/>
          <w:szCs w:val="24"/>
          <w:color w:val="auto"/>
        </w:rPr>
      </w:pPr>
    </w:p>
    <w:p>
      <w:pPr>
        <w:ind w:left="320"/>
        <w:spacing w:after="0" w:line="115" w:lineRule="exact"/>
        <w:rPr>
          <w:sz w:val="20"/>
          <w:szCs w:val="20"/>
          <w:color w:val="auto"/>
        </w:rPr>
      </w:pPr>
      <w:r>
        <w:rPr>
          <w:rFonts w:ascii="Times New Roman" w:cs="Times New Roman" w:eastAsia="Times New Roman" w:hAnsi="Times New Roman"/>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0"/>
          <w:szCs w:val="10"/>
          <w:color w:val="auto"/>
        </w:rPr>
        <w:t>☐</w:t>
      </w:r>
    </w:p>
    <w:p>
      <w:pPr>
        <w:spacing w:after="0" w:line="74" w:lineRule="exact"/>
        <w:rPr>
          <w:sz w:val="24"/>
          <w:szCs w:val="24"/>
          <w:color w:val="auto"/>
        </w:rPr>
      </w:pPr>
    </w:p>
    <w:p>
      <w:pPr>
        <w:ind w:left="320" w:right="760"/>
        <w:spacing w:after="0" w:line="154" w:lineRule="exact"/>
        <w:rPr>
          <w:sz w:val="20"/>
          <w:szCs w:val="20"/>
          <w:color w:val="auto"/>
        </w:rPr>
      </w:pPr>
      <w:r>
        <w:rPr>
          <w:rFonts w:ascii="Times New Roman" w:cs="Times New Roman" w:eastAsia="Times New Roman" w:hAnsi="Times New Roman"/>
          <w:sz w:val="10"/>
          <w:szCs w:val="1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Indicate by check mark if the Registrant is a shell company (as defined in Rule 12b-2 of the Exchange Act). Yes </w:t>
      </w:r>
      <w:r>
        <w:rPr>
          <w:rFonts w:ascii="Wingdings" w:cs="Wingdings" w:eastAsia="Wingdings" w:hAnsi="Wingdings"/>
          <w:sz w:val="10"/>
          <w:szCs w:val="10"/>
          <w:b w:val="1"/>
          <w:bCs w:val="1"/>
          <w:color w:val="auto"/>
        </w:rPr>
        <w:t>o</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x</w:t>
      </w:r>
    </w:p>
    <w:p>
      <w:pPr>
        <w:spacing w:after="0" w:line="2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0"/>
          <w:szCs w:val="10"/>
          <w:color w:val="auto"/>
        </w:rPr>
        <w:t>The aggregate market value of the registrant’s Common Stock held by non-affiliates on the last business day of the Registrant’s most recently completed second quarter, June 30, 2023, was $22,902,852 (based on the closing sale price as reported on the NASDAQ).</w:t>
      </w:r>
    </w:p>
    <w:p>
      <w:pPr>
        <w:spacing w:after="0" w:line="2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0"/>
          <w:szCs w:val="10"/>
          <w:color w:val="auto"/>
        </w:rPr>
        <w:t>Indicate the number of shares outstanding of each of the Registrant’s classes of common stock, as of March 13, 2024.</w:t>
      </w:r>
    </w:p>
    <w:p>
      <w:pPr>
        <w:spacing w:after="0" w:line="55" w:lineRule="exact"/>
        <w:rPr>
          <w:sz w:val="24"/>
          <w:szCs w:val="24"/>
          <w:color w:val="auto"/>
        </w:rPr>
      </w:pPr>
    </w:p>
    <w:tbl>
      <w:tblPr>
        <w:tblLayout w:type="fixed"/>
        <w:tblInd w:w="800" w:type="dxa"/>
        <w:tblCellMar>
          <w:top w:w="0" w:type="dxa"/>
          <w:left w:w="0" w:type="dxa"/>
          <w:bottom w:w="0" w:type="dxa"/>
          <w:right w:w="0" w:type="dxa"/>
        </w:tblCellMar>
      </w:tblPr>
      <w:tr>
        <w:trPr>
          <w:trHeight w:val="115"/>
        </w:trPr>
        <w:tc>
          <w:tcPr>
            <w:tcW w:w="212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0"/>
                <w:szCs w:val="10"/>
                <w:color w:val="auto"/>
                <w:w w:val="93"/>
              </w:rPr>
              <w:t>Class of Stock</w:t>
            </w:r>
          </w:p>
        </w:tc>
        <w:tc>
          <w:tcPr>
            <w:tcW w:w="2120" w:type="dxa"/>
            <w:vAlign w:val="bottom"/>
          </w:tcPr>
          <w:p>
            <w:pPr>
              <w:spacing w:after="0"/>
              <w:rPr>
                <w:sz w:val="10"/>
                <w:szCs w:val="10"/>
                <w:color w:val="auto"/>
              </w:rPr>
            </w:pPr>
          </w:p>
        </w:tc>
        <w:tc>
          <w:tcPr>
            <w:tcW w:w="4880" w:type="dxa"/>
            <w:vAlign w:val="bottom"/>
            <w:gridSpan w:val="3"/>
          </w:tcPr>
          <w:p>
            <w:pPr>
              <w:jc w:val="right"/>
              <w:ind w:right="1972"/>
              <w:spacing w:after="0"/>
              <w:rPr>
                <w:sz w:val="20"/>
                <w:szCs w:val="20"/>
                <w:color w:val="auto"/>
              </w:rPr>
            </w:pPr>
            <w:r>
              <w:rPr>
                <w:rFonts w:ascii="Times New Roman" w:cs="Times New Roman" w:eastAsia="Times New Roman" w:hAnsi="Times New Roman"/>
                <w:sz w:val="10"/>
                <w:szCs w:val="10"/>
                <w:color w:val="auto"/>
              </w:rPr>
              <w:t>Shares Outstanding</w:t>
            </w:r>
          </w:p>
        </w:tc>
      </w:tr>
      <w:tr>
        <w:trPr>
          <w:trHeight w:val="134"/>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Class A common stock, par value $0.01 per share</w:t>
            </w:r>
          </w:p>
        </w:tc>
        <w:tc>
          <w:tcPr>
            <w:tcW w:w="560" w:type="dxa"/>
            <w:vAlign w:val="bottom"/>
            <w:tcBorders>
              <w:top w:val="single" w:sz="8" w:color="auto"/>
            </w:tcBorders>
          </w:tcPr>
          <w:p>
            <w:pPr>
              <w:spacing w:after="0"/>
              <w:rPr>
                <w:sz w:val="11"/>
                <w:szCs w:val="11"/>
                <w:color w:val="auto"/>
              </w:rPr>
            </w:pPr>
          </w:p>
        </w:tc>
        <w:tc>
          <w:tcPr>
            <w:tcW w:w="21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2,432,857</w:t>
            </w:r>
          </w:p>
        </w:tc>
      </w:tr>
      <w:tr>
        <w:trPr>
          <w:trHeight w:val="135"/>
        </w:trPr>
        <w:tc>
          <w:tcPr>
            <w:tcW w:w="48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Class B common stock, par value $0.01 per share</w:t>
            </w:r>
          </w:p>
        </w:tc>
        <w:tc>
          <w:tcPr>
            <w:tcW w:w="48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577,349</w:t>
            </w:r>
          </w:p>
        </w:tc>
      </w:tr>
    </w:tbl>
    <w:p>
      <w:pPr>
        <w:spacing w:after="0" w:line="10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9"/>
          <w:szCs w:val="9"/>
          <w:b w:val="1"/>
          <w:bCs w:val="1"/>
          <w:color w:val="auto"/>
        </w:rPr>
        <w:t>DOCUMENTS INCORPORATED BY REFERENCE</w:t>
      </w:r>
    </w:p>
    <w:p>
      <w:pPr>
        <w:spacing w:after="0" w:line="3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9"/>
          <w:szCs w:val="9"/>
          <w:color w:val="auto"/>
        </w:rPr>
        <w:t>Portions of the registrant’s Definitive Proxy Statement relating to its 2024 Annual Meeting of Stockholders to be filed within 120 days after December 31, 2023, are incorporated by reference into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287655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54610</wp:posOffset>
            </wp:positionV>
            <wp:extent cx="61664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66485" cy="5715"/>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71755</wp:posOffset>
            </wp:positionV>
            <wp:extent cx="616648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66485" cy="5715"/>
                    </a:xfrm>
                    <a:prstGeom prst="rect">
                      <a:avLst/>
                    </a:prstGeom>
                    <a:noFill/>
                  </pic:spPr>
                </pic:pic>
              </a:graphicData>
            </a:graphic>
          </wp:anchor>
        </w:drawing>
      </w:r>
    </w:p>
    <w:p>
      <w:pPr>
        <w:sectPr>
          <w:pgSz w:w="11900" w:h="16838" w:orient="portrait"/>
          <w:cols w:equalWidth="0" w:num="1">
            <w:col w:w="11260"/>
          </w:cols>
          <w:pgMar w:left="300" w:top="20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780" w:type="dxa"/>
            <w:vAlign w:val="bottom"/>
            <w:gridSpan w:val="6"/>
          </w:tcPr>
          <w:p>
            <w:pPr>
              <w:jc w:val="center"/>
              <w:ind w:right="3080"/>
              <w:spacing w:after="0"/>
              <w:rPr>
                <w:sz w:val="20"/>
                <w:szCs w:val="20"/>
                <w:color w:val="auto"/>
              </w:rPr>
            </w:pPr>
            <w:r>
              <w:rPr>
                <w:rFonts w:ascii="Times New Roman" w:cs="Times New Roman" w:eastAsia="Times New Roman" w:hAnsi="Times New Roman"/>
                <w:sz w:val="12"/>
                <w:szCs w:val="12"/>
                <w:b w:val="1"/>
                <w:bCs w:val="1"/>
                <w:color w:val="auto"/>
                <w:w w:val="99"/>
              </w:rPr>
              <w:t>vTv THERAPEUTICS INC. AND SUBSIDIARIES</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20" w:type="dxa"/>
            <w:vAlign w:val="bottom"/>
            <w:gridSpan w:val="5"/>
          </w:tcPr>
          <w:p>
            <w:pPr>
              <w:jc w:val="center"/>
              <w:ind w:right="3440"/>
              <w:spacing w:after="0"/>
              <w:rPr>
                <w:sz w:val="20"/>
                <w:szCs w:val="20"/>
                <w:color w:val="auto"/>
              </w:rPr>
            </w:pPr>
            <w:r>
              <w:rPr>
                <w:rFonts w:ascii="Times New Roman" w:cs="Times New Roman" w:eastAsia="Times New Roman" w:hAnsi="Times New Roman"/>
                <w:sz w:val="12"/>
                <w:szCs w:val="12"/>
                <w:b w:val="1"/>
                <w:bCs w:val="1"/>
                <w:color w:val="auto"/>
                <w:w w:val="99"/>
              </w:rPr>
              <w:t>INDEX TO FORM 10-K</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40" w:type="dxa"/>
            <w:vAlign w:val="bottom"/>
            <w:gridSpan w:val="7"/>
          </w:tcPr>
          <w:p>
            <w:pPr>
              <w:jc w:val="center"/>
              <w:ind w:right="2720"/>
              <w:spacing w:after="0"/>
              <w:rPr>
                <w:sz w:val="20"/>
                <w:szCs w:val="20"/>
                <w:color w:val="auto"/>
              </w:rPr>
            </w:pPr>
            <w:r>
              <w:rPr>
                <w:rFonts w:ascii="Times New Roman" w:cs="Times New Roman" w:eastAsia="Times New Roman" w:hAnsi="Times New Roman"/>
                <w:sz w:val="12"/>
                <w:szCs w:val="12"/>
                <w:b w:val="1"/>
                <w:bCs w:val="1"/>
                <w:color w:val="auto"/>
                <w:w w:val="99"/>
              </w:rPr>
              <w:t>FOR THE FISCAL YEAR ENDED December 31, 2023</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1"/>
              </w:rPr>
              <w:t>PAGE</w:t>
            </w:r>
          </w:p>
        </w:tc>
        <w:tc>
          <w:tcPr>
            <w:tcW w:w="0" w:type="dxa"/>
            <w:vAlign w:val="bottom"/>
          </w:tcPr>
          <w:p>
            <w:pPr>
              <w:spacing w:after="0"/>
              <w:rPr>
                <w:sz w:val="1"/>
                <w:szCs w:val="1"/>
                <w:color w:val="auto"/>
              </w:rPr>
            </w:pPr>
          </w:p>
        </w:tc>
      </w:tr>
      <w:tr>
        <w:trPr>
          <w:trHeight w:val="123"/>
        </w:trPr>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3"/>
              </w:rPr>
              <w:t>NUMBER</w:t>
            </w:r>
          </w:p>
        </w:tc>
        <w:tc>
          <w:tcPr>
            <w:tcW w:w="0" w:type="dxa"/>
            <w:vAlign w:val="bottom"/>
          </w:tcPr>
          <w:p>
            <w:pPr>
              <w:spacing w:after="0"/>
              <w:rPr>
                <w:sz w:val="1"/>
                <w:szCs w:val="1"/>
                <w:color w:val="auto"/>
              </w:rPr>
            </w:pPr>
          </w:p>
        </w:tc>
      </w:tr>
      <w:tr>
        <w:trPr>
          <w:trHeight w:val="26"/>
        </w:trPr>
        <w:tc>
          <w:tcPr>
            <w:tcW w:w="100" w:type="dxa"/>
            <w:vAlign w:val="bottom"/>
            <w:vMerge w:val="restart"/>
          </w:tcPr>
          <w:p>
            <w:pPr>
              <w:spacing w:after="0"/>
              <w:rPr>
                <w:sz w:val="2"/>
                <w:szCs w:val="2"/>
                <w:color w:val="auto"/>
              </w:rPr>
            </w:pPr>
          </w:p>
        </w:tc>
        <w:tc>
          <w:tcPr>
            <w:tcW w:w="94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color w:val="0000FF"/>
              </w:rPr>
              <w:t>PART I</w:t>
            </w: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100" w:type="dxa"/>
            <w:vAlign w:val="bottom"/>
            <w:vMerge w:val="continue"/>
          </w:tcPr>
          <w:p>
            <w:pPr>
              <w:spacing w:after="0"/>
              <w:rPr>
                <w:sz w:val="9"/>
                <w:szCs w:val="9"/>
                <w:color w:val="auto"/>
              </w:rPr>
            </w:pPr>
          </w:p>
        </w:tc>
        <w:tc>
          <w:tcPr>
            <w:tcW w:w="940" w:type="dxa"/>
            <w:vAlign w:val="bottom"/>
            <w:gridSpan w:val="5"/>
            <w:vMerge w:val="continue"/>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3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2"/>
                <w:szCs w:val="12"/>
                <w:color w:val="auto"/>
                <w:w w:val="99"/>
              </w:rPr>
              <w:t>Item 1.</w:t>
            </w:r>
          </w:p>
        </w:tc>
        <w:tc>
          <w:tcPr>
            <w:tcW w:w="580" w:type="dxa"/>
            <w:vAlign w:val="bottom"/>
            <w:gridSpan w:val="4"/>
          </w:tcPr>
          <w:p>
            <w:pPr>
              <w:spacing w:after="0"/>
              <w:rPr>
                <w:sz w:val="14"/>
                <w:szCs w:val="14"/>
                <w:color w:val="auto"/>
              </w:rPr>
            </w:pPr>
          </w:p>
        </w:tc>
        <w:tc>
          <w:tcPr>
            <w:tcW w:w="904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Business</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1A.</w:t>
            </w:r>
          </w:p>
        </w:tc>
        <w:tc>
          <w:tcPr>
            <w:tcW w:w="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w w:val="96"/>
              </w:rPr>
              <w:t>Risk Factors</w:t>
            </w:r>
          </w:p>
        </w:tc>
        <w:tc>
          <w:tcPr>
            <w:tcW w:w="8440" w:type="dxa"/>
            <w:vAlign w:val="bottom"/>
            <w:gridSpan w:val="19"/>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1B.</w:t>
            </w:r>
          </w:p>
        </w:tc>
        <w:tc>
          <w:tcPr>
            <w:tcW w:w="1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2"/>
                <w:szCs w:val="12"/>
                <w:color w:val="0000FF"/>
                <w:w w:val="98"/>
              </w:rPr>
              <w:t>Unresolved Staff Comments</w:t>
            </w:r>
          </w:p>
        </w:tc>
        <w:tc>
          <w:tcPr>
            <w:tcW w:w="7680" w:type="dxa"/>
            <w:vAlign w:val="bottom"/>
            <w:gridSpan w:val="12"/>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1C</w:t>
            </w:r>
          </w:p>
        </w:tc>
        <w:tc>
          <w:tcPr>
            <w:tcW w:w="904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Cybersecurity</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2.</w:t>
            </w:r>
          </w:p>
        </w:tc>
        <w:tc>
          <w:tcPr>
            <w:tcW w:w="6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2"/>
                <w:szCs w:val="12"/>
                <w:color w:val="0000FF"/>
              </w:rPr>
              <w:t>Properties</w:t>
            </w:r>
          </w:p>
        </w:tc>
        <w:tc>
          <w:tcPr>
            <w:tcW w:w="8380" w:type="dxa"/>
            <w:vAlign w:val="bottom"/>
            <w:gridSpan w:val="18"/>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3.</w:t>
            </w:r>
          </w:p>
        </w:tc>
        <w:tc>
          <w:tcPr>
            <w:tcW w:w="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2"/>
                <w:szCs w:val="12"/>
                <w:color w:val="0000FF"/>
                <w:w w:val="98"/>
              </w:rPr>
              <w:t>Legal Proceedings</w:t>
            </w:r>
          </w:p>
        </w:tc>
        <w:tc>
          <w:tcPr>
            <w:tcW w:w="8140" w:type="dxa"/>
            <w:vAlign w:val="bottom"/>
            <w:gridSpan w:val="16"/>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4.</w:t>
            </w:r>
          </w:p>
        </w:tc>
        <w:tc>
          <w:tcPr>
            <w:tcW w:w="904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Mine Safety Disclosures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0000FF"/>
              </w:rPr>
              <w:t>PART II</w:t>
            </w:r>
          </w:p>
        </w:tc>
        <w:tc>
          <w:tcPr>
            <w:tcW w:w="4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auto"/>
              </w:rPr>
              <w:t>Item 5.</w:t>
            </w:r>
          </w:p>
        </w:tc>
        <w:tc>
          <w:tcPr>
            <w:tcW w:w="540" w:type="dxa"/>
            <w:vAlign w:val="bottom"/>
            <w:gridSpan w:val="3"/>
          </w:tcPr>
          <w:p>
            <w:pPr>
              <w:spacing w:after="0"/>
              <w:rPr>
                <w:sz w:val="14"/>
                <w:szCs w:val="14"/>
                <w:color w:val="auto"/>
              </w:rPr>
            </w:pPr>
          </w:p>
        </w:tc>
        <w:tc>
          <w:tcPr>
            <w:tcW w:w="53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2"/>
                <w:szCs w:val="12"/>
                <w:color w:val="0000FF"/>
                <w:w w:val="99"/>
              </w:rPr>
              <w:t>Market for Registrant’s Common Equity, Related Stockholder Matters and Issuer Purchases of Equity Securities</w:t>
            </w:r>
          </w:p>
        </w:tc>
        <w:tc>
          <w:tcPr>
            <w:tcW w:w="36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6.</w:t>
            </w:r>
          </w:p>
        </w:tc>
        <w:tc>
          <w:tcPr>
            <w:tcW w:w="904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[Reserved]</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7.</w:t>
            </w:r>
          </w:p>
        </w:tc>
        <w:tc>
          <w:tcPr>
            <w:tcW w:w="43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2"/>
                <w:szCs w:val="12"/>
                <w:color w:val="0000FF"/>
                <w:w w:val="99"/>
              </w:rPr>
              <w:t>Management’s Discussion and Analysis of Financial Condition and Results of Operations</w:t>
            </w:r>
          </w:p>
        </w:tc>
        <w:tc>
          <w:tcPr>
            <w:tcW w:w="4740" w:type="dxa"/>
            <w:vAlign w:val="bottom"/>
            <w:gridSpan w:val="4"/>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7A.</w:t>
            </w:r>
          </w:p>
        </w:tc>
        <w:tc>
          <w:tcPr>
            <w:tcW w:w="29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2"/>
                <w:szCs w:val="12"/>
                <w:color w:val="0000FF"/>
                <w:w w:val="99"/>
              </w:rPr>
              <w:t>Quantitative and Qualitative Disclosures About Market Risk</w:t>
            </w:r>
          </w:p>
        </w:tc>
        <w:tc>
          <w:tcPr>
            <w:tcW w:w="6140" w:type="dxa"/>
            <w:vAlign w:val="bottom"/>
            <w:gridSpan w:val="7"/>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8.</w:t>
            </w:r>
          </w:p>
        </w:tc>
        <w:tc>
          <w:tcPr>
            <w:tcW w:w="22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2"/>
                <w:szCs w:val="12"/>
                <w:color w:val="0000FF"/>
                <w:w w:val="99"/>
              </w:rPr>
              <w:t>Financial Statements and Supplementary Data</w:t>
            </w:r>
          </w:p>
        </w:tc>
        <w:tc>
          <w:tcPr>
            <w:tcW w:w="6820" w:type="dxa"/>
            <w:vAlign w:val="bottom"/>
            <w:gridSpan w:val="9"/>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9.</w:t>
            </w:r>
          </w:p>
        </w:tc>
        <w:tc>
          <w:tcPr>
            <w:tcW w:w="43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2"/>
                <w:szCs w:val="12"/>
                <w:color w:val="0000FF"/>
                <w:w w:val="99"/>
              </w:rPr>
              <w:t>Changes in and Disagreements with Accountants on Accounting and Financial Disclosure</w:t>
            </w:r>
          </w:p>
        </w:tc>
        <w:tc>
          <w:tcPr>
            <w:tcW w:w="4720" w:type="dxa"/>
            <w:vAlign w:val="bottom"/>
            <w:gridSpan w:val="3"/>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9A.</w:t>
            </w:r>
          </w:p>
        </w:tc>
        <w:tc>
          <w:tcPr>
            <w:tcW w:w="11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2"/>
                <w:szCs w:val="12"/>
                <w:color w:val="0000FF"/>
                <w:w w:val="98"/>
              </w:rPr>
              <w:t>Controls and Procedures</w:t>
            </w:r>
          </w:p>
        </w:tc>
        <w:tc>
          <w:tcPr>
            <w:tcW w:w="7860" w:type="dxa"/>
            <w:vAlign w:val="bottom"/>
            <w:gridSpan w:val="14"/>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9B.</w:t>
            </w:r>
          </w:p>
        </w:tc>
        <w:tc>
          <w:tcPr>
            <w:tcW w:w="8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2"/>
                <w:szCs w:val="12"/>
                <w:color w:val="0000FF"/>
                <w:w w:val="98"/>
              </w:rPr>
              <w:t>Other Information</w:t>
            </w:r>
          </w:p>
        </w:tc>
        <w:tc>
          <w:tcPr>
            <w:tcW w:w="8160" w:type="dxa"/>
            <w:vAlign w:val="bottom"/>
            <w:gridSpan w:val="17"/>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9C.</w:t>
            </w:r>
          </w:p>
        </w:tc>
        <w:tc>
          <w:tcPr>
            <w:tcW w:w="904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Disclosure Regarding Foreign Jurisdictions that Prevent Inspections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0000FF"/>
              </w:rPr>
              <w:t>PART III</w:t>
            </w:r>
          </w:p>
        </w:tc>
        <w:tc>
          <w:tcPr>
            <w:tcW w:w="4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auto"/>
              </w:rPr>
              <w:t>Item 10.</w:t>
            </w:r>
          </w:p>
        </w:tc>
        <w:tc>
          <w:tcPr>
            <w:tcW w:w="500" w:type="dxa"/>
            <w:vAlign w:val="bottom"/>
            <w:gridSpan w:val="2"/>
          </w:tcPr>
          <w:p>
            <w:pPr>
              <w:spacing w:after="0"/>
              <w:rPr>
                <w:sz w:val="14"/>
                <w:szCs w:val="14"/>
                <w:color w:val="auto"/>
              </w:rPr>
            </w:pPr>
          </w:p>
        </w:tc>
        <w:tc>
          <w:tcPr>
            <w:tcW w:w="904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Directors, Executive Officers and Corporate Governance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11.</w:t>
            </w:r>
          </w:p>
        </w:tc>
        <w:tc>
          <w:tcPr>
            <w:tcW w:w="12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2"/>
                <w:szCs w:val="12"/>
                <w:color w:val="0000FF"/>
                <w:w w:val="98"/>
              </w:rPr>
              <w:t>Executive Compensation</w:t>
            </w:r>
          </w:p>
        </w:tc>
        <w:tc>
          <w:tcPr>
            <w:tcW w:w="1520" w:type="dxa"/>
            <w:vAlign w:val="bottom"/>
            <w:tcBorders>
              <w:top w:val="single" w:sz="8" w:color="0000FF"/>
            </w:tcBorders>
            <w:gridSpan w:val="5"/>
          </w:tcPr>
          <w:p>
            <w:pPr>
              <w:spacing w:after="0"/>
              <w:rPr>
                <w:sz w:val="14"/>
                <w:szCs w:val="14"/>
                <w:color w:val="auto"/>
              </w:rPr>
            </w:pPr>
          </w:p>
        </w:tc>
        <w:tc>
          <w:tcPr>
            <w:tcW w:w="6320" w:type="dxa"/>
            <w:vAlign w:val="bottom"/>
            <w:gridSpan w:val="8"/>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12.</w:t>
            </w:r>
          </w:p>
        </w:tc>
        <w:tc>
          <w:tcPr>
            <w:tcW w:w="48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2"/>
                <w:szCs w:val="12"/>
                <w:color w:val="0000FF"/>
                <w:w w:val="99"/>
              </w:rPr>
              <w:t>Security Ownership of Certain Beneficial Owners and Management and Related Stockholder Matters</w:t>
            </w:r>
          </w:p>
        </w:tc>
        <w:tc>
          <w:tcPr>
            <w:tcW w:w="4180" w:type="dxa"/>
            <w:vAlign w:val="bottom"/>
            <w:gridSpan w:val="2"/>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13.</w:t>
            </w:r>
          </w:p>
        </w:tc>
        <w:tc>
          <w:tcPr>
            <w:tcW w:w="904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Certain Relationships and Related Transactions, and Director Independence</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14.</w:t>
            </w:r>
          </w:p>
        </w:tc>
        <w:tc>
          <w:tcPr>
            <w:tcW w:w="362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2"/>
                <w:szCs w:val="12"/>
                <w:color w:val="0000FF"/>
              </w:rPr>
              <w:t>Principal Accountant Fees and Services</w:t>
            </w:r>
          </w:p>
        </w:tc>
        <w:tc>
          <w:tcPr>
            <w:tcW w:w="5420" w:type="dxa"/>
            <w:vAlign w:val="bottom"/>
            <w:gridSpan w:val="5"/>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w w:val="94"/>
              </w:rPr>
              <w:t>PART IV</w:t>
            </w:r>
          </w:p>
        </w:tc>
        <w:tc>
          <w:tcPr>
            <w:tcW w:w="480" w:type="dxa"/>
            <w:vAlign w:val="bottom"/>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15.</w:t>
            </w:r>
          </w:p>
        </w:tc>
        <w:tc>
          <w:tcPr>
            <w:tcW w:w="21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2"/>
                <w:szCs w:val="12"/>
                <w:color w:val="0000FF"/>
                <w:w w:val="98"/>
              </w:rPr>
              <w:t>Exhibits and Financial Statement Schedules</w:t>
            </w:r>
          </w:p>
        </w:tc>
        <w:tc>
          <w:tcPr>
            <w:tcW w:w="6940" w:type="dxa"/>
            <w:vAlign w:val="bottom"/>
            <w:gridSpan w:val="10"/>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16.</w:t>
            </w:r>
          </w:p>
        </w:tc>
        <w:tc>
          <w:tcPr>
            <w:tcW w:w="904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Form 10-K Summary</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8"/>
        </w:trPr>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Borders>
              <w:top w:val="single" w:sz="8" w:color="0000FF"/>
            </w:tcBorders>
            <w:gridSpan w:val="8"/>
          </w:tcPr>
          <w:p>
            <w:pPr>
              <w:spacing w:after="0"/>
              <w:rPr>
                <w:sz w:val="24"/>
                <w:szCs w:val="24"/>
                <w:color w:val="auto"/>
              </w:rPr>
            </w:pPr>
          </w:p>
        </w:tc>
        <w:tc>
          <w:tcPr>
            <w:tcW w:w="3840" w:type="dxa"/>
            <w:vAlign w:val="bottom"/>
            <w:gridSpan w:val="13"/>
          </w:tcPr>
          <w:p>
            <w:pPr>
              <w:jc w:val="center"/>
              <w:ind w:left="3280"/>
              <w:spacing w:after="0"/>
              <w:rPr>
                <w:sz w:val="20"/>
                <w:szCs w:val="20"/>
                <w:color w:val="auto"/>
              </w:rPr>
            </w:pPr>
            <w:r>
              <w:rPr>
                <w:rFonts w:ascii="Times New Roman" w:cs="Times New Roman" w:eastAsia="Times New Roman" w:hAnsi="Times New Roman"/>
                <w:sz w:val="12"/>
                <w:szCs w:val="12"/>
                <w:color w:val="auto"/>
                <w:w w:val="99"/>
              </w:rPr>
              <w:t>2</w:t>
            </w:r>
          </w:p>
        </w:tc>
        <w:tc>
          <w:tcPr>
            <w:tcW w:w="5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36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i w:val="1"/>
          <w:iCs w:val="1"/>
          <w:color w:val="auto"/>
        </w:rPr>
        <w:t>As used in this Annual Report on Form 10-K, the “Company”, the “Registrant”, “we” or “us” refer to vTv Therapeutics Inc., and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7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1"/>
          <w:szCs w:val="11"/>
          <w:b w:val="1"/>
          <w:bCs w:val="1"/>
          <w:color w:val="auto"/>
        </w:rPr>
        <w:t>BUSINESS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 xml:space="preserve">We are a clinical stage biopharmaceutical company focused on the development of orally administered treatments for metabolic and inflammatory diseases to minimize their long-term complications and improve the lives of patients. On February 27, 2024, we closed (the “Closing”) a private placement (the “Private Placement”) of our Class A common stock and pre-funded warrants, pursuant to which we received aggregate gross proceeds of approximately $51.0 million, before deducting offering expenses payable by us. The securities purchase agreement for the Private Placement, among other things, grants the investors the right to purchase up to an additional $30.0 million of Class A common stock 18 months following the Closing. We anticipate that the financing will enable us to conduct a Phase 3 clinical trial for our lead product candidate, </w:t>
      </w:r>
      <w:r>
        <w:rPr>
          <w:rFonts w:ascii="Times New Roman" w:cs="Times New Roman" w:eastAsia="Times New Roman" w:hAnsi="Times New Roman"/>
          <w:sz w:val="12"/>
          <w:szCs w:val="12"/>
          <w:i w:val="1"/>
          <w:iCs w:val="1"/>
          <w:color w:val="auto"/>
        </w:rPr>
        <w:t>cadisegliatin (TTP399)</w:t>
      </w:r>
      <w:r>
        <w:rPr>
          <w:rFonts w:ascii="Times New Roman" w:cs="Times New Roman" w:eastAsia="Times New Roman" w:hAnsi="Times New Roman"/>
          <w:sz w:val="12"/>
          <w:szCs w:val="12"/>
          <w:color w:val="auto"/>
        </w:rPr>
        <w:t>, an orally administered, small molecule, liver-selective glucokinase activator (“GKA”) that is a potential adjunctive therapy to insulin for the treatment of type 1 diabetes.</w:t>
      </w:r>
    </w:p>
    <w:p>
      <w:pPr>
        <w:spacing w:after="0" w:line="5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1"/>
          <w:szCs w:val="11"/>
          <w:color w:val="auto"/>
        </w:rPr>
        <w:t xml:space="preserve">The U.S. Food and Drug Administration ("FDA") granted Breakthrough Therapy designation in 2021 for </w:t>
      </w:r>
      <w:r>
        <w:rPr>
          <w:rFonts w:ascii="Times New Roman" w:cs="Times New Roman" w:eastAsia="Times New Roman" w:hAnsi="Times New Roman"/>
          <w:sz w:val="11"/>
          <w:szCs w:val="11"/>
          <w:i w:val="1"/>
          <w:iCs w:val="1"/>
          <w:color w:val="auto"/>
        </w:rPr>
        <w:t>cadisegliatin</w:t>
      </w:r>
      <w:r>
        <w:rPr>
          <w:rFonts w:ascii="Times New Roman" w:cs="Times New Roman" w:eastAsia="Times New Roman" w:hAnsi="Times New Roman"/>
          <w:sz w:val="11"/>
          <w:szCs w:val="11"/>
          <w:color w:val="auto"/>
        </w:rPr>
        <w:t xml:space="preserve"> as an adjunctive therapy to insulin for the treatment of type 1 diabetes ("T1D"). The Breakthrough Therapy designation provides a sponsor with added support and the potential to expedite development and review timelines for a promising new investigational medicine. The Breakthrough Therapy designation for </w:t>
      </w:r>
      <w:r>
        <w:rPr>
          <w:rFonts w:ascii="Times New Roman" w:cs="Times New Roman" w:eastAsia="Times New Roman" w:hAnsi="Times New Roman"/>
          <w:sz w:val="11"/>
          <w:szCs w:val="11"/>
          <w:i w:val="1"/>
          <w:iCs w:val="1"/>
          <w:color w:val="auto"/>
        </w:rPr>
        <w:t>cadisegliatin</w:t>
      </w:r>
      <w:r>
        <w:rPr>
          <w:rFonts w:ascii="Times New Roman" w:cs="Times New Roman" w:eastAsia="Times New Roman" w:hAnsi="Times New Roman"/>
          <w:sz w:val="11"/>
          <w:szCs w:val="11"/>
          <w:color w:val="auto"/>
        </w:rPr>
        <w:t xml:space="preserve"> in T1D was supported by the positive results from the Phase 2 SimpliciT-1 Study, a multi-center, randomized, double-blind, adaptive study assessing the safety and efficacy of </w:t>
      </w:r>
      <w:r>
        <w:rPr>
          <w:rFonts w:ascii="Times New Roman" w:cs="Times New Roman" w:eastAsia="Times New Roman" w:hAnsi="Times New Roman"/>
          <w:sz w:val="11"/>
          <w:szCs w:val="11"/>
          <w:i w:val="1"/>
          <w:iCs w:val="1"/>
          <w:color w:val="auto"/>
        </w:rPr>
        <w:t>cadisegliatin</w:t>
      </w:r>
      <w:r>
        <w:rPr>
          <w:rFonts w:ascii="Times New Roman" w:cs="Times New Roman" w:eastAsia="Times New Roman" w:hAnsi="Times New Roman"/>
          <w:sz w:val="11"/>
          <w:szCs w:val="11"/>
          <w:color w:val="auto"/>
        </w:rPr>
        <w:t xml:space="preserve"> as an adjunct to insulin therapy in adults with T1D. In this trial, treatment with </w:t>
      </w:r>
      <w:r>
        <w:rPr>
          <w:rFonts w:ascii="Times New Roman" w:cs="Times New Roman" w:eastAsia="Times New Roman" w:hAnsi="Times New Roman"/>
          <w:sz w:val="11"/>
          <w:szCs w:val="11"/>
          <w:i w:val="1"/>
          <w:iCs w:val="1"/>
          <w:color w:val="auto"/>
        </w:rPr>
        <w:t>cadisegliatin</w:t>
      </w:r>
      <w:r>
        <w:rPr>
          <w:rFonts w:ascii="Times New Roman" w:cs="Times New Roman" w:eastAsia="Times New Roman" w:hAnsi="Times New Roman"/>
          <w:sz w:val="11"/>
          <w:szCs w:val="11"/>
          <w:color w:val="auto"/>
        </w:rPr>
        <w:t xml:space="preserve"> resulted in a statistically significant improvement in HbA1c relative to placebo and a clinically meaningful decrease (40%) in the frequency of severe and symptomatic hypoglycemia. </w:t>
      </w:r>
      <w:r>
        <w:rPr>
          <w:rFonts w:ascii="Times New Roman" w:cs="Times New Roman" w:eastAsia="Times New Roman" w:hAnsi="Times New Roman"/>
          <w:sz w:val="11"/>
          <w:szCs w:val="11"/>
          <w:i w:val="1"/>
          <w:iCs w:val="1"/>
          <w:color w:val="auto"/>
        </w:rPr>
        <w:t>Cadisegliatin</w:t>
      </w:r>
      <w:r>
        <w:rPr>
          <w:rFonts w:ascii="Times New Roman" w:cs="Times New Roman" w:eastAsia="Times New Roman" w:hAnsi="Times New Roman"/>
          <w:sz w:val="11"/>
          <w:szCs w:val="11"/>
          <w:color w:val="auto"/>
        </w:rPr>
        <w:t xml:space="preserve"> demonstrated a favorable safety profile, in which abnormal levels of serum or urine ketones were detected less frequently in patients taking </w:t>
      </w:r>
      <w:r>
        <w:rPr>
          <w:rFonts w:ascii="Times New Roman" w:cs="Times New Roman" w:eastAsia="Times New Roman" w:hAnsi="Times New Roman"/>
          <w:sz w:val="11"/>
          <w:szCs w:val="11"/>
          <w:i w:val="1"/>
          <w:iCs w:val="1"/>
          <w:color w:val="auto"/>
        </w:rPr>
        <w:t>cadisegliatin</w:t>
      </w:r>
      <w:r>
        <w:rPr>
          <w:rFonts w:ascii="Times New Roman" w:cs="Times New Roman" w:eastAsia="Times New Roman" w:hAnsi="Times New Roman"/>
          <w:sz w:val="11"/>
          <w:szCs w:val="11"/>
          <w:color w:val="auto"/>
        </w:rPr>
        <w:t xml:space="preserve"> than those taking placebo. Moreover, a Phase 1 mechanistic study of </w:t>
      </w:r>
      <w:r>
        <w:rPr>
          <w:rFonts w:ascii="Times New Roman" w:cs="Times New Roman" w:eastAsia="Times New Roman" w:hAnsi="Times New Roman"/>
          <w:sz w:val="11"/>
          <w:szCs w:val="11"/>
          <w:i w:val="1"/>
          <w:iCs w:val="1"/>
          <w:color w:val="auto"/>
        </w:rPr>
        <w:t>cadisegliatin</w:t>
      </w:r>
      <w:r>
        <w:rPr>
          <w:rFonts w:ascii="Times New Roman" w:cs="Times New Roman" w:eastAsia="Times New Roman" w:hAnsi="Times New Roman"/>
          <w:sz w:val="11"/>
          <w:szCs w:val="11"/>
          <w:color w:val="auto"/>
        </w:rPr>
        <w:t xml:space="preserve"> in patients with T1D conducted to determine the impact of </w:t>
      </w:r>
      <w:r>
        <w:rPr>
          <w:rFonts w:ascii="Times New Roman" w:cs="Times New Roman" w:eastAsia="Times New Roman" w:hAnsi="Times New Roman"/>
          <w:sz w:val="11"/>
          <w:szCs w:val="11"/>
          <w:i w:val="1"/>
          <w:iCs w:val="1"/>
          <w:color w:val="auto"/>
        </w:rPr>
        <w:t>cadisegliatin</w:t>
      </w:r>
      <w:r>
        <w:rPr>
          <w:rFonts w:ascii="Times New Roman" w:cs="Times New Roman" w:eastAsia="Times New Roman" w:hAnsi="Times New Roman"/>
          <w:sz w:val="11"/>
          <w:szCs w:val="11"/>
          <w:color w:val="auto"/>
        </w:rPr>
        <w:t xml:space="preserve"> on ketone body formation showed no increased risk of ketoacidosis with </w:t>
      </w:r>
      <w:r>
        <w:rPr>
          <w:rFonts w:ascii="Times New Roman" w:cs="Times New Roman" w:eastAsia="Times New Roman" w:hAnsi="Times New Roman"/>
          <w:sz w:val="11"/>
          <w:szCs w:val="11"/>
          <w:i w:val="1"/>
          <w:iCs w:val="1"/>
          <w:color w:val="auto"/>
        </w:rPr>
        <w:t>cadisegliatin</w:t>
      </w:r>
      <w:r>
        <w:rPr>
          <w:rFonts w:ascii="Times New Roman" w:cs="Times New Roman" w:eastAsia="Times New Roman" w:hAnsi="Times New Roman"/>
          <w:sz w:val="11"/>
          <w:szCs w:val="11"/>
          <w:color w:val="auto"/>
        </w:rPr>
        <w:t xml:space="preserve"> during acute insulin withdrawal in patients with T1D. We have also completed a Phase 1 study in healthy male subjects to investigate the absorption, metabolism, and excretion of [</w:t>
      </w:r>
      <w:r>
        <w:rPr>
          <w:rFonts w:ascii="Times New Roman" w:cs="Times New Roman" w:eastAsia="Times New Roman" w:hAnsi="Times New Roman"/>
          <w:sz w:val="14"/>
          <w:szCs w:val="14"/>
          <w:color w:val="auto"/>
          <w:vertAlign w:val="superscript"/>
        </w:rPr>
        <w:t>14</w:t>
      </w:r>
      <w:r>
        <w:rPr>
          <w:rFonts w:ascii="Times New Roman" w:cs="Times New Roman" w:eastAsia="Times New Roman" w:hAnsi="Times New Roman"/>
          <w:sz w:val="11"/>
          <w:szCs w:val="11"/>
          <w:color w:val="auto"/>
        </w:rPr>
        <w:t>C]-</w:t>
      </w:r>
      <w:r>
        <w:rPr>
          <w:rFonts w:ascii="Times New Roman" w:cs="Times New Roman" w:eastAsia="Times New Roman" w:hAnsi="Times New Roman"/>
          <w:sz w:val="11"/>
          <w:szCs w:val="11"/>
          <w:i w:val="1"/>
          <w:iCs w:val="1"/>
          <w:color w:val="auto"/>
        </w:rPr>
        <w:t>cadisegliatin</w:t>
      </w:r>
      <w:r>
        <w:rPr>
          <w:rFonts w:ascii="Times New Roman" w:cs="Times New Roman" w:eastAsia="Times New Roman" w:hAnsi="Times New Roman"/>
          <w:sz w:val="11"/>
          <w:szCs w:val="11"/>
          <w:color w:val="auto"/>
        </w:rPr>
        <w:t xml:space="preserve"> following single dose oral administration. Ten participants have been dosed and analysis is ongoing.</w:t>
      </w:r>
    </w:p>
    <w:p>
      <w:pPr>
        <w:spacing w:after="0" w:line="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 xml:space="preserve">In May of 2023, the FDA issued new draft guidance on "Diabetes Mellitus: Efficacy Endpoints for Clinical Trials Investigating Antidiabetic Drugs and Biological Products" which, for the first time, permitted the use of hypoglycemia as an endpoint to support a label claim. Consistent with this guidance and with input from the FDA, we have initiated a Phase 3 double-blind, controlled trial to assess the effect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on reducing the frequency of Level 2 hypoglycemia (blood glucose levels are less than 54 mg/dL or 3 mmol/L, regardless of symptoms) and Level 3 hypoglycemia ("severe" hypoglycemia e.g., requiring assistance of another person) in 150 patients with T1D. Participants in the trial will be randomized to two doses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or placebo. Reduction in glycated hemoglobin (HbA1c), a traditional efficacy endpoint in diabetes trials, is a key secondary endpoint to assess the potential of </w:t>
      </w:r>
      <w:r>
        <w:rPr>
          <w:rFonts w:ascii="Times New Roman" w:cs="Times New Roman" w:eastAsia="Times New Roman" w:hAnsi="Times New Roman"/>
          <w:sz w:val="12"/>
          <w:szCs w:val="12"/>
          <w:i w:val="1"/>
          <w:iCs w:val="1"/>
          <w:color w:val="auto"/>
        </w:rPr>
        <w:t xml:space="preserve">cadisegliatin </w:t>
      </w:r>
      <w:r>
        <w:rPr>
          <w:rFonts w:ascii="Times New Roman" w:cs="Times New Roman" w:eastAsia="Times New Roman" w:hAnsi="Times New Roman"/>
          <w:sz w:val="12"/>
          <w:szCs w:val="12"/>
          <w:color w:val="auto"/>
        </w:rPr>
        <w:t>to reduce hyperglycemia, Following the initial assessment of efficacy after six months of treatment, participants will remain on trial for another six months to assess the durability of potential beneficial effects and safety.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study protocol was submitted to the FDA on February 29, 2024. The trial will be conducted in the U.S. only and is expected to complete enrollment by the fourth quarter in 2024 providing top line 1-year data by the first quarter in 2026.</w:t>
      </w:r>
    </w:p>
    <w:p>
      <w:pPr>
        <w:spacing w:after="0" w:line="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 xml:space="preserve">Concurrently, we will be working on the design for two international registrational studies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T1D, which we expect to start in 2026.</w:t>
      </w:r>
    </w:p>
    <w:p>
      <w:pPr>
        <w:spacing w:after="0" w:line="80"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In addition, we continue to work with our partner, G42 Investments AI Holding RSC Ltd. (“G42 Investments”), to initiate a double-blind, randomized, controlled Phase 2 trial in the Middle East region in 450 insulin-using patients with type 2 diabetes ("T2D"). We expect that trial to begin in 2024.</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 xml:space="preserve">In addition to our clinical development program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we continue to further the research and development of our other pipeline candidates through collaborations with academic partners and license agreements.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Pipeline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following table summarizes our current drug candidates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3840480" cy="2154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40480" cy="2154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Strategy</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 xml:space="preserve">Our goal is to advance the development of our differentiated pipeline of orally administered, small molecule drug candidates to treat metabolic and inflammatory diseases to minimize their long-term complications and to improve the lives of patients. In December 2021, the Company announced a strategic decision to prioritize the development of its lead program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 novel, oral, liver-selective glucokinase activator. The recent successful closing of the Private Placement will allow us to further advance our lead program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TTP399</w:t>
      </w:r>
      <w:r>
        <w:rPr>
          <w:rFonts w:ascii="Times New Roman" w:cs="Times New Roman" w:eastAsia="Times New Roman" w:hAnsi="Times New Roman"/>
          <w:sz w:val="12"/>
          <w:szCs w:val="12"/>
          <w:color w:val="auto"/>
        </w:rPr>
        <w:t>). We are also actively seeking licensing deals for our other assets. As key components of our strategy, we are focused on:</w:t>
      </w:r>
    </w:p>
    <w:p>
      <w:pPr>
        <w:spacing w:after="0" w:line="43" w:lineRule="exact"/>
        <w:rPr>
          <w:sz w:val="20"/>
          <w:szCs w:val="20"/>
          <w:color w:val="auto"/>
        </w:rPr>
      </w:pPr>
    </w:p>
    <w:p>
      <w:pPr>
        <w:jc w:val="both"/>
        <w:ind w:left="640" w:hanging="324"/>
        <w:spacing w:after="0" w:line="255" w:lineRule="auto"/>
        <w:tabs>
          <w:tab w:leader="none" w:pos="63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Continuing to advance cadisegliatin (TTP399) as a potential treatment for type 1 diabetes</w:t>
      </w:r>
      <w:r>
        <w:rPr>
          <w:rFonts w:ascii="Times New Roman" w:cs="Times New Roman" w:eastAsia="Times New Roman" w:hAnsi="Times New Roman"/>
          <w:sz w:val="12"/>
          <w:szCs w:val="12"/>
          <w:color w:val="auto"/>
        </w:rPr>
        <w:t>. The FDA granted Breakthrough Therapy designation for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as an adjunctive therapy to insulin for the treatment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 xml:space="preserve">type 1 diabetes ("T1D") in 2021 which was supported by the positive results from the Phase 2 SimpliciT-1 Study, a multi-center, randomized, double-blind, adaptive study assessing the safety and efficacy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an adjunct to insulin therapy in adults with T1D. Consistent with the May 2023 FDA guidance on efficacy endpoints in clinical trials investigating antidiabetic drugs, and with input from the FDA, we now have initiated a Phase 3 double-blind, controlled trial to assess the effect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on reducing the frequency of Level 2 hypoglycemia (blood glucose levels are less than 54 mg/dL or 3 mmol/L, regardless of symptoms) and Level 3 hypoglycemia ("severe" hypoglycemia e.g., requiring assistance of another person) in 150 patients with T1D. Participants in the trial will be randomized to two doses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or placebo. Reduction in glycated hemoglobin (HbA1c), a traditional efficacy endpoint in diabetes trials, is a key secondary endpoint to assess the potential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reducing hyperglycemia. Following the initial assessment of efficacy after six months of treatment, participants will remain on trial for another six months to assess durability of potential beneficial effects and safety. The study protocol was submitted to the FDA on February 29, 2024. The trial will be conducted in the U.S. only and is expected to complete enrollment by the fourth quarter in 2024 providing top line 1-year data by the first quarter in 2026.</w:t>
      </w:r>
    </w:p>
    <w:p>
      <w:pPr>
        <w:spacing w:after="0" w:line="53"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Concurrently, we will be working on the design for two international registrational studies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T1D, which we expect to start in 2026.</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640" w:hanging="201"/>
        <w:spacing w:after="0" w:line="279" w:lineRule="auto"/>
        <w:rPr>
          <w:sz w:val="20"/>
          <w:szCs w:val="20"/>
          <w:color w:val="auto"/>
        </w:rPr>
      </w:pPr>
      <w:r>
        <w:rPr>
          <w:rFonts w:ascii="Times New Roman" w:cs="Times New Roman" w:eastAsia="Times New Roman" w:hAnsi="Times New Roman"/>
          <w:sz w:val="12"/>
          <w:szCs w:val="12"/>
          <w:color w:val="auto"/>
        </w:rPr>
        <w:t>In addition, we continue to work with our partner, G42 Investments, to initiate a double-blind randomized controlled Phase 2 trial in the Middle East region in 450 insulin-using patients with type 2 diabetes ("T2D"). We expect that trial to begin in 2024.</w:t>
      </w:r>
    </w:p>
    <w:p>
      <w:pPr>
        <w:spacing w:after="0" w:line="35" w:lineRule="exact"/>
        <w:rPr>
          <w:sz w:val="20"/>
          <w:szCs w:val="20"/>
          <w:color w:val="auto"/>
        </w:rPr>
      </w:pPr>
    </w:p>
    <w:p>
      <w:pPr>
        <w:jc w:val="both"/>
        <w:ind w:left="640" w:hanging="324"/>
        <w:spacing w:after="0" w:line="268" w:lineRule="auto"/>
        <w:tabs>
          <w:tab w:leader="none" w:pos="63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Seeking additional strategic collaborations and additional funding to support the continued development and commercialization of our development programs</w:t>
      </w:r>
      <w:r>
        <w:rPr>
          <w:rFonts w:ascii="Times New Roman" w:cs="Times New Roman" w:eastAsia="Times New Roman" w:hAnsi="Times New Roman"/>
          <w:sz w:val="12"/>
          <w:szCs w:val="12"/>
          <w:color w:val="auto"/>
        </w:rPr>
        <w:t>. We will continue to seek additional funding to support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 xml:space="preserve">further development of our drug candidates. Such support may come from strategic collaborations with non-profit research funding organizations, such as JDRF International, or from collaboration agreements with other pharmaceutical companies. We are currently in active discussions with respect to financing, partnering and licensing transactions for the further development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Our Type 1 Diabetes Program – </w:t>
      </w:r>
      <w:r>
        <w:rPr>
          <w:rFonts w:ascii="Times New Roman" w:cs="Times New Roman" w:eastAsia="Times New Roman" w:hAnsi="Times New Roman"/>
          <w:sz w:val="12"/>
          <w:szCs w:val="12"/>
          <w:b w:val="1"/>
          <w:bCs w:val="1"/>
          <w:i w:val="1"/>
          <w:iCs w:val="1"/>
          <w:color w:val="auto"/>
        </w:rPr>
        <w:t>Cadisegliatin (TTP399)</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Diabetes Overview</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Type 1 diabetes is an autoimmune disease in which a person’s pancreas stops producing insulin (a hormone that enables people to get energy from food). T1D results when the body’s immune system attacks and destroys the insulin-producing cells in the pancreas called beta cells. While the causes of TID are not yet entirely understood, scientists believe that both genetic factors and environmental triggers are involved. The onset of T1D is not believed to be affected by diet or lifestyle.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Current Treatments for T1D and Their Limitations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Patients with T1D have difficulty achieving and maintaining consistent glycemic control, defined as HbA1c &lt; 7% as recommended by the American Diabetes Association ("ADA"). In order to maintain appropriate glycemic control, patients with T1D are required to constantly monitor their blood glucose levels, closely manage their diet, and administer insulin via injection in response. While technology has advanced to help people with T1D manage the burden of this monitoring and insulin administration process, including continuous glucose monitors and insulin pumps, patient outcomes have not improved: approximately 80% of people with T1D fail to achieve the ADA’s recommended HbA1c levels. Failure to maintain glycemic control results in dangerous excursions into hyperglycemia or hypoglycemia that are potentially fatal. In addition, the accumulated impact of these glycemic excursions can raise a patient’s risk of potentially serious and life-threatening long-term complications, such as cardiovascular disease, blindness, kidney failure, and nerve damage.</w:t>
      </w:r>
    </w:p>
    <w:p>
      <w:pPr>
        <w:spacing w:after="0" w:line="53"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Several existing treatment options for T2D have been investigated to treat T1D, generally without success. While SGLT-1/2 and SGLT-2 inhibitors were initially approved in Europe and Japan with label restrictions to certain sub-groups of people with T1D, and continue to be approved for patients with T2D, these therapies have since been withdrawn from the European market and never received regulatory approval in the U.S. for T1D due to safety risks primarily relating to the risk of diabetic ketoacidosis (“DKA”). Pramlintide (Symlin), an amylin peptide analog approved for meal time injections, has been approved for use in both T1D and T2D since 2005 but has not been adopted widely.</w:t>
      </w:r>
    </w:p>
    <w:p>
      <w:pPr>
        <w:spacing w:after="0" w:line="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Alternative therapeutic modalities, including monoclonal antibodies, are under clinical investigation and have demonstrated evidence of the potential to delay the onset of T1D. In 2022, the FDA approved Teplizumab (Tzield), a humanized anti-CD3 monoclonal antibody for the treatment of patients with two or more diabetes-related auto-antibodies to delay onset of full-blown disease, and Donislecel (Lantidra), an allogeneic (donor) pancreatic islet cellular therapy for the treatment of patients with T1D who are in poor glycemic control because of recurrent severe hypoglycemia. However, Teplizumab does not address the unmet need of existing patients with T1D or those that are eventually at risk to become patients with T1D following any therapeutic delay in disease onset. The use of Donislecel, on the other hand, is restricted to patients with T1D and recurrent severe hypoglycemic episodes, and requires long-term concurrent immunosuppressive therapy.</w:t>
      </w:r>
    </w:p>
    <w:p>
      <w:pPr>
        <w:spacing w:after="0" w:line="53"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Thus, there is a serious unmet medical need to provide people with T1D additional, especially oral, treatment options that can help them to reduce HbA1c and the incidence of hypoglycemia (blood glucose levels below normal) or DKA.</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Role of Glucokinase Activation in Diabetes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Glucokinase (“GK”) is a key regulator of glucose homeostasis and acts as the physiological glucose sensor, changing its conformation, activity, and/or intracellular location in parallel with changes in glucose concentrations. GK has two distinctive characteristics that make it a good choice for blood glucose control. First, its expression is mostly limited to tissues that require glucose-sensing (mainly liver cells and pancreatic β-cells). Second, GK acts as a biological sensor for changes in serum glucose levels and modulates changes in the liver's uptake or release of glucose and changes in insulin secretion by the β-cells. GK activation is attractive as a potential therapy for the treatment of T1D because it may improve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40"/>
        <w:spacing w:after="0" w:line="373" w:lineRule="auto"/>
        <w:rPr>
          <w:sz w:val="20"/>
          <w:szCs w:val="20"/>
          <w:color w:val="auto"/>
        </w:rPr>
      </w:pPr>
      <w:r>
        <w:rPr>
          <w:rFonts w:ascii="Times New Roman" w:cs="Times New Roman" w:eastAsia="Times New Roman" w:hAnsi="Times New Roman"/>
          <w:sz w:val="12"/>
          <w:szCs w:val="12"/>
          <w:color w:val="auto"/>
        </w:rPr>
        <w:t xml:space="preserve">overall glucose control and specifically reduce the frequency and severity of low blood glucose (hypoglycemic) episodes through a mechanism of action that is entirely distinct from currently marketed oral anti-diabetic drugs (“OAD”). </w:t>
      </w:r>
      <w:r>
        <w:rPr>
          <w:rFonts w:ascii="Times New Roman" w:cs="Times New Roman" w:eastAsia="Times New Roman" w:hAnsi="Times New Roman"/>
          <w:sz w:val="12"/>
          <w:szCs w:val="12"/>
          <w:b w:val="1"/>
          <w:bCs w:val="1"/>
          <w:i w:val="1"/>
          <w:iCs w:val="1"/>
          <w:color w:val="auto"/>
        </w:rPr>
        <w:t>Cadisegliatin (TTP399)</w:t>
      </w:r>
    </w:p>
    <w:p>
      <w:pPr>
        <w:spacing w:after="0" w:line="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Cadisegliatin </w:t>
      </w:r>
      <w:r>
        <w:rPr>
          <w:rFonts w:ascii="Times New Roman" w:cs="Times New Roman" w:eastAsia="Times New Roman" w:hAnsi="Times New Roman"/>
          <w:sz w:val="12"/>
          <w:szCs w:val="12"/>
          <w:color w:val="auto"/>
        </w:rPr>
        <w:t>is an orally administered, small molecule, liver-selective GKA in development as an adjunctive therapy to insulin for the treatment of TID. C</w:t>
      </w:r>
      <w:r>
        <w:rPr>
          <w:rFonts w:ascii="Times New Roman" w:cs="Times New Roman" w:eastAsia="Times New Roman" w:hAnsi="Times New Roman"/>
          <w:sz w:val="12"/>
          <w:szCs w:val="12"/>
          <w:i w:val="1"/>
          <w:iCs w:val="1"/>
          <w:color w:val="auto"/>
        </w:rPr>
        <w:t xml:space="preserve">adisegliatin </w:t>
      </w:r>
      <w:r>
        <w:rPr>
          <w:rFonts w:ascii="Times New Roman" w:cs="Times New Roman" w:eastAsia="Times New Roman" w:hAnsi="Times New Roman"/>
          <w:sz w:val="12"/>
          <w:szCs w:val="12"/>
          <w:color w:val="auto"/>
        </w:rPr>
        <w:t>has a novel mechanism of action: liver-selective activation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of GK that seeks to provide improved glycemic control and a reduction in the risk of hypoglycemia. Our trials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to date also suggest that our liver-selective approach to GK activation has the potential to avoid the tolerability issues associated with other GKAs, such as stimulation of insulin secretion independent of ambient blood glucose causing hypoglycemia, increased lipids, and liver toxicity. Based on data from Phase 1 and 2 trials to date, we believe that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if approved, has the potential to be a first-in-class OAD due to its liver-selectivity and novel mechanism of action. We have completed ten Phase 1 and three Phase 2 clinical trials of </w:t>
      </w:r>
      <w:r>
        <w:rPr>
          <w:rFonts w:ascii="Times New Roman" w:cs="Times New Roman" w:eastAsia="Times New Roman" w:hAnsi="Times New Roman"/>
          <w:sz w:val="12"/>
          <w:szCs w:val="12"/>
          <w:i w:val="1"/>
          <w:iCs w:val="1"/>
          <w:color w:val="auto"/>
        </w:rPr>
        <w:t>cadisegliatin in patients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with type 1 and type 2 diabetes</w:t>
      </w:r>
      <w:r>
        <w:rPr>
          <w:rFonts w:ascii="Times New Roman" w:cs="Times New Roman" w:eastAsia="Times New Roman" w:hAnsi="Times New Roman"/>
          <w:sz w:val="12"/>
          <w:szCs w:val="12"/>
          <w:color w:val="auto"/>
        </w:rPr>
        <w:t>, one of which was six months in duration. In these trials,</w:t>
      </w:r>
      <w:r>
        <w:rPr>
          <w:rFonts w:ascii="Times New Roman" w:cs="Times New Roman" w:eastAsia="Times New Roman" w:hAnsi="Times New Roman"/>
          <w:sz w:val="12"/>
          <w:szCs w:val="12"/>
          <w:i w:val="1"/>
          <w:iCs w:val="1"/>
          <w:color w:val="auto"/>
        </w:rPr>
        <w:t xml:space="preserve"> cadisegliatin </w:t>
      </w:r>
      <w:r>
        <w:rPr>
          <w:rFonts w:ascii="Times New Roman" w:cs="Times New Roman" w:eastAsia="Times New Roman" w:hAnsi="Times New Roman"/>
          <w:sz w:val="12"/>
          <w:szCs w:val="12"/>
          <w:color w:val="auto"/>
        </w:rPr>
        <w:t>was well tolerated with negligible incidence of hypoglycemia in the T2D studies and a significant reduction of hypoglycemia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observed in the Phase 2 study in TID.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Positive Phase 2 Simplici-T1 Study</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In February 2020, we announced positive results from the Simplici-T1 Study, an adaptive Phase 2 clinical trial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assessing the pharmacokinetics, pharmacodynamics, safety, and tolerability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adult patients with TID over a 12-week period. The Simplici-T1 Study achieved its primary objective by demonstrating statistically significant improvements in HbA1c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compared to placebo. Moreover, a clinically meaningful decrease (40%) in the frequency of severe and symptomatic hypoglycemia was observed in patients taking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when compared to those taking placebo.</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Mechanistic study</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 xml:space="preserve">In October 2021, we announced positive results from the mechanistic study indicating no increased risk of ketoacidosis with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during acute insulin withdrawal in patients with T1D.</w:t>
      </w:r>
    </w:p>
    <w:p>
      <w:pPr>
        <w:spacing w:after="0" w:line="78"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12"/>
          <w:szCs w:val="12"/>
          <w:color w:val="auto"/>
        </w:rPr>
        <w:t xml:space="preserve">Consistent with previous clinical studies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the drug was well tolerated with fewer subjects reporting treatment-emergent adverse events in the group taking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than in the placebo group. Importantly, patients taking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reported no events of hypoglycemia, while four events of hypoglycemia were reported in the placebo group.</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ADME study</w:t>
      </w:r>
    </w:p>
    <w:p>
      <w:pPr>
        <w:spacing w:after="0" w:line="78"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2"/>
          <w:szCs w:val="12"/>
          <w:color w:val="auto"/>
        </w:rPr>
        <w:t>In August 2023, we completed an Open-Label Phase 1 Study in Healthy Male Subjects to Investigate the Absorption, Metabolism, and Excretion of [</w:t>
      </w:r>
      <w:r>
        <w:rPr>
          <w:rFonts w:ascii="Times New Roman" w:cs="Times New Roman" w:eastAsia="Times New Roman" w:hAnsi="Times New Roman"/>
          <w:sz w:val="15"/>
          <w:szCs w:val="15"/>
          <w:color w:val="auto"/>
          <w:vertAlign w:val="superscript"/>
        </w:rPr>
        <w:t>14</w:t>
      </w:r>
      <w:r>
        <w:rPr>
          <w:rFonts w:ascii="Times New Roman" w:cs="Times New Roman" w:eastAsia="Times New Roman" w:hAnsi="Times New Roman"/>
          <w:sz w:val="12"/>
          <w:szCs w:val="12"/>
          <w:color w:val="auto"/>
        </w:rPr>
        <w:t>C]-</w:t>
      </w:r>
      <w:r>
        <w:rPr>
          <w:rFonts w:ascii="Times New Roman" w:cs="Times New Roman" w:eastAsia="Times New Roman" w:hAnsi="Times New Roman"/>
          <w:sz w:val="12"/>
          <w:szCs w:val="12"/>
          <w:i w:val="1"/>
          <w:iCs w:val="1"/>
          <w:color w:val="auto"/>
        </w:rPr>
        <w:t>cadisegliatin (TTP399)</w:t>
      </w:r>
      <w:r>
        <w:rPr>
          <w:rFonts w:ascii="Times New Roman" w:cs="Times New Roman" w:eastAsia="Times New Roman" w:hAnsi="Times New Roman"/>
          <w:sz w:val="12"/>
          <w:szCs w:val="12"/>
          <w:color w:val="auto"/>
        </w:rPr>
        <w:t xml:space="preserve"> Following Single Dose Oral Administration. Ten participants have been dosed, and analysis is ongoing.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Clinical Development Plan</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Based upon the positive results of our Phase 2 Simplici-T1 Study, we requested breakthrough treatment designation (BTD) with the FDA which was granted in April 2021.</w:t>
      </w:r>
    </w:p>
    <w:p>
      <w:pPr>
        <w:spacing w:after="0" w:line="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 xml:space="preserve">Consistent with the new 2023 FDA guidance on efficacy endpoints for anti-diabetic drugs, the Company is planning one supportive small and two larger pivotal, placebo-controlled Phase 3 clinical trials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patients with T1D and is engaged with the FDA on the optimal clinical trial designs for these studies. The FDA confirmed that the effect size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on events of hypoglycemia as demonstrated in the Phase 2 SimpliciT-1 Study are clinically meaningful and that a reduction in events of hypoglycemia would be an acceptable clinical endpoint for evaluation of an adjunctive therapy for the treatment of T1D. We now have initiated a Phase 3 double-blind, controlled trial to assess the effect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on reducing the frequency of Level 2 hypoglycemia (blood glucose levels are less than 54 mg/dL or 3 mmol/L, regardless of symptoms of hypoglycemia) and Level 3 hypoglycemia ("severe" hypoglycemia e.g., requiring assistance of another person) in 150 patients with T1D. Participants in the trial will be randomized to two doses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or placebo. Reduction in glycated hemoglobin (HbA1c), a traditional efficacy endpoint in diabetes trials, is a key secondary endpoint to assess the potential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reducing hyperglycemia. Following the initial assessment of efficacy after six months of treatment, participants will remain on trial for another six months to assess durability of potential beneficial effects and safety. The study protocol was submitted to the FDA on February 29, 2024. The trial will be conducted in the U.S. only and is expected to complete enrollment by the fourth quarter in 2024 providing top line 1-year data by the first quarter in 2026.</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 xml:space="preserve">Concurrently, we will be working on the design for two international registrational studies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T1D, which we expect to start in 2026.</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In addition, we continue to work with our partner, G42 Investments, to initiate a double-blind, randomized, controlled Phase 2 trial in the Middle East region in 450 insulin-using patients with T2D. We expect that trial to begin 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2024.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Preclinical Development Plan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Long-term toxicology studies, development and reproductive toxicology studies, have been completed. Carcinogenicity studies are ongoing and expected to be completed by the second quarter of 2024.</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Collaboration Agreements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G42 Transaction</w:t>
      </w:r>
    </w:p>
    <w:p>
      <w:pPr>
        <w:spacing w:after="0" w:line="8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and G42 Investments, entered into a Common Stock Purchase Agreement (the “G42 Purchase Agreement”) on May 31, 2022, pursuant to which the Company sold to G42 Investments 259,657 shares of the Company’s Class A common stock at a price per share of approximately $96.40, for an aggregate purchase price of $25.0 million, which was paid (i) $12.5 million in cash at the closing and (ii) $12.5 million in the form of a promissory note.</w:t>
      </w:r>
    </w:p>
    <w:p>
      <w:pPr>
        <w:spacing w:after="0" w:line="4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G42 Investments has agreed to certain transfer restrictions (including restrictions on short sales or similar transactions) and restrictions on further acquisitions of shares, in each case subject to specified exceptions. Following the expiration of a lock up period, from the period May 31, 2022 until December 31, 2024, or if earlier, the date of receipt of FDA approval in the United States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(the “FDA Approval”), the Company has granted to G42 Investments certain shelf and piggyback registration rights with respect to those shares of Class A common stock issued to G42 Investments pursuant to the G42 Purchase Agreement, including the ability to conduct an underwritten offering to resell such shares under certain circumstances. The registration rights include customary cooperation, cut-back, expense reimbursement, and indemnification provisions.</w:t>
      </w:r>
    </w:p>
    <w:p>
      <w:pPr>
        <w:spacing w:after="0" w:line="5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Contemporaneously with the G42 Purchase Agreement, effective on May 31, 2022, the Company entered into a collaboration and license agreement (the “Cogna Agreement”) with Cogna Technology Solutions LLC, an affiliate of G42 Investments (“Cogna”), which requires Cogna to work with the Company in performing clinical trials for the Company’s compound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(the “Licensed Product”) as well as jointly creating a global development plan to develop, market, and commercialize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certain countries in the Middle East, Africa, and Central Asia (the “Partner Territory”). Under the terms of the Cogna Agreement, Cogna will obtain a license under certain intellectual property controlled by the Company to enable it to fulfill its obligations and exercise its rights under the Cogna Agreement, including to develop and commercialize the Licensed Product in the Partner Territory, but will not have access to the various intellectual property related to the license and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Specifically, the Company will share various protocols with Cogna related to conducting the clinical trials and will provide the patient dosages and placebo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needed to conduct the trials.</w:t>
      </w:r>
    </w:p>
    <w:p>
      <w:pPr>
        <w:spacing w:after="0" w:line="53"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Under the Cogna Agreement, Cogna has the right to develop and commercialize the Licensed Product in the Partner Territory at its own cost once restrictions on the use of the IP have been lifted by the Company. The Cogna Agreement determined which specific countries in the Partner Territory that Cogna may pursue development and commercialization and provides the Company with the ability to determine when Cogna can benefit from this IP through the powers granted to the Company to approve the global development plan. Further, the Company may supply at cost, or Cogna may manufacture,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for commercial sale under terms to be agreed upon by the parties at a later date.</w:t>
      </w:r>
    </w:p>
    <w:p>
      <w:pPr>
        <w:spacing w:after="0" w:line="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color w:val="auto"/>
        </w:rPr>
        <w:t xml:space="preserve">Separately, the Company will conduct its clinical trials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outside of the Partner Territory, at its own cost. The results of each party’s clinical trials will be combined by the Company to seek FDA approval in the United States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On December 21, 2022, G42 Healthcare Technology Solutions LLC (formerly known as Cogna Technology Solutions LLC) novated its rights and obligations under the Cogna Agreement to G42 Healthcare Research Technology Projects LLC ("G42 Healthcare"), an affiliate of G42 Investments. As a result of the novation, all references to Cogna herein shall be deemed to refer to G42 Healthcare.</w:t>
      </w:r>
    </w:p>
    <w:p>
      <w:pPr>
        <w:spacing w:after="0" w:line="4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G42 Purchase Agreement also provides for, following the receipt of the FDA Approval of the Licensed Product, at the option of G42 Investments, either (a) the issuance of the Company’s Class A common stock (the “Milestone Shares”) having an aggregate value equal to $30.0 million or (b) the payment by the Company of $30.0 million in cash (the “Milestone Cash Payment”). The issuance of the Milestone Shares or the payment of the Milestone Cash Payment, as applicable, are conditioned upon receipt of the FDA Approval and subject to certain limitations and conditions set forth in the G42 Purchase Agreement. There can be no assurance that the FDA Approval will be granted or as to the timing thereof.</w:t>
      </w:r>
    </w:p>
    <w:p>
      <w:pPr>
        <w:spacing w:after="0" w:line="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Once commercialization takes place in the Partner Territory, the Company will receive royalties in the single digits from Cogna on the net sales of the Licensed Product for a period of at least ten years after the first commercial sale of the Licensed Product in the Partner Territory.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On February 27, 2024, the Company and G42 Investments further amended the G42 Purchase Agreement in connection with the Private Placement.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CinPax and CinRx Transaction</w:t>
      </w:r>
    </w:p>
    <w:p>
      <w:pPr>
        <w:spacing w:after="0" w:line="8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On July 22, 2022, the Company entered into a Common Stock and Warrant Purchase Agreement (as amended, the "CinRx Purchase Agreement") with CinPax, LLC (“CinPax”), a subsidiary of CinRx Pharma, LLC (“CinRx”), pursuant to which the Company sold to CinPax 103,864 shares of the Company’s Class A common stock at a price per share of approximately $96.40, for an aggregate purchase price of $10.0 million, which was paid (i) $6.0 million in cash at the closing of the transaction and (ii) $4.0 million in the form of a non-interest-bearing promissory note with CinPax and was paid to the Company on November 22, 2022. The Company, CinPax and CinRx subsequently amended the CinRx Purchase Agreement on February 27, 2024, in connection with the Private Placement. The CinRx Purchase Agreement provides CinPax the right for two years following the Closing to designate a board observer, which has been subsequently approved by the Company’s board.</w:t>
      </w:r>
    </w:p>
    <w:p>
      <w:pPr>
        <w:spacing w:after="0" w:line="53"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The CinRx Purchase Agreement also provides CinRx warrants to purchase up to 30,000 shares of Class A common stock at an initial exercise of price of approximately $28.80 per share (the “CinRx Warrants”). The CinRx Warrants will become exercisable by CinRx only if (i) the Company receives FDA approval to market and distribute the pharmaceutical product containing the Company’s proprietary candidate,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or (ii) the Company is acquired by a third party, sells all or substantially all of its assets related to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to a third party or grants a third party an exclusive license to develop, commercialize and manufacture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the United States. If neither of these events happen within five years of the date of the issuance of the CinRx Warrants, the CinRx Warrants will expire and will not be exercisable by CinRx. The exercise price of the CinRx Warrants and the number of shares issuable upon exercise of the CinRx Warrants are subject to adjustments in accordance with the terms of the CinRx Warrants.</w:t>
      </w:r>
    </w:p>
    <w:p>
      <w:pPr>
        <w:spacing w:after="0" w:line="53"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Additionally, in conjunction with the CinRx Purchase Agreement the Company and CinRx entered into a Master Service Agreement whereby CinRx provides the Company with consulting, preclinical and clinical trial services, as enumerated in project proposals negotiated between the Company and CinRx from time to time.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Pipeline Programs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TTP273 </w:t>
      </w:r>
      <w:r>
        <w:rPr>
          <w:rFonts w:ascii="Times New Roman" w:cs="Times New Roman" w:eastAsia="Times New Roman" w:hAnsi="Times New Roman"/>
          <w:sz w:val="12"/>
          <w:szCs w:val="12"/>
          <w:b w:val="1"/>
          <w:bCs w:val="1"/>
          <w:color w:val="auto"/>
        </w:rPr>
        <w:t>- GLP-1r Agonist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Overview</w:t>
      </w:r>
    </w:p>
    <w:p>
      <w:pPr>
        <w:spacing w:after="0" w:line="8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Glucagon-like peptide (GLP-1) is a naturally occurring hormone ligand for the GLP-1 receptor (GLP-1R) that has been associated with improved metabolism and decreased inflammation, as well as cardio and neuroprotective effects. Glucagon-like peptide 1 receptor agonists (GLP-1RA) are effective therapies in lowering glycosylated hemoglobin (HbA1c), providing cardio protective benefits and lowering weight.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is an orally available, small molecule GLP-1RA which has been demonstrated to reduce postprandial glucose excursion in response to an oral glucose test or mixed meal tolerance test in both preclinical and clinical studies. We are currently exploring options to study the therapeutic potential of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in patients with cystic fibrosis related diabetes ("CFRD").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Cystic Fibrosis Related Diabetes Overview</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Cystic fibrosis related diabetes (“CFRD”) shares some features with both type 1 and type 2 diabetes but is distinct, and is categorized as diabetes due to other causes, specifically a disease of the exocrine pancreas, by the American Diabetes Association. In people with cystic fibrosis (“CF”), the thick, sticky mucus that is characteristic of the disease causes scarring of the pancreas. This scarring prevents the pancreas from producing normal amounts of insulin. The damaged pancreas also responds to insulin signaling in a delayed manner. The delay and blunting of the insulin response in patients with CFRD results in postprandial hyperglycemia.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Role of GLP-1r Activation in Cystic Fibrosis Related Diabetes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GLP-1 is released by the gut in response to nutrients and lowers postprandial glucose by promoting insulin secretion. Abnormally low postprandial stimulation of incretin hormones like GLP-1 has been described in CF patients and improvement in postprandial hyperglycemia has been demonstrated following prandial administration of GLP-1 agonists or dipeptidyl peptidase-4. Although existing GLP-1 mimetics are available for the treatment of CFRD, their use is limited by the gastrointestinal ("GI") side effects and undesired weight loss associated with these agents.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TTP273</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TTP273 </w:t>
      </w:r>
      <w:r>
        <w:rPr>
          <w:rFonts w:ascii="Times New Roman" w:cs="Times New Roman" w:eastAsia="Times New Roman" w:hAnsi="Times New Roman"/>
          <w:sz w:val="12"/>
          <w:szCs w:val="12"/>
          <w:color w:val="auto"/>
        </w:rPr>
        <w:t>is an orally available, small molecule GLP-1RA, which has been demonstrated to reduce postprandial glucose excursion in response to an oral glucose test or mixed meal tolerance test in both preclinical and clinical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studies. Unlike some other GLP-1RAs,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exhibits biased increase of cyclic adenosine monophosphate ("cAMP") signaling but does not activate the extracellular signal-regulated kinase ("ERK")/β-arrestin pathway significantly at clinically relevant concentrations which may improve efficacy and tolerability. We believe that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could be used to treat postprandial hyperglycemia in CFRD patients and CF patients with abnormal postprandial glucose excursions without inducing hypoglycemia or GI side effects. An oral therapy such as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is needed because the current method of treatment of CFRD is injected insulin, which comes with associated risks of hypoglycemia and poses additional burdens on patients. Other available oral therapies for type 2 diabetes ("T2D") are not recommended for the treatment of CFRD due to side effects, such as hypoglycemia, weight loss, or nausea.</w:t>
      </w:r>
    </w:p>
    <w:p>
      <w:pPr>
        <w:spacing w:after="0" w:line="5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We have completed two Phase 1 clinical trials and one Phase 2 clinical trial of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Additionally, we have completed nine Phase 1 clinical trials and one Phase 2 clinical trial of </w:t>
      </w:r>
      <w:r>
        <w:rPr>
          <w:rFonts w:ascii="Times New Roman" w:cs="Times New Roman" w:eastAsia="Times New Roman" w:hAnsi="Times New Roman"/>
          <w:sz w:val="12"/>
          <w:szCs w:val="12"/>
          <w:i w:val="1"/>
          <w:iCs w:val="1"/>
          <w:color w:val="auto"/>
        </w:rPr>
        <w:t>TTP054</w:t>
      </w:r>
      <w:r>
        <w:rPr>
          <w:rFonts w:ascii="Times New Roman" w:cs="Times New Roman" w:eastAsia="Times New Roman" w:hAnsi="Times New Roman"/>
          <w:sz w:val="12"/>
          <w:szCs w:val="12"/>
          <w:color w:val="auto"/>
        </w:rPr>
        <w:t xml:space="preserve">, a predecessor orally administered GLP-1RA. In our Phase 1 and Phase 2 clinical trials,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has been demonstrated to be well-tolerated with lower incidences of GI side effects, such as nausea and vomiting, than placebo with minimal weight loss, especially in nonobese patients.</w:t>
      </w:r>
    </w:p>
    <w:p>
      <w:pPr>
        <w:spacing w:after="0" w:line="45"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12"/>
          <w:szCs w:val="12"/>
          <w:color w:val="auto"/>
        </w:rPr>
        <w:t xml:space="preserve">In a randomized, double-blind Phase 2 trial in patients with T2D treated with metformin only,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showed clinically relevant reductions of glycated hemoglobin (HbA1c) and systolic blood pressure after 3 months of treatment.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HPP3033 </w:t>
      </w:r>
      <w:r>
        <w:rPr>
          <w:rFonts w:ascii="Times New Roman" w:cs="Times New Roman" w:eastAsia="Times New Roman" w:hAnsi="Times New Roman"/>
          <w:sz w:val="12"/>
          <w:szCs w:val="12"/>
          <w:b w:val="1"/>
          <w:bCs w:val="1"/>
          <w:color w:val="auto"/>
        </w:rPr>
        <w:t>- Nrf2/Bach1 Modulator</w:t>
      </w:r>
    </w:p>
    <w:p>
      <w:pPr>
        <w:spacing w:after="0" w:line="80" w:lineRule="exact"/>
        <w:rPr>
          <w:sz w:val="20"/>
          <w:szCs w:val="20"/>
          <w:color w:val="auto"/>
        </w:rPr>
      </w:pPr>
    </w:p>
    <w:p>
      <w:pPr>
        <w:jc w:val="both"/>
        <w:ind w:right="20" w:firstLine="324"/>
        <w:spacing w:after="0" w:line="283" w:lineRule="auto"/>
        <w:rPr>
          <w:sz w:val="20"/>
          <w:szCs w:val="20"/>
          <w:color w:val="auto"/>
        </w:rPr>
      </w:pPr>
      <w:r>
        <w:rPr>
          <w:rFonts w:ascii="Times New Roman" w:cs="Times New Roman" w:eastAsia="Times New Roman" w:hAnsi="Times New Roman"/>
          <w:sz w:val="12"/>
          <w:szCs w:val="12"/>
          <w:color w:val="auto"/>
        </w:rPr>
        <w:t xml:space="preserve">Our candidate, </w:t>
      </w:r>
      <w:r>
        <w:rPr>
          <w:rFonts w:ascii="Times New Roman" w:cs="Times New Roman" w:eastAsia="Times New Roman" w:hAnsi="Times New Roman"/>
          <w:sz w:val="12"/>
          <w:szCs w:val="12"/>
          <w:i w:val="1"/>
          <w:iCs w:val="1"/>
          <w:color w:val="auto"/>
        </w:rPr>
        <w:t>HPP3033</w:t>
      </w:r>
      <w:r>
        <w:rPr>
          <w:rFonts w:ascii="Times New Roman" w:cs="Times New Roman" w:eastAsia="Times New Roman" w:hAnsi="Times New Roman"/>
          <w:sz w:val="12"/>
          <w:szCs w:val="12"/>
          <w:color w:val="auto"/>
        </w:rPr>
        <w:t>, represents a novel, non-electrophilic therapeutic approach to activating the nuclear factor erythroid 2–related factor 2 ("Nrf2") pathway that has the potential to be used in the treatment of chronic diseases associated with oxidative stress.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Role of Nrf2/Bach1 Modulators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Chronic, unresolved inflammation, oxidative stress, and resulting fibrosis are key features of many diseases. Inflammation is an integral component of the normal immune response that occurs when cells encounter harmful stimuli, such as invading pathogens, damaged cells, or irritants. During inflammation, cells activate inflammatory processes and complexes that increase the production of cytokines, which are proteins that recruit and activate immune cells.</w:t>
      </w:r>
    </w:p>
    <w:p>
      <w:pPr>
        <w:spacing w:after="0" w:line="4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Inflammation and mitochondrial metabolism are closely associated. The mitochondria are often called the “powerhouses” of the cell as they produce the energy that the cell needs to function. This energy is produced by converting fatty acids and glucose into adenosine triphosphate (ATP) by a process called oxidative phosphorylation. During inflammation, mitochondrial metabolism is temporarily reprogrammed to suppress oxidative phosphorylation. Instead of primarily making ATP, the mitochondria divert fatty acids and glucose to increase the production of proinflammatory mediators. During this reprogramming, the mitochondria release chemically reactive molecules called reactive oxygen species (ROS) that can directly attack pathogens and amplify the production of cytokines.</w:t>
      </w:r>
    </w:p>
    <w:p>
      <w:pPr>
        <w:spacing w:after="0" w:line="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a normal immune response, the resolution of inflammation begins after the harmful stimuli have been eliminated. Nrf2 is a protein that plays a key role in the resolution of inflammation by regulating the expression of specific genes involved in mitochondrial metabolism, redox balance, and cytokine production. When activated, Nrf2 promotes the resolution of inflammation by normalizing mitochondrial metabolism, restoring redox balance, and suppressing cytokine production.</w:t>
      </w:r>
    </w:p>
    <w:p>
      <w:pPr>
        <w:spacing w:after="0" w:line="47"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In many chronic and genetic diseases, Nrf2 activity is suppressed, and the resolution of inflammation fails to occur or is inadequate, leading to persistent mitochondrial dysfunction, excess production of ROS, and production of cytokines. These processes cause chronic inflammation, which can ultimately lead to tissue damage and loss of organ function.</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To date, FDA-approved Nrf2 activators, Tecfidera and Skyclarys for patients with multiple sclerosis and Friedreich's ataxia, respectively, are nonspecific alkylating agents relying on reactive, electrophilic biological targets that present safety and tolerability issues. Non-electrophilic activation of the Nrf2 pathway via targeting the transcription factor BTB and CNC homology 1 ("Bach1") transcriptional repressor provides an alternative mechanism by which to increase the activation of Nrf2 to reduce the oxidative stress and inflammation associated with many acute and chronic diseases.</w:t>
      </w:r>
    </w:p>
    <w:p>
      <w:pPr>
        <w:spacing w:after="0" w:line="47" w:lineRule="exact"/>
        <w:rPr>
          <w:sz w:val="20"/>
          <w:szCs w:val="20"/>
          <w:color w:val="auto"/>
        </w:rPr>
      </w:pPr>
    </w:p>
    <w:p>
      <w:pPr>
        <w:jc w:val="both"/>
        <w:ind w:right="20" w:firstLine="324"/>
        <w:spacing w:after="0" w:line="260" w:lineRule="auto"/>
        <w:rPr>
          <w:sz w:val="20"/>
          <w:szCs w:val="20"/>
          <w:color w:val="auto"/>
        </w:rPr>
      </w:pPr>
      <w:r>
        <w:rPr>
          <w:rFonts w:ascii="Times New Roman" w:cs="Times New Roman" w:eastAsia="Times New Roman" w:hAnsi="Times New Roman"/>
          <w:sz w:val="12"/>
          <w:szCs w:val="12"/>
          <w:color w:val="auto"/>
        </w:rPr>
        <w:t>Bach1 is a transcriptional repressor that controls the expression of certain genes involved in the body’s antioxidant response processes. Genetic knock-out models of Bach1 have shown increased expression of multiple antioxidant proteins such as heme oxygenase-1 (HMOX1), leading to a significant level of cellular, tissue and organ protection in a wide variety of mouse models. Hemin and the hemin mimetic cobalt protoporphyrin IX (“CoPP”) are Bach1 ligands that have served as useful tool compounds to investigate the role of Bach1 inhibition in a variety of disease settings. Both molecules have been shown to have beneficial effects on oxidative stress and inflammatory-mediated pathologies in several animal models.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Further, the ubiquity of the response suggests that the observed tissue protective effects are not related to the underlying causes of a particular disease, but instead are an intrinsic outcome of Bach1 modulation along with Nrf2 activation.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HPP3033</w:t>
      </w:r>
    </w:p>
    <w:p>
      <w:pPr>
        <w:spacing w:after="0" w:line="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2"/>
          <w:szCs w:val="12"/>
          <w:color w:val="auto"/>
        </w:rPr>
        <w:t xml:space="preserve">Oxidative stress plays an important role in the degeneration of dopaminergic neurons in Parkinson’s disease (PD). In a model of Parkinson's disease, oral administration of </w:t>
      </w:r>
      <w:r>
        <w:rPr>
          <w:rFonts w:ascii="Times New Roman" w:cs="Times New Roman" w:eastAsia="Times New Roman" w:hAnsi="Times New Roman"/>
          <w:sz w:val="12"/>
          <w:szCs w:val="12"/>
          <w:i w:val="1"/>
          <w:iCs w:val="1"/>
          <w:color w:val="auto"/>
        </w:rPr>
        <w:t>HPP3033</w:t>
      </w:r>
      <w:r>
        <w:rPr>
          <w:rFonts w:ascii="Times New Roman" w:cs="Times New Roman" w:eastAsia="Times New Roman" w:hAnsi="Times New Roman"/>
          <w:sz w:val="12"/>
          <w:szCs w:val="12"/>
          <w:color w:val="auto"/>
        </w:rPr>
        <w:t xml:space="preserve"> attenuated 1-methyl-4-phenyl-1,2,3,6-tetrahydropyridine ("MPTP") neurotoxicity in pre- and post-treatment paradigms. Bach1 inhibitor-induced neuroprotection was associated with the up regulation of Bach1 targeted pathways in concurrence with the results from Bach knock-out ("KO") mice. Nrf2 activators are known to exert protection in the pre-treatment paradigm, but the benefits of pharmacological Nrf2 activation are rarely observed in post-treatment models. Therefore, the results obtained with </w:t>
      </w:r>
      <w:r>
        <w:rPr>
          <w:rFonts w:ascii="Times New Roman" w:cs="Times New Roman" w:eastAsia="Times New Roman" w:hAnsi="Times New Roman"/>
          <w:sz w:val="12"/>
          <w:szCs w:val="12"/>
          <w:i w:val="1"/>
          <w:iCs w:val="1"/>
          <w:color w:val="auto"/>
        </w:rPr>
        <w:t xml:space="preserve">HPP3033 </w:t>
      </w:r>
      <w:r>
        <w:rPr>
          <w:rFonts w:ascii="Times New Roman" w:cs="Times New Roman" w:eastAsia="Times New Roman" w:hAnsi="Times New Roman"/>
          <w:sz w:val="12"/>
          <w:szCs w:val="12"/>
          <w:color w:val="auto"/>
        </w:rPr>
        <w:t>in this study hold promise for the future development of this compound.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HPP737 - PDE4 Inhibitor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Psoriasis Overview</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Psoriasis is a chronic autoimmune inflammatory disease in which the growth cycle of skin is accelerated due to an imbalance in proinflammatory and anti-inflammatory cytokines. This results in the proliferation of skin cells and the development of raised, red, silvery scale plaques (i.e., plaque psoriasis, psoriasis vulgaris) that have not only medical implications but an impact on a patient’s quality of life. While the specific inciting events for this proinflammatory process are unknown, psoriasis may be caused by autoimmunity and genetic predisposition. Events such as trauma to the skin, stress, illness, or infection that triggers the immune systems, obesity, and weather have been identified as triggers for flare ups.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Current Treatment for Psoriasis and Their Limitations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Topical therapies, including glucocorticoids and vitamin D analogs, are the mainstay of treatment for mild psoriasis. The continuous long-term use of glucocorticoids is limited by the risk of skin thinning and/or atrophy and the potential for systemic absorption. Vitamin D analogs are often added to glucocorticoids to improve glucocorticoid efficacy while allowing for reduction in glucocorticoid dose. Moderate to severe disease is treated with systemic therapies including oral phosphodiesterase-4 ("PDE4") inhibition, immunosuppressants, retinoids, and biologics (e.g., anti-tumor necrosis factor ("anti-TNF") agents, interleukin-17 ("IL-17") inhibitors, and interleukin-23 ("IL-23") inhibitors). Biologics, while realizing high efficacy rates in treating psoriasis, are associated with administration by injection, high cost, need for laboratory monitoring and increased risk of infection.</w:t>
      </w:r>
    </w:p>
    <w:p>
      <w:pPr>
        <w:spacing w:after="0" w:line="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Inhibitors of PDE4 act by increasing intracellular concentrations of cyclic adenosine monophosphate (“cAMP”), which has a broad range of anti-inflammatory effects. PDE4 activity is increased in the skin of patients with psoriasis leading to up-regulation of immune modulatory, proinflammatory genes and cytokines, including IL-17, IL-23, and tumor necrosis factor-alpha (TNF-α). Treatments for psoriasis are aimed at reducing proinflammatory cytokine activity. The therapeutic potential of oral PDE4 inhibitors has been limited by dose limiting adverse events such as nausea, vomiting, diarrhea, and headache.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HPP737</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HPP737 </w:t>
      </w:r>
      <w:r>
        <w:rPr>
          <w:rFonts w:ascii="Times New Roman" w:cs="Times New Roman" w:eastAsia="Times New Roman" w:hAnsi="Times New Roman"/>
          <w:sz w:val="12"/>
          <w:szCs w:val="12"/>
          <w:color w:val="auto"/>
        </w:rPr>
        <w:t>is an orally administered, potent and selective, non-central nervous system ("non-CNS") penetrant PDE4 inhibitor that addresses inflammatory diseases and offers the potential for an improved tolerability profile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efficacy over commercially available PDE4 inhibitors.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has shown potent inhibition of IL-17a and TNF-α production in in vitro studies and activity in several animal models of inflammation.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has completed Phase 1 single-ascending dose and initial multiple-ascending dose studies, in which it was well tolerated at all doses tested in healthy volunteers. Clinical data generated to date supports achieving target engagement (reduction in ex vivo lipopolysaccharide ("LPS") stimulated TNF-α) at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plasma concentrations predicted to be efficacious from preclinical models.</w:t>
      </w:r>
    </w:p>
    <w:p>
      <w:pPr>
        <w:spacing w:after="0" w:line="4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2"/>
          <w:szCs w:val="12"/>
          <w:color w:val="auto"/>
        </w:rPr>
        <w:t xml:space="preserve">In September 2021, we announced the results of a multiple ascending dose Phase 1 study of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to assess the pharmacokinetics, pharmacodynamics, safety and tolerability of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in healthy volunteers as part of our psoriasis development program. The trial enrolled 12 subjects in each of two dose cohorts, 15mg and 20mg, randomized to receive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or placebo (3:1) orally once daily for 14 days. Dose escalation up to 20mg once per day demonstrated dose proportional increases in exposure, while maintaining a favorable safety and tolerability profile with no dose limiting safety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 tolerability findings observed. There were no serious adverse events and no discontinuations due to treatment emergent adverse events.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Partnered Development Programs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PDE4 and Newsoara Biopharma</w:t>
      </w:r>
    </w:p>
    <w:p>
      <w:pPr>
        <w:spacing w:after="0" w:line="8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 xml:space="preserve">On May 31, 2018, we entered into a license agreement with Newsoara (the “Newsoara License Agreement”), under which Newsoara obtained an exclusive and sublicensable license to develop and commercialize our PDE4 program, including the compound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in China and other Pacific Rim territories (collectively, the “Newsoara License Territory”). Additionally, under the Newsoara License Agreement, we obtained a non-exclusive, sublicensable, royalty-free license to develop and commercialize certain Newsoara patent rights and know-how related to our PDE4 program for therapeutic uses in humans outside of the Newsoara License Territory.</w:t>
      </w:r>
    </w:p>
    <w:p>
      <w:pPr>
        <w:spacing w:after="0" w:line="4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Under the terms of the Newsoara License Agreement, as amended, Newsoara paid us an upfront cash payment of $2.0 million. We are eligible to receive additional potential development, regulatory and sales-based milestone payments totaling up to $58.5 million. In addition, Newsoara is obligated to pay us royalty payments at high-single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w:t>
      </w:r>
    </w:p>
    <w:p>
      <w:pPr>
        <w:spacing w:after="0" w:line="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Under the terms of the Newsoara License Agreement, Newsoara will be responsible for the development and commercialization of the licensed products in the Newsoara License Territory, at its cost, and is required to use commercially reasonable efforts with respect to such development and commercialization efforts.</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Newsoara License Agreement, unless terminated earlier, will continue until expiration of all royalty obligations of Newsoara to us. Either party may terminate the Newsoara License Agreement for the other party’s uncured material breach. Newsoara may terminate the Newsoara License Agreement at will upon prior written notice. Upon expiration (but not earlier termination) of the Newsoara License Agreement the licenses granted to Newsoara will survive on a royalty-free basis in perpetuity.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Azeliragon and Cantex Pharmaceuticals, Inc.</w:t>
      </w:r>
    </w:p>
    <w:p>
      <w:pPr>
        <w:spacing w:after="0" w:line="78"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12"/>
          <w:szCs w:val="12"/>
          <w:color w:val="auto"/>
        </w:rPr>
        <w:t xml:space="preserve">On June 22, 2021, vTv Therapeutics Inc. and Cantex Pharmaceuticals, Inc. (“Cantex”) entered into a licensing agreement under which Cantex obtained exclusive worldwide rights to develop and commercialize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vTv’s novel antagonist of RAGE (the receptor for advanced glycation end products).</w:t>
      </w:r>
    </w:p>
    <w:p>
      <w:pPr>
        <w:spacing w:after="0" w:line="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 xml:space="preserve">Under the terms of the agreement, Cantex will be responsible for the development and commercialization of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and the companies will allocate downstream profits under a tiered arrangement.</w:t>
      </w:r>
    </w:p>
    <w:p>
      <w:pPr>
        <w:spacing w:after="0" w:line="7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color w:val="auto"/>
        </w:rPr>
        <w:t xml:space="preserve">On January 9, 2023, Cantex announced that the FDA has granted Orphan Drug Designation to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for the treatment of glioblastoma. In addition, a Phase 2 trial of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is in progress in women receiving “neoadjuvant chemotherapy” of breast cancer, which is chemotherapy to prevent cancer from returning after initial potentially curative treatment. In February 2022, Cantex secured a global license from Harvard University to further develop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as a treatment for inflammatory lung diseases, including COVID-19.</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PPAR-δ and Reneo Pharmaceuticals, Inc.</w:t>
      </w:r>
    </w:p>
    <w:p>
      <w:pPr>
        <w:spacing w:after="0" w:line="80"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 xml:space="preserve">On December 21, 2017, we entered into a License Agreement with Reneo Pharmaceuticals, Inc. (“Reneo”) (the “Reneo License Agreement”), under which Reneo obtained an exclusive, worldwide, sublicensable license to develop and commercialize our peroxisome proliferation activated receptor delta (PPAR-δ) agonist program, including the compound </w:t>
      </w:r>
      <w:r>
        <w:rPr>
          <w:rFonts w:ascii="Times New Roman" w:cs="Times New Roman" w:eastAsia="Times New Roman" w:hAnsi="Times New Roman"/>
          <w:sz w:val="12"/>
          <w:szCs w:val="12"/>
          <w:i w:val="1"/>
          <w:iCs w:val="1"/>
          <w:color w:val="auto"/>
        </w:rPr>
        <w:t>HPP593</w:t>
      </w:r>
      <w:r>
        <w:rPr>
          <w:rFonts w:ascii="Times New Roman" w:cs="Times New Roman" w:eastAsia="Times New Roman" w:hAnsi="Times New Roman"/>
          <w:sz w:val="12"/>
          <w:szCs w:val="12"/>
          <w:color w:val="auto"/>
        </w:rPr>
        <w:t xml:space="preserve"> (REN001, </w:t>
      </w:r>
      <w:r>
        <w:rPr>
          <w:rFonts w:ascii="Times New Roman" w:cs="Times New Roman" w:eastAsia="Times New Roman" w:hAnsi="Times New Roman"/>
          <w:sz w:val="12"/>
          <w:szCs w:val="12"/>
          <w:i w:val="1"/>
          <w:iCs w:val="1"/>
          <w:color w:val="auto"/>
        </w:rPr>
        <w:t>mavodelpar</w:t>
      </w:r>
      <w:r>
        <w:rPr>
          <w:rFonts w:ascii="Times New Roman" w:cs="Times New Roman" w:eastAsia="Times New Roman" w:hAnsi="Times New Roman"/>
          <w:sz w:val="12"/>
          <w:szCs w:val="12"/>
          <w:color w:val="auto"/>
        </w:rPr>
        <w:t>), for therapeutic, prophylactic, or diagnostic application in humans.</w:t>
      </w:r>
    </w:p>
    <w:p>
      <w:pPr>
        <w:spacing w:after="0" w:line="3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Under the terms of the Reneo License Agreement, Reneo paid us an initial license fee of $3.0 million. We are eligible to receive additional potential development, regulatory and sales-based milestone payments totaling up to $94.5 million. In addition, Reneo is obligated to pay us royalty payments at mid-single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 In addition, we have received common stock and certain participation rights representing a minority interest in Reneo’s outstanding equity.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Under the terms of the Reneo License Agreement, Reneo will be responsible for the worldwide development and commercialization of the licensed products, at its cost, and is required to use commercially reasonable efforts with respect to such development and commercialization efforts.</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Reneo License Agreement, unless terminated earlier, will continue until expiration of all royalty obligations of Reneo to us. Either party may terminate the Reneo License Agreement for the other party’s uncured material breach. Reneo may terminate the Reneo License Agreement at will upon prior written notice. Upon expiration (but not earlier termination) of the Reneo License Agreement, the licenses granted to Reneo will survive on a royalty-free basis in perpetuity.</w:t>
      </w:r>
    </w:p>
    <w:p>
      <w:pPr>
        <w:spacing w:after="0" w:line="45" w:lineRule="exact"/>
        <w:rPr>
          <w:sz w:val="20"/>
          <w:szCs w:val="20"/>
          <w:color w:val="auto"/>
        </w:rPr>
      </w:pPr>
    </w:p>
    <w:p>
      <w:pPr>
        <w:jc w:val="both"/>
        <w:ind w:right="20" w:firstLine="324"/>
        <w:spacing w:after="0" w:line="283" w:lineRule="auto"/>
        <w:rPr>
          <w:sz w:val="20"/>
          <w:szCs w:val="20"/>
          <w:color w:val="auto"/>
        </w:rPr>
      </w:pPr>
      <w:r>
        <w:rPr>
          <w:rFonts w:ascii="Times New Roman" w:cs="Times New Roman" w:eastAsia="Times New Roman" w:hAnsi="Times New Roman"/>
          <w:sz w:val="12"/>
          <w:szCs w:val="12"/>
          <w:color w:val="auto"/>
        </w:rPr>
        <w:t xml:space="preserve">Reneo has continued to progress the development of </w:t>
      </w:r>
      <w:r>
        <w:rPr>
          <w:rFonts w:ascii="Times New Roman" w:cs="Times New Roman" w:eastAsia="Times New Roman" w:hAnsi="Times New Roman"/>
          <w:sz w:val="12"/>
          <w:szCs w:val="12"/>
          <w:i w:val="1"/>
          <w:iCs w:val="1"/>
          <w:color w:val="auto"/>
        </w:rPr>
        <w:t>mavodelpar</w:t>
      </w:r>
      <w:r>
        <w:rPr>
          <w:rFonts w:ascii="Times New Roman" w:cs="Times New Roman" w:eastAsia="Times New Roman" w:hAnsi="Times New Roman"/>
          <w:sz w:val="12"/>
          <w:szCs w:val="12"/>
          <w:color w:val="auto"/>
        </w:rPr>
        <w:t xml:space="preserve"> for primary mitochondrial myopathy (PMM) and long-chain fatty acid oxidation disorders (LC-FAOD). The Phase 2 study of </w:t>
      </w:r>
      <w:r>
        <w:rPr>
          <w:rFonts w:ascii="Times New Roman" w:cs="Times New Roman" w:eastAsia="Times New Roman" w:hAnsi="Times New Roman"/>
          <w:sz w:val="12"/>
          <w:szCs w:val="12"/>
          <w:i w:val="1"/>
          <w:iCs w:val="1"/>
          <w:color w:val="auto"/>
        </w:rPr>
        <w:t>mavodelpar</w:t>
      </w:r>
      <w:r>
        <w:rPr>
          <w:rFonts w:ascii="Times New Roman" w:cs="Times New Roman" w:eastAsia="Times New Roman" w:hAnsi="Times New Roman"/>
          <w:sz w:val="12"/>
          <w:szCs w:val="12"/>
          <w:color w:val="auto"/>
        </w:rPr>
        <w:t xml:space="preserve"> for glycogen storage disorder type V (McArdle Disease) showed only modest benefits, and Reneo does not plan to proceed further for this indication.</w:t>
      </w:r>
    </w:p>
    <w:p>
      <w:pPr>
        <w:spacing w:after="0" w:line="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Reneo announced on December 14th, 2023, that its pivotal STRIDE study (NCT04535609) of </w:t>
      </w:r>
      <w:r>
        <w:rPr>
          <w:rFonts w:ascii="Times New Roman" w:cs="Times New Roman" w:eastAsia="Times New Roman" w:hAnsi="Times New Roman"/>
          <w:sz w:val="12"/>
          <w:szCs w:val="12"/>
          <w:i w:val="1"/>
          <w:iCs w:val="1"/>
          <w:color w:val="auto"/>
        </w:rPr>
        <w:t>mavodelpar</w:t>
      </w:r>
      <w:r>
        <w:rPr>
          <w:rFonts w:ascii="Times New Roman" w:cs="Times New Roman" w:eastAsia="Times New Roman" w:hAnsi="Times New Roman"/>
          <w:sz w:val="12"/>
          <w:szCs w:val="12"/>
          <w:color w:val="auto"/>
        </w:rPr>
        <w:t xml:space="preserve"> in adult patients with PMM did not meet its primary efficacy or secondary efficacy endpoint. The primary efficacy endpoint of the trial was the change from baseline in the distance walked during the 12-minute walk test (12MWT) at week 24. The secondary efficacy endpoint was the change from baseline in the PROMIS® Short Form Fatigue 13a score.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GLP-1r and Hangzhou Zhongmei Huadong Pharmaceutical Co., Ltd.</w:t>
      </w:r>
    </w:p>
    <w:p>
      <w:pPr>
        <w:spacing w:after="0" w:line="8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 xml:space="preserve">On December 21, 2017, we entered into a License Agreement with Hangzhou Zhongmei Huadong Pharmaceutical Co., Ltd. (“Huadong”) (the “Huadong License Agreement”), under which Huadong obtained an exclusive and sublicensable license to develop and commercialize our glucagon-like peptide-1 receptor agonist (“GLP-1r”) program, including the compound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for therapeutic uses in humans or animals, in China and certain other Pacific Rim territories, including Australia and South Korea (collectively, the “Huadong License Territory”). Additionally, under the Huadong License Agreement, we obtained a non-exclusive, sublicensable, royalty-free license to develop and commercialize certain Huadong patent rights and know-how related to our GLP-1r program for therapeutic uses in humans or animals outside of the Huadong License Territory.</w:t>
      </w:r>
    </w:p>
    <w:p>
      <w:pPr>
        <w:spacing w:after="0" w:line="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Under the terms of the Huadong License Agreement, Huadong has paid us an initial license fee of $8.0 million, and we are eligible to receive potential development and regulatory milestone payments totaling up to $22.0 million, as amended in January 2021. Additionally, we are eligible to receive additional potential regulatory milestone of $20.0 million if Huadong receives regulatory approval for a central nervous system indication. Further, we are eligible for an additional $50.0 million in potential sales-based milestones, as well as royalty payments ranging from low-single to low-double digit rates, based on tiered sales of licensed products.</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Under the original Huadong License Agreement, we had the obligation to conduct a Phase 2 multi-region clinical trial (the “Phase 2 MRCT”), should Huadong require us to do so. We were also responsible for contributing up to $3.0 million in connection with the Phase 2 MRCT, if it occurs. However, the Huadong License Agreement was amended in January 2021 to remove these obligations. The Phase II study in mainland China and Taiwan has achieved Last Patient Out “LPO” on January 11, 2022. In addition, a milestone was paid in 2022.</w:t>
      </w:r>
    </w:p>
    <w:p>
      <w:pPr>
        <w:spacing w:after="0" w:line="47"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Huadong will be responsible for the development and commercialization of the licensed products in the Huadong License Territory, at its cost, and is required to use commercially reasonable efforts with respect to its development efforts. Further, Huadong is required to use commercially reasonable efforts to develop and commercialize at least one GLP-1r compound in China.</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Huadong License Agreement, unless terminated earlier, will continue on a product-by-product and country-by-country basis until expiration of the royalty obligations Huadong owes to us on such licensed product, which extend until the later of the expiration of certain patent or data exclusivity rights covering such licensed product in such country or eight years after the first commercial sale of such product in such country. Either party may terminate the Huadong License Agreement for the other party’s uncured material breach.</w:t>
      </w:r>
    </w:p>
    <w:p>
      <w:pPr>
        <w:spacing w:after="0" w:line="47"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On December 18, 2023, Huadong notified us of its intent to terminate the Huadong License Agreement. The termination will not be effective until after both parties negotiate and finalize a termination agreement, which is expected to occur in the first half of 2024.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Nrf2 and Anteris Bio, Inc.</w:t>
      </w:r>
    </w:p>
    <w:p>
      <w:pPr>
        <w:spacing w:after="0" w:line="8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 xml:space="preserve">On December 11, 2020, we entered into a license agreement with Anteris Bio, Inc. (“Anteris”) (the “Anteris License Agreement”), under which Anteris obtained a worldwide, exclusive and sublicensable license to develop and commercialize vTv LLC’s Nrf2 activator, </w:t>
      </w:r>
      <w:r>
        <w:rPr>
          <w:rFonts w:ascii="Times New Roman" w:cs="Times New Roman" w:eastAsia="Times New Roman" w:hAnsi="Times New Roman"/>
          <w:sz w:val="12"/>
          <w:szCs w:val="12"/>
          <w:i w:val="1"/>
          <w:iCs w:val="1"/>
          <w:color w:val="auto"/>
        </w:rPr>
        <w:t>HPP971</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Under the terms of the Anteris License Agreement, Anteris paid vTv LLC an initial license fee of $2.0 million. vTv LLC is eligible to receive additional potential development, regulatory, and sales-based milestone payments totaling up to $151.0 million. Anteris is also obligated to pay vTv royalty payments at a double-digit rate based on annual net sales of licensed products. Such royalties will be payable on a licensed product-by-licensed product basis until the latest of expiration of the licensed patents covering a licensed product in a country, expiration of data exclusivity rights for a licensed product in a country, or a specified number of years after the first commercial sale of a licensed product in a country. In addition, vTv LLC received a minority ownership interest in Anteris.</w:t>
      </w:r>
    </w:p>
    <w:p>
      <w:pPr>
        <w:spacing w:after="0" w:line="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Under the terms of the Anteris License Agreement, Anteris will be responsible for the development and commercialization of the licensed products, at its cost, and is required to use commercially reasonable efforts with respect to such development and commercialization efforts.</w:t>
      </w:r>
    </w:p>
    <w:p>
      <w:pPr>
        <w:spacing w:after="0" w:line="3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Anteris License Agreement, unless terminated earlier, will continue until expiration of all royalty obligations of Anteris to vTv LLC. Either party may terminate the Anteris License Agreement for the other party’s uncured material breach. Anteris may terminate the Anteris License Agreement at will upon prior written notice. Either party may terminate the Anteris License Agreement for the other party’s insolvency.</w:t>
      </w:r>
    </w:p>
    <w:p>
      <w:pPr>
        <w:spacing w:after="0" w:line="3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On September 25, 2023, Anteris notified the Company that it was terminating the Anteris License Agreement. The termination became effective on December 24, 2023, and Anteris has since liquidated its assets and ceased doing business.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Inbound Partnerships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JDRF Agreement</w:t>
      </w:r>
    </w:p>
    <w:p>
      <w:pPr>
        <w:spacing w:after="0" w:line="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2"/>
          <w:szCs w:val="12"/>
          <w:color w:val="auto"/>
        </w:rPr>
        <w:t xml:space="preserve">In August 2017, we entered into a research and collaboration agreement with JDRF International (the “JDRF Agreement”) to support the funding of the Simplici-T1 Study, a Phase 2 study to explore the effects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patients with type 1 diabetes. The JDRF Agreement was amended in June 2021 to provide additional funding for the Company’s mechanistic study exploring the effects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on ketone body formation during a period of insulin withdrawal in people with type 1 diabetes. According to the terms of the JDRF Agreement, as amended, JDRF provided research funding of $3.4 million based on the achievement of research and development milestones. Additionally, the Company has the obligation to make certain milestone payments to JDRF upon the commercialization, licensing, sale or transfer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 treatment for type 1 diabetes.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Novo Nordisk</w:t>
      </w:r>
    </w:p>
    <w:p>
      <w:pPr>
        <w:spacing w:after="0" w:line="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 xml:space="preserve">In February 2007, we entered into an Agreement Concerning Glucokinase Activator Project with Novo Nordisk A/S (the “Novo License Agreement”) whereby we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we obtained certain worldwide rights to Novo Nordisk’s GKA program, including rights to preclinical and clinical compounds such as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This agreement was amended in May 2019 to create milestone payments applicable to certain specific and non-specific areas of therapeutic use. Under the terms of the Novo License Agreement, the Company has additional potential developmental and regulatory milestone payments totaling up to $9.0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 During the year ended December 31, 2021, the Company made a payment of $2.0 million related to the satisfaction of the milestone to complete the Phase 2 trials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under this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Third-Party Suppliers and Manufacturers</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We do not own or operate, and currently have no plans to establish, any manufacturing facilities. We currently rely, and expect to continue to rely, on third parties to manufacture clinical supplies of our drug candidates and for our other research and discovery programs. We do not have multiple sources of supply for the components used in our drug candidates.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Intellectual Property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Patents</w:t>
      </w:r>
    </w:p>
    <w:p>
      <w:pPr>
        <w:spacing w:after="0" w:line="80" w:lineRule="exact"/>
        <w:rPr>
          <w:sz w:val="20"/>
          <w:szCs w:val="20"/>
          <w:color w:val="auto"/>
        </w:rPr>
      </w:pPr>
    </w:p>
    <w:p>
      <w:pPr>
        <w:jc w:val="both"/>
        <w:ind w:right="20" w:firstLine="324"/>
        <w:spacing w:after="0" w:line="283" w:lineRule="auto"/>
        <w:rPr>
          <w:sz w:val="20"/>
          <w:szCs w:val="20"/>
          <w:color w:val="auto"/>
        </w:rPr>
      </w:pPr>
      <w:r>
        <w:rPr>
          <w:rFonts w:ascii="Times New Roman" w:cs="Times New Roman" w:eastAsia="Times New Roman" w:hAnsi="Times New Roman"/>
          <w:sz w:val="12"/>
          <w:szCs w:val="12"/>
          <w:color w:val="auto"/>
        </w:rPr>
        <w:t xml:space="preserve">The IP portfolio for </w:t>
      </w:r>
      <w:r>
        <w:rPr>
          <w:rFonts w:ascii="Times New Roman" w:cs="Times New Roman" w:eastAsia="Times New Roman" w:hAnsi="Times New Roman"/>
          <w:sz w:val="12"/>
          <w:szCs w:val="12"/>
          <w:i w:val="1"/>
          <w:iCs w:val="1"/>
          <w:color w:val="auto"/>
        </w:rPr>
        <w:t>cadisegliatin (TTP399)</w:t>
      </w:r>
      <w:r>
        <w:rPr>
          <w:rFonts w:ascii="Times New Roman" w:cs="Times New Roman" w:eastAsia="Times New Roman" w:hAnsi="Times New Roman"/>
          <w:sz w:val="12"/>
          <w:szCs w:val="12"/>
          <w:color w:val="auto"/>
        </w:rPr>
        <w:t xml:space="preserve"> includes issued patents in approximately 35 jurisdictions, including the U.S., over 10 European countries, Japan, Canada, Australia, and China, directed to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 composition of matter, among other things. The issued U.S. patent covering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 composition of matter will expire no earlier than 2025,</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 xml:space="preserve">absent any patent term adjustments or extensions, but may expire as late as 2030 if, after approval by the U.S. Food and Drug Administration (FDA), we apply for and obtain the maximum possible patent term extension (PTE) that is available under the Drug Price Competition and Patent Term Restoration Act of 1984 (the “Hatch-Waxman Act”). Only one U.S. patent applicable to an approved drug may be extended and only those claims covering the approved drug, a method of using it, or a method for manufacturing it may be extended. Patents covering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 composition of matter outside the United States will expire no earlier than 2025, absent any patent term adjustments or extensions. Provisions that are similar to the U.S. PTE under the Hatch-Waxman Act are available in Europe and some other foreign jurisdictions to extend the term of the patent covering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 composition of matter. The IP portfolio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also includes patent families covering crystal forms, salt forms, and solid formulations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among other things. The issued patents and patent applications, if issued, in these additional patent families would be expected to expire between 2034 and 2041, absent any patent term adjustments or extensions. The IP portfolio for cadisegliatin further includes additional patent families covering combinations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with metformin, DPP-4 inhibitors, or GLP-1r agonists, and their use in methods of treatment. The issued patents and patent applications, if issued, in these additional patent families would be expected to expire between 2031 and 2033, absent any patent term adjustments or extensions. In addition, the IP portfolio also includes a patent family covering methods of treating patients with type 1 diabetes using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combination with insulin. The issued patents and patent applications, if issued in this additional patent family, if issued, would be expected to expire in 2039, absent any patent term adjustments or extensions.</w:t>
      </w:r>
    </w:p>
    <w:p>
      <w:pPr>
        <w:spacing w:after="0" w:line="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2"/>
          <w:szCs w:val="12"/>
          <w:color w:val="auto"/>
        </w:rPr>
        <w:t xml:space="preserve">The IP portfolio for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includes issued patents in the U.S. generically covering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as a composition of matter and methods of use to treat various indications. The issued U.S. patent generically covering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as a composition of matter will expire no earlier than 2029, absent any patent term adjustments or extensions, but may expire as late as 2034 if, after approval by the U.S. FDA, we apply for and obtain the maximum possible PTE that is available under the Hatch-Waxman Act. The IP portfolio for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also includes a patent family specifically covering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and another patent family covering a crystalline form of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Any patents issuing from these two patent families will expire in 2040, absent any patent term adjustments or extensions.</w:t>
      </w:r>
    </w:p>
    <w:p>
      <w:pPr>
        <w:spacing w:after="0" w:line="4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 xml:space="preserve">The IP portfolio for the GLP-1r program includes issued patents in over 25 countries and regions, including the U.S., over 10 European countries, Japan, Canada, Australia, and China, directed to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as a composition of matter. The issued U.S. patent covering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as a composition of matter will expire no earlier than 2030, absent any patent term adjustments or extensions, but may expire as late as 2035, if after approval by the U.S. FDA we apply for and obtain the maximum possible PTE that is available under the Hatch-Waxman Act following approval. Patents covering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as a composition of matter outside the United States will expire no earlier than 2030, absent any patent term adjustments or extensions. Provisions that are similar to the U.S. PTE under the Hatch-Waxman Act are available in Europe and some other foreign jurisdictions to extend the term of the patent covering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as a composition of matter. The IP portfolio for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also includes patent families covering crystalline, non-crystalline, and salt forms, and formulations of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synthetic precursors to, and methods of manufacture of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as well as combinations of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and metformin, and their use in methods of treatment, and dosage regimens of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The patent applications in these additional patent families, if issued, would be expected to expire between 2034 and 2042, absent any patent term adjustments or extensions.</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 xml:space="preserve">The IP portfolio for the Nrf2/Bach1 program includes issued patents in approximately 25 countries and regions, including the U.S., Europe, Japan, Canada, Australia, and China, directed to </w:t>
      </w:r>
      <w:r>
        <w:rPr>
          <w:rFonts w:ascii="Times New Roman" w:cs="Times New Roman" w:eastAsia="Times New Roman" w:hAnsi="Times New Roman"/>
          <w:sz w:val="12"/>
          <w:szCs w:val="12"/>
          <w:i w:val="1"/>
          <w:iCs w:val="1"/>
          <w:color w:val="auto"/>
        </w:rPr>
        <w:t>HPP971</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HPP3033</w:t>
      </w:r>
      <w:r>
        <w:rPr>
          <w:rFonts w:ascii="Times New Roman" w:cs="Times New Roman" w:eastAsia="Times New Roman" w:hAnsi="Times New Roman"/>
          <w:sz w:val="12"/>
          <w:szCs w:val="12"/>
          <w:color w:val="auto"/>
        </w:rPr>
        <w:t xml:space="preserve"> as compositions of matter, among other things. The issued U.S. patent covering </w:t>
      </w:r>
      <w:r>
        <w:rPr>
          <w:rFonts w:ascii="Times New Roman" w:cs="Times New Roman" w:eastAsia="Times New Roman" w:hAnsi="Times New Roman"/>
          <w:sz w:val="12"/>
          <w:szCs w:val="12"/>
          <w:i w:val="1"/>
          <w:iCs w:val="1"/>
          <w:color w:val="auto"/>
        </w:rPr>
        <w:t>HPP971</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HPP3033</w:t>
      </w:r>
      <w:r>
        <w:rPr>
          <w:rFonts w:ascii="Times New Roman" w:cs="Times New Roman" w:eastAsia="Times New Roman" w:hAnsi="Times New Roman"/>
          <w:sz w:val="12"/>
          <w:szCs w:val="12"/>
          <w:color w:val="auto"/>
        </w:rPr>
        <w:t xml:space="preserve"> as compositions of matter will expire no earlier than 2031, absent any patent term adjustments or extensions. However, this issued U.S. patent may expire as late as 2036, if after approval by the U.S. FDA we apply for and obtain the maximum possible PTE that is available under the Hatch-Waxman Act following approval”), and the patent term adjustments calculated by the USPTO are fully applied. Patents covering </w:t>
      </w:r>
      <w:r>
        <w:rPr>
          <w:rFonts w:ascii="Times New Roman" w:cs="Times New Roman" w:eastAsia="Times New Roman" w:hAnsi="Times New Roman"/>
          <w:sz w:val="12"/>
          <w:szCs w:val="12"/>
          <w:i w:val="1"/>
          <w:iCs w:val="1"/>
          <w:color w:val="auto"/>
        </w:rPr>
        <w:t>HPP971</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HPP3033</w:t>
      </w:r>
      <w:r>
        <w:rPr>
          <w:rFonts w:ascii="Times New Roman" w:cs="Times New Roman" w:eastAsia="Times New Roman" w:hAnsi="Times New Roman"/>
          <w:sz w:val="12"/>
          <w:szCs w:val="12"/>
          <w:color w:val="auto"/>
        </w:rPr>
        <w:t xml:space="preserve"> as a composition of matter outside the United States will expire no earlier than 2031, absent any patent term adjustments or extensions. Provisions that are similar to the U.S. PTE under the Hatch-Waxman Act are available in Europe and some other foreign jurisdictions to extend the term of the patents covering </w:t>
      </w:r>
      <w:r>
        <w:rPr>
          <w:rFonts w:ascii="Times New Roman" w:cs="Times New Roman" w:eastAsia="Times New Roman" w:hAnsi="Times New Roman"/>
          <w:sz w:val="12"/>
          <w:szCs w:val="12"/>
          <w:i w:val="1"/>
          <w:iCs w:val="1"/>
          <w:color w:val="auto"/>
        </w:rPr>
        <w:t>HPP971</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HPP3033</w:t>
      </w:r>
      <w:r>
        <w:rPr>
          <w:rFonts w:ascii="Times New Roman" w:cs="Times New Roman" w:eastAsia="Times New Roman" w:hAnsi="Times New Roman"/>
          <w:sz w:val="12"/>
          <w:szCs w:val="12"/>
          <w:color w:val="auto"/>
        </w:rPr>
        <w:t xml:space="preserve"> as a composition of matter. The IP portfolio for the Nrf2/Bach1 program also includes patent families covering backup compounds, methods of use in combination with other Nrf2 activator compounds such as dimethyl fumarate and bardoxolone, and methods to treat sickle cell diseases, osteoporosis, and refractive ocular disorders. The patent applications in these additional patent families, if issued, would be expected to expire between 2035 and 2041, absent any patent term adjustments or extensions.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The IP portfolio for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also includes patent families covering polymorphs, salt forms, metabolites, degradation products and a synthetic precursor of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methods of treatment using select dosage regimens of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and methods of treating select patient populations, among other things. The issued patents and patent applications, if issued in these additional patent families, if issued, would be expected to expire between 2028 and 2039.</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The issued U.S. patent covering the polymorph of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used in clinical development will expire no earlier than 2028, absent any patent term</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color w:val="auto"/>
        </w:rPr>
        <w:t xml:space="preserve">adjustments or extensions, but may expire as late as 2033 if after approval by the U.S. FDA we decide to apply for and obtain the maximum PTE under the Hatch-Waxman Act for the U.S. patent covering the polymorph of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instead of the U.S. patent covering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as a composition of matter. Only one patent applicable to an approved drug may be extended and only those claims covering the approved drug, a method of using it, or a method for manufacturing it may be extended. Similar provisions available in Europe and some other foreign jurisdictions to extend the term of a patent that covers an approved drug.</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Trade Secrets</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In addition to patents, we rely on trade secrets and know-how to develop and maintain our competitive position. We seek to protect our proprietary technology and processes, in part, by entering into confidentiality agreements and invention assignment agreements with our employees, consultants, scientific advisors, contractors and commercial partners. These agreements are designed to protect our proprietary information and, in the case of the invention assignment agreements, to grant us ownership of technologies that are developed by employees or through a relationship with a third party.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publicly known or be independently discovered by competitors. To the extent that our contractors use or incorporate intellectual property owned by others in their work for us, disputes may arise as to the rights in related or resulting know-how and inventions.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Competition</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biopharmaceutical industry is characterized by intense competition and rapid innovation. Our potential competitors include large pharmaceutical and biotechnology companies, specialty pharmaceutical companies and generic drug companies. We believe the key competitive factors that will affect the development and commercial success of our drug candidates are efficacy, safety and tolerability profile, mechanism of action, control and predictability, convenience of dosing, price and reimbursement, and availability of comparable alternative therapies.</w:t>
      </w:r>
    </w:p>
    <w:p>
      <w:pPr>
        <w:spacing w:after="0" w:line="4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our programs are likely to be their efficacy, safety, convenience, and availability of reimbursement.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Potential Competing Products – Type 1 Diabetes</w:t>
      </w:r>
    </w:p>
    <w:p>
      <w:pPr>
        <w:spacing w:after="0" w:line="8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If approved, we expect that our type 1 diabetes investigational drug candidate will compete with oral non-insulin agents and new insulin formulations or devices that are currently being developed. These include the SGLT-1/2 inhibitor sotagliflozin, being developed by Lexicon, and the oral somatostatin type 2 receptor blocker ZT-01 by Zucara Therapeutics. In addition, Diasome Pharmaceuticals has started a new Phase 2 study in February 2024 to assess the effects of their Hepatic Directed Vesicle (HDV)-based insulin lispro formulation ("HDV Insulin lispro") on the incidence of nocturnal hypoglycemia in patients with T1D. However, none of these treatments are currently approved or marketed for the treatment of type 1 diabetes.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Collaboration Revenue and Customers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Most of our collaboration revenue for the years ended December 31, 2023, 2022 and 2021 is related to our licenses of certain compounds in the preclinical stage or clinical stage, including the Huadong License Agreement, the Reneo License Agreement, and the Newsoara License Agreement. Revenue recognized in these periods relates to initial consideration received in the form of upfront payments and equity interests, research activities performed by our personnel, and the achievement of development milestones.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Government Regulation and Product Approvals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Government authorities in the United States, at the federal, state and local level, and in other countries and jurisdictions, including the European Union (“EU”),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 For a full discussion of the regulatory framework for the approval and regulation of investigational drug candidates, and applicable domestic and foreign healthcare law, please see “Part 1 – Item 1 – Business - Government Regulation and Product Approvals” in our Annual Report on Form 10-K filed on February 21, 2020.</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Human Capital</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As of December 31, 2023, we had sixteen employees (all but seven of whom work in North Carolina), of which at least ten hold graduate degrees (including eight doctorate degrees) and seven are engaged in full-time research and development activities. None of our employees are represented by a labor union, and we consider our employee relations to be good.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Corporate Information</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 xml:space="preserve">We were incorporated under the laws of the State of Delaware in 2015. Our principal executive offices are located at 3980 Premier Drive, Suite 310, High Point, NC 27265, and our telephone number is (336) 841-0300. We also maintain a corporate website, www.vtvtherapeutics.com, where stockholders and other interested persons may review, without charge, among other things, corporate governance materials and certain Securities Exchange Commission (SEC) filings, which are generally available on the same business day as the filing date with the SEC on the SEC’s website </w:t>
      </w:r>
      <w:r>
        <w:rPr>
          <w:rFonts w:ascii="Times New Roman" w:cs="Times New Roman" w:eastAsia="Times New Roman" w:hAnsi="Times New Roman"/>
          <w:sz w:val="12"/>
          <w:szCs w:val="12"/>
          <w:u w:val="single" w:color="auto"/>
          <w:color w:val="auto"/>
        </w:rPr>
        <w:t>http://www.sec.gov</w:t>
      </w:r>
      <w:r>
        <w:rPr>
          <w:rFonts w:ascii="Times New Roman" w:cs="Times New Roman" w:eastAsia="Times New Roman" w:hAnsi="Times New Roman"/>
          <w:sz w:val="12"/>
          <w:szCs w:val="12"/>
          <w:color w:val="auto"/>
        </w:rPr>
        <w:t>. The contents of our website are not made a part of this Annual Report on Form 10-K.</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1A.</w:t>
      </w:r>
      <w:r>
        <w:rPr>
          <w:sz w:val="20"/>
          <w:szCs w:val="20"/>
          <w:color w:val="auto"/>
        </w:rPr>
        <w:tab/>
      </w:r>
      <w:r>
        <w:rPr>
          <w:rFonts w:ascii="Times New Roman" w:cs="Times New Roman" w:eastAsia="Times New Roman" w:hAnsi="Times New Roman"/>
          <w:sz w:val="11"/>
          <w:szCs w:val="11"/>
          <w:b w:val="1"/>
          <w:bCs w:val="1"/>
          <w:color w:val="auto"/>
        </w:rPr>
        <w:t>RISK FACTORS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Summary of Principal Risk Factors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business is subject to a number of risks, including risks that may prevent us from achieving our business objectives or may adversely affect our business, financial condition, results of operations, cash flows, and prospects.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risks are discussed more fully below and include, but are not limited to, risks related to: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Our Financial Position and Need for Additional Capital</w:t>
      </w:r>
    </w:p>
    <w:p>
      <w:pPr>
        <w:spacing w:after="0" w:line="29"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achieve or maintain profitability;</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5"/>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generate revenue in absence of any products approved for sale;</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5"/>
        </w:numPr>
        <w:rPr>
          <w:rFonts w:ascii="Arial" w:cs="Arial" w:eastAsia="Arial" w:hAnsi="Arial"/>
          <w:sz w:val="14"/>
          <w:szCs w:val="14"/>
          <w:color w:val="auto"/>
        </w:rPr>
      </w:pPr>
      <w:r>
        <w:rPr>
          <w:rFonts w:ascii="Times New Roman" w:cs="Times New Roman" w:eastAsia="Times New Roman" w:hAnsi="Times New Roman"/>
          <w:sz w:val="12"/>
          <w:szCs w:val="12"/>
          <w:color w:val="auto"/>
        </w:rPr>
        <w:t>our need for additional capital to continue the development and commercialization of our drug candidates;</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5"/>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raising additional capital to our stockholders and the rights of our drug candidates;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Development and Regulatory Approval of Our Drug Candidates</w:t>
      </w:r>
    </w:p>
    <w:p>
      <w:pPr>
        <w:spacing w:after="0" w:line="29"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4"/>
          <w:szCs w:val="14"/>
          <w:color w:val="auto"/>
        </w:rPr>
      </w:pPr>
      <w:r>
        <w:rPr>
          <w:rFonts w:ascii="Times New Roman" w:cs="Times New Roman" w:eastAsia="Times New Roman" w:hAnsi="Times New Roman"/>
          <w:sz w:val="12"/>
          <w:szCs w:val="12"/>
          <w:color w:val="auto"/>
        </w:rPr>
        <w:t>the potential failure of our clinical trials or our inability to receive regulatory approval for our drug candidates;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6"/>
        </w:numPr>
        <w:rPr>
          <w:rFonts w:ascii="Arial" w:cs="Arial" w:eastAsia="Arial" w:hAnsi="Arial"/>
          <w:sz w:val="14"/>
          <w:szCs w:val="14"/>
          <w:color w:val="auto"/>
        </w:rPr>
      </w:pPr>
      <w:r>
        <w:rPr>
          <w:rFonts w:ascii="Times New Roman" w:cs="Times New Roman" w:eastAsia="Times New Roman" w:hAnsi="Times New Roman"/>
          <w:sz w:val="12"/>
          <w:szCs w:val="12"/>
          <w:color w:val="auto"/>
        </w:rPr>
        <w:t>the identification of serious adverse or unacceptable side effects which are determined to be drug-related;</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6"/>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changes in law or regulatory policy on the approval of our drug candidates;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6"/>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delays in the commencement, enrollment and completion of our clinical trials;</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6"/>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submit an NDA for the drug candidates we are developing;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Risks Relating to the Commercialization of Our Drug Candidates</w:t>
      </w:r>
    </w:p>
    <w:p>
      <w:pPr>
        <w:spacing w:after="0" w:line="29" w:lineRule="exact"/>
        <w:rPr>
          <w:sz w:val="20"/>
          <w:szCs w:val="20"/>
          <w:color w:val="auto"/>
        </w:rPr>
      </w:pPr>
    </w:p>
    <w:p>
      <w:pPr>
        <w:ind w:left="420" w:hanging="212"/>
        <w:spacing w:after="0"/>
        <w:tabs>
          <w:tab w:leader="none" w:pos="420" w:val="left"/>
        </w:tabs>
        <w:numPr>
          <w:ilvl w:val="0"/>
          <w:numId w:val="7"/>
        </w:numPr>
        <w:rPr>
          <w:rFonts w:ascii="Arial" w:cs="Arial" w:eastAsia="Arial" w:hAnsi="Arial"/>
          <w:sz w:val="14"/>
          <w:szCs w:val="14"/>
          <w:color w:val="auto"/>
        </w:rPr>
      </w:pPr>
      <w:r>
        <w:rPr>
          <w:rFonts w:ascii="Times New Roman" w:cs="Times New Roman" w:eastAsia="Times New Roman" w:hAnsi="Times New Roman"/>
          <w:sz w:val="12"/>
          <w:szCs w:val="12"/>
          <w:color w:val="auto"/>
        </w:rPr>
        <w:t>the acceptance of drug candidates in the market, if approved by the appropriate regulatory agencies;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7"/>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establish sales and marketing capabilities or enter into agreements with third parties to sell and market our drug candidates;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7"/>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ongoing obligations and continued regulatory review for our drug candidates post-commercialization;</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7"/>
        </w:numPr>
        <w:rPr>
          <w:rFonts w:ascii="Arial" w:cs="Arial" w:eastAsia="Arial" w:hAnsi="Arial"/>
          <w:sz w:val="14"/>
          <w:szCs w:val="14"/>
          <w:color w:val="auto"/>
        </w:rPr>
      </w:pPr>
      <w:r>
        <w:rPr>
          <w:rFonts w:ascii="Times New Roman" w:cs="Times New Roman" w:eastAsia="Times New Roman" w:hAnsi="Times New Roman"/>
          <w:sz w:val="12"/>
          <w:szCs w:val="12"/>
          <w:color w:val="auto"/>
        </w:rPr>
        <w:t>competition with other products;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7"/>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healthcare cost containment initiatives and the growth of managed care;</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7"/>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obtain marketing approval for our drug candidates and obtain profitable pricing once approved;</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7"/>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healthcare laws and regulations on our relationships with healthcare professionals, principal investigators, consultants, customers (actual and potential) and third-party payors;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7"/>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obtain approval to commercialize products outside the United States;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Risks Relating to Our Dependence on Third Parties</w:t>
      </w:r>
    </w:p>
    <w:p>
      <w:pPr>
        <w:spacing w:after="0" w:line="29" w:lineRule="exact"/>
        <w:rPr>
          <w:sz w:val="20"/>
          <w:szCs w:val="20"/>
          <w:color w:val="auto"/>
        </w:rPr>
      </w:pPr>
    </w:p>
    <w:p>
      <w:pPr>
        <w:ind w:left="420" w:hanging="212"/>
        <w:spacing w:after="0"/>
        <w:tabs>
          <w:tab w:leader="none" w:pos="420" w:val="left"/>
        </w:tabs>
        <w:numPr>
          <w:ilvl w:val="0"/>
          <w:numId w:val="8"/>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establish and maintain collaborative relationships to further the development of our drug candidates;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8"/>
        </w:numPr>
        <w:rPr>
          <w:rFonts w:ascii="Arial" w:cs="Arial" w:eastAsia="Arial" w:hAnsi="Arial"/>
          <w:sz w:val="14"/>
          <w:szCs w:val="14"/>
          <w:color w:val="auto"/>
        </w:rPr>
      </w:pPr>
      <w:r>
        <w:rPr>
          <w:rFonts w:ascii="Times New Roman" w:cs="Times New Roman" w:eastAsia="Times New Roman" w:hAnsi="Times New Roman"/>
          <w:sz w:val="12"/>
          <w:szCs w:val="12"/>
          <w:color w:val="auto"/>
        </w:rPr>
        <w:t>the professional conduct of third parties we rely on to conduct, supervise and monitor certain of our clinical trials;</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8"/>
        </w:numPr>
        <w:rPr>
          <w:rFonts w:ascii="Arial" w:cs="Arial" w:eastAsia="Arial" w:hAnsi="Arial"/>
          <w:sz w:val="14"/>
          <w:szCs w:val="14"/>
          <w:color w:val="auto"/>
        </w:rPr>
      </w:pPr>
      <w:r>
        <w:rPr>
          <w:rFonts w:ascii="Times New Roman" w:cs="Times New Roman" w:eastAsia="Times New Roman" w:hAnsi="Times New Roman"/>
          <w:sz w:val="12"/>
          <w:szCs w:val="12"/>
          <w:color w:val="auto"/>
        </w:rPr>
        <w:t xml:space="preserve">our dependence on limited sources of supply for the components used in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(TTP399) and our other drug candidates;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8"/>
        </w:numPr>
        <w:rPr>
          <w:rFonts w:ascii="Arial" w:cs="Arial" w:eastAsia="Arial" w:hAnsi="Arial"/>
          <w:sz w:val="14"/>
          <w:szCs w:val="14"/>
          <w:color w:val="auto"/>
        </w:rPr>
      </w:pPr>
      <w:r>
        <w:rPr>
          <w:rFonts w:ascii="Times New Roman" w:cs="Times New Roman" w:eastAsia="Times New Roman" w:hAnsi="Times New Roman"/>
          <w:sz w:val="12"/>
          <w:szCs w:val="12"/>
          <w:color w:val="auto"/>
        </w:rPr>
        <w:t>our reliance on third-party manufacturers to produce our drug candidates;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Risks Relating to Our Intellectual Property</w:t>
      </w:r>
    </w:p>
    <w:p>
      <w:pPr>
        <w:spacing w:after="0" w:line="29" w:lineRule="exact"/>
        <w:rPr>
          <w:sz w:val="20"/>
          <w:szCs w:val="20"/>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continue to protect proprietary rights to our intellectual property;</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the unauthorized disclosure of our trade secrets or other confidential information;</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changes to the patent laws in the United States and other jurisdictions;</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litigation for infringing intellectual property rights of third parties;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litigation to protect or enforce our patents or other intellectual property;</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enforce our intellectual property rights throughout the world;</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obtain patent term extensions for our drug candidates;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Risks Relating to Employee Matters and Managing Growth</w:t>
      </w:r>
    </w:p>
    <w:p>
      <w:pPr>
        <w:spacing w:after="0" w:line="29" w:lineRule="exact"/>
        <w:rPr>
          <w:sz w:val="20"/>
          <w:szCs w:val="20"/>
          <w:color w:val="auto"/>
        </w:rPr>
      </w:pPr>
    </w:p>
    <w:p>
      <w:pPr>
        <w:ind w:left="420" w:hanging="212"/>
        <w:spacing w:after="0"/>
        <w:tabs>
          <w:tab w:leader="none" w:pos="420" w:val="left"/>
        </w:tabs>
        <w:numPr>
          <w:ilvl w:val="0"/>
          <w:numId w:val="10"/>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expanding our operations and managing growth;</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left="420" w:hanging="212"/>
        <w:spacing w:after="0"/>
        <w:tabs>
          <w:tab w:leader="none" w:pos="42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attract and retain key personnel;</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our employees, independent contractors, principal investigators, CROs, consultants and collaborators in the event that they engage in misconduct or other improper activities;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Risks Relating to Our Business</w:t>
      </w:r>
    </w:p>
    <w:p>
      <w:pPr>
        <w:spacing w:after="0" w:line="29" w:lineRule="exact"/>
        <w:rPr>
          <w:sz w:val="20"/>
          <w:szCs w:val="20"/>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the widespread outbreak of an illness or any other communicable disease, or any other public health crisis;</w:t>
      </w:r>
    </w:p>
    <w:p>
      <w:pPr>
        <w:spacing w:after="0" w:line="25" w:lineRule="exact"/>
        <w:rPr>
          <w:rFonts w:ascii="Arial" w:cs="Arial" w:eastAsia="Arial" w:hAnsi="Arial"/>
          <w:sz w:val="14"/>
          <w:szCs w:val="14"/>
          <w:color w:val="auto"/>
        </w:rPr>
      </w:pPr>
    </w:p>
    <w:p>
      <w:pPr>
        <w:ind w:left="420" w:hanging="212"/>
        <w:spacing w:after="0" w:line="239" w:lineRule="auto"/>
        <w:tabs>
          <w:tab w:leader="none" w:pos="416"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using our financial and human resources to pursue a particular research program or drug candidate and failing to capitalize on programs or drug candidates that may be more profitable or for which there is a greater likelihood of success;</w:t>
      </w:r>
    </w:p>
    <w:p>
      <w:pPr>
        <w:spacing w:after="0" w:line="11" w:lineRule="exact"/>
        <w:rPr>
          <w:rFonts w:ascii="Arial" w:cs="Arial" w:eastAsia="Arial" w:hAnsi="Arial"/>
          <w:sz w:val="14"/>
          <w:szCs w:val="14"/>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litigation and government investigations, including product liability lawsuits;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the exposure to uninsured liabilities;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remain competitive given the rapidly changing market for our proposed drug candidates;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computer system failures, cyber-attacks or a deficiency in our cyber-security;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Risks Related to our Common Stock</w:t>
      </w:r>
    </w:p>
    <w:p>
      <w:pPr>
        <w:spacing w:after="0" w:line="29" w:lineRule="exact"/>
        <w:rPr>
          <w:sz w:val="20"/>
          <w:szCs w:val="20"/>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maintain listing of our Class A common stock on Nasdaq</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MacAndrews’ substantial influence over our business;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the potential for conflicts of interest with our directors who have relationships with MacAndrews;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pay cash dividends;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the potential for securities class action litigation;</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research and reports that equity research analysts publish about us and our business;</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substantial sales of shares into the market at any time;</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the dilution created by future sales and issuances of our Class A common stock or rights to purchase Class A common stock;</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our reliance upon our “smaller reporting company” status;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the existence of provisions in our governing documents or state law which may delay or prevent our acquisition by a third party;</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our obligation to make payments under the Tax Receivable Agreement;</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make distributions from vTv LLC to satisfy our obligations;</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the benefits conferred upon M&amp;F that will not benefit Class A common stockholders to the same extent as it will benefit MacAndrews.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Our Financial Position and Need for Additional Capital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incurred significant losses since inception and anticipate that we will incur continued losses for the foreseeable future. We may never achieve or maintain profitability.</w:t>
      </w:r>
    </w:p>
    <w:p>
      <w:pPr>
        <w:spacing w:after="0" w:line="8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2"/>
          <w:szCs w:val="12"/>
          <w:color w:val="auto"/>
        </w:rPr>
        <w:t xml:space="preserve">We are a clinical stage pharmaceutical company with limited operating history. We have never been profitable and do not expect to be profitable in the foreseeable future. We have incurred net losses in each year since beginning to develop our drug candidates, including net losses of approximately $20.3 million, $19.2 million and $13.0 million for the years ended December 31, 2023, 2022 and 2021, respectively. As of December 31, 2023, we had a total accumulated deficit of approximately $281.0 million. In addition, we have not commercialized any products and have never generated any revenue from the commercialization of any product. We have devoted most of our financial resources to research and development, including our preclinical development activities and clinical trials. We expect to incur significant additional operating losses for the next several years, at least, as we conduct our research and development activities, advance drug candidates through clinical development, complete clinical trials, seek regulatory approval and, if we receive FDA approval, commercialize our products. Furthermore, the costs of advancing drugs into each succeeding clinical phase tend to increase substantially over time. The total costs to advance any of our drug candidates to marketing approval in even a single jurisdiction would be substantial. Because of the numerous risks and uncertainties associated with pharmaceutical product development, we are unable to accurately predict the timing or amount of increased expenses or when, or if, we will be able to begin generating revenue from the commercialization of products or achieve or maintain profitability. We expect to continue to incur significant additional expenses as we continue the development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Furthermore, our ability to successfully develop, commercialize and license our products and generate product revenue is subject to substantial additional risks and uncertainties, as described under “—Risks Relating to the Discovery, Development and Regulatory Approval of Our Drug Candidates” and “—Risks Relating to the Commercialization of Our Drug Candidates.” As a result, we expect to continue to incur net losses and negative cash flows for the foreseeable future. These net losses and negative cash flows have had, and will continue to have, an adverse effect on our stockholders’ equity and working capital. The amount of our future net losses will depend, in part, on the rate of future growth of our expenses and our ability to generate revenues. In addition, we may not be able to enter into any collaborations that will generate significant cash. If we are unable to develop and commercialize one or more of our drug candidates either alone or with collaborators, or if revenues from any drug candidate that receives marketing approval are insufficient, we will not achieve profitability. Even if we do achieve profitability, we may not be able to sustain or increase profitability. If we are unable to achieve and then maintain profitability, the value of our equity securities will be materially and adversely affected.</w:t>
      </w:r>
    </w:p>
    <w:p>
      <w:pPr>
        <w:spacing w:after="0" w:line="5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Currently, we have no products approved for commercial sale, and to date we have not generated any revenue from product sales. As a result, our ability to generate revenue from products, curtail our losses and reach profitability is unproven, and we may never generate substantial product revenue.</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have no products approved for commercialization and have never generated any revenue from the commercialization of any product. Our ability to generate revenue and achieve profitability depends on our ability, alone or with strategic collaboration partners, to successfully complete the development of, and obtain the regulatory and marketing approvals necessary to commercialize one or more of our product candidates. We do not anticipate generating revenue from product sales for several years. Our ability to generate future revenue from product sales depends heavily on our success in many areas, including but not limited to:</w:t>
      </w:r>
    </w:p>
    <w:p>
      <w:pPr>
        <w:spacing w:after="0" w:line="47" w:lineRule="exact"/>
        <w:rPr>
          <w:sz w:val="20"/>
          <w:szCs w:val="20"/>
          <w:color w:val="auto"/>
        </w:rPr>
      </w:pPr>
    </w:p>
    <w:p>
      <w:pPr>
        <w:ind w:left="640" w:hanging="324"/>
        <w:spacing w:after="0"/>
        <w:tabs>
          <w:tab w:leader="none" w:pos="6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completing research and nonclinical and clinical development of our product candidates;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regulatory and marketing approvals for product candidates for which we complete clinical studies;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collaborations for the development of certain of our drug candidates;</w:t>
      </w:r>
    </w:p>
    <w:p>
      <w:pPr>
        <w:spacing w:after="0" w:line="78" w:lineRule="exact"/>
        <w:rPr>
          <w:rFonts w:ascii="Times New Roman" w:cs="Times New Roman" w:eastAsia="Times New Roman" w:hAnsi="Times New Roman"/>
          <w:sz w:val="12"/>
          <w:szCs w:val="12"/>
          <w:color w:val="auto"/>
        </w:rPr>
      </w:pPr>
    </w:p>
    <w:p>
      <w:pPr>
        <w:ind w:left="640" w:right="120" w:hanging="324"/>
        <w:spacing w:after="0" w:line="279" w:lineRule="auto"/>
        <w:tabs>
          <w:tab w:leader="none" w:pos="637"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and maintaining supply and manufacturing relationships with third parties that can provide adequate, in both amount and quality, products and services to support clinical development and the market demand for our product candidates, if approved;</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launching and commercializing product candidates for which we obtain regulatory and marketing approval, either directly or with a collaborator or distributor;</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market acceptance of our product candidates as viable treatment options;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favorable formulary placement with government and third-party payors that allows for favorable reimbursement;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addressing any competing technological and market developments;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640" w:hanging="324"/>
        <w:spacing w:after="0"/>
        <w:tabs>
          <w:tab w:leader="none" w:pos="6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negotiating favorable terms in any collaboration, licensing, or other arrangements into which we may enter;</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maintaining, protecting and expanding our portfolio of intellectual property rights;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attracting, hiring and retaining qualified personnel.</w:t>
      </w:r>
    </w:p>
    <w:p>
      <w:pPr>
        <w:spacing w:after="0" w:line="7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will need additional capital to complete the development and commercialization of cadisegliatin (TTP399) and our other drug candidate. If we are unable to raise sufficient capital for these purposes, we would be forced to delay, reduce or eliminate our product development programs.</w:t>
      </w:r>
    </w:p>
    <w:p>
      <w:pPr>
        <w:spacing w:after="0" w:line="3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2"/>
          <w:szCs w:val="12"/>
          <w:color w:val="auto"/>
        </w:rPr>
        <w:t xml:space="preserve">Developing pharmaceutical products, including conducting preclinical studies and clinical trials, is expensive. We expect to continue to incur significant research and development expenses in connection with our ongoing activities, particularly as we undertake additional clinical trials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and our other drug candidates and continue to work on our other research programs. Although we anticipate that the proceeds from the Private Placement</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 xml:space="preserve">will enable us to conduct a Phase 3 clinical trial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4"/>
          <w:szCs w:val="14"/>
          <w:color w:val="auto"/>
        </w:rPr>
        <w:t>, o</w:t>
      </w:r>
      <w:r>
        <w:rPr>
          <w:rFonts w:ascii="Times New Roman" w:cs="Times New Roman" w:eastAsia="Times New Roman" w:hAnsi="Times New Roman"/>
          <w:sz w:val="12"/>
          <w:szCs w:val="12"/>
          <w:color w:val="auto"/>
        </w:rPr>
        <w:t>ur current capital will not be sufficient for us to complete the development of our drug candidates. As such, we will need to raise additional capital to fund the ongoing and planned trials for our drug candidates and prior to the commercialization of any of our drug candidates. We are seeking possible additional partnering opportunities and grants for our GKA, GLP-1r and other drug candidates which we believe may provide additional cash for use in our operations and the continuation of the clinical trials for our drug candidates. We also continue to evaluate other financing strategies to fund our ongoing trials. Such financing strategies include direct equity investments and future public offerings of our common stock. The timing and availability of such financing are not yet known.</w:t>
      </w:r>
    </w:p>
    <w:p>
      <w:pPr>
        <w:spacing w:after="0" w:line="5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 xml:space="preserve">If the FDA or other regulators require that we perform additional studies beyond those we currently expect, or if there are any delays in completing our clinical trials or the development of any of our drug candidates, our expenses could increase beyond what we currently anticipate and the timing of any potential product approval may be delayed. We have no commitments or arrangements for any additional financing to fund our research and development programs other than the funds available to us under our sales agreement (the “TD Cowen Sales Agreement”) with Cowen &amp; Company, LLC (“TD Cowen”) (the “TD Cowen ATM Offering”). Under this arrangement, the Company has the right to sell shares of the Company’s Class A common stock, subject to certain limitations and conditions as set forth in the related agreement. As of March 13, 2024, there remains $50.0 million of availability under the TD Cowen ATM Offering, although the amount of our Class A common stock that we may offer and sell under the TD Cowen ATM Offering during any 12 calendar month period is currently limited to one-third of the aggregate market value of our voting and non-voting common equity held by non-affiliates pursuant to General Instruction I.B.6 of Form S-3. In addition, our ability to use this source of capital is dependent on a number of factors, including the prevailing market price of and the volume of trading in our Class A common stock. We also will need to raise substantial additional capital in the future to conduct further clinical trials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and to continue developing our other drug candidates. Although we continue to seek financing, partnering and licensing transactions for the further development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these efforts may not be successful. Because successful development of our drug candidates is uncertain, we are unable to estimate the actual funds required to complete research and development and commercialize and license our products under development.</w:t>
      </w:r>
    </w:p>
    <w:p>
      <w:pPr>
        <w:spacing w:after="0" w:line="54"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Until such time that we can generate substantial revenue from product sales, we expect to finance our operating activities through a combination of equity offerings, debt financings, marketing and distribution arrangements and other collaborations, strategic alliances and licensing arrangements. We may seek to access the public or private capital markets whenever conditions are favorable, even if we do not have an immediate need for additional capital at that time. If worldwide economic conditions and the international equity and credit markets deteriorate and return to depressed states, it will be more difficult for us to obtain additional equity or credit financing, when needed.</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future capital requirements will depend on many factors, including:</w:t>
      </w:r>
    </w:p>
    <w:p>
      <w:pPr>
        <w:spacing w:after="0" w:line="76" w:lineRule="exact"/>
        <w:rPr>
          <w:sz w:val="20"/>
          <w:szCs w:val="20"/>
          <w:color w:val="auto"/>
        </w:rPr>
      </w:pPr>
    </w:p>
    <w:p>
      <w:pPr>
        <w:ind w:left="640" w:hanging="324"/>
        <w:spacing w:after="0"/>
        <w:tabs>
          <w:tab w:leader="none" w:pos="6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progress, costs, results and timing of our planned registrational trial(s)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 potential adjunctive therapy to insulin for the treatment of type 1 diabetes;</w:t>
      </w:r>
    </w:p>
    <w:p>
      <w:pPr>
        <w:spacing w:after="0" w:line="80"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outcome, costs and timing of seeking and obtaining FDA and any other regulatory approvals;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and characteristics of drug candidates that we pursue, including our drug candidates in preclinical development;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640" w:hanging="324"/>
        <w:spacing w:after="0"/>
        <w:tabs>
          <w:tab w:leader="none" w:pos="6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our drug candidates to progress through clinical development successfully;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need to expand our research and development activities;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associated with securing, establishing and maintaining commercialization capabilities;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acquiring, licensing or investing in businesses, products, drug candidates and technologies;</w:t>
      </w:r>
    </w:p>
    <w:p>
      <w:pPr>
        <w:spacing w:after="0" w:line="78" w:lineRule="exact"/>
        <w:rPr>
          <w:rFonts w:ascii="Times New Roman" w:cs="Times New Roman" w:eastAsia="Times New Roman" w:hAnsi="Times New Roman"/>
          <w:sz w:val="12"/>
          <w:szCs w:val="12"/>
          <w:color w:val="auto"/>
        </w:rPr>
      </w:pPr>
    </w:p>
    <w:p>
      <w:pPr>
        <w:ind w:left="640" w:hanging="324"/>
        <w:spacing w:after="0" w:line="279" w:lineRule="auto"/>
        <w:tabs>
          <w:tab w:leader="none" w:pos="637"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need and ability to hire additional management and scientific and medical personnel;</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 of competing technological and market developments;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need to implement additional internal systems and infrastructure, including financial and reporting systems;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economic and other terms, timing and success of our existing licensing arrangements and any collaboration, licensing or other arrangements into which we may enter in the future;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payments we are required to make to M&amp;F TTP Holdings Two LLC in the future under the Tax Receivable Agreement.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Raising additional capital may cause dilution to our stockholders, restrict our operations or require us to relinquish rights to our technologies or drug candidates.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Until such time, if ever, as we can generate substantial revenue, we may finance our cash needs through a combination of equity offerings, debt financings, marketing and distribution arrangements and other collaborations, strategic alliances and licensing arrangements. We do not currently have any committed external source of funds other than those available to us under the TD Cowen ATM Offering. To the extent that we raise additional capital through the sale of equity or convertible debt securities, the interest of our stockholders will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5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a limited operating history, and we expect a number of factors to cause our operating results to fluctuate on a quarterly and annual basis, which may make it difficult to predict our future performance.</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2"/>
          <w:szCs w:val="12"/>
          <w:color w:val="auto"/>
        </w:rPr>
        <w:t xml:space="preserve">We are a clinical stage pharmaceutical company with a limited operating history. Our operations to date have been primarily limited to developing our technology and undertaking preclinical studies and clinical trials </w:t>
      </w:r>
      <w:r>
        <w:rPr>
          <w:rFonts w:ascii="Times New Roman" w:cs="Times New Roman" w:eastAsia="Times New Roman" w:hAnsi="Times New Roman"/>
          <w:sz w:val="12"/>
          <w:szCs w:val="12"/>
          <w:i w:val="1"/>
          <w:iCs w:val="1"/>
          <w:color w:val="auto"/>
        </w:rPr>
        <w:t>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cadisegliatin </w:t>
      </w:r>
      <w:r>
        <w:rPr>
          <w:rFonts w:ascii="Times New Roman" w:cs="Times New Roman" w:eastAsia="Times New Roman" w:hAnsi="Times New Roman"/>
          <w:sz w:val="12"/>
          <w:szCs w:val="12"/>
          <w:color w:val="auto"/>
        </w:rPr>
        <w:t>and our other drug candidates. We have not yet obtained regulatory approvals for any of our drug candidates. Consequently, any statements about our future success or viability are not based on any substantial operating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history or commercialized products. Our financial condition and operating results have varied significantly in the past and will continue to fluctuate from quarter-to-quarter or year-to-year due to a variety of factors, many of which are beyond our control. As a result, we may never successfully develop and commercialize a product, which could lead to a material adverse effect on the value of any investment in our securities.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the Development, Regulatory Approval, and Commercialization of Our Drug Candidates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development efforts are focused on the continued development of cadisegliatin (TTP399). There can be no assurance that we will be able to implement our business strategy successfully</w:t>
      </w:r>
      <w:r>
        <w:rPr>
          <w:rFonts w:ascii="Times New Roman" w:cs="Times New Roman" w:eastAsia="Times New Roman" w:hAnsi="Times New Roman"/>
          <w:sz w:val="12"/>
          <w:szCs w:val="12"/>
          <w:b w:val="1"/>
          <w:bCs w:val="1"/>
          <w:color w:val="auto"/>
        </w:rPr>
        <w:t>.</w:t>
      </w:r>
    </w:p>
    <w:p>
      <w:pPr>
        <w:spacing w:after="0" w:line="80" w:lineRule="exact"/>
        <w:rPr>
          <w:sz w:val="20"/>
          <w:szCs w:val="20"/>
          <w:color w:val="auto"/>
        </w:rPr>
      </w:pPr>
    </w:p>
    <w:p>
      <w:pPr>
        <w:jc w:val="both"/>
        <w:ind w:right="20" w:firstLine="324"/>
        <w:spacing w:after="0" w:line="283" w:lineRule="auto"/>
        <w:rPr>
          <w:sz w:val="20"/>
          <w:szCs w:val="20"/>
          <w:color w:val="auto"/>
        </w:rPr>
      </w:pPr>
      <w:r>
        <w:rPr>
          <w:rFonts w:ascii="Times New Roman" w:cs="Times New Roman" w:eastAsia="Times New Roman" w:hAnsi="Times New Roman"/>
          <w:sz w:val="12"/>
          <w:szCs w:val="12"/>
          <w:color w:val="auto"/>
        </w:rPr>
        <w:t xml:space="preserve">Our development focus is on the continued development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 potential adjunctive treatment for patients with type 1 diabetes and supporting our currently partnered programs. If we are not able to successfully execute our business strategy and do not achieve the anticipated benefits, our business, results of operations and financial condition could suffer.</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Clinical drug development involves a lengthy and expensive process with an uncertain outcome, and failure can occur at any stage of clinical development. Because the results of earlier clinical trials are not necessarily predictive of future results, any drug candidate we advance through various stages of clinical trials or development may not have favorable results in later stages of clinical trials or development or receive regulatory approval.</w:t>
      </w:r>
    </w:p>
    <w:p>
      <w:pPr>
        <w:spacing w:after="0" w:line="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Clinical testing is expensive and can take many years to complete, and its outcome is inherently uncertain. Failure can occur at any stage of clinical development. 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Success in preclinical testing and early clinical trials does not ensure that later clinical trials will generate the same results or otherwise provide adequate data to demonstrate the efficacy and safety of a drug candidate. Frequently, drug candidates that have shown promising results in early clinical trials have subsequently suffered significant setbacks in later clinical trials. In addition, the design of a clinical trial can determine whether its results will support approval of a product and flaws in the design of a clinical trial may not become apparent until the clinical trial is well advanced. While members of our management team have experience in designing clinical trials, our company has limited experience in designing clinical trials, and we may be unable to design and execute a clinical trial to support regulatory approval. Further, clinical trials of potential products often reveal that it is not practical or feasible to continue development efforts. For example, if the results of our future clinical trials of our drug candidates do not achieve the primary efficacy endpoints or demonstrate safety, the prospects for approval of these candidates would be materially and adversely affected. If our drug candidates are found to be unsafe or lack efficacy, we will not be able to obtain regulatory approval for them and our business would be materially harmed.</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cannot be certain that any of our drug candidates will receive regulatory approval, and without regulatory approval we will not be able to market our drug candidates and generate revenue from products. Any delay in the regulatory review or approval of our drug candidates will materially and adversely affect our business.</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Our ability to generate revenue related to product sales, which we do not expect will occur for at least the next several years, if ever, will depend on the successful development and regulatory approval of our drug candidates. Our clinical development programs for our drug candidates may not lead to regulatory approval from the FDA and similar foreign regulatory agencies. This failure to obtain regulatory approvals would prevent our drug candidates from being marketed and would prevent us from generating revenue from our drug candidates, which would have a material and adverse effect on our business.</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All of our drug candidates require regulatory review and approval prior to commercialization, and generally, only a small percentage of pharmaceutical products under development are ultimately approved for commercial sale.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Moreover, any delays in the regulatory review or approval of our drug candidates would delay market launch, increase our cash requirements and result in additional operating losses.</w:t>
      </w:r>
    </w:p>
    <w:p>
      <w:pPr>
        <w:spacing w:after="0" w:line="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The process of obtaining FDA and other required regulatory approvals, including foreign approvals, often takes many years and can vary substantially based upon the type, complexity and novelty of the products involved. Furthermore, this approval process is extremely complex, expensive and uncertain, and failure to comply with applicable regulatory requirements can, among other things, result in the suspension of regulatory approval as well as possible civil and criminal sanctions. We may be unable to submit any new drug application (“NDA”), in the United States or any marketing approval application in foreign jurisdictions for any of our products. If we submit an NDA including any amended NDA or supplemental NDA, to the FDA seeking marketing approval for any of our drug candidates, the FDA must decide whether to accept or reject the submission for filing. We cannot be certain that any of these submissions will be accepted for filing and reviewed by the FDA, or that the marketing approval application submissions to any other regulatory authorities will be accepted for filing and review by those authorities. We cannot be certain that we will be able to respond to any regulatory requests during the review period in a timely manner, or at all, without delaying potential regulatory action. We also cannot be certain that any of our drug candidates will receive favorable recommendations from any FDA advisory committee or foreign regulatory bodies or be approved for marketing by the FDA or foreign regulatory authorities. In addition, delays in approvals or rejections of marketing applications may be based upon many factors, including regulatory requests for additional analyses, reports, data and studies, regulatory questions regarding data and results, changes in regulatory policy during the period of product development and the emergence of new information regarding our drug candidates.</w:t>
      </w:r>
    </w:p>
    <w:p>
      <w:pPr>
        <w:spacing w:after="0" w:line="54"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Data obtained from preclinical studies and clinical trials are subject to different interpretations, which could delay, limit or prevent regulatory review or approval of any of our drug candidates. Furthermore, regulatory attitudes towards the data and results required to demonstrate safety and efficacy can change over time and can be affected by many factors, such as the emergence of new information, including on other products, policy changes and agency funding, staffing and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leadership. We do not know whether future changes to the regulatory environment will be favorable or unfavorable to our business prospects.</w:t>
      </w:r>
    </w:p>
    <w:p>
      <w:pPr>
        <w:spacing w:after="0" w:line="7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In addition, the environment in which our regulatory submissions may be reviewed changes over time. For example, average review times at the FDA for NDAs have fluctuated over the last ten years, and we cannot predict the review time for any of our submissions with any regulatory authorities. Review times can be affected by a variety of factors, including budget and funding levels and statutory, regulatory and policy as well as personnel changes at the FDA. Moreover, in light of widely publicized events concerning the safety risk of certain drug products, regulatory authorities, members of the U.S. Government Accountability Office, medical professionals and the general public have raised concerns about potential drug safety issues. These events have resulted in the withdrawal of drug products, revisions to drug labeling that further limit use of the drug products and establishment of risk evaluation and mitigation strategies ("REMS"), measures that may, for instance, place restrictions on the distribution of new drug products. The increased attention to drug safety issues may result in a more cautious approach by the FDA to clinical trials. Data from clinical trials may receive greater scrutiny with respect to safety, which may make the FDA or other regulatory authorities more likely to delay or terminate clinical trials before completion, or require longer or additional clinical trials that may result in substantial additional expense and a delay or failure in obtaining approval or may result in approval for a more limited indication than originally sought.</w:t>
      </w:r>
    </w:p>
    <w:p>
      <w:pPr>
        <w:spacing w:after="0" w:line="54"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 addition, approval policies, regulations, or the type and amount of clinical data necessary to gain approval may change during the course of a drug candidate’s clinical development and may vary among jurisdictions, and approval in one jurisdiction does not guarantee approval in any other jurisdiction. Our drug candidates could fail to receive regulatory approval for many reasons, including the following:</w:t>
      </w:r>
    </w:p>
    <w:p>
      <w:pPr>
        <w:spacing w:after="0" w:line="39" w:lineRule="exact"/>
        <w:rPr>
          <w:sz w:val="20"/>
          <w:szCs w:val="20"/>
          <w:color w:val="auto"/>
        </w:rPr>
      </w:pPr>
    </w:p>
    <w:p>
      <w:pPr>
        <w:ind w:left="640" w:hanging="324"/>
        <w:spacing w:after="0"/>
        <w:tabs>
          <w:tab w:leader="none" w:pos="6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 or comparable foreign regulatory authorities may disagree with the design or implementation of our clinical trials;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unable to demonstrate to the satisfaction of the FDA or comparable foreign regulatory authorities that a drug candidate is safe and effective for its proposed indication;</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results of clinical trials may not meet the level of statistical significance required by the FDA or comparable foreign regulatory authorities for approval;</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unable to demonstrate that a drug candidate’s clinical and other benefits outweigh its safety risks;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 or comparable foreign regulatory authorities may disagree with our interpretation of data from preclinical studies or clinical trials;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data collected from clinical trials of our drug candidates may not be sufficient to support the submission of an NDA or other submission or to obtain regulatory approval in the United States or elsewhere;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 or comparable foreign regulatory authorities may fail to approve the manufacturing processes or facilities of third-party manufacturers with which we contract for clinical and commercial supplies;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 or comparable foreign regulatory authorities may fail to approve the companion diagnostics we contemplate developing with partners;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approval policies or regulations of the FDA or comparable foreign regulatory authorities may significantly change in a manner rendering our clinical data insufficient for approval.</w:t>
      </w:r>
    </w:p>
    <w:p>
      <w:pPr>
        <w:spacing w:after="0" w:line="78"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This lengthy approval process as well as the unpredictability of future clinical trial results may result in our failing to obtain regulatory approval to market our drug candidates, which would significantly harm our business, results of operations and prospects.</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in law could have a negative impact on the approval of our drug candidates.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FDA has established regulations, guidelines and policies to govern the drug development and approval process, as have foreign regulatory authorities. Any change in regulatory requirements resulting from the adoption of new legislation, regulations or policies may require us to amend existing clinical trial protocols or add new clinical trials to comply with these changes. Such amendments to existing protocols or clinical trial applications or the need for new ones, may significantly and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adversely affect the cost, timing and completion of the clinical trials for our drug candidates. In addition, the FDA’s policies may change and additional government regulations may be issued that could prevent, limit or delay regulatory approval of our drug candidates, or impose more stringent product labeling and post-marketing testing and other requirements. If we are slow or unable to adapt to any such changes, our business, prospects and ability to achieve or sustain profitability would be adversely affected.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Delays in the commencement, enrollment and completion of our clinical trials could result in increased costs to us and delay or limit our ability to obtain regulatory approval for our drug candidates.</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Delays in the commencement, enrollment and completion of clinical trials could increase our product development costs or limit the regulatory approval of our drug candidates. We do not know whether current or future clinical trials of our drug candidates will begin on time or at all or will be completed on schedule or at all. The commencement, enrollment and completion of our clinical trials can be delayed for a variety of reasons, including:</w:t>
      </w:r>
    </w:p>
    <w:p>
      <w:pPr>
        <w:spacing w:after="0" w:line="39" w:lineRule="exact"/>
        <w:rPr>
          <w:sz w:val="20"/>
          <w:szCs w:val="20"/>
          <w:color w:val="auto"/>
        </w:rPr>
      </w:pPr>
    </w:p>
    <w:p>
      <w:pPr>
        <w:ind w:left="640" w:hanging="324"/>
        <w:spacing w:after="0" w:line="279" w:lineRule="auto"/>
        <w:tabs>
          <w:tab w:leader="none" w:pos="637"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reach agreements on acceptable terms with prospective contract research organizations (CRO) and trial sites, the terms of which can be subject to extensive negotiation and may vary significantly among different CROs and trial sites;</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objections to commencing a clinical trial;</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identify and maintain a sufficient number of trial sites, many of which may already be engaged in other clinical trial programs, including some that may be for the same indication as our drug candidates;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withdrawal of clinical trial sites from our clinical trials as a result of changing standards of care or the ineligibility of a site to participate in our clinical trials;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obtain institutional review board (“IRB”), approval to conduct a clinical trial;</w:t>
      </w:r>
    </w:p>
    <w:p>
      <w:pPr>
        <w:spacing w:after="0" w:line="78" w:lineRule="exact"/>
        <w:rPr>
          <w:rFonts w:ascii="Times New Roman" w:cs="Times New Roman" w:eastAsia="Times New Roman" w:hAnsi="Times New Roman"/>
          <w:sz w:val="12"/>
          <w:szCs w:val="12"/>
          <w:color w:val="auto"/>
        </w:rPr>
      </w:pPr>
    </w:p>
    <w:p>
      <w:pPr>
        <w:ind w:left="640" w:right="20" w:hanging="324"/>
        <w:spacing w:after="0" w:line="279" w:lineRule="auto"/>
        <w:tabs>
          <w:tab w:leader="none" w:pos="637"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difficulty recruiting and enrolling subjects to participate in clinical trials for a variety of reasons, including willingness of subjects to undergo required study procedures, meeting the enrollment criteria for our study and competition from other clinical trial programs for the same indication as our drug candidates;</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recruit and retain subjects in clinical trials due to the treatment protocol, personal issues, side effects from the therapy or lack of efficacy;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difficulty in importing and exporting clinical trial materials and study samples.</w:t>
      </w:r>
    </w:p>
    <w:p>
      <w:pPr>
        <w:spacing w:after="0" w:line="7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Patient enrollment, a significant factor in the timing of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that may be approved for the indications we are investigating. Furthermore, we rely on CROs and clinical trial sites to ensure the proper and timely conduct of our clinical trials and while we have agreements governing their committed activities, we have limited influence over their actual performance.</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We could also encounter delays if a clinical trial is suspended or terminated by us, by the IRBs of the institutions in which such trials are being conducted, by the Data and Safety Monitoring Board (DSMB) for such trial or by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FDA or other regulatory authorities. Such authorities may impose such a suspension or termination due to a number of factors, including:</w:t>
      </w:r>
    </w:p>
    <w:p>
      <w:pPr>
        <w:spacing w:after="0" w:line="67" w:lineRule="exact"/>
        <w:rPr>
          <w:sz w:val="20"/>
          <w:szCs w:val="20"/>
          <w:color w:val="auto"/>
        </w:rPr>
      </w:pPr>
    </w:p>
    <w:p>
      <w:pPr>
        <w:ind w:left="640" w:hanging="324"/>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conduct the clinical trial in accordance with regulatory requirements or our clinical protocols;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pass inspection of the clinical trial operations or trial sites by the FDA or other regulatory authorities;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of any contract manufacturing organizations (“CMOs”), that we use to comply with current Good Manufacturing Practices (“cGMPs”);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unforeseen safety issues or any determination that a clinical trial presents unacceptable health risks;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demonstrate benefit from using the drug; or</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regulatory requirement and guidance.</w:t>
      </w:r>
    </w:p>
    <w:p>
      <w:pPr>
        <w:spacing w:after="0" w:line="78"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If we experience delays in the completion of, or termination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drug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drug candidates.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never submitted an NDA before and may be unable to do so for cadisegliatin (TTP399) and our other drug candidates we are developing.</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submission of a successful NDA is a complicated process. As a team, we have limited experience in preparing, submitting and prosecuting regulatory filings, and have not submitted an NDA before. Consequently, we may be unable to successfully and efficiently execute and complete clinical trials in a way that leads to an NDA submission and approval of any of our drug candidates. We may require more time and incur greater costs than our competitors and may not succeed in obtaining regulatory approvals of the drug candidates that we develop. Failure to commence or complete, or delays in, our planned clinical trials would prevent or delay commercialization of the drug candidates we are developing.</w:t>
      </w:r>
    </w:p>
    <w:p>
      <w:pPr>
        <w:spacing w:after="0" w:line="4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drug candidates may cause serious adverse events or undesirable side effects which may delay or prevent marketing approval, or, if approval is received, require them to be taken off the market, require them to include safety warnings or otherwise limit their sales.</w:t>
      </w:r>
    </w:p>
    <w:p>
      <w:pPr>
        <w:spacing w:after="0" w:line="35"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Serious adverse events or undesirable side effects from any of our drug candidates could arise either during clinical development or, if approved, after the approved product has been marketed. The results of future clinical trials may show that our drug candidates cause serious adverse events or undesirable side effects, which could interrupt, delay or halt clinical trials, resulting in delay of, or failure to obtain, marketing approval from the FDA and other regulatory authorities or could result in a more restrictive label if our drug candidates are approved.</w:t>
      </w:r>
    </w:p>
    <w:p>
      <w:pPr>
        <w:spacing w:after="0" w:line="4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Further, we, and our clinical trial investigators, currently determine if serious adverse or unacceptable side effects are drug-related. The FDA or non-U.S. regulatory authorities may disagree with our or our clinical trial investigators’ interpretation of data from clinical trials and the conclusion by us or our clinical trial investigators that a serious adverse effect or unacceptable side effect was not drug-related. The FDA or non-U.S. regulatory authorities may require more information, including additional preclinical or clinical data to support approval, which may cause us to incur additional expenses, delay or prevent the approval of one of our drug candidates, and/or delay or cause us to change our commercialization plans, or we may decide to abandon the development or commercialization of the drug candidate altogether.</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If any of our drug candidates cause serious adverse events or undesirable side effects either during clinical development, or after marketing approval, if obtained:</w:t>
      </w:r>
    </w:p>
    <w:p>
      <w:pPr>
        <w:spacing w:after="0" w:line="78" w:lineRule="exact"/>
        <w:rPr>
          <w:sz w:val="20"/>
          <w:szCs w:val="20"/>
          <w:color w:val="auto"/>
        </w:rPr>
      </w:pPr>
    </w:p>
    <w:p>
      <w:pPr>
        <w:ind w:left="640" w:hanging="324"/>
        <w:spacing w:after="0" w:line="279" w:lineRule="auto"/>
        <w:tabs>
          <w:tab w:leader="none" w:pos="637"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authorities, IRBs, or the DSMB may impose a clinical hold, or we may decide on our own to suspend or terminate a study, which could result in substantial delays and adversely impact our ability to continue development of the product;</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authorities may require the addition of labeling statements, specific warnings, contraindications or field alerts to study subjects, investigators, physicians or pharmacies;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required to change the product design or the way the product is administered, conduct additional clinical trials or change the labeling of the product;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required to implement a REMS, which could result in substantial cost increases or signification limitations on distribution or have a negative impact on our ability to successfully commercialize the product;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required to limit the patients who can receive the product;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subject to limitations on how we promote the product;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of the product may decrease significantly;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authorities may require us to take our approved product off the market;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subject to litigation or product liability claims;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reputation may suffer.</w:t>
      </w:r>
    </w:p>
    <w:p>
      <w:pPr>
        <w:spacing w:after="0" w:line="78"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Any of these events could prevent us from obtaining approval or achieving or maintaining market acceptance of the affected product, if approved, or could substantially increase commercialization costs and expenses, which in turn could delay or prevent us from generating significant revenues from the sale of our products.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any of our drug candidates for which we receive regulatory approval do not achieve broad market acceptance, the revenues that are generated from their sales will be limited.</w:t>
      </w:r>
    </w:p>
    <w:p>
      <w:pPr>
        <w:spacing w:after="0" w:line="82"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The commercial success of our drug candidates, if approved, will depend upon the acceptance of these products among physicians, healthcare payors, patients and others in the medical community. The degree of market acceptance of our drug candidates will depend on a number of factors, including:</w:t>
      </w:r>
    </w:p>
    <w:p>
      <w:pPr>
        <w:spacing w:after="0" w:line="39" w:lineRule="exact"/>
        <w:rPr>
          <w:sz w:val="20"/>
          <w:szCs w:val="20"/>
          <w:color w:val="auto"/>
        </w:rPr>
      </w:pPr>
    </w:p>
    <w:p>
      <w:pPr>
        <w:ind w:left="640" w:hanging="324"/>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limitations or warnings contained in a product’s FDA-approved labeling;</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standard of care or the availability of alternative therapies for the targeted indications for any of our drug candidates;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limitations in the approved indications for our drug candidates;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demonstrated clinical safety and efficacy compared to other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lack of significant adverse side effects;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education, sales, marketing and distribution support;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availability and degree of coverage and reimbursement from third-party payors;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timing of market introduction and perceived effectiveness of competitive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cost-effectiveness;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availability of alternative therapies at similar or lower cost, including generics, biosimilar and over-the-counter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adverse publicity about our drug candidates or favorable publicity about competitive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convenience and ease of administration of our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product liability claims;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government-imposed pricing restrictions.</w:t>
      </w:r>
    </w:p>
    <w:p>
      <w:pPr>
        <w:spacing w:after="0" w:line="78"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If our drug candidates are approved, but do not achieve an adequate level of acceptance by physicians, healthcare payors, patients and others in the medical community, sufficient revenue may not be generated from these products, and we may not become or remain profitable. In addition, efforts to educate the medical community and third-party payors on the benefits of our drug candidates may require significant resources and may not be successful.</w:t>
      </w:r>
    </w:p>
    <w:p>
      <w:pPr>
        <w:spacing w:after="0" w:line="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do not have a sales or marketing infrastructure and have no experience in the sale or marketing of pharmaceutical drugs. To achieve commercial success for any approved drug for which sales and marketing is not the responsibility of any strategic collaborator that we may have in the future, we must either develop a sales and marketing organization or outsource these functions to other third parties. In the future, we may choose to build a sales and marketing infrastructure to market our drug candidates, if and when they are approved, or enter into collaborations with respect to the sale and marketing of our drug candidate.</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commercial launch of a drug candidate.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Factors that may inhibit our efforts to commercialize our drugs on our own include:</w:t>
      </w:r>
    </w:p>
    <w:p>
      <w:pPr>
        <w:spacing w:after="0" w:line="78" w:lineRule="exact"/>
        <w:rPr>
          <w:sz w:val="20"/>
          <w:szCs w:val="20"/>
          <w:color w:val="auto"/>
        </w:rPr>
      </w:pPr>
    </w:p>
    <w:p>
      <w:pPr>
        <w:ind w:left="640" w:hanging="324"/>
        <w:spacing w:after="0"/>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inability to recruit and retain adequate numbers of effective sales and marketing personnel;</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inability of sales personnel to obtain access to physicians or persuade adequate numbers of physicians to prescribe any future drugs;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640" w:hanging="324"/>
        <w:spacing w:after="0"/>
        <w:tabs>
          <w:tab w:leader="none" w:pos="6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lack of complementary drugs to be offered by sales personnel, which may put us at a competitive disadvantage relative to companies with more extensive drug lines;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unforeseen costs and expenses associated with creating an independent sales and marketing organization;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obtain sufficient coverage and reimbursement from third-party payors and governmental agencies.</w:t>
      </w:r>
    </w:p>
    <w:p>
      <w:pPr>
        <w:spacing w:after="0" w:line="7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Entering into arrangements with third parties to perform sales and marketing services may result in lower revenues from the sale of drug or the profitability of these revenues to us than if we were to market and sell any drugs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drugs effectively. If we do not establish sales and marketing capabilities successfully, either on our own or in collaboration with third parties, we will not be successful in commercializing our drug candidates.</w:t>
      </w:r>
    </w:p>
    <w:p>
      <w:pPr>
        <w:spacing w:after="0" w:line="4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Even if our drug candidates receive regulatory approval, we will still be subject to ongoing obligations and continued regulatory review, which may result in significant additional expense, and we may still face future development and regulatory difficulties.</w:t>
      </w:r>
    </w:p>
    <w:p>
      <w:pPr>
        <w:spacing w:after="0" w:line="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Even if regulatory approval is obtained for any of our drug candidates, regulatory authorities may still impose significant restrictions on a product’s indicated uses or marketing or impose ongoing requirements for potentially costly post-approval studies. Given the number of high profile adverse safety events with certain drug products, regulatory authorities may require, as a condition of approval, a costly REMS, which may include safety surveillance, restricted distribution and use, patient education, enhanced labeling, expedited reporting of certain adverse events, pre-approval of promotional materials and restrictions on direct-to-consumer advertising. For example, any labeling approved for any of our drug candidates may include a restriction on the term of its use, or it may not include one or more of our intended indications or patient populations. Furthermore, any new legislation addressing drug safety issues could result in delays or increased costs during the period of product development, clinical trials and regulatory review and approval, as well as increased costs to assure compliance with any new post-approval regulatory requirements.</w:t>
      </w:r>
    </w:p>
    <w:p>
      <w:pPr>
        <w:spacing w:after="0" w:line="5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Our drug candidates will also be subject to ongoing regulatory requirements for the labeling, packaging, storage, advertising, promotion, record-keeping and submission of safety and other post-market information. In addition, sellers of approved products, manufacturers and manufacturers’ facilities are required to comply with extensive FDA requirements, including ensuring that quality control and manufacturing procedures conform to cGMP. As such, we and our CMOs are subject to continual review and periodic inspections to assess compliance with cGMP and the terms and conditions of approvals. Accordingly, we and others with whom we work must continue to expend time, money and effort in all areas of regulatory compliance, including manufacturing, production and quality control. We will also be required to report certain adverse reactions and production problems, if any, to the FDA, and to comply with certain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w:t>
      </w:r>
    </w:p>
    <w:p>
      <w:pPr>
        <w:spacing w:after="0" w:line="5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If a regulatory agency discovers problems with a product, such as adverse events of unanticipated severity or frequency, or problems with the facility where the product is manufactured, or objects to the promotion, marketing or labeling of a product, it may impose restrictions on that product or us, including requiring withdrawal of the product from the market. If our drug candidates fail to comply with applicable regulatory requirements, a regulatory agency may:</w:t>
      </w:r>
    </w:p>
    <w:p>
      <w:pPr>
        <w:spacing w:after="0" w:line="47" w:lineRule="exact"/>
        <w:rPr>
          <w:sz w:val="20"/>
          <w:szCs w:val="20"/>
          <w:color w:val="auto"/>
        </w:rPr>
      </w:pPr>
    </w:p>
    <w:p>
      <w:pPr>
        <w:ind w:left="640" w:hanging="324"/>
        <w:spacing w:after="0"/>
        <w:tabs>
          <w:tab w:leader="none" w:pos="6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 warning letters or untitled letters;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mandate modifications to promotional materials or require us to disseminate corrective information to healthcare practitioners or other parties;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 us to enter into a consent decree or permanent injunction, which can include imposition of various fines, reimbursements for inspection costs, required due dates for specific actions and penalties for noncompliance;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impose other civil or criminal penalties;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suspend or withdraw regulatory approval;</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suspend any ongoing clinical trials;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refuse to approve pending applications or supplements to approved applications filed by us;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impose restrictions on operations, including costly new manufacturing requirements; or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seize or detain products or require a product recall.</w:t>
      </w:r>
    </w:p>
    <w:p>
      <w:pPr>
        <w:spacing w:after="0" w:line="7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expect that our existing and future drug candidates will face competition, and most of our competitors have significantly greater resources than we do.</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biopharmaceutical industry is characterized by intense competition and rapid innovation. Our potential competitors include large pharmaceutical and biotechnology companies, specialty pharmaceutical companies, generic or biosimilar drug companies, universities and other research institutions. Our drug candidates, if successfully developed and approved, will compete in crowded and competitive markets. In order to compete with approved products, our drug candidates will need to demonstrate compelling advantages. We believe the key competitive factors that will affect the development and commercial success of our drug candidates are efficacy, safety and tolerability profile, mechanism of action, control and predictability, convenience of dosing and price and reimbursement.</w:t>
      </w:r>
    </w:p>
    <w:p>
      <w:pPr>
        <w:spacing w:after="0" w:line="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Oral non-insulin agents that are currently being developed to treat type 1 diabetes that may compete with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include SGLT-1/2 inhibitors, such as sotagliflozin, being developed by Lexicon and SGLT-2 inhibitors such as AstraZeneca’s dapagliflozin and Eli Lilly/Boehringer Ingelheim’s empagliflozin, and somatostatin type 2 receptor blockers such as Zucara's ZT-01. Some of these SGLT-1 and SGLT-2 inhibitors had been approved for certain sub-groups of type 1 diabetics in Europe and Japan, but are no longer marketed there, and have not been approved for use in the U.S. due to safety risks including those pertaining to diabetic ketoacidosis.</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Many of our potential competitors have substantially greater:</w:t>
      </w:r>
    </w:p>
    <w:p>
      <w:pPr>
        <w:spacing w:after="0" w:line="78" w:lineRule="exact"/>
        <w:rPr>
          <w:sz w:val="20"/>
          <w:szCs w:val="20"/>
          <w:color w:val="auto"/>
        </w:rPr>
      </w:pPr>
    </w:p>
    <w:p>
      <w:pPr>
        <w:ind w:left="640" w:hanging="324"/>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resources, including capital, personnel and technology;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research and development capability;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clinical trial expertise;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expertise;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intellectual property rights, including patent rights;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expertise in obtaining, maintaining, defending and enforcing intellectual property rights, including patent rights;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manufacturing and distribution expertise;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and marketing expertise.</w:t>
      </w:r>
    </w:p>
    <w:p>
      <w:pPr>
        <w:spacing w:after="0" w:line="78"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In addition, academic and government institutions are increasingly likely to enter into exclusive licensing agreements with commercial enterprises, including our competitors, to market commercial products based on technology developed at such institutions. Many of these competitors have significant products approved or in development that could be competitive with our products.</w:t>
      </w:r>
    </w:p>
    <w:p>
      <w:pPr>
        <w:spacing w:after="0" w:line="3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Accordingly, our competitors may be more successful than us in obtaining regulatory approval for drugs and achieving widespread market acceptance. Our competitors’ drugs may be more effective, less costly, or more effectively marketed and sold, than any drug candidate we may commercialize and may render our drug candidates obsolete or non-competitive before we can recover the expenses of their development and commercialization. We anticipate that we will face intense and increasing competition as new drugs enter the market and advanced technologies become available. Finally, the development of new treatment methods for the diseases we are targeting could render our drug candidates non-competitive or obsolete.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Current and future legislation may increase the difficulty and cost for us and any future collaborators to obtain marketing approval of our other drug candidates and affect the prices we, or they, may obtain.</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In the United States and some foreign jurisdictions, there have been a number of legislative and regulatory changes and proposed changes regarding the healthcare system that could, among other things, prevent or delay marketing approval of our drug candidates, restrict or regulate post-approval activities and affect our ability, or the ability of any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In the European Union, similar political, economic and regulatory developments may affect our ability to profitably commercialize our products. In addition to continuing pressure on prices and cost containment measures, legislative developments at the European Union or member state level may result in significant additional requirements or obstacles that may increase our operating costs.</w:t>
      </w:r>
    </w:p>
    <w:p>
      <w:pPr>
        <w:spacing w:after="0" w:line="53"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Moreover, legislative and regulatory proposals have also been made to expand post-approval requirements and restrict sales and promotional activities for pharmaceutical drugs. We cannot be sure whether additional legislative changes will be enacted, or whether the FDA regulations, guidance or interpretations will be changed, or what the impact of such changes on the marketing approvals of our drug candidates, if any, may be. In addition, increased scrutiny by the United States Congress of the FDA’s approval process may significantly delay or prevent marketing approval, as well as subject us and any future collaborators to more stringent drug labeling and post-marketing testing and other requirements.</w:t>
      </w:r>
    </w:p>
    <w:p>
      <w:pPr>
        <w:spacing w:after="0" w:line="4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current and future relationships with healthcare professionals, principal investigators, consultants, customers (actual and potential) and third-party payors in the United States and elsewhere may be subject, directly or indirectly, to applicable healthcare laws and regulations.</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Healthcare providers, physicians and third-party payors in the United States and elsewhere will play a primary role in the recommendation and prescription of any drug candidates for which we obtain marketing approval. Our current and future arrangements with healthcare professionals, principal investigators, consultants, customers (actual and potential) and third-party payors may expose us to broadly applicable fraud and abuse and other healthcare laws, including, without limitation:</w:t>
      </w:r>
    </w:p>
    <w:p>
      <w:pPr>
        <w:spacing w:after="0" w:line="47" w:lineRule="exact"/>
        <w:rPr>
          <w:sz w:val="20"/>
          <w:szCs w:val="20"/>
          <w:color w:val="auto"/>
        </w:rPr>
      </w:pPr>
    </w:p>
    <w:p>
      <w:pPr>
        <w:jc w:val="both"/>
        <w:ind w:left="640" w:hanging="324"/>
        <w:spacing w:after="0" w:line="255" w:lineRule="auto"/>
        <w:tabs>
          <w:tab w:leader="none" w:pos="637"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Food, Drug and Cosmetic Act (“FDCA”) is the statute that provides the FDA with authority to oversee the safety and approval of pharmaceutical products. The FDCA vests authority with the FDA to conduct inspections of sponsors conducting pharmaceutical development, such as vTv, to protect the rights, safety and welfare of clinical trial subjects, ensure the accuracy and reliability of clinical trial data, and verify compliance with FDA regulations. The FDCA sets forth the standards for approval of new and generic drugs, as well as setting forth the prohibition on marketing investigational products that have not been approved by the FDA as safe and effective. The government (FDA and SEC) use the FDCA to ensure that companies do not mislead the medical, patient or investor communities about investigational products prior to their approval. To that end, the FDCA prohibits “off-label promotion” of any investigational or approved product for any uses, doses or populations, except that set forth in the full prescribing information approved by the FDA. While physicians can prescribe a product for any dose, purpose or population in their medical judgment, manufacturers can only market products for their FDA-approved dose, purpose and population. There are significant civil and criminal penalties that attach to violations of the FDCA, including strict liability misdemeanors for responsible corporate officers, even if such officers were not involved in or aware of the underlying wrongdoing;</w:t>
      </w:r>
    </w:p>
    <w:p>
      <w:pPr>
        <w:spacing w:after="0" w:line="53" w:lineRule="exact"/>
        <w:rPr>
          <w:rFonts w:ascii="Times New Roman" w:cs="Times New Roman" w:eastAsia="Times New Roman" w:hAnsi="Times New Roman"/>
          <w:sz w:val="12"/>
          <w:szCs w:val="12"/>
          <w:color w:val="auto"/>
        </w:rPr>
      </w:pPr>
    </w:p>
    <w:p>
      <w:pPr>
        <w:jc w:val="both"/>
        <w:ind w:left="640" w:hanging="324"/>
        <w:spacing w:after="0" w:line="257" w:lineRule="auto"/>
        <w:tabs>
          <w:tab w:leader="none" w:pos="637"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federal and state healthcare programs such as Medicare and Medicaid. A person or entity does not need to have actual knowledge of the statute or specific intent to violate it to have committed a violation. In addition, the Affordable Care Act provided that the government may assert that a claim including items or services resulting from a violation of the federal Anti-Kickback Statute constitutes a false or fraudulent claim for purposes of the False Claims Act;</w:t>
      </w:r>
    </w:p>
    <w:p>
      <w:pPr>
        <w:spacing w:after="0" w:line="53" w:lineRule="exact"/>
        <w:rPr>
          <w:rFonts w:ascii="Times New Roman" w:cs="Times New Roman" w:eastAsia="Times New Roman" w:hAnsi="Times New Roman"/>
          <w:sz w:val="12"/>
          <w:szCs w:val="12"/>
          <w:color w:val="auto"/>
        </w:rPr>
      </w:pPr>
    </w:p>
    <w:p>
      <w:pPr>
        <w:jc w:val="both"/>
        <w:ind w:left="640" w:hanging="324"/>
        <w:spacing w:after="0" w:line="265" w:lineRule="auto"/>
        <w:tabs>
          <w:tab w:leader="none" w:pos="637"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federal civil and criminal false claims laws, including the federal False Claims Act, which impose criminal and civil penalties, including civil whistleblower actions, against individuals or entities for, among other things, knowingly presenting, or causing to be presented, to the federal government, including the Medicare and Medicaid programs, claims for payment that are false or fraudulent or making a false statement to avoid, decrease or conceal an obligation to pay money to the federal government;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ind w:left="640" w:hanging="324"/>
        <w:spacing w:after="0" w:line="265" w:lineRule="auto"/>
        <w:tabs>
          <w:tab w:leader="none" w:pos="637"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Foreign Corrupt Practices Act ("FCPA") that prohibits payments to foreign public officials relating to official acts. In addition to its prohibition on bribery of foreign government officials, the Act requires companies to maintain accurate records and have vigorous internal controls. The DOJ and SEC have made FCPA enforcement a high priority. In addition, other anti-corruption laws such as the UK Bribery Act are even broader than the FCPA in that they apply to bribes offered to any person, not just government officials. There are significant criminal and civil penalties and fines that attach to violations of the FCPA;</w:t>
      </w:r>
    </w:p>
    <w:p>
      <w:pPr>
        <w:spacing w:after="0" w:line="46" w:lineRule="exact"/>
        <w:rPr>
          <w:rFonts w:ascii="Times New Roman" w:cs="Times New Roman" w:eastAsia="Times New Roman" w:hAnsi="Times New Roman"/>
          <w:sz w:val="12"/>
          <w:szCs w:val="12"/>
          <w:color w:val="auto"/>
        </w:rPr>
      </w:pPr>
    </w:p>
    <w:p>
      <w:pPr>
        <w:ind w:left="640" w:right="20" w:hanging="324"/>
        <w:spacing w:after="0" w:line="279" w:lineRule="auto"/>
        <w:tabs>
          <w:tab w:leader="none" w:pos="637"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39" w:lineRule="exact"/>
        <w:rPr>
          <w:rFonts w:ascii="Times New Roman" w:cs="Times New Roman" w:eastAsia="Times New Roman" w:hAnsi="Times New Roman"/>
          <w:sz w:val="12"/>
          <w:szCs w:val="12"/>
          <w:color w:val="auto"/>
        </w:rPr>
      </w:pPr>
    </w:p>
    <w:p>
      <w:pPr>
        <w:jc w:val="both"/>
        <w:ind w:left="640" w:hanging="324"/>
        <w:spacing w:after="0" w:line="257" w:lineRule="auto"/>
        <w:tabs>
          <w:tab w:leader="none" w:pos="637"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Health Insurance Portability and Accountability Act of 1996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knowingly and willfully embezzling or stealing from a healthcare benefit program, willfully obstructing a criminal investigation of a healthcare offense and knowingly and willfully falsifying, concealing or covering up by any trick or device a material fact or making any materially false statements in connection with the delivery of, or payment for, healthcare benefits, items or services relating to healthcare matters. A person or entity does not need to have actual knowledge of the statute or specific intent to violate it to have committed a violation;</w:t>
      </w:r>
    </w:p>
    <w:p>
      <w:pPr>
        <w:spacing w:after="0" w:line="53" w:lineRule="exact"/>
        <w:rPr>
          <w:rFonts w:ascii="Times New Roman" w:cs="Times New Roman" w:eastAsia="Times New Roman" w:hAnsi="Times New Roman"/>
          <w:sz w:val="12"/>
          <w:szCs w:val="12"/>
          <w:color w:val="auto"/>
        </w:rPr>
      </w:pPr>
    </w:p>
    <w:p>
      <w:pPr>
        <w:jc w:val="both"/>
        <w:ind w:left="640" w:hanging="324"/>
        <w:spacing w:after="0" w:line="265" w:lineRule="auto"/>
        <w:tabs>
          <w:tab w:leader="none" w:pos="637"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HIPAA, as amended by Health Information Technology for Economic and Clinical Health Act (HITECH), and their respective implementing regulations, which impose obligations on covered entities, including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46" w:lineRule="exact"/>
        <w:rPr>
          <w:rFonts w:ascii="Times New Roman" w:cs="Times New Roman" w:eastAsia="Times New Roman" w:hAnsi="Times New Roman"/>
          <w:sz w:val="12"/>
          <w:szCs w:val="12"/>
          <w:color w:val="auto"/>
        </w:rPr>
      </w:pPr>
    </w:p>
    <w:p>
      <w:pPr>
        <w:ind w:left="640" w:hanging="324"/>
        <w:spacing w:after="0" w:line="279" w:lineRule="auto"/>
        <w:tabs>
          <w:tab w:leader="none" w:pos="637"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federal Physician Payments Sunshine Act and its implementing regulations, which imposed annual reporting requirements for certain manufacturers of drugs, devices, biological products and medical supplies for payments and “transfers of value” provided to physicians and teaching hospitals, as well as ownership and investment interests held by physicians and their immediate family members; and</w:t>
      </w:r>
    </w:p>
    <w:p>
      <w:pPr>
        <w:spacing w:after="0" w:line="39" w:lineRule="exact"/>
        <w:rPr>
          <w:rFonts w:ascii="Times New Roman" w:cs="Times New Roman" w:eastAsia="Times New Roman" w:hAnsi="Times New Roman"/>
          <w:sz w:val="12"/>
          <w:szCs w:val="12"/>
          <w:color w:val="auto"/>
        </w:rPr>
      </w:pPr>
    </w:p>
    <w:p>
      <w:pPr>
        <w:jc w:val="both"/>
        <w:ind w:left="640" w:hanging="324"/>
        <w:spacing w:after="0" w:line="257" w:lineRule="auto"/>
        <w:tabs>
          <w:tab w:leader="none" w:pos="637"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analogous state and foreign laws,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5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Efforts to ensure that our future business arrangements with third parties will comply with applicable healthcare laws and regulations may involve substantial costs. It is possible that governmental authorities will conclude that our business activities, including our relationships with physician consultants, some of whom may prescribe our product candidates, if approved, in the future,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and the curtailment or restructuring of our operations, which could significantly harm our business.</w:t>
      </w:r>
    </w:p>
    <w:p>
      <w:pPr>
        <w:spacing w:after="0" w:line="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try to obtain approval to commercialize any products outside the United States, many of the same risks that apply to obtaining approvals in the United States will likely apply to such a process, and even if we obtain approval to commercialize any such products outside of the United States, a variety of risks associated with international operations could materially adversely affect our business.</w:t>
      </w:r>
    </w:p>
    <w:p>
      <w:pPr>
        <w:spacing w:after="0" w:line="35"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If we try to obtain approval to commercialize any of our products outside the United States, many of the same risks with respect to obtaining such approvals in the United States will apply to that process. If any of our drug candidates are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approved for commercialization outside of the United States, we intend to enter into agreements with third parties to market them on a worldwide basis or in more limited geographical regions. In that event, we expect that we will be subject to additional risks related to entering into international business relationships, including:</w:t>
      </w:r>
    </w:p>
    <w:p>
      <w:pPr>
        <w:spacing w:after="0" w:line="39" w:lineRule="exact"/>
        <w:rPr>
          <w:sz w:val="20"/>
          <w:szCs w:val="20"/>
          <w:color w:val="auto"/>
        </w:rPr>
      </w:pPr>
    </w:p>
    <w:p>
      <w:pPr>
        <w:ind w:left="640" w:hanging="324"/>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different regulatory requirements for drug approvals;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reduced protection for intellectual property rights, including trade secret and patent rights;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existing tariffs, trade barriers and regulatory requirements and expected or unexpected changes;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economic weakness, including inflation, or political instability in foreign economies and markets;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tax, employment, immigration and labor laws for employees living or traveling abroad;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foreign taxes, including withholding of payroll taxes;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foreign currency fluctuations, which could result in increased operating expenses and reduced revenues, and other obligations incident to doing business in another country;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workforce uncertainty in countries where labor unrest is more or less common than in the United States;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production shortages resulting from any events affecting raw material supply or manufacturing capabilities abroad;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business interruptions resulting from geopolitical actions, including war and terrorism, or natural disasters including earthquakes, hurricanes, floods and fires;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difficulty in importing and exporting clinical trial materials and study samples.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Our Dependence on Third Parties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succeed in establishing and maintaining collaborative relationships, which may significantly limit our ability to develop and commercialize our drug candidates successfully, if at all.</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We intend to seek collaborative relationships for the development and/or commercialization of our drug candidates, including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Failure to obtain a collaborative relationship for these candidates, particularly in the European Union and for other markets requiring extensive sales efforts, may significantly impair the potential for our drug candidates. We also will need to enter into collaborative relationships to provide funding to support our other research and development programs. The process of establishing and maintaining collaborative relationships is difficult, time-consuming and involves significant uncertainty, including:</w:t>
      </w:r>
    </w:p>
    <w:p>
      <w:pPr>
        <w:spacing w:after="0" w:line="47" w:lineRule="exact"/>
        <w:rPr>
          <w:sz w:val="20"/>
          <w:szCs w:val="20"/>
          <w:color w:val="auto"/>
        </w:rPr>
      </w:pPr>
    </w:p>
    <w:p>
      <w:pPr>
        <w:ind w:left="640" w:hanging="324"/>
        <w:spacing w:after="0"/>
        <w:tabs>
          <w:tab w:leader="none" w:pos="64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collaboration partner may shift its priorities and resources away from our drug candidates due to a change in business strategies, or a merger, acquisition, sale or downsizing;</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collaboration partner may seek to renegotiate or terminate their relationships with us due to unsatisfactory clinical results, manufacturing issues, a change in business strategy, a change of control or other reasons;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collaboration partner may cease development in therapeutic areas which are the subject of our strategic collaboration;</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collaboration partner may not devote sufficient capital or resources towards our drug candidates;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collaboration partner may change the success criteria for a drug candidate thereby delaying or ceasing development of such candidate;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significant delay in initiation of certain development activities by a collaboration partner will also delay payment of milestones tied to such activities, thereby impacting our ability to fund our own activities;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collaboration partner could develop a product that competes, either directly or indirectly, with our drug candidate;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collaboration partner with commercialization obligations may not commit sufficient financial or human resources to the marketing, distribution or sale of a product;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collaboration partner with manufacturing responsibilities may encounter regulatory, resource or quality issues and be unable to meet demand requirements;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partner may exercise a contractual right to terminate a strategic alliance;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640" w:hanging="324"/>
        <w:spacing w:after="0" w:line="279" w:lineRule="auto"/>
        <w:tabs>
          <w:tab w:leader="none" w:pos="637"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dispute may arise between us and a partner concerning the research, development or commercialization of a drug candidate resulting in a delay in milestones, royalty payments or termination of an alliance and possibly resulting in costly litigation or arbitration which may divert management attention and resources; and</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partner may use our products or technology in such a way as to invite litigation from a third party.</w:t>
      </w:r>
    </w:p>
    <w:p>
      <w:pPr>
        <w:spacing w:after="0" w:line="7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Any collaborative partners we enter into agreements with in the future may shift their priorities and resources away from our drug candidates or seek to renegotiate or terminate their relationships with us. If any collaborator fails to fulfill its responsibilities in a timely manner, or at all, our research, clinical development, manufacturing or commercialization efforts related to that collaboration could be delayed or terminated, or it may be necessary for us to assume responsibility for expenses or activities that would otherwise have been the responsibility of our collaborator. If we are unable to establish and maintain collaborative relationships on acceptable terms or to successfully transition terminated collaborative agreements, we may have to delay or discontinue further development of one or more of our drug candidates, undertake development and commercialization activities at our own expense or find alternative sources of capital.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rely on third parties to conduct, supervise and monitor certain of our clinical trials, and if those third parties perform in an unsatisfactory manner, it may harm our business.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rely on CROs and clinical trial sites to ensure the proper and timely conduct of certain of our clinical trials. While we have agreements governing their activities, and continue to monitor their compliance with those agreements as well as federal standards and regulations, we have limited influence over their actual performance. We will control only certain aspects of our CROs’ activities. Nevertheless, we will be responsible for ensuring that our clinical trials are conducted in accordance with the applicable protocol, legal, regulatory and scientific standards and our reliance on the CROs does not relieve us of our regulatory responsibilities.</w:t>
      </w:r>
    </w:p>
    <w:p>
      <w:pPr>
        <w:spacing w:after="0" w:line="4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We and our CROs are required to comply with the FDA’s good clinical practices requirements (“GCPs”) for conducting, recording and reporting the results of clinical trials to assure that data and reported results are credible and accurate and that the rights, integrity and confidentiality of clinical trial participants are protected. The FDA enforces these GCPs through periodic inspections of trial sponsors, principal investigators and clinical trial sites. If we or our CROs fail to comply with applicable GCPs, the clinical data generated in our clinical trials may be deemed unreliable and the FDA may require us to perform additional clinical trials before approving any marketing applications. Upon inspection, the FDA may determine that our clinical trials did not comply with GCPs. In addition, our clinical trials conducted by third parties will require a sufficiently large number of test subjects to evaluate the safety and effectiveness of a drug candidate. Accordingly, if our CROs fail to comply with these regulations or fail to recruit a sufficient number of patients, our clinical trials may be delayed or we may be required to repeat such clinical trials, which would delay the regulatory approval process.</w:t>
      </w:r>
    </w:p>
    <w:p>
      <w:pPr>
        <w:spacing w:after="0" w:line="53"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Our CROs are not our employees, and although we monitor their activities related to our trials, we are not able to control whether or not they devote sufficient time and resources to our clinical trials.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drug candidates. As a result, our financial results and the commercial prospects for such drug candidates would be harmed, our costs could increase, and our ability to generate revenues could be delayed.</w:t>
      </w:r>
    </w:p>
    <w:p>
      <w:pPr>
        <w:spacing w:after="0" w:line="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We also rely on other third parties to store and distribute drug products for our clinical trials. Any performance failure on the part of our distributors could delay clinical development or marketing approval of our drug candidates or commercialization of our products, if approved, producing additional losses and depriving us of potential product revenue.</w:t>
      </w:r>
    </w:p>
    <w:p>
      <w:pPr>
        <w:spacing w:after="0" w:line="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do not have multiple sources of supply for the components used in cadisegliatin (TTP399) and our other drug candidates. If we were to lose a supplier, it could have a material adverse effect on our ability to complete the development of cadisegliatin or our other drug candidates. If we obtain regulatory approval for cadisegliatin or our other drug candidates, we would need to expand the supply of their components in order to commercialize them.</w:t>
      </w:r>
    </w:p>
    <w:p>
      <w:pPr>
        <w:spacing w:after="0" w:line="3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We do not have multiple sources of supply for the components used in our drug candidates. We also do not have long-term supply agreements with any of our suppliers. If for any reason we are unable to obtain drug substance or drug product from the manufacturers we select, we would have to seek to obtain these from other manufacturers. We may not be able to establish additional sources of supply for our drug candidates, or may be unable to do so on acceptable terms. Such suppliers are subject to regulatory requirements, covering manufacturing, testing, quality control and record keeping relating to our drug candidates and subject to ongoing inspections by the regulatory agencies. Failure by any of our suppliers to comply with applicable regulations may result in long delays and interruptions.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number of suppliers of the raw material components of our drug candidates is limited. In the event it is necessary or desirable to acquire supplies from an alternative supplier, we might not be able to obtain them on commercially reasonable terms, if at all. It could also require significant time and expense to redesign our manufacturing processes to work with another company.</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 part of any marketing approval, a manufacturer and its processes are required to be qualified by the FDA prior to commercialization. If supply from the approved supplier is interrupted, there could be a significant disruption in commercial supply. An alternative vendor would need to be qualified through an NDA amendment or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47"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If we are unable to obtain the supplies we need at a reasonable price or on a timely basis, it could have a material adverse effect on our ability to complete the development of our drug candidates or, if we obtain regulatory approval for our drug candidates, to commercialize them.</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intend to rely on third-party manufacturers to produce our drug candidates. If we experience problems with any of these suppliers, the manufacturing of our drug candidates or products could be delayed.</w:t>
      </w:r>
    </w:p>
    <w:p>
      <w:pPr>
        <w:spacing w:after="0" w:line="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We do not have the capability to manufacture our drug candidates and do not intend to develop that capability. In order to continue to develop our drug candidates, apply for regulatory approvals and ultimately commercialize products, we need to develop, contract for or otherwise arrange for the necessary manufacturing capabilities. The facilities used by our CMOs to manufacture our drug candidates must be approved by the FDA pursuant to inspections that will be conducted after we submit our NDA to the FDA. We do not control the manufacturing process of, and are completely dependent on, our contract manufacturing partners for compliance with the regulatory requirements, known as cGMPs, for manufacture of both active drug substances and finished drug products. If our CMOs cannot successfully manufacture material that conforms to our specifications and the regulatory requirements of the FDA or others, they will not be able to secure and/or maintain regulatory approval for their manufacturing facilities. In addition, although we monitor our suppliers and their compliance with our contractual terms and federal laws and regulations, we do not control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56"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addition, there are a limited number of manufacturers that operate under the FDA’s cGMP regulations capable of manufacturing our drug candidates. As a result, we may have difficulty finding manufacturers for our drug candidates with adequate capacity for our needs. If we are unable to arrange for third-party manufacturing of our drug candidates on a timely basis, or to do so on commercially reasonable terms, we may not be able to complete development of our drug candidates or market them.</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Reliance on third-party manufacturers entails risks to which we might not be subject if we manufactured drug candidates ourselves, including:</w:t>
      </w:r>
    </w:p>
    <w:p>
      <w:pPr>
        <w:spacing w:after="0" w:line="78" w:lineRule="exact"/>
        <w:rPr>
          <w:sz w:val="20"/>
          <w:szCs w:val="20"/>
          <w:color w:val="auto"/>
        </w:rPr>
      </w:pPr>
    </w:p>
    <w:p>
      <w:pPr>
        <w:ind w:left="640" w:hanging="324"/>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limited number of manufacturers that could produce our drug candidates for us;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inability to meet our product specifications and quality requirements consistently;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access production facilities on a timely basis;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or delay in increasing manufacturing capacity;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manufacturing and product quality issues related to scale-up of manufacturing;</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and validation of new equipment and facilities required for commercial level activity;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failure to satisfy the FDA’s cGMP requirements and similar foreign standards on a consistent basis;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inability to negotiate manufacturing agreements with third parties under commercially reasonable terms;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termination or nonrenewal of manufacturing agreements with third parties in a manner or at a time that is costly or damaging to us;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reliance on a single source of supply which, if unavailable, would delay our ability to complete our clinical trials or to sell any product for which we have received marketing approval;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640" w:hanging="324"/>
        <w:spacing w:after="0"/>
        <w:tabs>
          <w:tab w:leader="none" w:pos="6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lack of qualified backup suppliers for supplies that are currently purchased from a single source supplier;</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carrier disruptions or increased costs that are beyond our control;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failure to deliver products under specified storage conditions and in a timely manner.</w:t>
      </w:r>
    </w:p>
    <w:p>
      <w:pPr>
        <w:spacing w:after="0" w:line="7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Any of these risks could cause the delay of clinical trials, regulatory submissions, required approvals or commercialization of our products, cause us to incur higher costs and prevent us from commercializing our drug candidates successfully. Manufacturing of our drug candidates and any approved products could be disrupted or halted if our third-party manufacturers do not comply with cGMP or foreign manufacturing standards, even if the compliance failure does not relate to our drug candidates or approved products. Furthermore, if any of our drug candidates are approved and our third-party manufacturers fail to deliver the required commercial quantities of finished product on a timely basis and at commercially reasonable prices and we are unable to find one or more replacement manufacturers capable of production at a substantially equivalent cost, in substantially equivalent volumes and quality and on a timely basis, we would likely be unable to meet demand for our products and could lose potential revenue. It may take several years to establish an alternative source of supply for our drug candidates and to have any such new source approved by the FDA or a foreign regulator.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Our Intellectual Property</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success depends on our ability to protect our intellectual property and our proprietary technologies. If we are unable to obtain and maintain sufficient intellectual property protection for our product candidates, or if the scope of the intellectual property protection is not sufficiently broad, our commercial success may be adversely affected.</w:t>
      </w:r>
    </w:p>
    <w:p>
      <w:pPr>
        <w:spacing w:after="0" w:line="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commercial success will depend in part on our ability to:</w:t>
      </w:r>
    </w:p>
    <w:p>
      <w:pPr>
        <w:spacing w:after="0" w:line="78" w:lineRule="exact"/>
        <w:rPr>
          <w:sz w:val="20"/>
          <w:szCs w:val="20"/>
          <w:color w:val="auto"/>
        </w:rPr>
      </w:pPr>
    </w:p>
    <w:p>
      <w:pPr>
        <w:ind w:left="640" w:hanging="324"/>
        <w:spacing w:after="0"/>
        <w:tabs>
          <w:tab w:leader="none" w:pos="64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apply for, obtain, maintain, and enforce patents;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protect trade secrets and other confidential and proprietary information;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operate without infringing upon the proprietary rights of others.</w:t>
      </w:r>
    </w:p>
    <w:p>
      <w:pPr>
        <w:spacing w:after="0" w:line="7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 We will be able to protect our proprietary technologies from unauthorized use by third parties only to the extent that such proprietary rights are covered by regulatory exclusivity, valid and enforceable patents or are effectively maintained as trade secrets. Any non-confidential disclosure to or misappropriation by third parties of our confidential or proprietary information could enable competitors to quickly duplicate or surpass our technological achievements, thus eroding our competitive position in our market.</w:t>
      </w:r>
    </w:p>
    <w:p>
      <w:pPr>
        <w:spacing w:after="0" w:line="5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The patent application process, also known as patent prosecution, is expensive and time-consuming, and we and our current or future licensors and licensees may not be able to prepare, file and prosecute all necessary or desirable patent applications at a reasonable cost or in a timely manner. It is also possible that we or our current licensors or licensees, or any future licensors or licensees, will fail to identify patentable aspects of inventions made in the course of development and commercialization activities before it is too late to obtain patent protection on them. Therefore, these and any of our patents and patent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or determination of inventorship. If we or our current licensors or licensees, or any future licensors or licensees, fail to maintain, or protect such patents and other intellectual property rights, such rights may be reduced or eliminated. Moreover, in some circumstances, we may not have the right to control the preparation, filing and prosecution of patent applications, or to maintain the patents, covering technology that we license from or license to third parties. Therefore, such patents and patent applications may not be prosecuted and enforced in a manner consistent with the best interests of our business. If our current licensors or licensees, or any future licensors or licensees, are not fully cooperative or disagree with us as to the prosecution, maintenance or enforcement of any patent rights, such patent rights could be compromised. If there are material defects in the form or preparation of our patents or patent applications, such patents or applications may be invalid and unenforceable. Any of these outcomes could impair our ability to prevent competition from third parties, which may harm our business.</w:t>
      </w:r>
    </w:p>
    <w:p>
      <w:pPr>
        <w:spacing w:after="0" w:line="54"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future licensors will result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patents being issued or that issued patents will afford sufficient protection against competitors with similar technologies, nor can there be any assurance that the patents issued will not be infringed, designed around or invalidated by third parties.</w:t>
      </w:r>
    </w:p>
    <w:p>
      <w:pPr>
        <w:spacing w:after="0" w:line="3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The patent applications that we own, co-own or license may fail to result in issued patents in the United States or in other countries. Even if patents do issue on such patent applications, third parties may challenge the validity, enforceability, or scope thereof, which may result in such patents being narrowed, invalidated, or held unenforceable. For example, U.S. patents can be challenged by any person before the United States Patent and Trademark Office (“USPTO”) Patent Trial and Appeals Board at any time within the one-year period following that person’s receipt of an allegation of infringement of the patents. Patents granted by the European Patent Office may be similarly opposed by any person within nine months from the publication of the grant. Similar proceedings are available in other jurisdictions.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harm our business. Further, if we encounter delays in our clinical trials, the period of time during which we or our collaborators could market our product candidates under patent protection would be reduced.</w:t>
      </w:r>
    </w:p>
    <w:p>
      <w:pPr>
        <w:spacing w:after="0" w:line="56"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 addition, given the amount of time required for the development, testing and regulatory review of our therapeutic programs and eventual product candidates, patents protecting the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39"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66" w:lineRule="exact"/>
        <w:rPr>
          <w:sz w:val="20"/>
          <w:szCs w:val="20"/>
          <w:color w:val="auto"/>
        </w:rPr>
      </w:pPr>
    </w:p>
    <w:p>
      <w:pPr>
        <w:ind w:left="420" w:hanging="212"/>
        <w:spacing w:after="0" w:line="239" w:lineRule="auto"/>
        <w:tabs>
          <w:tab w:leader="none" w:pos="416"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2"/>
          <w:szCs w:val="12"/>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1" w:lineRule="exact"/>
        <w:rPr>
          <w:rFonts w:ascii="Arial" w:cs="Arial" w:eastAsia="Arial" w:hAnsi="Arial"/>
          <w:sz w:val="14"/>
          <w:szCs w:val="14"/>
          <w:color w:val="auto"/>
        </w:rPr>
      </w:pPr>
    </w:p>
    <w:p>
      <w:pPr>
        <w:ind w:left="420" w:hanging="212"/>
        <w:spacing w:after="0"/>
        <w:tabs>
          <w:tab w:leader="none" w:pos="420"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2"/>
          <w:szCs w:val="12"/>
          <w:color w:val="auto"/>
        </w:rPr>
        <w:t>patent applications may not result in any patents being issued;</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2"/>
          <w:szCs w:val="12"/>
          <w:color w:val="auto"/>
        </w:rPr>
        <w:t>patents may be challenged, invalidated, modified, revoked, circumvented, found to be unenforceable or otherwise may not provide any competitive advantage;</w:t>
      </w:r>
    </w:p>
    <w:p>
      <w:pPr>
        <w:spacing w:after="0" w:line="25" w:lineRule="exact"/>
        <w:rPr>
          <w:rFonts w:ascii="Arial" w:cs="Arial" w:eastAsia="Arial" w:hAnsi="Arial"/>
          <w:sz w:val="14"/>
          <w:szCs w:val="14"/>
          <w:color w:val="auto"/>
        </w:rPr>
      </w:pPr>
    </w:p>
    <w:p>
      <w:pPr>
        <w:ind w:left="420" w:hanging="212"/>
        <w:spacing w:after="0" w:line="239" w:lineRule="auto"/>
        <w:tabs>
          <w:tab w:leader="none" w:pos="416"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2"/>
          <w:szCs w:val="12"/>
          <w:color w:val="auto"/>
        </w:rPr>
        <w:t>our competitors, many of whom may have substantially greater resources than we do and many of whom may have made significant investments in competing technologies, may seek or may have already obtained patents that will limit, interfere with or eliminate our ability to make, use and sell our potential product candidates;</w:t>
      </w:r>
    </w:p>
    <w:p>
      <w:pPr>
        <w:spacing w:after="0" w:line="17" w:lineRule="exact"/>
        <w:rPr>
          <w:rFonts w:ascii="Arial" w:cs="Arial" w:eastAsia="Arial" w:hAnsi="Arial"/>
          <w:sz w:val="14"/>
          <w:szCs w:val="14"/>
          <w:color w:val="auto"/>
        </w:rPr>
      </w:pPr>
    </w:p>
    <w:p>
      <w:pPr>
        <w:ind w:left="420" w:hanging="212"/>
        <w:spacing w:after="0" w:line="239" w:lineRule="auto"/>
        <w:tabs>
          <w:tab w:leader="none" w:pos="416"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2"/>
          <w:szCs w:val="12"/>
          <w:color w:val="auto"/>
        </w:rPr>
        <w:t>there may be significant pressure on the U.S. government and international governmental bodies to limit the scope of patent protection both inside and outside the United States for treatments that prove successful, as a matter of public policy regarding worldwide health concerns; and</w:t>
      </w:r>
    </w:p>
    <w:p>
      <w:pPr>
        <w:spacing w:after="0" w:line="17" w:lineRule="exact"/>
        <w:rPr>
          <w:rFonts w:ascii="Arial" w:cs="Arial" w:eastAsia="Arial" w:hAnsi="Arial"/>
          <w:sz w:val="14"/>
          <w:szCs w:val="14"/>
          <w:color w:val="auto"/>
        </w:rPr>
      </w:pPr>
    </w:p>
    <w:p>
      <w:pPr>
        <w:ind w:left="420" w:hanging="212"/>
        <w:spacing w:after="0" w:line="239" w:lineRule="auto"/>
        <w:tabs>
          <w:tab w:leader="none" w:pos="416"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2"/>
          <w:szCs w:val="12"/>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62"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The degree of future protection of our proprietary rights is uncertain. Patent protection may be unavailable or severely limited in some cases and may not adequately protect our rights or permit us to gain or keep our competitive advantage. For example:</w:t>
      </w:r>
    </w:p>
    <w:p>
      <w:pPr>
        <w:spacing w:after="0" w:line="39" w:lineRule="exact"/>
        <w:rPr>
          <w:sz w:val="20"/>
          <w:szCs w:val="20"/>
          <w:color w:val="auto"/>
        </w:rPr>
      </w:pPr>
    </w:p>
    <w:p>
      <w:pPr>
        <w:ind w:left="640" w:hanging="324"/>
        <w:spacing w:after="0"/>
        <w:tabs>
          <w:tab w:leader="none" w:pos="6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might not have been the first to invent or the first to file the inventions covered by each of our pending patent applications and issued patents;</w:t>
      </w:r>
    </w:p>
    <w:p>
      <w:pPr>
        <w:spacing w:after="0" w:line="78" w:lineRule="exact"/>
        <w:rPr>
          <w:rFonts w:ascii="Times New Roman" w:cs="Times New Roman" w:eastAsia="Times New Roman" w:hAnsi="Times New Roman"/>
          <w:sz w:val="12"/>
          <w:szCs w:val="12"/>
          <w:color w:val="auto"/>
        </w:rPr>
      </w:pPr>
    </w:p>
    <w:p>
      <w:pPr>
        <w:ind w:left="640" w:hanging="324"/>
        <w:spacing w:after="0" w:line="279" w:lineRule="auto"/>
        <w:tabs>
          <w:tab w:leader="none" w:pos="637"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others may be able to make, use, sell, offer to sell, or import products that are similar to our products or product candidates but that are not covered by the claims of our patents; others may independently develop similar or alternative technologies or duplicate any of our technologies;</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proprietary rights of others may have an adverse effect on our business;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640" w:hanging="324"/>
        <w:spacing w:after="0"/>
        <w:tabs>
          <w:tab w:leader="none" w:pos="6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proprietary rights we do obtain may not encompass commercially viable products, may not provide us with any competitive advantages or may be challenged by third parties;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patents we obtain, or our in-licensed issued patents may not be valid or enforceable; or</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develop additional technologies or products that are patentable or suitable to maintain as trade secrets.</w:t>
      </w:r>
    </w:p>
    <w:p>
      <w:pPr>
        <w:spacing w:after="0" w:line="7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If we or our current licensors or licensees, or any future licensors or licensees, fail to prosecute, maintain, and enforce patent protection for our product candidates, our ability to develop and commercialize our product candidates could be harmed and we might not be able to prevent competitors from making, using, and selling competing products. This failure to properly protect the intellectual property rights relating to our product candidates could harm our business, financial condition, and operating results. Moreover, our competitors may independently develop equivalent knowledge, methods, and know-how.</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4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Even where laws provide protection, costly and time-consuming litigation could be necessary to enforce and determine the scope of our proprietary rights, and the outcome of such litigation would be uncertain. If we or one of our collaborators were to initiate legal proceedings against a third party to enforce a patent covering the product candidate, the defendant could assert an affirmative defense or counterclaim that our patent is not infringed, invalid and/or unenforceable. In patent litigation in the United States, defendant defenses and counterclaims alleging noninfringement, invalidity and/or unenforceability are commonplace. Grounds for a validity challenge could be an alleged failure to meet any of several statutory requirements, including novelty, non-obviousness, definiteness, and enablement. Patents may be unenforceable if someone connected with prosecution of the patent withheld material information from the USPTO, or made a misleading statement, during prosecution. The outcomes of proceedings involving assertions of invalidity and unenforceability are unpredictable. It is possible that prior art of which we and the patent examiner were unaware during prosecution exists, which would render our patents invalid. Moreover, it is also possible that prior art may exist that we are aware of, but that we do not believe are relevant to our current or future patents, that could nevertheless be determined to render our patents invalid. If a defendant were to prevail on a legal assertion of invalidity and/or unenforceability of our patents covering one of our product candidates, we would lose at least part, and perhaps all, of the patent protection on such product candidate. Such a loss of patent protection would harm our business. Moreover, our competitors could counterclaim in any suit to enforce our patents that we infringe their intellectual property. Furthermore, some of our competitors have substantially greater intellectual property portfolios, and resources, than we do.</w:t>
      </w:r>
    </w:p>
    <w:p>
      <w:pPr>
        <w:spacing w:after="0" w:line="54"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Our ability to stop third parties from using our technology or making, using, selling, offering to sell, or importing our products is dependent upon the extent to which we have rights under valid and enforceable patents that cover these activities. If any patent we currently or in the future may own or license is deemed not infringed, invalid or unenforceable, it could impact our commercial success. We cannot predict the breadth of claims that may be issued from any patent applications we currently or may in the future own or license from third parties.</w:t>
      </w:r>
    </w:p>
    <w:p>
      <w:pPr>
        <w:spacing w:after="0" w:line="4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To the extent that consultants or key employees apply technological information independently developed by them or by others to our product candidates, disputes may arise as to who has the proprietary rights to such information and product candidates, and certain of such disputes may not be resolved in our favor. Consultants and key employees that work with our confidential and proprietary technologies are required to assign all intellectual property rights in their inventions and discoveries created during the scope of their work to our company. However, these consultants or key employees may terminate their relationship with us, and we cannot preclude them indefinitely from dealing with our competitors.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prevent disclosure of our trade secrets or other confidential information to third parties, our competitive position may be impaired.</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We also may rely on trade secrets to protect our technology, especially where we do not believe patent protection is appropriate or obtainable. Our ability to stop third parties from obtaining the information or know-how necessary to make, use, sell, offer to sell, or import our products or practice our technology is dependent in part upon the extent to which we prevent disclosure of the trade secrets that cover these activities. Trade secret rights can be lost through disclosure to third parties. Although we use reasonable efforts to protect our trade secrets, our employees, consultants, contractors, outside scientific collaborators, and other advisors may unintentionally or willfully disclose our trade secrets to third parties, resulting in loss of trade secret protection. Moreover, our competitors may independently develop equivalent knowledge, methods, and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know-how, which would not constitute a violation of our trade secret rights. Enforcing a claim that a third party is engaged in the unlawful use of our trade secrets is expensive, difficult and time consuming, and the outcome is unpredictable. In addition, recognition of rights in trade secrets and a willingness to enforce trade secrets differs in certain jurisdictions.</w:t>
      </w:r>
    </w:p>
    <w:p>
      <w:pPr>
        <w:spacing w:after="0" w:line="3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In certain circumstances, we rely on our licensing partners to pay these fees due to U.S. and non-U.S. patent agencies. The USPTO and various non-U.S.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to the patent laws in the United States and other jurisdictions could diminish the value of patents in general, thereby impairing our ability to protect our products candidates and future products.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As is the case with other pharmaceutical companies, our success is heavily dependent on intellectual property, particularly patents. Obtaining and enforcing patents in the pharmaceutical industry involve both technological and legal complexity and is therefore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5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would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requires us to be cognizant of the time from invention to filing of a patent application. Since patent applications in the United States and most other countries are confidential for a period of time after filing or until issuance, we cannot be certain that we or our licensors are the first to either (i) file any patent application related to our product candidates and other proprietary technologies we may develop or (ii) invent any of the inventions claimed in our patents or patent applications.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 xml:space="preserve">The America Invents Act also included several significant changes that affect the way patent applications are prosecuted and also affect patent litigation. These include allowing third party protests and submission of prior art to the USPTO during patent prosecution and additional procedures to attack the validity of a patent by USPTO-administered post-grant proceedings, including post-grant review, </w:t>
      </w:r>
      <w:r>
        <w:rPr>
          <w:rFonts w:ascii="Times New Roman" w:cs="Times New Roman" w:eastAsia="Times New Roman" w:hAnsi="Times New Roman"/>
          <w:sz w:val="12"/>
          <w:szCs w:val="12"/>
          <w:i w:val="1"/>
          <w:iCs w:val="1"/>
          <w:color w:val="auto"/>
        </w:rPr>
        <w:t>inter partes</w:t>
      </w:r>
      <w:r>
        <w:rPr>
          <w:rFonts w:ascii="Times New Roman" w:cs="Times New Roman" w:eastAsia="Times New Roman" w:hAnsi="Times New Roman"/>
          <w:sz w:val="12"/>
          <w:szCs w:val="12"/>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owned and in-licensed patent claims that would not have been invalidated if first challenged by the third party as a defendant in a district court action. An adverse determination in any such submission or proceeding could reduce the scope or enforceability of, or invalidate, our patent rights, which could adversely affect our competitive position.</w:t>
      </w:r>
    </w:p>
    <w:p>
      <w:pPr>
        <w:spacing w:after="0" w:line="5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U.S. law relating the patentability of certain inventions in the life sciences is uncertain and rapidly changing, which may adversely impact our existing patents or our ability to obtain patents in the future. The U.S. Supreme Court and federal courts have ruled on several patent cases in recent years that impact the scope of patentability of certain inventions or discoveries related to the life, including both narrowing the scope of patent protection available in certain circumstances or</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weakening the rights of patent owners in certain situations. The trend of these decisions along with resulting changes in patentability requirements being implemented by the USPTO could make it increasingly difficult for us to obtain and maintain patents on our products, and could jeopardize or otherwise reduce patent term, reduce the scope of, or invalidate or render unenforceable our patent rights. In addition to increasing uncertainty with regard to our ability to obtain patents in the future, this combination of events has created uncertainty with respect to the value of patents, once obtained.</w:t>
      </w:r>
    </w:p>
    <w:p>
      <w:pPr>
        <w:spacing w:after="0" w:line="47"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Depending on future actions and/or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3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As an example, beginning June 1, 2023, European patent applications and patents may be subjected to the jurisdiction of the Unified Patent Court (the “UPC”). Also, European patent applications will have the option, upon grant of a patent, of becoming a Unitary Patent, which will be subject to the jurisdiction of the UPC. The UPC and Unitary Patent are significant changes in European patent practice. As the UPC is a new court system, there is no precedent for the court, increasing the uncertainty of any litigation in the UPC.</w:t>
      </w:r>
    </w:p>
    <w:p>
      <w:pPr>
        <w:spacing w:after="0" w:line="5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In 2012, the European Union Patent Package (the “EU Patent Package”) regulations were passed with the goal of providing a single pan-European Unitary Patent and a new European UPC for litigation involving European patents. The EU Patent Package was implemented on June 1, 2023. As a result, all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pan-European injunction. Such a loss of patent protection could have a material adverse impact on our business and our ability to commercialize our technology and product candidates dues to increased competition and, resultantly, on our business, financial condition, prospects and results of operations.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future licensors may not result in patents being issued which protect our product candidates or which effectively prevent others from commercializing competitive product candidates.</w:t>
      </w:r>
    </w:p>
    <w:p>
      <w:pPr>
        <w:spacing w:after="0" w:line="4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Moreover, the coverage claimed in a patent application can be significantly reduced before the patent is issued, and its scope can be reinterpreted after issuance. Even if patent applications we own or in-license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future licensors by developing similar or alternative technologies or products in a non-infringing manner which could materially adversely affect our business, financial condition, results of operations and prospects.</w:t>
      </w:r>
    </w:p>
    <w:p>
      <w:pPr>
        <w:spacing w:after="0" w:line="53" w:lineRule="exact"/>
        <w:rPr>
          <w:sz w:val="20"/>
          <w:szCs w:val="20"/>
          <w:color w:val="auto"/>
        </w:rPr>
      </w:pPr>
    </w:p>
    <w:p>
      <w:pPr>
        <w:jc w:val="both"/>
        <w:ind w:right="20" w:firstLine="324"/>
        <w:spacing w:after="0" w:line="260" w:lineRule="auto"/>
        <w:rPr>
          <w:sz w:val="20"/>
          <w:szCs w:val="20"/>
          <w:color w:val="auto"/>
        </w:rPr>
      </w:pPr>
      <w:r>
        <w:rPr>
          <w:rFonts w:ascii="Times New Roman" w:cs="Times New Roman" w:eastAsia="Times New Roman" w:hAnsi="Times New Roman"/>
          <w:sz w:val="12"/>
          <w:szCs w:val="12"/>
          <w:color w:val="auto"/>
        </w:rPr>
        <w:t>The issuance of a patent is not conclusive as to its inventorship, scope, validity or enforceability, and our patents or the patents of our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(“PGR”) and inter partes review (“IPR”), or other similar proceedings challenging our owned or licensed patent rights. An adverse determination in any such submission, proceeding or litigation could reduce the scope of, or invalidate or render unenforceable, our patent rights, allow third parties to</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commercialize our product candidates and compete directly with us, without payment to us, or result in our inability to manufacture or commercialize products without infringing third-party patent rights. Moreover, our patents or the patents of our current or future licensors may become subject to post-grant challenge proceedings, such as oppositions in a foreign patent office, that challenge our priority of invention or other features of patentability with respect to our patents and patent applications and those of our current or future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technologies or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current or future licensors is threatened, regardless of the outcome, it could dissuade companies from collaborating with us to license, develop or commercialize current or future product candidates.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sued for infringing intellectual property rights of third parties, it will be costly and time consuming, and an unfavorable outcome in that litigation could harm our business.</w:t>
      </w:r>
    </w:p>
    <w:p>
      <w:pPr>
        <w:spacing w:after="0" w:line="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Our commercial success depends significantly on our ability to operate without infringing, violating or misappropriating the patents and other proprietary rights of third parties. Our own technologies may infringe, violate, or misappropriate the patents or other proprietary rights of third parties, or we may be subject to third-party claims of such infringement. Numerous U.S. and foreign issued patents and pending patent applications owned by third parties, exist in the fields in which we are developing our product candidates. Because some patent applications may be maintained in secrecy until the patents are issued, because publication of patent applications is often delayed, and because publications in the scientific literature often lag behind actual discoveries, we cannot be certain that we were the first to invent the technology or that others have not filed patent applications for technology covered by our pending applications. We may not be aware of patents that have already issued that a third party might assert are infringed by our product candidates. It is also possible that patents of which we are aware, but which we do not believe are relevant to our product candidates, could nevertheless be found to be infringed by our product candidates. Moreover, we may face IPR proceedings before the USPTO, or patent infringement claims from non-practicing entities that have no relevant product revenue and against whom our own patent portfolio may thus have no deterrent effect. In the future, we may agree to indemnify our manufacturing partners against certain intellectual property claims brought by third parties.</w:t>
      </w:r>
    </w:p>
    <w:p>
      <w:pPr>
        <w:spacing w:after="0" w:line="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Intellectual property litigation involves many risks and uncertainties, and there is no assurance that we will prevail in any lawsuit brought against us. Third parties making claims against us for infringement, violation or misappropriation of their intellectual property rights may seek and obtain injunctive or other equitable relief, which could effectively block our ability to further develop and commercialize our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would be a substantial diversion of resources from our business. In the event of a successful claim of any such infringement, violation, or misappropriation, we may need to obtain licenses from such third parties and we and our partners may be prevented from pursuing product development or commercialization and/or may be required to pay damages. We cannot be certain that any licenses required under such patents or proprietary rights would be made available to us, or that any offer to license would be made available to us on commercially reasonable terms. If we cannot obtain such licenses, we and our collaborators may be restricted or prevented from manufacturing and selling products employing our technology. These adverse results, if they occur, could adversely affect our business, results of operations and prospects, and the value of our shares.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become involved in lawsuits to protect or enforce our patents or other intellectual property, which could be expensive, time consuming and unsuccessful.</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biotechnology and pharmaceutical industries have been characterized by extensive litigation regarding patents and other intellectual property rights. The defense and prosecution of contractual or intellectual property lawsuits, USPTO interference or derivation proceedings, European Patent Office oppositions and related legal and administrative proceedings in the United States, Europe, and other countries, involve complex legal and factual questions. As a result, such proceedings may be costly and time-consuming to pursue, and their outcome is uncertain.</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Litigation may be necessary to:</w:t>
      </w:r>
    </w:p>
    <w:p>
      <w:pPr>
        <w:spacing w:after="0" w:line="78" w:lineRule="exact"/>
        <w:rPr>
          <w:sz w:val="20"/>
          <w:szCs w:val="20"/>
          <w:color w:val="auto"/>
        </w:rPr>
      </w:pPr>
    </w:p>
    <w:p>
      <w:pPr>
        <w:ind w:left="640" w:hanging="324"/>
        <w:spacing w:after="0"/>
        <w:tabs>
          <w:tab w:leader="none" w:pos="64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protect and enforce our patents and any future patents issuing on our patent applications;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enforce or clarify the terms of the licenses we have granted or been granted or may grant or be granted in the future;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640" w:hanging="324"/>
        <w:spacing w:after="0"/>
        <w:tabs>
          <w:tab w:leader="none" w:pos="6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protect and enforce trade secrets, know-how and other proprietary rights that we own or have licensed, or may license in the future; or</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 the enforceability, scope, and validity of the proprietary rights of third parties and defend against alleged patent infringement.</w:t>
      </w:r>
    </w:p>
    <w:p>
      <w:pPr>
        <w:spacing w:after="0" w:line="7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Competitors may infringe our intellectual property. As a result, we may be required to file infringement claims to stop third-party infringement or unauthorized use. This can be expensive, particularly for a company of our size, and time-consuming. In addition, in an infringement proceeding, a court may decide that a patent of ours is not valid or is unenforceable or may refuse to stop the other party from using the technology at issue on the grounds that our patent claims do not cover its technology or that the factors necessary to grant an injunction against an infringer are not satisfied. 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our product candidates or to prevent others from marketing similar products.</w:t>
      </w:r>
    </w:p>
    <w:p>
      <w:pPr>
        <w:spacing w:after="0" w:line="53"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IPR, interference, derivation or other proceedings brought at the USPTO, may be necessary to determine the priority or patentability of inventions with respect to our patent applications or those of our licensors or potential collaborators. Litigation or USPTO proceedings brought by us may fail or may be invoked against us by third parties.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w:t>
      </w:r>
    </w:p>
    <w:p>
      <w:pPr>
        <w:spacing w:after="0" w:line="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47"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Some of our competitors may be able to sustain the costs of patent-related disputes, including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patent rights may prove to be an inadequate barrier to competition.</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The lifespan of any one patent is limited, and each of these patents will ultimately expire and we cannot be sure that pending applications will be granted, or that we will discover new inventions which we can successfully patent. Moreover, any of our granted patents may be held invalid by a court of competent jurisdiction, and any of these patents may also be construed narrowly by a court of competent jurisdiction in such a way that it is held to not directly cover our product candidates. Furthermore, even if our patents are held to be valid and broadly interpreted, third parties may find legitimate ways to compete with our product candidates by inventing around our patent. Finally, the process of obtaining new patents is lengthy and expensive, as is the process for enforcing patent rights against an alleged infringer. Any such litigation could take years, cost large sums of money, and pose a significant distraction to management. Indeed, certain jurisdictions outside of the U.S. and European Union (“E.U.”), where we hope to commercialize our product candidates, have a history of inconsistent, relatively lax or ineffective enforcement of patent rights. In such jurisdictions, even a valid patent may have limited value. Our failure to effectively enforce our patents would have a harmful impact on our ability to commercialize our product candidates in these jurisdictions.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enforce all of our intellectual property rights throughout the world.</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Filing, prosecuting and defending patents on our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laws of some countries outside of the United States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Beginning June 1, 2023, European patent applications have the option, upon grant of a patent, of becoming a Unitary Patent which will be subject to the jurisdiction of the Unitary Patent Court (“UPC). This will be a significant change in European patent practice. As the UPC is a new court system, there is no precedent for the court, increasing the uncertainty of any litigation.</w:t>
      </w:r>
    </w:p>
    <w:p>
      <w:pPr>
        <w:spacing w:after="0" w:line="3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 addition, geopolitical actions in the United States and in foreign countries (such as the Russia and Ukraine conflict) could increase the uncertainties and costs surrounding the prosecution or maintenance of our patent applications or those of any future licensors and the maintenance, enforcement or defense of our issued patents which could impair our competitive intellectual property position.</w:t>
      </w:r>
    </w:p>
    <w:p>
      <w:pPr>
        <w:spacing w:after="0" w:line="39"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Patent terms may be inadequate to protect our competitive position on our product candidates for an adequate amount of time.</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If we do not have sufficient patent life to protect our products, our business, financial condition, results of operations, and prospects will be adversely affected.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do not obtain patent term extensions for our drug candidates, the length of our patent exclusivity will be shorter which may harm our business materially.</w:t>
      </w:r>
    </w:p>
    <w:p>
      <w:pPr>
        <w:spacing w:after="0" w:line="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Depending upon the timing, duration, and specifics of any FDA marketing approval of our drug candidates, one or more of our U.S. patents may be eligible for limited patent term extension under the Drug Price Competition and Patent Term Restoration Act of 1984 (“Hatch-Waxman Act”).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applicable to each regulatory review period may be granted an extension,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the original expiration dates of our patents, and our business may be materially harmed.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protect the confidentiality of our trade secrets, the value of our technology could be materially adversely affected, harming our business and competitive position.</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 addition, we rely on the protection of our trade secrets, including unpatented know-how, technology and other proprietary information to maintain our competitive position. Any disclosure to or misappropriation by third parties of our confidential proprietary information could enable competitors to quickly duplicate or surpass our technological achievements, thus eroding our competitive position in the market.</w:t>
      </w:r>
    </w:p>
    <w:p>
      <w:pPr>
        <w:spacing w:after="0" w:line="3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Although we have taken steps to protect our trade secrets and unpatented know-how, including entering into confidentiality agreements with third parties, and confidential information and inventions assignment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subject to claims that we or our employees, independent contractors, or consultants have wrongfully used or disclosed alleged confidential information or trade secrets.</w:t>
      </w:r>
    </w:p>
    <w:p>
      <w:pPr>
        <w:spacing w:after="0" w:line="82"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2"/>
          <w:szCs w:val="12"/>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5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Parties making claims against us may be able to sustain the costs of complex intellectual property litigation more effectively than we can because they may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be subject to claims that we have wrongfully hired an employee from a competitor or that we or our employees, independent contractors, or consultants have wrongfully used or disclosed alleged confidential information or trade secrets of their former employers.</w:t>
      </w:r>
    </w:p>
    <w:p>
      <w:pPr>
        <w:spacing w:after="0" w:line="35"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As is common in the biotechnology and pharmaceutical industry, we employ individuals and engage the service of consultants, who were previously employed at, may have previously provided, or may be currently providing consulting</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services to, other biotechnology or pharmaceutical companies, including our competitors or potential competitors. Many of our employees were previously employed at universities or other biotechnology or pharmaceutical companies, including our competitors or potential competitors. Some of these individuals, including members of our senior management, executed proprietary rights, non-disclosure and non-competition agreements, or similar agreements, in connection with such previous employment. Although we use reasonable efforts to ensure that our employees, independent contractors, and consultants do not use the proprietary information or know-how of others in their work for us, we may be subject to claims that we or these individuals inadvertently or otherwise used or disclosed intellectual property, including trade secrets or other proprietary information, of any such former employers, clients, or third parties. These and other claims that we have misappropriated the confidential information or trade secrets of third parties can have a similar negative impact on our business to the infringement claims discussed above.</w:t>
      </w:r>
    </w:p>
    <w:p>
      <w:pPr>
        <w:spacing w:after="0" w:line="53"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patent protection and patent prosecution for some of our product candidates may be dependent on third parties.</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future licensors or collaboration partners. If any of our future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future licensors and their counsel that took place prior to the date upon which we assumed control over patent prosecution.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Employee Matters and Managing Growth</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need to expand our operations and increase the size of our company, and we may experience difficulties in managing growth.</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As we advance our drug candidates through preclinical studies and clinical trials and develop new drug candidates, we may need to increase our product development, scientific and administrative headcount to manage these programs. If we commercialize our products, we may need to expand our staff further, particularly in sales and marketing. See “—Risks Relating to the Development, Regulatory Approval, and Commercialization of Our Drug Candidates.” We do not presently have the capability to sell, distribute and market our drug candidates. If we are unable to establish an effective sales force and marketing infrastructure, or enter into acceptable third-party sales and marketing or licensing arrangements, we may not be able to commercialize our drug candidates successfully. In addition, to meet our obligations as a public company, we will need to increase our general and administrative capabilities. Our management, personnel and systems currently in place may not be adequate to support this future growth. Our need to effectively manage our operations, growth and various projects requires that we:</w:t>
      </w:r>
    </w:p>
    <w:p>
      <w:pPr>
        <w:spacing w:after="0" w:line="53" w:lineRule="exact"/>
        <w:rPr>
          <w:sz w:val="20"/>
          <w:szCs w:val="20"/>
          <w:color w:val="auto"/>
        </w:rPr>
      </w:pPr>
    </w:p>
    <w:p>
      <w:pPr>
        <w:ind w:left="640" w:hanging="324"/>
        <w:spacing w:after="0"/>
        <w:tabs>
          <w:tab w:leader="none" w:pos="6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successfully attract and recruit new employees with the expertise and experience we will require;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 our clinical programs effectively, which we anticipate being conducted at numerous clinical sites;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 a marketing, distribution and sales infrastructure if we seek to market our products directly, or successfully partner with a third-party organization that will oversee those efforts;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 to improve our operational, manufacturing, financial and management controls, reporting systems and procedures.</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If we are unable to successfully manage this growth and increased complexity of operations, our business may be adversely affected.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manage our business effectively if we are unable to attract and retain key personnel.</w:t>
      </w:r>
    </w:p>
    <w:p>
      <w:pPr>
        <w:spacing w:after="0" w:line="82"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We may not be able to attract or retain qualified management, finance, scientific and clinical personnel in the future due to the intense competition for qualified personnel among biotechnology, pharmaceutical and other businesses. If we are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3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Our industry has experienced a high rate of turnover of management personnel in recent years. We are highly dependent on the development, regulatory, commercialization and business development expertise of our executive officers and key employees. If we lose one or more of our executive officers or key personnel, our ability to implement our business strategy successfully could be seriously harmed. Any of our executive officers or key employees may terminate their employment at any time. Replacing executive officers and key employees may be difficult, will be costly and may take an extended period of time because of the limited number of individuals in our industry with the mix of skills and experience required to develop, gain regulatory approval of and commercialize products successfully. Competition to hire from this limited pool is intense, and we may be unable to hire, train, retain or motivate these additional key personnel. Our failure to attract and retain key personnel could materially harm our business.</w:t>
      </w:r>
    </w:p>
    <w:p>
      <w:pPr>
        <w:spacing w:after="0" w:line="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employees, independent contractors, principal investigators, CROs, consultants and collaborators may engage in misconduct or other improper activities, including noncompliance with legal, compliance or regulatory standards and requirements.</w:t>
      </w:r>
    </w:p>
    <w:p>
      <w:pPr>
        <w:spacing w:after="0" w:line="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2"/>
          <w:szCs w:val="12"/>
          <w:color w:val="auto"/>
        </w:rPr>
        <w:t>We are exposed to the risk that our employees, independent contractors, principal investigators, CROs, consultants and collaborators may engage in fraudulent conduct or other illegal activity. Misconduct by these parties could include intentional, reckless and/or negligent conduct or unauthorized activities that violate the regulations of the FDA and non-U.S. regulators, including those laws requiring the reporting of true, complete and accurate information to the FDA and non-U.S. regulators, healthcare fraud and abuse laws and regulations in the United States and abroad, or laws that require the reporting of true and accurate financial information and data. In particular, sales, marketing and business arrangements in the healthcare industry are subject to extensive laws and regulations intended to prevent fraud, misconduct, kickbacks, self-dealing, pre-market promotion, and other abusive practices. These laws and regulations may restrict or prohibit a wide range of pricing, discounting, marketing and promotion, sales commission, customer incentive programs and other business arrangements. These activities also include the improper use or disclosure of information obtained in the course of clinical trials, which could result in regulatory sanctions and cause serious harm to our reputation. We have adopted new comprehensive compliance policies, and revised our code of conduct, but it is not always possible to identify and deter employee or non-employee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possible exclusion from participation in Medicare, Medicaid and other federal healthcare programs, contractual damages, reputational harm, diminished profits and future earnings, and curtailment of our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Risks Relating to Our Business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widespread outbreak of an illness or any other communicable disease, or any other public health crisis, could adversely affect our business, results of operations and financial condition.</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We could be negatively affected by the widespread outbreak of an illness or any other communicable disease, or any other public health crisis that results in economic and trade disruptions, including the disruption of global supply chains.</w:t>
      </w:r>
    </w:p>
    <w:p>
      <w:pPr>
        <w:spacing w:after="0" w:line="3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Due to the various restrictions put into effect by governments around the world, including the United States and Canada, health professionals may reduce staffing and reduce or postpone meetings with clients in response to the spread of an infectious disease. Such events may result in a period of business disruption, and in reduced operations, any of which could materially affect our business, financial condition and results of operations.</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Quarantines, stay-at-home orders and other limitations can disrupt our research and administrative functions, regardless of whether we are actually forced to close our own facilities. Similar disruptions may also affect other organizations and persons that we collaborate with or whose services we are dependent on. The need for our employees and business partners to work remotely also creates greater potential for risks related to cybersecurity, confidentiality and data privacy.</w:t>
      </w:r>
    </w:p>
    <w:p>
      <w:pPr>
        <w:spacing w:after="0" w:line="47"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An outbreak could also potentially affect the operations of the FDA, EMA or other health authorities, which could result in delays in meetings related to planned clinical trials. Further, it may also slow potential enrollment of our ongoing clinical trials.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use our financial and human resources to pursue a particular research program or drug candidate and fail to capitalize on programs or drug candidates that may be more profitable or for which there is a greater likelihood of success.</w:t>
      </w:r>
    </w:p>
    <w:p>
      <w:pPr>
        <w:spacing w:after="0" w:line="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2"/>
          <w:szCs w:val="12"/>
          <w:color w:val="auto"/>
        </w:rPr>
        <w:t xml:space="preserve">Because we have limited financial and human resources, we have here to date focused primarily on the regulatory approval of </w:t>
      </w:r>
      <w:r>
        <w:rPr>
          <w:rFonts w:ascii="Times New Roman" w:cs="Times New Roman" w:eastAsia="Times New Roman" w:hAnsi="Times New Roman"/>
          <w:sz w:val="12"/>
          <w:szCs w:val="12"/>
          <w:i w:val="1"/>
          <w:iCs w:val="1"/>
          <w:color w:val="auto"/>
        </w:rPr>
        <w:t>cadisegliatin (TTP399)</w:t>
      </w:r>
      <w:r>
        <w:rPr>
          <w:rFonts w:ascii="Times New Roman" w:cs="Times New Roman" w:eastAsia="Times New Roman" w:hAnsi="Times New Roman"/>
          <w:sz w:val="12"/>
          <w:szCs w:val="12"/>
          <w:color w:val="auto"/>
        </w:rPr>
        <w:t>. As a result, we may have foregone or delayed the pursuit of opportunities with other drug candidates or for other indications that could later prove to have had greater commercial potential. Our future resource allocation decisions may cause us to fail to capitalize on viable commercial products or profitable market opportunities. Our spending on existing and future drug candidates for specific indications may not yield any commercially viable products. If we do not accurately evaluate the commercial potential or target market for a particular drug candidate, we may relinquish valuable rights to that drug candidate through strategic alliance, licensing or other royalty arrangements in cases in which it would have been more advantageous for us to retain sole development and commercialization rights to such drug candidate, or we may allocate internal resources to a drug candidate in a therapeutic area in which it would have been more advantageous to enter into a partnering arrangement.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subject to litigation or government investigations for a variety of claims, which could adversely affect our operating results, harm our reputation or otherwise negatively impact our business.</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may be subject to litigation or government investigations. The outcome of any litigation or government investigation, regardless of its merits, is inherently uncertain. Any lawsuits or government investigations, and the disposition of such lawsuits and government investigations, could be time-consuming and expensive to resolve and divert management attention and resources. Any adverse determination related to litigation or government investigations could adversely affect our financial performance, harm our reputation or otherwise negatively impact our business. In addition, depending on the nature and timing of any such dispute, a resolution of a legal matter or government investigation could materially affect our future operating results, our cash flows or both.</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product liability lawsuits are brought against us, we may incur substantial liabilities and may be required to limit commercialization of any future products we develop.</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We face an inherent risk of product liability as a result of the clinical testing of our drug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 Regardless of the merits or eventual outcome, liability claims may result in:</w:t>
      </w:r>
    </w:p>
    <w:p>
      <w:pPr>
        <w:spacing w:after="0" w:line="53" w:lineRule="exact"/>
        <w:rPr>
          <w:sz w:val="20"/>
          <w:szCs w:val="20"/>
          <w:color w:val="auto"/>
        </w:rPr>
      </w:pPr>
    </w:p>
    <w:p>
      <w:pPr>
        <w:ind w:left="640" w:hanging="324"/>
        <w:spacing w:after="0"/>
        <w:tabs>
          <w:tab w:leader="none" w:pos="6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decreased demand for any drug candidates or products we develop;</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injury to our reputation and significant negative media attention;</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withdrawal of clinical trial participants or delay or cancellation of clinical trials;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to defend the related litigation;</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diversion of management’s time and our resources;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substantial monetary awards to trial participants or patients;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investigations, product recalls, withdrawals or labeling, marketing or promotional restrictions;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loss of revenue;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inability or delay in our ability to commercialize any products we develop;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decline in our share price.</w:t>
      </w:r>
    </w:p>
    <w:p>
      <w:pPr>
        <w:spacing w:after="0" w:line="7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clinical trial liability insurance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If and when we obtain approval for marketing for any drug product, we intend to expand our insurance coverage to include the sale of that product, however, we may be unable to obtain this liability insurance on commercially reasonable terms.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insurance policies are expensive and protect us only from some business risks, which will leave us exposed to significant uninsured liabilities.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do not carry insurance for all categories of risk that our business may encounter. Some of the policies we currently maintain include general liability, employment practices liability, property, auto, workers’ compensation, umbrella, clinical trial and directors’ and officers’ insurance. We do not know, however, if we will be able to maintain existing insurance with adequate levels of coverage. Any significant uninsured liability may require us to pay substantial amounts, which would adversely affect our cash position and results of operations.</w:t>
      </w:r>
    </w:p>
    <w:p>
      <w:pPr>
        <w:spacing w:after="0" w:line="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market for our proposed products is rapidly changing and competitive, and new drugs and new treatments that may be developed by others could impair our ability to maintain and grow our businesses and remain competitive.</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pharmaceutical and biotechnology industries are subject to rapid and substantial technological change. Developments by others may render proposed products noncompetitive or obsolete, or we may be unable to keep pace with technological developments or other market factors. Technological competition from pharmaceutical and biotechnology companies, universities, governmental entities and others diversifying into the field is intense and is expected to increase.</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 a company with nominal revenues engaged in the development of drug technologies, our resources are limited, and we may experience technical challenges inherent in such technologies. Competitors have developed or are in the process of developing technologies that are, or in the future may be, the basis for competition. Some of these technologies may have an entirely different approach or means of accomplishing similar therapeutic effects compared to our proposed products. Our competitors may develop drugs that are safer, more effective or less costly than our proposed products and, therefore, present a serious competitive threat to us.</w:t>
      </w:r>
    </w:p>
    <w:p>
      <w:pPr>
        <w:spacing w:after="0" w:line="47"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The potential widespread acceptance of therapies that are alternatives to ours may limit market acceptance of our drug candidates, even if commercialized. Some of our targeted diseases and conditions can also be treated by other medication. These treatments may be widely accepted in medical communities and have a longer history of use or be offered at a more competitive price. The established use of these competitive drugs may limit the potential for our technologies, formulations and products to receive widespread acceptance if commercialized.</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Therefore, changes in the market for our products and the availability of new or alternative treatments could have a material adverse effect on our businesses, financial conditions and results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and operations would suffer in the event of computer system failures, cyber-attacks or a deficiency in our cyber-security.</w:t>
      </w:r>
    </w:p>
    <w:p>
      <w:pPr>
        <w:spacing w:after="0" w:line="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Also, confidential patient and other information may be compromised in a cyber-attack or cyber-intrusion. To the extent that any disruption or security breach was to result in a loss of or damage to our data or applications, or inappropriate disclosure of confidential or proprietary information, we could incur material legal claims and liability, damage to our reputation, and the further development of our drug candidates could be delayed.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Common Stock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maintain listing of our Class A common stock on the Nasdaq Capital Market or another national stock exchange, it may be more difficult for our stockholders to sell their Class A common stock.</w:t>
      </w:r>
    </w:p>
    <w:p>
      <w:pPr>
        <w:spacing w:after="0" w:line="13"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2"/>
          <w:szCs w:val="12"/>
          <w:color w:val="auto"/>
        </w:rPr>
        <w:t>Nasdaq requires issuers to comply with certain standards in order to remain listed on its exchange. On December 13, 2023, we received a letter from Nasdaq notifying us that the Company was not in compliance with the requirement of Nasdaq Listing Rule 5550(b)(2) because our Class A common stock was below the required market value of listed securities (“MVLS”) of $35 million for the prior 30 consecutive business days. In accordance with Nasdaq Listing Rule 5810(c)(3)(C), we have 180 calendar days, or until June 10, 2024, to regain compliance with Nasdaq Listing Rule 5550(b)(2). Compliance can be achieved without further action if our MVLS closes at $35 million or more for a minimum of 10 consecutive business days at any time during the 180-day compliance period. If we do not regain compliance during such period, subject to an appeals process, our Class A Common Stock will be subject to delisting and may be removed from The Nasdaq Capital Market.</w:t>
      </w:r>
    </w:p>
    <w:p>
      <w:pPr>
        <w:spacing w:after="0" w:line="63"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If we are unable to maintain our listing on Nasdaq, it may become more difficult for our stockholders to sell our Class A common stock in the public market, and the price of our Class A common stock may be adversely affected due to the likelihood of decreased liquidity resulting from delisting. In addition, it may inhibit or preclude our ability to raise additional financing.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Affiliates of MacAndrews &amp; Forbes Incorporated (together with its affiliates “MacAndrews”) has substantial influence over our business, and their interests may differ from our interests or those of our other stockholders.</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MacAndrews holds, directly or indirectly, a significant percentage of our combined voting power. Due to its ownership and rights under our investor rights agreement, amended and restated certificate of incorporation and amended and restated bylaws, MacAndrews has substantial influence over us and our subsidiaries.</w:t>
      </w:r>
    </w:p>
    <w:p>
      <w:pPr>
        <w:spacing w:after="0" w:line="3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interests of MacAndrews may differ from our interests or those of our other stockholders and the concentration of control in MacAndrews will limit other stockholders’ ability to influence corporate matters. The concentration of ownership and voting power with MacAndrews may also delay, defer or even prevent an acquisition by a third party or other change of control of our company and may make some transactions more difficult or impossible without the support of MacAndrews, even if such events are in the best interests of our other stockholders. The concentration of voting power with MacAndrews may have an adverse effect on the price of our Class A common stock. Our company may take actions that our other stockholders do not view as beneficial, which may adversely affect our results of operations and financial condition and cause the value of our Class A common stock to decline.</w:t>
      </w:r>
    </w:p>
    <w:p>
      <w:pPr>
        <w:spacing w:after="0" w:line="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directors who have relationships with MacAndrews and the investors that participated in the Private Placement (the “Private Placement Investors”) may have conflicts of interest with respect to matters involving our company.</w:t>
      </w:r>
    </w:p>
    <w:p>
      <w:pPr>
        <w:spacing w:after="0" w:line="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One of our directors is affiliated with MacAndrews and two of our directors are associated with the Private Placement Investors. These directors will have fiduciary duties to us and in addition will have duties to MacAndrews and the Private Placement Investors, as applicable. In addition, our amended and restated certificate of incorporation provides that none of MacAndrews, any of our non-employee directors who are employees, affiliates or consultants of MacAndrews or its affiliates (other than us or our subsidiaries) or any of their respective affiliates will be liable to us or our stockholders for breach of any fiduciary duty by reason of the fact that any such individual directs a corporate opportunity to MacAndrews or its affiliates instead of us, or does not communicate information regarding a corporate opportunity to us that such person or affiliate has directed to MacAndrews or its affiliates. As a result, such circumstances may entail real or apparent conflicts of interest with respect to matters affecting both us and MacAndrews or the Private Placement Investors, whose interests, in some circumstances, may be adverse to ours. In addition, as a result of MacAndrews’ and the Private Placement Investors’ indirect ownership interest, conflicts of interest could arise with respect to transactions involving business dealings between us and MacAndrews, the Private Placement Investors or any of their respective affiliates, including potential business transactions, potential acquisitions of businesses or properties, the issuance of additional securities, the payment of dividends by us and other matters.</w:t>
      </w:r>
    </w:p>
    <w:p>
      <w:pPr>
        <w:spacing w:after="0" w:line="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Additionally, the Private Placement Investors have certain participation rights giving them the right to purchase their proportionate share of certain future financing transactions. Such participation rights could impact our ability to raise money and deter new investors who may not be able to acquire a large enough stake in the Company. Conversely, if the Private Placement Investors decline to exercise their participation rights it may adversely affect the way the market and potential investors view the Company.</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do not anticipate paying cash dividends on our Class A common stock, and accordingly, stockholders must rely on stock appreciation for any return on their investment.</w:t>
      </w:r>
    </w:p>
    <w:p>
      <w:pPr>
        <w:spacing w:after="0" w:line="82"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We have never declared or paid any cash dividend on our Class A common stock and do not anticipate paying cash dividends on our Class A common stock in the future. As a result, the only return to stockholders will be appreciation in the price of our Class A common stock, which may never occur. Investors seeking cash dividends should not invest in our Class A common stock.</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share price may be volatile, which could subject us to securities class action litigation and result in substantial losses for our stockholders.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market price of shares of our Class A common stock could be subject to wide fluctuations in response to many risk factors listed in this section, and others beyond our control, including:</w:t>
      </w:r>
    </w:p>
    <w:p>
      <w:pPr>
        <w:spacing w:after="0" w:line="78" w:lineRule="exact"/>
        <w:rPr>
          <w:sz w:val="20"/>
          <w:szCs w:val="20"/>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results and timing of our clinical trials and receipt of data from the trials;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cash or financing to continue our clinical trials and other operations;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results of clinical trials of our competitors’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or discontinuation of any of our research programs;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in the development or commercialization of our potential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actions with respect to our products or our competitors’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anticipated fluctuations in our financial condition and operating results;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anticipated changes in our growth rate relative to our competitors;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anticipated fluctuations in our competitors’ operating results or changes in their growth rate;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competition from existing products or new products that may emerge;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announcements by us or our competitors of significant acquisitions, strategic partnerships, joint ventures, collaborations or capital commitments;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issuance of new or updated research or reports by securities analysts;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the valuation of companies perceived by investors to be comparable to us;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 price and volume fluctuations attributable to inconsistent trading volume levels of our shares;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additions or departures of key management or scientific personnel;</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disputes or other developments related to proprietary rights, including patents, litigation matters and our ability to obtain, maintain, defend or enforce proprietary rights relating to our products and technologies;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 or expectation of additional financing efforts;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of our Class A common stock by us, our insiders or our other stockholders;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issues in manufacturing our potential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market acceptance of our potential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market conditions for biopharmaceutical stocks in general;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economic and market conditions.</w:t>
      </w:r>
    </w:p>
    <w:p>
      <w:pPr>
        <w:spacing w:after="0" w:line="7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Class A common stock. In addition, such fluctuations could subject us to securities class action litigation, which could result in substantial costs and divert our management’s attention from other business concerns, which could potentially harm our business. As a result of this volatility, our stockholders may not be able to sell their common stock at or above the price at which they purchased their shares.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trading market for our Class A common stock will be influenced by the research and reports that equity research analysts publish about us and our business.</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 substantial portion of our total outstanding shares may be sold into the market at any time. This could cause the market price of our Class A common stock to drop significantly, even if our business is doing well.</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market price of our Class A common stock could decline as a result of sales of a large number of shares of our Class A common stock or the perception that such sales could occur. These sales, or the possibility that these sales may occur, also might make it more difficult for us to sell equity securities in the future at a time and price that we deem appropriate.</w:t>
      </w:r>
    </w:p>
    <w:p>
      <w:pPr>
        <w:spacing w:after="0" w:line="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As of December 31, 2023, MacAndrews and its affiliates held 577,108 non-voting common units of vTv LLC (“vTv Units”) and the same number of shares of vTv Therapeutics Inc. Class B common stock as well as an aggregate of 912,982 shares of our Class A common stock. As a result, MacAndrews and its affiliates held shares representing approximately 56.0% of the combined voting power of our outstanding common stock. Pursuant to the terms of the Exchange Agreement among the Company, vTv LLC and the holders of vTv Units party thereto (the “Exchange Agreement”), vTv Units (along with the corresponding number of shares of our Class B common stock) will be exchangeable for (i) shares of our Class A common stock on a one-for-one basis or (ii) cash (based on the market price of the shares of Class A common stock), at our option (as the managing member of vTv Therapeutics LLC). Shares of our Class A common stock issuable upon an exchange of vTv Units as described above would be considered “restricted securities,” as that term is defined in Rule 144 under the Securities Act, unless the exchange is registered under the Securities Act.</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 also have issued warrants to MacAndrews to purchase 45,595 shares of our Class A common stock.</w:t>
      </w:r>
    </w:p>
    <w:p>
      <w:pPr>
        <w:spacing w:after="0" w:line="7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On February 27, 2024, we issued an aggregate of 464,377 shares of our Class A common stock to the Private Placement Investors. As a result, the Private Placement Investors hold shares representing approximately 14.9% of the combined voting power of our outstanding common stock. We also issued pre-funded warrants to purchase up to an aggregate of 3,853,997 shares of Class A common stock. Such pre-funded warrants provide that each Private Placement Investor will not have the right to exercise any portion of its pre-funded warrant if, together with its affiliates, such Private Placement Investor would beneficially own in excess of 4.99% or 9.99%, as applicable, of the number of shares of our common stock outstanding immediately after giving effect to such exercise (the “Beneficial Ownership Limitation”); provided, however, that each Private Placement Investor may increase the Beneficial Ownership Limitation by giving 61 days’ notice to us, but not to any percentage in excess of 19.99%.</w:t>
      </w:r>
    </w:p>
    <w:p>
      <w:pPr>
        <w:spacing w:after="0" w:line="53"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On March 5, 2024, we entered into an exchange agreement pursuant to which the Private Placement Investors exchanged an aggregate of 116,493 shares for pre-funded warrants. As a result, following the exchange, the Private Placement Investors hold shares representing approximately 11.6% of the combined voting power of our outstanding common stock.</w:t>
      </w:r>
    </w:p>
    <w:p>
      <w:pPr>
        <w:spacing w:after="0" w:line="3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Further, we have entered into an investor rights agreement with an affiliate of MacAndrews providing certain governance and registration rights. Pursuant to the investor rights agreement, we filed a shelf registration statement on Form S-3 in June 2019 to register certain shares previously issued to MacAndrews. The investor rights agreement was amended on February 27, 2024 to alter MacAndrews' governance rights.</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Additionally, we entered into a securities purchase agreement and a registration rights agreement with the Private Placement Investors providing certain governance and registration rights.</w:t>
      </w:r>
    </w:p>
    <w:p>
      <w:pPr>
        <w:spacing w:after="0" w:line="78"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On February 23, 2024, the Board of Directors approved the adoption of an equity incentive plan (the "2024 Plan") to replace the existing 2015 Plan. The 2024 Plan, if approved by the shareholders at the 2024 annual meeting of shareholders, will authorize us to issue equity awards relating to an additional 750,000 shares of our Class A Common Stock.</w:t>
      </w:r>
    </w:p>
    <w:p>
      <w:pPr>
        <w:spacing w:after="0" w:line="3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Future sales and issuances of our Class A common stock or rights to purchase Class A common stock, including pursuant to our equity incentive plans or the exercise of outstanding warrants, could result in additional dilution of the percentage ownership of our stockholders and could cause our stock price to fall.</w:t>
      </w:r>
    </w:p>
    <w:p>
      <w:pPr>
        <w:spacing w:after="0" w:line="35"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We expect that significant additional capital will be needed in the future to continue our planned operations. To the extent we raise additional capital by issuing equity securities, our stockholders may experience substantial dilution. We may sell Class A common stock, convertible securities or other equity securities, including under the TD Cowen ATM Offering,</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 pursuant to warrants issued to previous investors and lenders, and such sales could result in substantial dilution to existing investors.</w:t>
      </w:r>
    </w:p>
    <w:p>
      <w:pPr>
        <w:spacing w:after="0" w:line="7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incur significant costs and devote substantial management time as a result of operating as a public company and additional resources would be required if we lose our “smaller reporting company” and “non-accelerated filer” status.</w:t>
      </w:r>
    </w:p>
    <w:p>
      <w:pPr>
        <w:spacing w:after="0" w:line="3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As a public company, we operate in an increasingly demanding regulatory environment, which requires us to comply with applicable provisions of the Sarbanes-Oxley Act of 2002 and the related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w:t>
      </w:r>
    </w:p>
    <w:p>
      <w:pPr>
        <w:spacing w:after="0" w:line="5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However, we are currently a “smaller reporting company” and “non-accelerated filer” under the current SEC rules. As such we take advantage of exemptions from certain reporting requirements including exemption from compliance with the auditor attestation requirements of Section 404 of the Sarbanes Oxley Act and reduced disclosure obligations regarding executive compensation in our periodic reports and proxy statements. Should we lose these statuses, we may no longer be exempt from these requirements and expect that compliance with the requirements will increase our legal and financial compliance costs and will make some activities more time consuming and costly. In addition, our management and other personnel will need to divert attention from operational and other business matters to devote substantial time to these public company requirements. In particular, we expect to incur significant expenses and devote substantial management effort toward ensuring compliance with the requirements of Section 404(b) of the Sarbanes-Oxley Act. In that regard, we currently do not have an internal audit function. We will continue to qualify as a smaller reporting company as long as 1) our public float is less than $250 million, or 2) we have less than $100 million in annual revenues and public float of less than $700 million. We cannot predict if investors will find our Class A common stock less attractive if we choose to rely on these exemptions.</w:t>
      </w:r>
    </w:p>
    <w:p>
      <w:pPr>
        <w:spacing w:after="0" w:line="54"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However, for as long as we remain a “smaller reporting company” and “non-accelerated filer”, we intend to take advantage of certain exemptions from various reporting requirements that are applicable to other public companies that do not qualify under these categories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intend to take advantage of these reporting exemptions as long as we remain eligible to do so under the related rules.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Provisions in our charter and bylaws and investor agreements, and provisions of Delaware law may delay or prevent our acquisition by a third party, which might diminish the value of our common stock.</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Our amended and restated certificate of incorporation and amended and restated bylaws contain several provisions that may make it more difficult or expensive for a third party to acquire control of us without the approval of the Board of Directors. These provisions also may delay, prevent or deter a merger, acquisition, tender offer, proxy contest or other transaction that might otherwise result in our stockholders receiving a premium over the market price for their common stock. The provisions include, among others:</w:t>
      </w:r>
    </w:p>
    <w:p>
      <w:pPr>
        <w:spacing w:after="0" w:line="47" w:lineRule="exact"/>
        <w:rPr>
          <w:sz w:val="20"/>
          <w:szCs w:val="20"/>
          <w:color w:val="auto"/>
        </w:rPr>
      </w:pPr>
    </w:p>
    <w:p>
      <w:pPr>
        <w:ind w:left="640" w:hanging="324"/>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prohibition on actions by written consent of the stockholders;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authorized but unissued shares of common stock and preferred stock that will be available for future issuance;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our Board of Directors to increase the size of the Board of Directors and fill vacancies without a stockholder vote;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provisions that have the same effect as a modified version of Section 203 of the Delaware General Corporation Law, an anti-takeover law (as further described below);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advance notice requirements for stockholder proposals and director nominations.</w:t>
      </w:r>
    </w:p>
    <w:p>
      <w:pPr>
        <w:spacing w:after="0" w:line="7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We have elected in our amended and restated certificate of incorporation not to be subject to Section 203 of the Delaware General Corporation Law. Nevertheless, the amended and restated certificate of incorporation contains provisions that have the same effect as Section 203 of the Delaware General Corporation Law, except that they provide that MacAndrews and its various successors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and affiliates (and transferees of any of them) will not be deemed to be “interested stockholders,” regardless of the percentage of our stock owned by them, and accordingly will not be subject to such restrictions. Further, the Private Placement Investors are also not deemed to be “interested stockholders,” regardless of the percentage of our stock owned by them, and accordingly will not be subject to the restrictions set forth in Section 203 of the Delaware General Corporation Law</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provisions of our amended and restated certificate of incorporation and amended and restated bylaws, the significant common stock ownership of MacAndrews and the ability of the Board of Directors to create and issue a new series of preferred stock or implement a stockholder rights plan could discourage potential takeover attempts and reduce the price that investors might be willing to pay for shares of our common stock in the future, which could reduce the market price of our common stock.</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Additionally, pursuant to the investor rights agreement with an affiliate of MacAndrews, MacAndrews has the right to designate two members of our Board of Directors, and as part of the Private Placement, the Private Placement Investors have rights to designate three members of our Board of Directors, making it more difficult for a third party to acquire control of our Board. The agreement with the Private Placement Investors also provides that five of our directors must approve certain actions including any acquisition by a third party, which makes it more difficult for our Board of Directors to approve such a transaction.</w:t>
      </w:r>
    </w:p>
    <w:p>
      <w:pPr>
        <w:spacing w:after="0" w:line="4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will be required to pay M&amp;F TTP Holdings Two LLC (“M&amp;F”) for certain tax benefits we may claim. In certain circumstances, payments under the Tax Receivable Agreement may be accelerated and/or significantly exceed the actual tax benefits we realize.</w:t>
      </w:r>
    </w:p>
    <w:p>
      <w:pPr>
        <w:spacing w:after="0" w:line="3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only asset of the Company is its interest in vTv LLC. Class B common stock, together with the corresponding number of vTv Units, may be exchanged for shares of our Class A common stock, or for cash, at our option (as the managing member of vTv LLC). These exchanges of Class B common stock, together with the corresponding number of vTv LLC Units, may result in increases in the tax basis of the assets of vTv LLC that otherwise would not have been available. Such increases in tax basis are likely to increase (for tax purposes) depreciation and amortization deductions and therefore reduce the amount of income tax we would otherwise be required to pay in the future and may also decrease gain (or increase loss) on future dispositions of certain assets to the extent the increased tax basis is allocated to those assets. The IRS may challenge all or part of these tax basis increases and a court could sustain such a challenge.</w:t>
      </w:r>
    </w:p>
    <w:p>
      <w:pPr>
        <w:spacing w:after="0" w:line="5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We have entered into a Tax Receivable Agreement with vTv Therapeutics Holdings (an entity which was dissolved in October 2015, but to which M&amp;F became a successor) that will provide for the payment by us to M&amp;F (or certain of its transferees or other assignees) of 85% of the amount of cash savings, if any, in U.S. federal, state and local income tax or franchise tax that we actually realize (or, in some circumstances, we are deemed to realize) as a result of (a) the exchange of Class B common stock, together with the corresponding number of vTv Units, for shares of our Class A common stock (or for cash), (b) tax benefits related to imputed interest deemed to be paid by us as a result of the Tax Receivable Agreement and (c) certain tax benefits attributable to payments under the Tax Receivable Agreement. Although the actual increase in tax basis and the amount and timing of any payments under the Tax Receivable Agreement will vary depending upon a number of factors, including the timing of exchanges, the price of shares of our Class A common stock at the time of the exchange, the nature of the assets, the extent to which such exchanges are taxable, the tax rates then applicable, and the amount and timing of our income, we expect that the payments that we may make to M&amp;F could be substantial.</w:t>
      </w:r>
    </w:p>
    <w:p>
      <w:pPr>
        <w:spacing w:after="0" w:line="5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M&amp;F generally will not reimburse us for any payments that may previously have been made under the Tax Receivable Agreement even if the IRS subsequently disallows the tax basis increase or any other relevant tax item. Instead, any excess cash payments made by us to M&amp;F will be netted against any future cash payments that we might otherwise be required to make under the terms of the Tax Receivable Agreement. However, we might not determine that we have effectively made an excess cash payment to M&amp;F for a number of years following the initial time of such payment. As a result, in certain circumstances we could make payments to M&amp;F under the Tax Receivable Agreement in excess of our cash tax savings. Our ability to achieve benefits from any tax basis increase and the payments to be made under the Tax Receivable Agreement, will depend upon a number of factors, including the timing and amount of our future income and the nature of our assets.</w:t>
      </w:r>
    </w:p>
    <w:p>
      <w:pPr>
        <w:spacing w:after="0" w:line="5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To the extent that we are unable to make payments under the Tax Receivable Agreement for any reason, such payments will be deferred and will accrue interest until paid. In addition, the Tax Receivable Agreement provides that, upon a merger, asset sale or other form of business combination or certain other changes of control or if, at any time, we elect an early termination of the Tax Receivable Agreement, our (or our successor’s) obligations under the Tax Receivable Agreement with respect to exchanged or acquired Class B common stock, together with the corresponding number of vTv Units (whether exchanged or acquired before or after such change of control or early termination), would be required to be paid significantly in advance of the actual realization, if any, of any future tax benefits and would be based on certain assumptions, including that we would have sufficient taxable income to fully utilize the deductions arising from the increased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tax deductions and tax basis and other benefits related to entering into the Tax Receivable Agreement, and, in the case of certain early termination elections, that any Class B common stock, together with the corresponding number of vTv Units, that have not been exchanged will be deemed exchanged for the market value of the Class A common stock at the time of termination. Consequently, it is possible that the actual cash tax savings realized by us may be significantly less than the corresponding Tax Receivable Agreement payments.</w:t>
      </w:r>
    </w:p>
    <w:p>
      <w:pPr>
        <w:spacing w:after="0" w:line="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only asset of the Company is its interest in vTv LLC, and accordingly it will depend on distributions from vTv LLC to pay taxes and expenses, including payments under the Tax Receivable Agreement. vTv LLC’s ability to make such distributions may be subject to various limitations and restrictions.</w:t>
      </w:r>
    </w:p>
    <w:p>
      <w:pPr>
        <w:spacing w:after="0" w:line="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The Company is a holding company, has no material assets other than its ownership of vTv Units and has no independent means of generating revenue or cash flow. vTv LLC is treated as a partnership for U.S. federal income tax purposes and, as such, is not subject to any entity-level U.S. federal income tax. Instead, taxable income will be allocated to holders of its common units, including us. As a result, we will incur U.S. federal, state and local income taxes on our allocable share of any net taxable income of vTv LLC. Under the terms of vTv LLC’s Amended and Restated LLC Agreement, vTv LLC will be obligated to make tax distributions to holders of its common units, including us. In addition to tax expenses, we will also incur expenses related to our operations, including expenses under the Tax Receivable Agreement, which could be significant. We intend, as its managing member, to cause vTv LLC to make distributions in an amount sufficient to allow us to pay our taxes and operating expenses, including any payments due under the Tax Receivable Agreement. However, vTv LLC’s ability to make such distributions may be subject to various limitations and restrictions including, but not limited to, restrictions on distributions that would either violate any contract or agreement to which vTv LLC is then a party, including the Loan Agreement or any other potential debt agreements, or any applicable law, or that would have the effect of rendering vTv LLC insolvent. If vTv LLC does not distribute sufficient funds for us to pay our taxes or other liabilities, we may have to borrow funds, which could adversely affect our liquidity and subject us to various restrictions imposed by any such lenders. To the extent that we are unable to make payments under the Tax Receivable Agreement for any reason, such payments will be deferred and will accrue interest until paid.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organizational structure confers certain benefits upon M&amp;F and certain of its successors and assigns that will not benefit Class A common stockholders to the same extent as it will benefit M&amp;F.</w:t>
      </w:r>
    </w:p>
    <w:p>
      <w:pPr>
        <w:spacing w:after="0" w:line="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Our organizational structure confers certain benefits upon M&amp;F that will not benefit the holders of our Class A common stock to the same extent as it will benefit M&amp;F. For example, the Tax Receivable Agreement will provide for the payment by us to M&amp;F (or certain of its transferees or other assignees) of 85% of the amount of cash savings, if any, in U.S. federal, state and local income tax or franchise tax that we actually realize (or, in some circumstances, we are deemed to realize) as a result of (a) the exchange of Class B common stock, together with the corresponding number of vTv Units, for shares of our Class A common stock (or for cash), (b) tax benefits related to imputed interest deemed to be paid by us as a result of the Tax Receivable Agreement and (c) certain tax benefits attributable to payments under the Tax Receivable Agreement. Although we will retain 15% of the amount of such tax benefits, it is possible that the interests of M&amp;F may in some circumstances conflict with our interests and the interests of our other stockholders. For example, M&amp;F may have different tax positions from us, especially in light of the Tax Receivable Agreement, that could influence their decisions regarding whether and when we should dispose of assets, whether and when we should incur new or refinance existing indebtedness, and whether and when we should terminate the Tax Receivable Agreement and accelerate our obligations thereunder. In addition, the determination of future tax reporting positions, the structuring of future transactions and the handling of any future challenges by any taxing authority to our tax reporting positions may take into consideration M&amp;F’s tax or other considerations, which may differ from the considerations of us or our other stockholders. To the extent that M&amp;F is dissolved or liquidated, MacAndrews and/or its affiliates will succeed to the rights and obligations of M&amp;F under the Tax Receivable Agreement, and the same considerations described above apply to any such successor parties.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1B.</w:t>
      </w:r>
      <w:r>
        <w:rPr>
          <w:sz w:val="20"/>
          <w:szCs w:val="20"/>
          <w:color w:val="auto"/>
        </w:rPr>
        <w:tab/>
      </w:r>
      <w:r>
        <w:rPr>
          <w:rFonts w:ascii="Times New Roman" w:cs="Times New Roman" w:eastAsia="Times New Roman" w:hAnsi="Times New Roman"/>
          <w:sz w:val="11"/>
          <w:szCs w:val="11"/>
          <w:b w:val="1"/>
          <w:bCs w:val="1"/>
          <w:color w:val="auto"/>
        </w:rPr>
        <w:t>UNRESOLVED STAFF COMMENTS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1C. CYBERSECURITY</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Audit Committee of our Board of Directors is responsible for overseeing management’s processes for identifying and mitigating risks that affect our operations, including cybersecurity risks. Procedures for assessing, identifying and managing cybersecurity-related risks are incorporated into our overall risk management framework. Senior leadership regularly briefs the Audit Committee and the full Board of Directors on our cybersecurity and information security posture and the Audit Committee is apprised of cybersecurity incidents deemed to pose a critical risk to our information technology ("IT") assets or business. We have an incident response playbook that outlines the steps to be followed from incident detection to mitigation, recovery and notification, including notifying key functional areas, such as legal and financial reporting, as well as senior leadership and the Audit Committee, as appropriate. We rely upon in-house and cybersecurity vendors to monitor our IT systems and assets and have a governance structure and processes to assess, identify, manage, and report cybersecurity risks.</w:t>
      </w:r>
    </w:p>
    <w:p>
      <w:pPr>
        <w:spacing w:after="0" w:line="5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 a biopharmaceutical company, we must comply with extensive regulations, including requirements imposed by the FDA related to adequately safeguarding patient information. We work with our in-house and cybersecurity vendors on assessing cybersecurity risk and on policies and practices aimed at mitigating these risks. We have engaged third-parties to conduct evaluations of our security controls, including through penetration testing, independent audits, and consulting on best practices to address new challenges. We require that our employees and subcontractors report cybersecurity incidents to us so that we can assess the impact of the incident on our systems and operations.</w:t>
      </w:r>
    </w:p>
    <w:p>
      <w:pPr>
        <w:spacing w:after="0" w:line="4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We currently have one full-time employee who manages our day-to-day information technology systems and the third-party vendors engaged to assist in such management, including monitoring and addressing cybersecurity matters and reports to our Chief Financial Officer. Our cybersecurity vendor, which has a SOC 2 Type II Report and is ISO 27001 certified, utilizes industry-leading processes to monitor in real-time cybersecurity threats and risks to our systems. Our in-house IT resource receives immediate notification of incidents and engages regularly with our cybersecurity vendor through weekly and monthly reports and quarterly meetings to address any issues identified through their processes and communicates such issues in accordance with our incident response plan.</w:t>
      </w:r>
    </w:p>
    <w:p>
      <w:pPr>
        <w:spacing w:after="0" w:line="5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Although we have not, as of the date of this Annual Report on Form 10-K, experienced a cybersecurity incident that materially affected our business, financial condition and results of operations, we can provide no assurance that we will not experience a material cybersecurity incident in the future. While we maintain cybersecurity insurance, the costs related to cybersecurity threats or disruptions may not be fully insured. For additional information regarding the risks we face from cybersecurity threats, please see the risk factor titled “Our business and operations would suffer in the event of computer system failures, cyber-attacks or a deficiency in our cyber-security” included in Part I, Item 1A, Risk Factors of this Annual Report on Form 10-K.</w:t>
      </w:r>
    </w:p>
    <w:p>
      <w:pPr>
        <w:spacing w:after="0" w:line="13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color w:val="auto"/>
        </w:rPr>
        <w:t>PROPERTIES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corporate headquarters is located in High Point, North Carolina, where we lease 8,682 square feet of office space in the Premier Center office park. The term of the lease for this space continues through November 2025.</w:t>
      </w:r>
    </w:p>
    <w:p>
      <w:pPr>
        <w:spacing w:after="0" w:line="16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1"/>
          <w:szCs w:val="11"/>
          <w:b w:val="1"/>
          <w:bCs w:val="1"/>
          <w:color w:val="auto"/>
        </w:rPr>
        <w:t>LEGAL PROCEEDINGS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 are not currently a party to any material legal proceedings.</w:t>
      </w:r>
    </w:p>
    <w:p>
      <w:pPr>
        <w:spacing w:after="0" w:line="16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color w:val="auto"/>
        </w:rPr>
        <w:t>MINE SAFETY DISCLOSURES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240" w:lineRule="exact"/>
        <w:rPr>
          <w:sz w:val="20"/>
          <w:szCs w:val="20"/>
          <w:color w:val="auto"/>
        </w:rPr>
      </w:pPr>
    </w:p>
    <w:p>
      <w:pPr>
        <w:ind w:right="2680"/>
        <w:spacing w:after="0" w:line="379" w:lineRule="auto"/>
        <w:rPr>
          <w:sz w:val="20"/>
          <w:szCs w:val="20"/>
          <w:color w:val="auto"/>
        </w:rPr>
      </w:pPr>
      <w:r>
        <w:rPr>
          <w:rFonts w:ascii="Times New Roman" w:cs="Times New Roman" w:eastAsia="Times New Roman" w:hAnsi="Times New Roman"/>
          <w:sz w:val="12"/>
          <w:szCs w:val="12"/>
          <w:b w:val="1"/>
          <w:bCs w:val="1"/>
          <w:color w:val="auto"/>
        </w:rPr>
        <w:t>ITEM 5. MARKET FOR REGISTRANT’S COMMON EQUITY, RELATED STOCKHOLDER MATTERS AND ISSUER PURCHASES OF EQUITY SECURITIES Market Information</w:t>
      </w:r>
    </w:p>
    <w:p>
      <w:pPr>
        <w:ind w:left="320"/>
        <w:spacing w:after="0"/>
        <w:rPr>
          <w:sz w:val="20"/>
          <w:szCs w:val="20"/>
          <w:color w:val="auto"/>
        </w:rPr>
      </w:pPr>
      <w:r>
        <w:rPr>
          <w:rFonts w:ascii="Times New Roman" w:cs="Times New Roman" w:eastAsia="Times New Roman" w:hAnsi="Times New Roman"/>
          <w:sz w:val="12"/>
          <w:szCs w:val="12"/>
          <w:color w:val="auto"/>
        </w:rPr>
        <w:t>Our Class A common stock is listed on the Nasdaq Capital Market under the symbol “VTVT”.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 Policy</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 cash dividends have ever been declared or paid on the common equity to date by the Company.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Holders</w:t>
      </w:r>
    </w:p>
    <w:p>
      <w:pPr>
        <w:spacing w:after="0" w:line="82"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As of March 13, 2024, there were approximately 28 holders of record of our Class A common stock and 6 holders of record of our Class B common stock. Because almost all of the shares of our Class A common stock are held by brokers, nominees and other institutions on behalf of shareholders, we are unable to estimate the total number of shareholders represented by these record holders.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Issuer Purchases of Equity Securities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There have been no repurchases of the Company’s common stock during the fourth fiscal quarter of fiscal 2023.</w:t>
      </w:r>
    </w:p>
    <w:p>
      <w:pPr>
        <w:spacing w:after="0" w:line="16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6.</w:t>
      </w:r>
      <w:r>
        <w:rPr>
          <w:sz w:val="20"/>
          <w:szCs w:val="20"/>
          <w:color w:val="auto"/>
        </w:rPr>
        <w:tab/>
      </w:r>
      <w:r>
        <w:rPr>
          <w:rFonts w:ascii="Times New Roman" w:cs="Times New Roman" w:eastAsia="Times New Roman" w:hAnsi="Times New Roman"/>
          <w:sz w:val="11"/>
          <w:szCs w:val="11"/>
          <w:b w:val="1"/>
          <w:bCs w:val="1"/>
          <w:color w:val="auto"/>
        </w:rPr>
        <w:t>RESERVED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7.</w:t>
      </w:r>
      <w:r>
        <w:rPr>
          <w:sz w:val="20"/>
          <w:szCs w:val="20"/>
          <w:color w:val="auto"/>
        </w:rPr>
        <w:tab/>
      </w:r>
      <w:r>
        <w:rPr>
          <w:rFonts w:ascii="Times New Roman" w:cs="Times New Roman" w:eastAsia="Times New Roman" w:hAnsi="Times New Roman"/>
          <w:sz w:val="11"/>
          <w:szCs w:val="11"/>
          <w:b w:val="1"/>
          <w:bCs w:val="1"/>
          <w:color w:val="auto"/>
        </w:rPr>
        <w:t>MANAGEMENT’S DISCUSSION AND ANALYSIS OF FINANCIAL CONDITION AND RESULTS OF OPERATIONS</w:t>
      </w:r>
    </w:p>
    <w:p>
      <w:pPr>
        <w:spacing w:after="0" w:line="8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2"/>
          <w:szCs w:val="12"/>
          <w:i w:val="1"/>
          <w:iCs w:val="1"/>
          <w:color w:val="auto"/>
        </w:rPr>
        <w:t>The following discussion and analysis should be read in conjunction with our consolidated financial statements and related notes included elsewhere in this Annual Report on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in Part I, Item 1A, “Risk Factors” in this Annual Report on Form 10-K. See the sections entitled “Risk Factors” and “Cautionary Note Regarding Forward-Looking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Company Overview</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 xml:space="preserve">We are a clinical stage pharmaceutical company focused on treating metabolic and inflammatory diseases to minimize their long-term complications and improve the lives of patients. We have an innovative pipeline of first-in-class small molecule clinical and preclinical drug candidates. Our lead program is </w:t>
      </w:r>
      <w:r>
        <w:rPr>
          <w:rFonts w:ascii="Times New Roman" w:cs="Times New Roman" w:eastAsia="Times New Roman" w:hAnsi="Times New Roman"/>
          <w:sz w:val="12"/>
          <w:szCs w:val="12"/>
          <w:i w:val="1"/>
          <w:iCs w:val="1"/>
          <w:color w:val="auto"/>
        </w:rPr>
        <w:t>cadisegliatin (TTP399)</w:t>
      </w:r>
      <w:r>
        <w:rPr>
          <w:rFonts w:ascii="Times New Roman" w:cs="Times New Roman" w:eastAsia="Times New Roman" w:hAnsi="Times New Roman"/>
          <w:sz w:val="12"/>
          <w:szCs w:val="12"/>
          <w:color w:val="auto"/>
        </w:rPr>
        <w:t>, an orally administered, small molecule, liver-selective glucokinase activator (“GKA”) as an adjunctive therapy to insulin for the treatment of type 1 diabetes ("T1D").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Developments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Private Placement of Class A Common Shares and Pre-Funded Warrants</w:t>
      </w:r>
    </w:p>
    <w:p>
      <w:pPr>
        <w:spacing w:after="0" w:line="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On February 27, 2024, we entered into a securities purchase agreement (the “Securities Purchase Agreement”) with certain institutional accredited investors (the “Private Placement Investors”), pursuant to which we agreed to issue and sell to the Private Placement Investors in a private placement (the “Private Placement”) (i) an aggregate of 464,377 shares (the “Private Placement Shares”) of our Class A common stock, at a purchase price of $11.81 per share, and (ii) pre-funded warrants (the “Private Placement Pre-Funded Warrants”) to purchase up to an aggregate of 3,853,997 shares of our Class A common stock (the “Private Placement Warrant Shares”) at a purchase price of $11.80 per Private Placement Pre-Funded Warrant (representing the $11.81 per Private Placement Share purchase price less the exercise price of $0.01 per Private Placement Warrant Share). We received aggregate gross proceeds from the Private Placement of approximately $51.0 million, before deducting offering expenses payable by us. The Private Placement Pre-Funded Warrants are exercisable at any time after their original issuance and will not expire.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ATM</w:t>
      </w:r>
    </w:p>
    <w:p>
      <w:pPr>
        <w:spacing w:after="0" w:line="1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2"/>
          <w:szCs w:val="12"/>
          <w:color w:val="auto"/>
        </w:rPr>
        <w:t>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(the “TD Cowen ATM Offering”). Pursuant to General Instruction I.B.6 of Form S-3, in no event will we sell securities registered on the registration statement relating to the TD Cowen ATM Offering with a value exceeding more than one-third of our public float in any 12-month period so long as our public float remains below $75.0 million. Under the terms of the TD Cowen Sales Agreement, we will pay TD Cowen a commission of 3% of the aggregate proceeds from the sale of shares and reimburse certain legal fees or other disbursements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Reverse Stock Split</w:t>
      </w:r>
    </w:p>
    <w:p>
      <w:pPr>
        <w:spacing w:after="0" w:line="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On November 20, 2023, we filed a Certificate of Amendment to the Company’s amended and restated certificate of incorporation, as amended, with the Secretary of State of the State of Delaware, which effected a reverse stock split at a ratio of 1-for-40, such that every 40 shares of our Class A common stock, combined into one issued and outstanding share of Class A common stock, and every 40 shares of our Class B common stock, combined into one issued and outstanding share of Class B Common Stock (the "Reverse Stock Split"). No fractional shares were issued in connection with the Reverse Stock Split. Any fractional shares of Class A common stock and Class B common stock to which a stockholder was entitled resulting from the Reverse Stock Split were rounded up to the nearest whole share. The Class A common stock began trading on a reverse split-adjusted basis on the Nasdaq on November 21, 2023. Our Class A common stock will continue trading under the symbol “VTVT,” and the new CUSIP number for the Class A common stock following the Reverse Stock Split is 91835204.</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Product Pipeline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following table summarizes our drug candidates, their partnership status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3891915" cy="2188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91915" cy="2188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Our Type 1 Diabetes Program – </w:t>
      </w:r>
      <w:r>
        <w:rPr>
          <w:rFonts w:ascii="Times New Roman" w:cs="Times New Roman" w:eastAsia="Times New Roman" w:hAnsi="Times New Roman"/>
          <w:sz w:val="12"/>
          <w:szCs w:val="12"/>
          <w:b w:val="1"/>
          <w:bCs w:val="1"/>
          <w:i w:val="1"/>
          <w:iCs w:val="1"/>
          <w:color w:val="auto"/>
        </w:rPr>
        <w:t>Cadisegliatin (TTP399)</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2"/>
          <w:szCs w:val="12"/>
          <w:color w:val="auto"/>
        </w:rPr>
        <w:t xml:space="preserve">The U.S. Food and Drug Administration (FDA) granted Breakthrough Therapy designation in 2021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an adjunctive therapy to insulin for the treatment of type 1 diabetes ("T1D"). The Breakthrough Therapy designation provides a sponsor with added support and the potential to expedite development and review timelines for a promising new investigational medicine. The Breakthrough Therapy designation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T1D was supported by the positive results from the Phase 2 SimpliciT-1 Study, a multi-center, randomized, double-blind, adaptive study assessing the safety and efficacy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an adjunct to insulin therapy in adults with T1D. In this trial, treatment with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resulted in a statistically significant improvement in HbA1c relative to placebo and a clinically meaningful decrease (40%) in the frequency of severe and symptomatic hypoglycemia.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demonstrated a favorable safety profile, in which abnormal levels of serum or urine ketones were detected less frequently in patients taking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than those taking placebo.</w:t>
      </w:r>
    </w:p>
    <w:p>
      <w:pPr>
        <w:spacing w:after="0" w:line="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 xml:space="preserve">In May of 2023, the FDA issued new draft guidance on "Diabetes Mellitus: Efficacy Endpoints for Clinical Trials Investigating Antidiabetic Drugs and Biological Products" which, for the first time, permitted the use of hypoglycemia as an endpoint to support a label claim. Consistent with this guidance and with input from the FDA, we have initiated a Phase 3 double-blind controlled trial to assess the effect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on reducing the frequency of Level 2 hypoglycemia (blood glucose levels are less than 54 mg/dL or 3 mmol/L, regardless of symptoms) and Level 3 hypoglycemia ("severe" hypoglycemia e.g., requiring assistance of another person) in 150 patients with type 1 diabetes. Participants in the trial will be randomized to two doses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or placebo. Reduction in glycated hemoglobin (HbA1c), a traditional efficacy endpoint in diabetes trials, is a key secondary endpoint to assess the potential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to reduce hyperglycemia, Following the initial assessment of efficacy after six months of treatment, participants will remain on trial for another six months to assess the durability of potential beneficial effects and safety. The study protocol was submitted to the FDA on February 29, 2024. The trial will be conducted in the U.S. only and is expected to complete enrollment by the fourth quarter in 2024 providing top line 1-year data by the first quarter in 2026.</w:t>
      </w:r>
    </w:p>
    <w:p>
      <w:pPr>
        <w:spacing w:after="0" w:line="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 xml:space="preserve">Concurrently, we will be working on the design for two international registrational studies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type 1 diabetes, which we expect to start in 2026.</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 addition, we continue to work with our partner, G42 Investments AI Holding RSC Ltd. (“G42”), to initiate a double-blind, randomized, controlled Phase 2 trial in the Middle East region in 450 insulin-using patients with type 2 diabetes. We expect that trial to begin in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Holding Company Structure</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Financial Overview</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To date, we have not generated any revenue from drug sales. Our revenue has been primarily derived from milestone payments, up-front proceeds and research fees under collaboration and license agreements.</w:t>
      </w:r>
    </w:p>
    <w:p>
      <w:pPr>
        <w:spacing w:after="0" w:line="7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Expenses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research and development expenses by project for the years ended December 31, 2023, 2022 and 2021 were as follows (in thousands):</w:t>
      </w:r>
    </w:p>
    <w:p>
      <w:pPr>
        <w:spacing w:after="0" w:line="101"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2"/>
          <w:szCs w:val="12"/>
          <w:b w:val="1"/>
          <w:bCs w:val="1"/>
          <w:color w:val="auto"/>
        </w:rPr>
        <w:t>Years Ended December 31,</w:t>
      </w:r>
    </w:p>
    <w:p>
      <w:pPr>
        <w:spacing w:after="0" w:line="21" w:lineRule="exact"/>
        <w:rPr>
          <w:sz w:val="20"/>
          <w:szCs w:val="20"/>
          <w:color w:val="auto"/>
        </w:rPr>
      </w:pPr>
    </w:p>
    <w:tbl>
      <w:tblPr>
        <w:tblLayout w:type="fixed"/>
        <w:tblInd w:w="100" w:type="dxa"/>
        <w:tblCellMar>
          <w:top w:w="0" w:type="dxa"/>
          <w:left w:w="0" w:type="dxa"/>
          <w:bottom w:w="0" w:type="dxa"/>
          <w:right w:w="0" w:type="dxa"/>
        </w:tblCellMar>
      </w:tblPr>
      <w:tr>
        <w:trPr>
          <w:trHeight w:val="124"/>
        </w:trPr>
        <w:tc>
          <w:tcPr>
            <w:tcW w:w="6560" w:type="dxa"/>
            <w:vAlign w:val="bottom"/>
            <w:tcBorders>
              <w:bottom w:val="single" w:sz="8" w:color="CCEEFF"/>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rPr>
              <w:t>2023</w:t>
            </w:r>
          </w:p>
        </w:tc>
        <w:tc>
          <w:tcPr>
            <w:tcW w:w="5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rPr>
              <w:t>2022</w:t>
            </w:r>
          </w:p>
        </w:tc>
        <w:tc>
          <w:tcPr>
            <w:tcW w:w="5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33"/>
        </w:trPr>
        <w:tc>
          <w:tcPr>
            <w:tcW w:w="65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Direct research and development expense:</w:t>
            </w:r>
          </w:p>
        </w:tc>
        <w:tc>
          <w:tcPr>
            <w:tcW w:w="9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53"/>
        </w:trPr>
        <w:tc>
          <w:tcPr>
            <w:tcW w:w="6560" w:type="dxa"/>
            <w:vAlign w:val="bottom"/>
          </w:tcPr>
          <w:p>
            <w:pPr>
              <w:ind w:left="80"/>
              <w:spacing w:after="0"/>
              <w:rPr>
                <w:sz w:val="20"/>
                <w:szCs w:val="20"/>
                <w:color w:val="auto"/>
              </w:rPr>
            </w:pPr>
            <w:r>
              <w:rPr>
                <w:rFonts w:ascii="Times New Roman" w:cs="Times New Roman" w:eastAsia="Times New Roman" w:hAnsi="Times New Roman"/>
                <w:sz w:val="12"/>
                <w:szCs w:val="12"/>
                <w:i w:val="1"/>
                <w:iCs w:val="1"/>
                <w:color w:val="auto"/>
              </w:rPr>
              <w:t>Cadisegliatin</w:t>
            </w:r>
          </w:p>
        </w:tc>
        <w:tc>
          <w:tcPr>
            <w:tcW w:w="940" w:type="dxa"/>
            <w:vAlign w:val="bottom"/>
          </w:tcPr>
          <w:p>
            <w:pPr>
              <w:jc w:val="right"/>
              <w:ind w:right="82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10,182</w:t>
            </w:r>
          </w:p>
        </w:tc>
        <w:tc>
          <w:tcPr>
            <w:tcW w:w="80" w:type="dxa"/>
            <w:vAlign w:val="bottom"/>
          </w:tcPr>
          <w:p>
            <w:pPr>
              <w:spacing w:after="0"/>
              <w:rPr>
                <w:sz w:val="13"/>
                <w:szCs w:val="13"/>
                <w:color w:val="auto"/>
              </w:rPr>
            </w:pPr>
          </w:p>
        </w:tc>
        <w:tc>
          <w:tcPr>
            <w:tcW w:w="940" w:type="dxa"/>
            <w:vAlign w:val="bottom"/>
          </w:tcPr>
          <w:p>
            <w:pPr>
              <w:jc w:val="right"/>
              <w:ind w:right="82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9,611</w:t>
            </w:r>
          </w:p>
        </w:tc>
        <w:tc>
          <w:tcPr>
            <w:tcW w:w="8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2,608</w:t>
            </w:r>
          </w:p>
        </w:tc>
      </w:tr>
      <w:tr>
        <w:trPr>
          <w:trHeight w:val="153"/>
        </w:trPr>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i w:val="1"/>
                <w:iCs w:val="1"/>
                <w:color w:val="auto"/>
              </w:rPr>
              <w:t>HPP737</w:t>
            </w:r>
          </w:p>
        </w:tc>
        <w:tc>
          <w:tcPr>
            <w:tcW w:w="9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2,762</w:t>
            </w:r>
          </w:p>
        </w:tc>
      </w:tr>
      <w:tr>
        <w:trPr>
          <w:trHeight w:val="153"/>
        </w:trPr>
        <w:tc>
          <w:tcPr>
            <w:tcW w:w="6560" w:type="dxa"/>
            <w:vAlign w:val="bottom"/>
          </w:tcPr>
          <w:p>
            <w:pPr>
              <w:ind w:left="80"/>
              <w:spacing w:after="0"/>
              <w:rPr>
                <w:sz w:val="20"/>
                <w:szCs w:val="20"/>
                <w:color w:val="auto"/>
              </w:rPr>
            </w:pPr>
            <w:r>
              <w:rPr>
                <w:rFonts w:ascii="Times New Roman" w:cs="Times New Roman" w:eastAsia="Times New Roman" w:hAnsi="Times New Roman"/>
                <w:sz w:val="12"/>
                <w:szCs w:val="12"/>
                <w:i w:val="1"/>
                <w:iCs w:val="1"/>
                <w:color w:val="auto"/>
              </w:rPr>
              <w:t>Azeliragon</w:t>
            </w:r>
          </w:p>
        </w:tc>
        <w:tc>
          <w:tcPr>
            <w:tcW w:w="94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822</w:t>
            </w:r>
          </w:p>
        </w:tc>
      </w:tr>
      <w:tr>
        <w:trPr>
          <w:trHeight w:val="153"/>
        </w:trPr>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projects</w:t>
            </w:r>
          </w:p>
        </w:tc>
        <w:tc>
          <w:tcPr>
            <w:tcW w:w="9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676</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563</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717</w:t>
            </w:r>
          </w:p>
        </w:tc>
      </w:tr>
      <w:tr>
        <w:trPr>
          <w:trHeight w:val="153"/>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Indirect research and development expense</w:t>
            </w:r>
          </w:p>
        </w:tc>
        <w:tc>
          <w:tcPr>
            <w:tcW w:w="9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2,737</w:t>
            </w: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2,183</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6,415</w:t>
            </w:r>
          </w:p>
        </w:tc>
      </w:tr>
      <w:tr>
        <w:trPr>
          <w:trHeight w:val="158"/>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research and development expense</w:t>
            </w:r>
          </w:p>
        </w:tc>
        <w:tc>
          <w:tcPr>
            <w:tcW w:w="94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13,595</w:t>
            </w:r>
          </w:p>
        </w:tc>
        <w:tc>
          <w:tcPr>
            <w:tcW w:w="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12,357</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13,324</w:t>
            </w:r>
          </w:p>
        </w:tc>
      </w:tr>
    </w:tbl>
    <w:p>
      <w:pPr>
        <w:spacing w:after="0" w:line="122" w:lineRule="exact"/>
        <w:rPr>
          <w:sz w:val="20"/>
          <w:szCs w:val="20"/>
          <w:color w:val="auto"/>
        </w:rPr>
      </w:pPr>
    </w:p>
    <w:p>
      <w:pPr>
        <w:ind w:firstLine="324"/>
        <w:spacing w:after="0" w:line="283" w:lineRule="auto"/>
        <w:rPr>
          <w:sz w:val="20"/>
          <w:szCs w:val="20"/>
          <w:color w:val="auto"/>
        </w:rPr>
      </w:pPr>
      <w:r>
        <w:rPr>
          <w:rFonts w:ascii="Times New Roman" w:cs="Times New Roman" w:eastAsia="Times New Roman" w:hAnsi="Times New Roman"/>
          <w:sz w:val="12"/>
          <w:szCs w:val="12"/>
          <w:color w:val="auto"/>
        </w:rPr>
        <w:t xml:space="preserve">We plan to continue to incur significant research and development expenses for the foreseeable future as we continue the development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and further advance the development of our other drug candidates, subject to the availability of additional funding.</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spacing w:after="0" w:line="47" w:lineRule="exact"/>
        <w:rPr>
          <w:sz w:val="20"/>
          <w:szCs w:val="20"/>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uncertainty of the scope, rate of progress and expense of our ongoing, as well as any additional, clinical trials and other research and development activities;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potential benefits of our candidates over other therapies;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market, commercialize and achieve market acceptance for any of our drug candidates that we are developing or may develop in the future;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future clinical trial results;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enroll patients in our clinical trials;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and receipt of any regulatory approvals;</w:t>
      </w:r>
    </w:p>
    <w:p>
      <w:pPr>
        <w:spacing w:after="0" w:line="78" w:lineRule="exact"/>
        <w:rPr>
          <w:rFonts w:ascii="Times New Roman" w:cs="Times New Roman" w:eastAsia="Times New Roman" w:hAnsi="Times New Roman"/>
          <w:sz w:val="12"/>
          <w:szCs w:val="12"/>
          <w:color w:val="auto"/>
        </w:rPr>
      </w:pPr>
    </w:p>
    <w:p>
      <w:pPr>
        <w:ind w:left="640" w:hanging="324"/>
        <w:spacing w:after="0" w:line="279" w:lineRule="auto"/>
        <w:tabs>
          <w:tab w:leader="none" w:pos="637"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secure sufficient capital and cash resources, including access to available debt and equity financing and revenues from operations, to satisfy all of our short-term and longer-term cash requirements and other cash needs, at the times and in the amounts needed;</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legislation and regulatory actions and changes in laws or regulations;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filing, prosecuting, defending and enforcing of patent claims and other intellectual property rights, and the expense of doing so.</w:t>
      </w:r>
    </w:p>
    <w:p>
      <w:pPr>
        <w:spacing w:after="0" w:line="7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 Expenses</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Income</w:t>
      </w:r>
    </w:p>
    <w:p>
      <w:pPr>
        <w:spacing w:after="0" w:line="82" w:lineRule="exact"/>
        <w:rPr>
          <w:sz w:val="20"/>
          <w:szCs w:val="20"/>
          <w:color w:val="auto"/>
        </w:rPr>
      </w:pPr>
    </w:p>
    <w:p>
      <w:pPr>
        <w:jc w:val="both"/>
        <w:ind w:firstLine="324"/>
        <w:spacing w:after="0" w:line="293" w:lineRule="auto"/>
        <w:rPr>
          <w:sz w:val="20"/>
          <w:szCs w:val="20"/>
          <w:color w:val="auto"/>
        </w:rPr>
      </w:pPr>
      <w:r>
        <w:rPr>
          <w:rFonts w:ascii="Times New Roman" w:cs="Times New Roman" w:eastAsia="Times New Roman" w:hAnsi="Times New Roman"/>
          <w:sz w:val="12"/>
          <w:szCs w:val="12"/>
          <w:color w:val="auto"/>
        </w:rPr>
        <w:t>Interest income represents noncash interest income related to the imputed interest from the G42 Promissory Note receivable using the effective interest method and cash interest income from dividends and interest from our money market account, all of which are recognized in our Consolidated Statement of Operations</w:t>
      </w:r>
      <w:r>
        <w:rPr>
          <w:rFonts w:ascii="Arial" w:cs="Arial" w:eastAsia="Arial" w:hAnsi="Arial"/>
          <w:sz w:val="14"/>
          <w:szCs w:val="14"/>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Company’s interest expense is immaterial.</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Expense, Net</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Other expense primarily consists of unrealized gains or losses attributable to the changes in fair value of the equity investment held, the recognition of changes in fair value of the warrants to purchase shares of our Class A common stock held by related parties, the loss from the G42 Promissory Note early redemption on February 28, 2023, the impairment charge from Anteris Bio, Inc. (“Anteris”) liquidation and dissolution and the Common Stock Repurchase Agreement (the "Repurchase Agreement") with Reneo Pharmaceuticals, Inc ("Reneo").</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In this section, we discuss the results of our operations for the year ended December 31, 2023 compared to the year ended December 31, 2022. For a discussion of the year ended December 31, 2022 compared to the year ended December 31, 2021, please refer to Part II, Item 7, “Management's Discussion and Analysis of Financial Condition and Results of Operations” in our Annual Report on Form 10-K for the year ended December 31, 2022.</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Comparison of the years ended December 31, 2023 and 2022</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16"/>
        </w:trPr>
        <w:tc>
          <w:tcPr>
            <w:tcW w:w="100" w:type="dxa"/>
            <w:vAlign w:val="bottom"/>
          </w:tcPr>
          <w:p>
            <w:pPr>
              <w:spacing w:after="0"/>
              <w:rPr>
                <w:sz w:val="18"/>
                <w:szCs w:val="18"/>
                <w:color w:val="auto"/>
              </w:rPr>
            </w:pPr>
          </w:p>
        </w:tc>
        <w:tc>
          <w:tcPr>
            <w:tcW w:w="65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The following table sets forth certain information concerning our results of operations for the periods shown:</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3"/>
        </w:trPr>
        <w:tc>
          <w:tcPr>
            <w:tcW w:w="100" w:type="dxa"/>
            <w:vAlign w:val="bottom"/>
          </w:tcPr>
          <w:p>
            <w:pPr>
              <w:spacing w:after="0"/>
              <w:rPr>
                <w:sz w:val="21"/>
                <w:szCs w:val="21"/>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142"/>
        </w:trPr>
        <w:tc>
          <w:tcPr>
            <w:tcW w:w="100" w:type="dxa"/>
            <w:vAlign w:val="bottom"/>
          </w:tcPr>
          <w:p>
            <w:pPr>
              <w:spacing w:after="0"/>
              <w:rPr>
                <w:sz w:val="12"/>
                <w:szCs w:val="12"/>
                <w:color w:val="auto"/>
              </w:rPr>
            </w:pPr>
          </w:p>
        </w:tc>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Statement of operations data:</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100" w:type="dxa"/>
            <w:vAlign w:val="bottom"/>
          </w:tcPr>
          <w:p>
            <w:pPr>
              <w:spacing w:after="0"/>
              <w:rPr>
                <w:sz w:val="12"/>
                <w:szCs w:val="12"/>
                <w:color w:val="auto"/>
              </w:rPr>
            </w:pPr>
          </w:p>
        </w:tc>
        <w:tc>
          <w:tcPr>
            <w:tcW w:w="656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Revenue</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2,018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(2,018)</w:t>
            </w:r>
          </w:p>
        </w:tc>
      </w:tr>
      <w:tr>
        <w:trPr>
          <w:trHeight w:val="153"/>
        </w:trPr>
        <w:tc>
          <w:tcPr>
            <w:tcW w:w="100" w:type="dxa"/>
            <w:vAlign w:val="bottom"/>
          </w:tcPr>
          <w:p>
            <w:pPr>
              <w:spacing w:after="0"/>
              <w:rPr>
                <w:sz w:val="13"/>
                <w:szCs w:val="13"/>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Operating expenses:</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Research and development</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13,595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12,357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1,238</w:t>
            </w:r>
          </w:p>
        </w:tc>
      </w:tr>
      <w:tr>
        <w:trPr>
          <w:trHeight w:val="153"/>
        </w:trPr>
        <w:tc>
          <w:tcPr>
            <w:tcW w:w="100" w:type="dxa"/>
            <w:vAlign w:val="bottom"/>
          </w:tcPr>
          <w:p>
            <w:pPr>
              <w:spacing w:after="0"/>
              <w:rPr>
                <w:sz w:val="13"/>
                <w:szCs w:val="13"/>
                <w:color w:val="auto"/>
              </w:rPr>
            </w:pPr>
          </w:p>
        </w:tc>
        <w:tc>
          <w:tcPr>
            <w:tcW w:w="6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11,907</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12,201</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(294)</w:t>
            </w:r>
          </w:p>
        </w:tc>
      </w:tr>
      <w:tr>
        <w:trPr>
          <w:trHeight w:val="142"/>
        </w:trPr>
        <w:tc>
          <w:tcPr>
            <w:tcW w:w="100" w:type="dxa"/>
            <w:vAlign w:val="bottom"/>
          </w:tcPr>
          <w:p>
            <w:pPr>
              <w:spacing w:after="0"/>
              <w:rPr>
                <w:sz w:val="12"/>
                <w:szCs w:val="12"/>
                <w:color w:val="auto"/>
              </w:rPr>
            </w:pPr>
          </w:p>
        </w:tc>
        <w:tc>
          <w:tcPr>
            <w:tcW w:w="6560" w:type="dxa"/>
            <w:vAlign w:val="bottom"/>
            <w:shd w:val="clear" w:color="auto" w:fill="CCEEFF"/>
          </w:tcPr>
          <w:p>
            <w:pPr>
              <w:ind w:left="300"/>
              <w:spacing w:after="0" w:line="135" w:lineRule="exact"/>
              <w:rPr>
                <w:sz w:val="20"/>
                <w:szCs w:val="20"/>
                <w:color w:val="auto"/>
              </w:rPr>
            </w:pPr>
            <w:r>
              <w:rPr>
                <w:rFonts w:ascii="Times New Roman" w:cs="Times New Roman" w:eastAsia="Times New Roman" w:hAnsi="Times New Roman"/>
                <w:sz w:val="12"/>
                <w:szCs w:val="12"/>
                <w:color w:val="auto"/>
              </w:rPr>
              <w:t>Total operating expenses</w:t>
            </w: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25,502</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24,558</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944</w:t>
            </w:r>
          </w:p>
        </w:tc>
      </w:tr>
      <w:tr>
        <w:trPr>
          <w:trHeight w:val="142"/>
        </w:trPr>
        <w:tc>
          <w:tcPr>
            <w:tcW w:w="100" w:type="dxa"/>
            <w:vAlign w:val="bottom"/>
          </w:tcPr>
          <w:p>
            <w:pPr>
              <w:spacing w:after="0"/>
              <w:rPr>
                <w:sz w:val="12"/>
                <w:szCs w:val="12"/>
                <w:color w:val="auto"/>
              </w:rPr>
            </w:pPr>
          </w:p>
        </w:tc>
        <w:tc>
          <w:tcPr>
            <w:tcW w:w="656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Operating loss</w:t>
            </w:r>
          </w:p>
        </w:tc>
        <w:tc>
          <w:tcPr>
            <w:tcW w:w="340" w:type="dxa"/>
            <w:vAlign w:val="bottom"/>
          </w:tcPr>
          <w:p>
            <w:pPr>
              <w:spacing w:after="0"/>
              <w:rPr>
                <w:sz w:val="12"/>
                <w:szCs w:val="12"/>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(25,502)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(22,540)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(2,962)</w:t>
            </w:r>
          </w:p>
        </w:tc>
      </w:tr>
      <w:tr>
        <w:trPr>
          <w:trHeight w:val="153"/>
        </w:trPr>
        <w:tc>
          <w:tcPr>
            <w:tcW w:w="100" w:type="dxa"/>
            <w:vAlign w:val="bottom"/>
          </w:tcPr>
          <w:p>
            <w:pPr>
              <w:spacing w:after="0"/>
              <w:rPr>
                <w:sz w:val="13"/>
                <w:szCs w:val="13"/>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Interest income</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472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352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120</w:t>
            </w:r>
          </w:p>
        </w:tc>
      </w:tr>
      <w:tr>
        <w:trPr>
          <w:trHeight w:val="153"/>
        </w:trPr>
        <w:tc>
          <w:tcPr>
            <w:tcW w:w="100" w:type="dxa"/>
            <w:vAlign w:val="bottom"/>
          </w:tcPr>
          <w:p>
            <w:pPr>
              <w:spacing w:after="0"/>
              <w:rPr>
                <w:sz w:val="13"/>
                <w:szCs w:val="13"/>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Interest expense</w:t>
            </w:r>
          </w:p>
        </w:tc>
        <w:tc>
          <w:tcPr>
            <w:tcW w:w="340" w:type="dxa"/>
            <w:vAlign w:val="bottom"/>
          </w:tcPr>
          <w:p>
            <w:pPr>
              <w:spacing w:after="0"/>
              <w:rPr>
                <w:sz w:val="13"/>
                <w:szCs w:val="13"/>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w:t>
            </w:r>
          </w:p>
        </w:tc>
      </w:tr>
      <w:tr>
        <w:trPr>
          <w:trHeight w:val="153"/>
        </w:trPr>
        <w:tc>
          <w:tcPr>
            <w:tcW w:w="100" w:type="dxa"/>
            <w:vAlign w:val="bottom"/>
          </w:tcPr>
          <w:p>
            <w:pPr>
              <w:spacing w:after="0"/>
              <w:rPr>
                <w:sz w:val="13"/>
                <w:szCs w:val="13"/>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Other expense, net</w:t>
            </w: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(923)</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(2,670)</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1,747</w:t>
            </w:r>
          </w:p>
        </w:tc>
      </w:tr>
      <w:tr>
        <w:trPr>
          <w:trHeight w:val="142"/>
        </w:trPr>
        <w:tc>
          <w:tcPr>
            <w:tcW w:w="100" w:type="dxa"/>
            <w:vAlign w:val="bottom"/>
          </w:tcPr>
          <w:p>
            <w:pPr>
              <w:spacing w:after="0"/>
              <w:rPr>
                <w:sz w:val="12"/>
                <w:szCs w:val="12"/>
                <w:color w:val="auto"/>
              </w:rPr>
            </w:pPr>
          </w:p>
        </w:tc>
        <w:tc>
          <w:tcPr>
            <w:tcW w:w="656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Loss before income taxes and noncontrolling interest</w:t>
            </w:r>
          </w:p>
        </w:tc>
        <w:tc>
          <w:tcPr>
            <w:tcW w:w="340" w:type="dxa"/>
            <w:vAlign w:val="bottom"/>
          </w:tcPr>
          <w:p>
            <w:pPr>
              <w:spacing w:after="0"/>
              <w:rPr>
                <w:sz w:val="12"/>
                <w:szCs w:val="12"/>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(25,966)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(24,873)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(1,093)</w:t>
            </w:r>
          </w:p>
        </w:tc>
      </w:tr>
      <w:tr>
        <w:trPr>
          <w:trHeight w:val="153"/>
        </w:trPr>
        <w:tc>
          <w:tcPr>
            <w:tcW w:w="100" w:type="dxa"/>
            <w:vAlign w:val="bottom"/>
          </w:tcPr>
          <w:p>
            <w:pPr>
              <w:spacing w:after="0"/>
              <w:rPr>
                <w:sz w:val="13"/>
                <w:szCs w:val="13"/>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Income tax provision</w:t>
            </w:r>
          </w:p>
        </w:tc>
        <w:tc>
          <w:tcPr>
            <w:tcW w:w="3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200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(200)</w:t>
            </w:r>
          </w:p>
        </w:tc>
      </w:tr>
      <w:tr>
        <w:trPr>
          <w:trHeight w:val="142"/>
        </w:trPr>
        <w:tc>
          <w:tcPr>
            <w:tcW w:w="100" w:type="dxa"/>
            <w:vAlign w:val="bottom"/>
          </w:tcPr>
          <w:p>
            <w:pPr>
              <w:spacing w:after="0"/>
              <w:rPr>
                <w:sz w:val="12"/>
                <w:szCs w:val="12"/>
                <w:color w:val="auto"/>
              </w:rPr>
            </w:pPr>
          </w:p>
        </w:tc>
        <w:tc>
          <w:tcPr>
            <w:tcW w:w="656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Net loss before noncontrolling interest</w:t>
            </w: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(25,966)</w:t>
            </w: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(25,073)</w:t>
            </w: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(893)</w:t>
            </w:r>
          </w:p>
        </w:tc>
      </w:tr>
      <w:tr>
        <w:trPr>
          <w:trHeight w:val="153"/>
        </w:trPr>
        <w:tc>
          <w:tcPr>
            <w:tcW w:w="100" w:type="dxa"/>
            <w:vAlign w:val="bottom"/>
          </w:tcPr>
          <w:p>
            <w:pPr>
              <w:spacing w:after="0"/>
              <w:rPr>
                <w:sz w:val="13"/>
                <w:szCs w:val="13"/>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Less: Net loss attributable to noncontrolling interest</w:t>
            </w: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(5,716)</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(5,909)</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193</w:t>
            </w:r>
          </w:p>
        </w:tc>
      </w:tr>
      <w:tr>
        <w:trPr>
          <w:trHeight w:val="142"/>
        </w:trPr>
        <w:tc>
          <w:tcPr>
            <w:tcW w:w="100" w:type="dxa"/>
            <w:vAlign w:val="bottom"/>
          </w:tcPr>
          <w:p>
            <w:pPr>
              <w:spacing w:after="0"/>
              <w:rPr>
                <w:sz w:val="12"/>
                <w:szCs w:val="12"/>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Net loss attributable to vTv Therapeutics Inc.</w:t>
            </w: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(20,250)</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(19,164)</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(1,086)</w:t>
            </w:r>
          </w:p>
        </w:tc>
      </w:tr>
      <w:tr>
        <w:trPr>
          <w:trHeight w:val="20"/>
        </w:trPr>
        <w:tc>
          <w:tcPr>
            <w:tcW w:w="1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There was no revenue for the year ended December 31, 2023. Revenue was $2.0 million for the year ended December 31, 2022. The revenue recognized in 2022 related to the increase to the transaction price for the license performance obligations under the amended license agreement with Huadong due to the satisfaction of a development milestone.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Expenses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 xml:space="preserve">Research and development expenses were $13.6 million and $12.4 million for the years ended December 31, 2023 and 2022, respectively. The increase in research and development expenses during this period of approximately $1.2 million, or 10.0%, was primarily driven by (i) higher spending on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of $0.6 million due to increases in drug product related costs as well as higher spending on trial preparation costs, and (ii) an increase of $0.6 million in indirect costs and other projects.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 Expenses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General and administrative expenses were $11.9 million and $12.2 million for the years ended December 31, 2023 and 2022, respectively. The decrease in general and administrative expenses during this period of approximately $0.3 million, or 2.4%, was primarily driven by (i) a decrease of $3.1 million in legal expense, and (ii) a decrease of $0.8 million in severance costs, partially offset by (iii) an increase in payroll costs of $1.8 million, (iv) an increase in other general and administrative costs of $1.5 million, and (v) an increase in share-based compensation expense of $0.3 million.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Income</w:t>
      </w:r>
    </w:p>
    <w:p>
      <w:pPr>
        <w:spacing w:after="0" w:line="84"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12"/>
          <w:szCs w:val="12"/>
          <w:color w:val="auto"/>
        </w:rPr>
        <w:t>Interest income for the year ended December 31, 2023 of $0.5 million is related to imputed interest on the G42 Promissory Note and dividend income from our money market account</w:t>
      </w:r>
      <w:r>
        <w:rPr>
          <w:rFonts w:ascii="Arial" w:cs="Arial" w:eastAsia="Arial" w:hAnsi="Arial"/>
          <w:sz w:val="14"/>
          <w:szCs w:val="14"/>
          <w:color w:val="auto"/>
        </w:rPr>
        <w:t>.</w:t>
      </w:r>
      <w:r>
        <w:rPr>
          <w:rFonts w:ascii="Times New Roman" w:cs="Times New Roman" w:eastAsia="Times New Roman" w:hAnsi="Times New Roman"/>
          <w:sz w:val="12"/>
          <w:szCs w:val="12"/>
          <w:color w:val="auto"/>
        </w:rPr>
        <w:t xml:space="preserve"> Interest income for the year ended December 31, 2022 of $0.4 million is related to the imputed interest on the G42 Promissory Note.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Interest expense for the years ended December 31, 2023 and 2022, was insignificant.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Expense, Net</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Other expense was $0.9 million for the year ended December 31, 2023 and was driven by the recording of an impairment charge on a cost-method investment of $4.2 million offset by a realized gain recognized related to the Company’s Repurchase Agreement with Reneo as well as the gains related to the change in the fair value of the outstanding warrants to purchase shares of our Class A common stock issued to related parties. Other expense was $2.7 million for the year ended December 31, 2022, and was driven by an unrealized loss recognized related to the Company’s investment in Reneo as well as the losses related to the change in the fair value of the outstanding warrants to purchase shares of our Class A common stock issued to related parties.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Liquidity and Going Concern</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 of December 31, 2023, we had an accumulated deficit of $281.0 million. Since our inception, we have experienced a history of negative cash flows from operating activities. We anticipate that we will continue to incur losses and negative cash flow from operations for the foreseeable future as we continue our clinical trials. Further, we expect that we will need additional capital to continue to fund our operations. As of December 31, 2023, we had cash and cash equivalents of $9.4 million.</w:t>
      </w:r>
    </w:p>
    <w:p>
      <w:pPr>
        <w:spacing w:after="0" w:line="47"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 xml:space="preserve">On February 27, 2024, the Company closed a private placement financing of up to $51.0 million and additionally granting investors the right to purchase up to an additional $30.0 million of common stock 18 months following the closing of the private placement financing. (See note 20). The financing raised will allow the Company to further advance its lead program for </w:t>
      </w:r>
      <w:r>
        <w:rPr>
          <w:rFonts w:ascii="Times New Roman" w:cs="Times New Roman" w:eastAsia="Times New Roman" w:hAnsi="Times New Roman"/>
          <w:sz w:val="12"/>
          <w:szCs w:val="12"/>
          <w:i w:val="1"/>
          <w:iCs w:val="1"/>
          <w:color w:val="auto"/>
        </w:rPr>
        <w:t>cadisegliatin (TTP399)</w:t>
      </w:r>
      <w:r>
        <w:rPr>
          <w:rFonts w:ascii="Times New Roman" w:cs="Times New Roman" w:eastAsia="Times New Roman" w:hAnsi="Times New Roman"/>
          <w:sz w:val="12"/>
          <w:szCs w:val="12"/>
          <w:color w:val="auto"/>
        </w:rPr>
        <w:t>.</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addition to available cash and cash equivalents and available funds discussed above, we are seeking possible additional partnering opportunities for our GKA, GLP-1r and other drug candidates which we believe may provide additional cash for use in our operations and the continuation of the clinical trials for our drug candidates. We are evaluating several financing strategies to fund our planned and ongoing clinical trials, including direct equity investments and future public offerings of our common stock. The timing and availability of such additional financing are not yet known.</w:t>
      </w:r>
    </w:p>
    <w:p>
      <w:pPr>
        <w:spacing w:after="0" w:line="4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As required by </w:t>
      </w:r>
      <w:r>
        <w:rPr>
          <w:rFonts w:ascii="Times New Roman" w:cs="Times New Roman" w:eastAsia="Times New Roman" w:hAnsi="Times New Roman"/>
          <w:sz w:val="12"/>
          <w:szCs w:val="12"/>
          <w:i w:val="1"/>
          <w:iCs w:val="1"/>
          <w:color w:val="auto"/>
        </w:rPr>
        <w:t>ASC Topic 205-40, Presentation of Financial Statements - Going Concern</w:t>
      </w:r>
      <w:r>
        <w:rPr>
          <w:rFonts w:ascii="Times New Roman" w:cs="Times New Roman" w:eastAsia="Times New Roman" w:hAnsi="Times New Roman"/>
          <w:sz w:val="12"/>
          <w:szCs w:val="12"/>
          <w:color w:val="auto"/>
        </w:rPr>
        <w:t>, management has assessed our ability to continue as a going concern for one year from the consolidated financial statements issuance date for the fiscal year ended December 31, 2023. Based on the cash and cash equivalents currently available to us as discussed above, we have concluded there is not substantial doubt regarding our ability to continue as a going concern for at least twelve months from the issuance of the December 31, 2023 Form 10-K.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ATM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TD Cowen Sales Agreement</w:t>
      </w:r>
    </w:p>
    <w:p>
      <w:pPr>
        <w:spacing w:after="0" w:line="8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although we may only offer and sell under the TD Cowen ATM Offering up to one-third of the aggregate market value of our voting and non-voting common equity held by non-affiliates during any 12 calendar month period pursuant to General Instruction I.B.6 of Form S-3. We are not obligated to sell any shares under the TD Cowen Sales Agreement. Under the terms of the TD Cowen Sales Agreement, we will pay TD Cowen a commission of 3% of the aggregate proceeds from the sale of shares and reimburse certain legal fees or other disbursements.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Cantor Fitzgerald Sales Agreement</w:t>
      </w:r>
    </w:p>
    <w:p>
      <w:pPr>
        <w:spacing w:after="0" w:line="8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2"/>
          <w:szCs w:val="12"/>
          <w:color w:val="auto"/>
        </w:rPr>
        <w:t>We previously entered into the Sales Agreement with Cantor Fitzgerald pursuant to which could offer and sell, from time to time, through or to Cantor Fitzgerald, as sales agent or principal, shares of our Class A common stock having an aggregate offering price of up to $68.5 million. As of December 31, 2023, we had sold $31.2 million worth of Class A common stock pursuant to the Sales Agreement for net proceeds of $30.3 million.</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Sales Agreement with Cantor Fitzgerald was terminated on February 26, 2024.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Lincoln Park Purchase Agreement</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We entered into the Purchase Agreement with Lincoln Park ("LPC Purchase Agreement"), which provides that, upon the terms and subject to the conditions and limitations set forth therein, we may sell to Lincoln Park up to $47.0 million of shares of our Class A common stock from time to time over the 36-month term of the LPC Purchase Agreement. Upon execution of the Purchase Agreement, we issued 10,643 shares of our Class A common stock to Lincoln Park as commitment shares in accordance with the closing conditions contained within the Purchase Agreement. We have issued 133,282 shares of our Class A common stock to Lincoln Park under the LPC Purchase Agreement through the date of the filing of this Annual Report on Form 10-K.</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LPC Purchase Agreement expired on November 24, 2023.</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Cash Flows</w:t>
      </w:r>
    </w:p>
    <w:p>
      <w:pPr>
        <w:spacing w:after="0" w:line="103" w:lineRule="exact"/>
        <w:rPr>
          <w:sz w:val="20"/>
          <w:szCs w:val="20"/>
          <w:color w:val="auto"/>
        </w:rPr>
      </w:pPr>
    </w:p>
    <w:tbl>
      <w:tblPr>
        <w:tblLayout w:type="fixed"/>
        <w:tblInd w:w="100" w:type="dxa"/>
        <w:tblCellMar>
          <w:top w:w="0" w:type="dxa"/>
          <w:left w:w="0" w:type="dxa"/>
          <w:bottom w:w="0" w:type="dxa"/>
          <w:right w:w="0" w:type="dxa"/>
        </w:tblCellMar>
      </w:tblPr>
      <w:tr>
        <w:trPr>
          <w:trHeight w:val="134"/>
        </w:trPr>
        <w:tc>
          <w:tcPr>
            <w:tcW w:w="81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w w:val="97"/>
              </w:rPr>
              <w:t>Year Ended December 31,</w:t>
            </w:r>
          </w:p>
        </w:tc>
        <w:tc>
          <w:tcPr>
            <w:tcW w:w="900" w:type="dxa"/>
            <w:vAlign w:val="bottom"/>
            <w:tcBorders>
              <w:bottom w:val="single" w:sz="8" w:color="auto"/>
            </w:tcBorders>
          </w:tcPr>
          <w:p>
            <w:pPr>
              <w:spacing w:after="0"/>
              <w:rPr>
                <w:sz w:val="11"/>
                <w:szCs w:val="11"/>
                <w:color w:val="auto"/>
              </w:rPr>
            </w:pPr>
          </w:p>
        </w:tc>
      </w:tr>
      <w:tr>
        <w:trPr>
          <w:trHeight w:val="123"/>
        </w:trPr>
        <w:tc>
          <w:tcPr>
            <w:tcW w:w="8100" w:type="dxa"/>
            <w:vAlign w:val="bottom"/>
          </w:tcPr>
          <w:p>
            <w:pPr>
              <w:spacing w:after="0"/>
              <w:rPr>
                <w:sz w:val="10"/>
                <w:szCs w:val="10"/>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2023</w:t>
            </w: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16"/>
        </w:trPr>
        <w:tc>
          <w:tcPr>
            <w:tcW w:w="8100" w:type="dxa"/>
            <w:vAlign w:val="bottom"/>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9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61"/>
        </w:trPr>
        <w:tc>
          <w:tcPr>
            <w:tcW w:w="8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90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(19,081)</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(16,022)</w:t>
            </w:r>
          </w:p>
        </w:tc>
      </w:tr>
      <w:tr>
        <w:trPr>
          <w:trHeight w:val="153"/>
        </w:trPr>
        <w:tc>
          <w:tcPr>
            <w:tcW w:w="8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cash provided by (used in) investing activities</w:t>
            </w:r>
          </w:p>
        </w:tc>
        <w:tc>
          <w:tcPr>
            <w:tcW w:w="90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4,404</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53"/>
        </w:trPr>
        <w:tc>
          <w:tcPr>
            <w:tcW w:w="8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9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11,997</w:t>
            </w:r>
          </w:p>
        </w:tc>
        <w:tc>
          <w:tcPr>
            <w:tcW w:w="8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14,754</w:t>
            </w:r>
          </w:p>
        </w:tc>
      </w:tr>
      <w:tr>
        <w:trPr>
          <w:trHeight w:val="142"/>
        </w:trPr>
        <w:tc>
          <w:tcPr>
            <w:tcW w:w="81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Net decrease in cash and cash equivalents</w:t>
            </w:r>
          </w:p>
        </w:tc>
        <w:tc>
          <w:tcPr>
            <w:tcW w:w="90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(2,680)</w:t>
            </w:r>
          </w:p>
        </w:tc>
        <w:tc>
          <w:tcPr>
            <w:tcW w:w="80" w:type="dxa"/>
            <w:vAlign w:val="bottom"/>
          </w:tcPr>
          <w:p>
            <w:pPr>
              <w:spacing w:after="0"/>
              <w:rPr>
                <w:sz w:val="12"/>
                <w:szCs w:val="12"/>
                <w:color w:val="auto"/>
              </w:rPr>
            </w:pPr>
          </w:p>
        </w:tc>
        <w:tc>
          <w:tcPr>
            <w:tcW w:w="56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(1,289)</w:t>
            </w:r>
          </w:p>
        </w:tc>
      </w:tr>
      <w:tr>
        <w:trPr>
          <w:trHeight w:val="20"/>
        </w:trPr>
        <w:tc>
          <w:tcPr>
            <w:tcW w:w="8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Activities</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For the year ended December 31, 2023, our net cash used in operating activities increased by $3.1 million from the prior year. The significant contributor to the change in cash used during the year was working capital changes offset by $6.8 million of cash received related to contract liabilities.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Investing Activities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For the year ended December 31, 2023, net cash provided by investing activities was driven by the sale of our investments in Reneo. For the year ended December 31, 2022, net cash used in investing activities was insignificant.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Financing Activities</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For the year ended December 31, 2023, net cash provided by financing activities was driven by the receipt of proceeds of $12.0 million from the G42 Promissory Note early redemption. For the year ended December 31, 2022, net cash provided by financing activities was driven by sales of our Class A common stock to a collaboration partner and from the CinRx Purchase Agreement.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Future Funding Requirements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spacing w:after="0" w:line="5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 xml:space="preserve">Based on our current operating plan, we believe that our current cash and cash equivalents will allow us to meet our liquidity requirements for at least the next twelve months. We plan to finance our operations into the first quarter of 2026 through the use of our cash and cash equivalents and based on current operating plans, we are evaluating several financing strategies to fund the ongoing and future clinical trials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including direct equity investments and the potential licensing and monetization of other Company programs. The timing of any such transactions is not certain, and we may not be able to complete such transactions on acceptable terms, or at all. Even if we are able to complete such transactions, they may contain restrictions on our operations or cause substantial dilution to our stockholders.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 Additionally, we may rely on our ability to sell shares of our Class A</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common stock pursuant to the ATM Offering. However, the ability to use this source of capital is dependent on a number of factors, including the prevailing market price of and the volume of trading in the Company’s Class A common stock.</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future capital requirements will depend on many factors, including:</w:t>
      </w:r>
    </w:p>
    <w:p>
      <w:pPr>
        <w:spacing w:after="0" w:line="76" w:lineRule="exact"/>
        <w:rPr>
          <w:sz w:val="20"/>
          <w:szCs w:val="20"/>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progress, costs, results and timing of our planned trials to evaluate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 potential adjunctive therapy for the treatment of type 1 diabetes;</w:t>
      </w:r>
    </w:p>
    <w:p>
      <w:pPr>
        <w:spacing w:after="0" w:line="80"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willingness of the FDA to rely upon our completed and planned clinical and preclinical studies and other work, as the basis for review and approval of our drug candidates;</w:t>
      </w:r>
    </w:p>
    <w:p>
      <w:pPr>
        <w:spacing w:after="0" w:line="7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our ability to maintain control over our costs in line with our budget to complete the Phase 3 clinical trial for our lead product candidate,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4"/>
          <w:szCs w:val="14"/>
          <w:color w:val="auto"/>
        </w:rPr>
        <w:t>;</w:t>
      </w:r>
    </w:p>
    <w:p>
      <w:pPr>
        <w:spacing w:after="0" w:line="80"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outcome, costs and timing of seeking and obtaining FDA and any other regulatory approvals;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and characteristics of drug candidates that we pursue, including our drug candidates in preclinical development;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our drug candidates to progress through clinical development successfully;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need to expand our research and development activities;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associated with securing, establishing and maintaining commercialization capabilities;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acquiring, licensing or investing in businesses, products, drug candidates and technologies;</w:t>
      </w:r>
    </w:p>
    <w:p>
      <w:pPr>
        <w:spacing w:after="0" w:line="78" w:lineRule="exact"/>
        <w:rPr>
          <w:rFonts w:ascii="Times New Roman" w:cs="Times New Roman" w:eastAsia="Times New Roman" w:hAnsi="Times New Roman"/>
          <w:sz w:val="12"/>
          <w:szCs w:val="12"/>
          <w:color w:val="auto"/>
        </w:rPr>
      </w:pPr>
    </w:p>
    <w:p>
      <w:pPr>
        <w:ind w:left="640" w:hanging="324"/>
        <w:spacing w:after="0" w:line="279" w:lineRule="auto"/>
        <w:tabs>
          <w:tab w:leader="none" w:pos="637"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need and ability to hire additional management, scientific, and medical personnel;</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 of competing technological and market developments;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need to implement additional internal systems and infrastructure, including financial and reporting systems;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economic and other terms, timing and success of our existing licensing arrangements and any collaboration, licensing or other arrangements into which we may enter in the future;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payments we are required to make to M&amp;F TTP Holdings Two LLC in the future under the Tax Receivable Agreement.</w:t>
      </w:r>
    </w:p>
    <w:p>
      <w:pPr>
        <w:spacing w:after="0" w:line="78"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w:t>
      </w:r>
    </w:p>
    <w:p>
      <w:pPr>
        <w:spacing w:after="0" w:line="3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Off-Balance Sheet Arrangements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As of December 31, 2023, we do not currently have outstanding any off-balance sheet arrangements as defined under SEC rules.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Discussion of Critical Accounting Policies and Estimates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Our management’s discussion and analysis of our financial condition and results of operations is based on our consolidated financial statements, which we have prepared in accordance with generally accepted accounting principles in the United States (“GAAP”). The preparation of our consolidated financial statements requires us to make estimates and assumptions that affect the reported amounts of assets and liabilities and the disclosure of contingent assets and liabilities at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date of our consolidated financial statements, as well as the reported revenues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47"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While our significant accounting policies are more fully described in Note 2, “Summary of Significant Accounting Policies,” to our audited consolidated financial statements, we believe that the following accounting policies related to revenue recognition, research and development, income taxes, and share-based compensation are the most critical for fully understanding and evaluating our financial condition and results of operations.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majority of our revenue results from its license and collaboration agreements associated with the development of investigational drug products. We account for a contract when it has approval and commitment from both parties, the rights of the parties are identified, payment terms are identified, the contract has commercial substance and collectability of consideration is probable. For each contract meeting these criteria, we identify the performance obligations included within the contract. A performance obligation is a promise in a contract to transfer a distinct good or service to the customer. We then recognize revenue under each contract as the related performance obligations are satisfied.</w:t>
      </w:r>
    </w:p>
    <w:p>
      <w:pPr>
        <w:spacing w:after="0" w:line="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transaction price under the contract is determined based on the value of the consideration expected to be received in exchange for the transferred assets or services. Development, regulatory and sales milestones included in our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our best estimate of the standalone selling price of each distinct good or service in the contract. The primary method used to estimate standalone selling price is the expected cost plus margin approach. Revenue is recognized over the related period over which we expect the services to be provided using a proportional performance model or a straight-line method of recognition if there is no discernible pattern over which the services will be provided.</w:t>
      </w:r>
    </w:p>
    <w:p>
      <w:pPr>
        <w:spacing w:after="0" w:line="53" w:lineRule="exact"/>
        <w:rPr>
          <w:sz w:val="20"/>
          <w:szCs w:val="20"/>
          <w:color w:val="auto"/>
        </w:rPr>
      </w:pPr>
    </w:p>
    <w:p>
      <w:pPr>
        <w:ind w:right="2060" w:firstLine="432"/>
        <w:spacing w:after="0" w:line="375" w:lineRule="auto"/>
        <w:rPr>
          <w:sz w:val="20"/>
          <w:szCs w:val="20"/>
          <w:color w:val="auto"/>
        </w:rPr>
      </w:pPr>
      <w:r>
        <w:rPr>
          <w:rFonts w:ascii="Times New Roman" w:cs="Times New Roman" w:eastAsia="Times New Roman" w:hAnsi="Times New Roman"/>
          <w:sz w:val="12"/>
          <w:szCs w:val="12"/>
          <w:color w:val="auto"/>
        </w:rPr>
        <w:t xml:space="preserve">See Note 2 “Summary of Significant Accounting Policies”, to the Consolidated Financial Statements in Item 15 of Part IV of this Annual Report on Form 10-K for further information. </w:t>
      </w:r>
      <w:r>
        <w:rPr>
          <w:rFonts w:ascii="Times New Roman" w:cs="Times New Roman" w:eastAsia="Times New Roman" w:hAnsi="Times New Roman"/>
          <w:sz w:val="12"/>
          <w:szCs w:val="12"/>
          <w:b w:val="1"/>
          <w:bCs w:val="1"/>
          <w:i w:val="1"/>
          <w:iCs w:val="1"/>
          <w:color w:val="auto"/>
        </w:rPr>
        <w:t>Research and Development</w:t>
      </w:r>
    </w:p>
    <w:p>
      <w:pPr>
        <w:spacing w:after="0" w:line="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Major components of research and development costs include cash compensation to employees,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our behalf. Costs incurred in research and development are expensed as incurred.</w:t>
      </w:r>
    </w:p>
    <w:p>
      <w:pPr>
        <w:spacing w:after="0" w:line="4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We record accruals based on estimates of the services received, efforts expended and amounts owed pursuant to contracts with numerous contract research organizations. In the normal course of business, we contract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our accrual policy is to match the recording of expenses in our consolidated financial statements to the actual services received and efforts expended. As such, expense accruals related to clinical studies are recognized based on our estimate of the degree of completion of the event or events specified in the specific clinical study.</w:t>
      </w:r>
    </w:p>
    <w:p>
      <w:pPr>
        <w:spacing w:after="0" w:line="53"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We record nonrefundable advance payments we make for future research and development activities as prepaid expenses. Prepaid expenses are recognized as expense in the statements of operations as we receive the related goods or services.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In connection with the Initial Public Offering, vTv Therapeutics Inc. was formed. From August 1, 2015, vTv Therapeutics Inc. has been subject to corporate level income taxes. Prior to July 30, 2015, our predecessor entities were taxed as partnerships and all their income and deductions flowed through and were subject to tax at the partner level.</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vTv Therapeutics Inc. holds vTv Units and is required to recognize deferred tax assets and liabilities for the difference between the financial reporting and tax basis of its investment in vTv LLC.</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Our income tax expense, deferred tax assets and liabilities and reserves for unrecognized tax benefits reflect management’s best assessment of estimated future taxes to be paid. We are subject to income taxes in both the United States and various state jurisdictions. Significant judgments and estimates are required in determining the consolidated income tax expense.</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account for income taxes under the asset and liability method, which requires the recognition of deferred tax assets and liabilities for the expected future tax consequences of events included in the consolidated financial statements. Under this method, we determine deferred tax assets and liabilities on the basis of differences between the consolidated financial statement and tax bases of assets and liabilities by using enacted tax rates in effect for the year in which the differences are expected to reverse. The effect of a change in tax rates on deferred tax assets and liabilities is recognized in income in the period in which the enactment date occurs.</w:t>
      </w:r>
    </w:p>
    <w:p>
      <w:pPr>
        <w:spacing w:after="0" w:line="47"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We recognize deferred tax assets to the extent we believe these assets are more-likely-than-not to be realized. In making such a determination, we consider all available positive and negative evidence, including future reversals of existing taxable temporary differences, projected future taxable income, tax planning strategies and recent results of operations.</w:t>
      </w:r>
    </w:p>
    <w:p>
      <w:pPr>
        <w:spacing w:after="0" w:line="3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We record uncertain tax positions on the basis of a two-step process in which (1) we determine whether it is more-likely-than-not that the tax positions will be sustained on the basis of the technical merits of the position and (2) for those tax positions meeting the more-likely-than-not recognition threshold, we recognize the largest amount of tax benefit that is more than 50% likely to be realized upon ultimate settlement with the related tax authority.</w:t>
      </w:r>
    </w:p>
    <w:p>
      <w:pPr>
        <w:spacing w:after="0" w:line="3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Interest and penalties related to income taxes are included in the benefit (provision) for income taxes in our Consolidated Statement of Operations. We have not incurred any significant interest or penalties related to income taxes in any of the periods presented.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Share-Based Compensation</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Compensation expense for share-based compensation awards issued is based on the fair value of the award at the date of grant, and compensation expense is recognized for those awards earned over the service period. The grant date fair value of stock option awards is estimated using the Black-Scholes option pricing formula. Expected volatility is based on the historical volatility of the Company’s Class A common stock over the most recent period commensurate with the estimated expected term of the Company’s stock options offering period which is derived from historical experience. The risk-free rate is based on the U.S. Treasury yield curve in effect at the time of grant. Due to a lack of historical exercise data, we estimate the expected life of our outstanding stock options using the simplified method specified under Staff Accounting Bulletin Topic 14.D.2. The fair value of restricted stock units (“RSU”) grants is based on the market value of our Class A common stock on the date of grant. We also estimate the amount of share-based awards that are expected to be forfeited based on historical employee turnover rates.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Effect of Recent Accounting Pronouncements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See discussion of recent accounting pronouncements in Note 2, “Summary of Significant Accounting Policies”, to the Consolidated Financial Statements in Item 15 of Part IV of this Annual Report on Form 10-K.</w:t>
      </w:r>
    </w:p>
    <w:p>
      <w:pPr>
        <w:spacing w:after="0" w:line="16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7A.</w:t>
      </w:r>
      <w:r>
        <w:rPr>
          <w:sz w:val="20"/>
          <w:szCs w:val="20"/>
          <w:color w:val="auto"/>
        </w:rPr>
        <w:tab/>
      </w:r>
      <w:r>
        <w:rPr>
          <w:rFonts w:ascii="Times New Roman" w:cs="Times New Roman" w:eastAsia="Times New Roman" w:hAnsi="Times New Roman"/>
          <w:sz w:val="11"/>
          <w:szCs w:val="11"/>
          <w:b w:val="1"/>
          <w:bCs w:val="1"/>
          <w:color w:val="auto"/>
        </w:rPr>
        <w:t>QUANTITATIVE AND QUALITATIVE DISCLOSURES ABOUT MARKET RISK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Rate Risk</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 do not currently have any material interest rate exposure.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Market Risk</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cash and cash equivalents with multiple financial institutions that management believes to be of high credit quality.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 Risk</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 do not have any material foreign currency exposure.</w:t>
      </w:r>
    </w:p>
    <w:p>
      <w:pPr>
        <w:spacing w:after="0" w:line="16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8.</w:t>
      </w:r>
      <w:r>
        <w:rPr>
          <w:sz w:val="20"/>
          <w:szCs w:val="20"/>
          <w:color w:val="auto"/>
        </w:rPr>
        <w:tab/>
      </w:r>
      <w:r>
        <w:rPr>
          <w:rFonts w:ascii="Times New Roman" w:cs="Times New Roman" w:eastAsia="Times New Roman" w:hAnsi="Times New Roman"/>
          <w:sz w:val="11"/>
          <w:szCs w:val="11"/>
          <w:b w:val="1"/>
          <w:bCs w:val="1"/>
          <w:color w:val="auto"/>
        </w:rPr>
        <w:t>FINANCIAL STATEMENTS AND SUPPLEMENTARY DATA</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information required by this Item is included in our Consolidated Financial Statements and Supplementary Data listed in Item 15 of Part IV of this Annual Report on Form 10-K.</w:t>
      </w:r>
    </w:p>
    <w:p>
      <w:pPr>
        <w:spacing w:after="0" w:line="16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9.</w:t>
      </w:r>
      <w:r>
        <w:rPr>
          <w:sz w:val="20"/>
          <w:szCs w:val="20"/>
          <w:color w:val="auto"/>
        </w:rPr>
        <w:tab/>
      </w:r>
      <w:r>
        <w:rPr>
          <w:rFonts w:ascii="Times New Roman" w:cs="Times New Roman" w:eastAsia="Times New Roman" w:hAnsi="Times New Roman"/>
          <w:sz w:val="11"/>
          <w:szCs w:val="11"/>
          <w:b w:val="1"/>
          <w:bCs w:val="1"/>
          <w:color w:val="auto"/>
        </w:rPr>
        <w:t>CHANGES IN AND DISAGREEMENTS WITH ACCOUNTANTS ON ACCOUNTING AND FINANCIAL DISCLOSURE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None.</w:t>
      </w:r>
    </w:p>
    <w:p>
      <w:pPr>
        <w:spacing w:after="0" w:line="16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9A.</w:t>
      </w:r>
      <w:r>
        <w:rPr>
          <w:sz w:val="20"/>
          <w:szCs w:val="20"/>
          <w:color w:val="auto"/>
        </w:rPr>
        <w:tab/>
      </w:r>
      <w:r>
        <w:rPr>
          <w:rFonts w:ascii="Times New Roman" w:cs="Times New Roman" w:eastAsia="Times New Roman" w:hAnsi="Times New Roman"/>
          <w:sz w:val="11"/>
          <w:szCs w:val="11"/>
          <w:b w:val="1"/>
          <w:bCs w:val="1"/>
          <w:color w:val="auto"/>
        </w:rPr>
        <w:t>CONTROLS AND PROCEDURES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Evaluation of Disclosure Controls and Procedures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Under the supervision and with the participation of our Chief Executive Officer (our principal executive officer) and Chief Financial Officer (our principal financial officer), management has evaluated the effectiveness of the design and operation of our disclosure controls and procedures (as defined in Rules 13a-15(e) or 15d-15(e) of the Securities Exchange Act of 1934) as of December 31, 2023. Based upon that evaluation, our Chief Executive Officer and Chief Financial Officer concluded that, as of December 31, 2023,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with SEC disclosure obligations.</w:t>
      </w:r>
    </w:p>
    <w:p>
      <w:pPr>
        <w:spacing w:after="0" w:line="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53"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Management’s Annual Report on Internal Control Over Financial Reporting</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the consolidated financial statements for external reporting purposes in accordance with generally accepted accounting principles. Our internal control over financial reporting includes those written policies and procedures that:</w:t>
      </w:r>
    </w:p>
    <w:p>
      <w:pPr>
        <w:spacing w:after="0" w:line="47" w:lineRule="exact"/>
        <w:rPr>
          <w:sz w:val="20"/>
          <w:szCs w:val="20"/>
          <w:color w:val="auto"/>
        </w:rPr>
      </w:pPr>
    </w:p>
    <w:p>
      <w:pPr>
        <w:ind w:left="640" w:hanging="324"/>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pertain to the maintenance of records that, in reasonable detail, accurately and fairly reflect the transactions and dispositions of assets;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reasonable assurance that transactions are recorded as necessary to permit preparation of the consolidated financial statements in accordance with generally accepted accounting principles;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reasonable assurance that receipts and expenditures are being made only in accordance with management and director authorization;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reasonable assurance regarding prevention or timely detection of unauthorized acquisition, use or disposition of assets that could have a material effect on the consolidated financial statements.</w:t>
      </w:r>
    </w:p>
    <w:p>
      <w:pPr>
        <w:spacing w:after="0" w:line="51"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Management assessed the effectiveness of our internal control over financial reporting as of December 31, 2023. Management based this assessment on criteria described in Internal Control - Integrated Framework (2013) issued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ind w:right="360"/>
        <w:spacing w:after="0" w:line="336" w:lineRule="auto"/>
        <w:rPr>
          <w:sz w:val="20"/>
          <w:szCs w:val="20"/>
          <w:color w:val="auto"/>
        </w:rPr>
      </w:pPr>
      <w:r>
        <w:rPr>
          <w:rFonts w:ascii="Times New Roman" w:cs="Times New Roman" w:eastAsia="Times New Roman" w:hAnsi="Times New Roman"/>
          <w:sz w:val="12"/>
          <w:szCs w:val="12"/>
          <w:color w:val="auto"/>
        </w:rPr>
        <w:t xml:space="preserve">Committee of Sponsoring Organizations of the Treadway Commission (COSO). Based on this assessment, management determined that as of December 31, 2023, we maintained effective internal control over financial reporting. </w:t>
      </w:r>
      <w:r>
        <w:rPr>
          <w:rFonts w:ascii="Times New Roman" w:cs="Times New Roman" w:eastAsia="Times New Roman" w:hAnsi="Times New Roman"/>
          <w:sz w:val="12"/>
          <w:szCs w:val="12"/>
          <w:b w:val="1"/>
          <w:bCs w:val="1"/>
          <w:color w:val="auto"/>
        </w:rPr>
        <w:t>Changes to Internal Control over Financial Reporting</w:t>
      </w:r>
    </w:p>
    <w:p>
      <w:pPr>
        <w:spacing w:after="0" w:line="1"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9B.</w:t>
      </w:r>
      <w:r>
        <w:rPr>
          <w:sz w:val="20"/>
          <w:szCs w:val="20"/>
          <w:color w:val="auto"/>
        </w:rPr>
        <w:tab/>
      </w:r>
      <w:r>
        <w:rPr>
          <w:rFonts w:ascii="Times New Roman" w:cs="Times New Roman" w:eastAsia="Times New Roman" w:hAnsi="Times New Roman"/>
          <w:sz w:val="11"/>
          <w:szCs w:val="11"/>
          <w:b w:val="1"/>
          <w:bCs w:val="1"/>
          <w:color w:val="auto"/>
        </w:rPr>
        <w:t>OTHER INFORMATION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Rule 10b5-1 Trading Plans</w:t>
      </w:r>
    </w:p>
    <w:p>
      <w:pPr>
        <w:spacing w:after="0" w:line="55"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During the fourth fiscal quarter ended December 31, 2023, none of our directors or executive officers adopted or terminated any contract, instruction or written plan for the purchase or sale of our securities to satisfy the affirmative defense conditions of Rule 10b5-1(c) or any “non-Rule 10b5-1 trading arrangement.”</w:t>
      </w:r>
    </w:p>
    <w:p>
      <w:pPr>
        <w:spacing w:after="0" w:line="1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9C.</w:t>
      </w:r>
      <w:r>
        <w:rPr>
          <w:sz w:val="20"/>
          <w:szCs w:val="20"/>
          <w:color w:val="auto"/>
        </w:rPr>
        <w:tab/>
      </w:r>
      <w:r>
        <w:rPr>
          <w:rFonts w:ascii="Times New Roman" w:cs="Times New Roman" w:eastAsia="Times New Roman" w:hAnsi="Times New Roman"/>
          <w:sz w:val="11"/>
          <w:szCs w:val="11"/>
          <w:b w:val="1"/>
          <w:bCs w:val="1"/>
          <w:color w:val="auto"/>
        </w:rPr>
        <w:t>DISCLOSURE REGARDING FOREIGN JURISDICTIONS THAT PREVENT INSPECTIONS</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Not applicable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16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10.</w:t>
      </w:r>
      <w:r>
        <w:rPr>
          <w:sz w:val="20"/>
          <w:szCs w:val="20"/>
          <w:color w:val="auto"/>
        </w:rPr>
        <w:tab/>
      </w:r>
      <w:r>
        <w:rPr>
          <w:rFonts w:ascii="Times New Roman" w:cs="Times New Roman" w:eastAsia="Times New Roman" w:hAnsi="Times New Roman"/>
          <w:sz w:val="11"/>
          <w:szCs w:val="11"/>
          <w:b w:val="1"/>
          <w:bCs w:val="1"/>
          <w:color w:val="auto"/>
        </w:rPr>
        <w:t>DIRECTORS, EXECUTIVE OFFICERS AND CORPORATE GOVERNANCE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The information required by this item is incorporated by reference to our Proxy Statement for the 2024 Annual Meeting of Stockholders to be filed with the SEC within 120 days of the fiscal year ended December 31, 2023.</w:t>
      </w:r>
    </w:p>
    <w:p>
      <w:pPr>
        <w:spacing w:after="0" w:line="17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11.</w:t>
        <w:tab/>
        <w:t>EXECUTIVE COMPENSATION</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The information required by this item is incorporated by reference to our Proxy Statement for the 2024 Annual Meeting of Stockholders to be filed with the SEC within 120 days of the fiscal year ended December 31, 2023.</w:t>
      </w:r>
    </w:p>
    <w:p>
      <w:pPr>
        <w:spacing w:after="0" w:line="17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12.</w:t>
      </w:r>
      <w:r>
        <w:rPr>
          <w:sz w:val="20"/>
          <w:szCs w:val="20"/>
          <w:color w:val="auto"/>
        </w:rPr>
        <w:tab/>
      </w:r>
      <w:r>
        <w:rPr>
          <w:rFonts w:ascii="Times New Roman" w:cs="Times New Roman" w:eastAsia="Times New Roman" w:hAnsi="Times New Roman"/>
          <w:sz w:val="11"/>
          <w:szCs w:val="11"/>
          <w:b w:val="1"/>
          <w:bCs w:val="1"/>
          <w:color w:val="auto"/>
        </w:rPr>
        <w:t>SECURITY OWNERSHIP OF CERTAIN BENEFICIAL OWNERS AND MANAGEMENT AND RELATED STOCKHOLDER MATTERS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The information required by this item is incorporated by reference to our Proxy Statement for the 2024 Annual Meeting of Stockholders to be filed with the SEC within 120 days of the fiscal year ended December 31, 2023.</w:t>
      </w:r>
    </w:p>
    <w:p>
      <w:pPr>
        <w:spacing w:after="0" w:line="17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13.</w:t>
      </w:r>
      <w:r>
        <w:rPr>
          <w:sz w:val="20"/>
          <w:szCs w:val="20"/>
          <w:color w:val="auto"/>
        </w:rPr>
        <w:tab/>
      </w:r>
      <w:r>
        <w:rPr>
          <w:rFonts w:ascii="Times New Roman" w:cs="Times New Roman" w:eastAsia="Times New Roman" w:hAnsi="Times New Roman"/>
          <w:sz w:val="11"/>
          <w:szCs w:val="11"/>
          <w:b w:val="1"/>
          <w:bCs w:val="1"/>
          <w:color w:val="auto"/>
        </w:rPr>
        <w:t>CERTAIN RELATIONSHIPS AND RELATED TRANSACTIONS, AND DIRECTOR INDEPENDENCE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The information required by this item is incorporated by reference to our Proxy Statement for the 2024 Annual Meeting of Stockholders to be filed with the SEC within 120 days of the fiscal year ended December 31, 2023.</w:t>
      </w:r>
    </w:p>
    <w:p>
      <w:pPr>
        <w:spacing w:after="0" w:line="17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14.</w:t>
      </w:r>
      <w:r>
        <w:rPr>
          <w:sz w:val="20"/>
          <w:szCs w:val="20"/>
          <w:color w:val="auto"/>
        </w:rPr>
        <w:tab/>
      </w:r>
      <w:r>
        <w:rPr>
          <w:rFonts w:ascii="Times New Roman" w:cs="Times New Roman" w:eastAsia="Times New Roman" w:hAnsi="Times New Roman"/>
          <w:sz w:val="11"/>
          <w:szCs w:val="11"/>
          <w:b w:val="1"/>
          <w:bCs w:val="1"/>
          <w:color w:val="auto"/>
        </w:rPr>
        <w:t>PRINCIPAL ACCOUNTANT FEES AND SERVICES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The information required by this item is incorporated by reference to our Proxy Statement for the 2024 Annual Meeting of Stockholders to be filed with the SEC within 120 days of the fiscal year ended December 31, 2023.</w:t>
      </w:r>
    </w:p>
    <w:p>
      <w:pPr>
        <w:spacing w:after="0" w:line="200" w:lineRule="exact"/>
        <w:rPr>
          <w:sz w:val="20"/>
          <w:szCs w:val="20"/>
          <w:color w:val="auto"/>
        </w:rPr>
      </w:pPr>
    </w:p>
    <w:p>
      <w:pPr>
        <w:spacing w:after="0" w:line="3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980"/>
          </w:cols>
          <w:pgMar w:left="300" w:top="129" w:right="6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38"/>
        </w:trPr>
        <w:tc>
          <w:tcPr>
            <w:tcW w:w="1140" w:type="dxa"/>
            <w:vAlign w:val="bottom"/>
            <w:gridSpan w:val="5"/>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5"/>
        </w:trPr>
        <w:tc>
          <w:tcPr>
            <w:tcW w:w="8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2"/>
                <w:szCs w:val="12"/>
                <w:b w:val="1"/>
                <w:bCs w:val="1"/>
                <w:color w:val="auto"/>
              </w:rPr>
              <w:t>PART IV</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80" w:type="dxa"/>
            <w:vAlign w:val="bottom"/>
            <w:gridSpan w:val="25"/>
          </w:tcPr>
          <w:p>
            <w:pPr>
              <w:spacing w:after="0"/>
              <w:rPr>
                <w:sz w:val="20"/>
                <w:szCs w:val="20"/>
                <w:color w:val="auto"/>
              </w:rPr>
            </w:pPr>
            <w:r>
              <w:rPr>
                <w:rFonts w:ascii="Times New Roman" w:cs="Times New Roman" w:eastAsia="Times New Roman" w:hAnsi="Times New Roman"/>
                <w:sz w:val="12"/>
                <w:szCs w:val="12"/>
                <w:b w:val="1"/>
                <w:bCs w:val="1"/>
                <w:color w:val="auto"/>
              </w:rPr>
              <w:t>ITEM 15.  EXHIBITS AND FINANCIAL STATEMENT SCHEDULES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gridSpan w:val="25"/>
          </w:tcPr>
          <w:p>
            <w:pPr>
              <w:spacing w:after="0"/>
              <w:rPr>
                <w:sz w:val="20"/>
                <w:szCs w:val="20"/>
                <w:color w:val="auto"/>
              </w:rPr>
            </w:pPr>
            <w:r>
              <w:rPr>
                <w:rFonts w:ascii="Times New Roman" w:cs="Times New Roman" w:eastAsia="Times New Roman" w:hAnsi="Times New Roman"/>
                <w:sz w:val="12"/>
                <w:szCs w:val="12"/>
                <w:color w:val="auto"/>
              </w:rPr>
              <w:t>(a)(1) Financial Statements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80" w:type="dxa"/>
            <w:vAlign w:val="bottom"/>
            <w:gridSpan w:val="23"/>
          </w:tcPr>
          <w:p>
            <w:pPr>
              <w:ind w:left="120"/>
              <w:spacing w:after="0"/>
              <w:rPr>
                <w:sz w:val="20"/>
                <w:szCs w:val="20"/>
                <w:color w:val="auto"/>
              </w:rPr>
            </w:pPr>
            <w:r>
              <w:rPr>
                <w:rFonts w:ascii="Times New Roman" w:cs="Times New Roman" w:eastAsia="Times New Roman" w:hAnsi="Times New Roman"/>
                <w:sz w:val="12"/>
                <w:szCs w:val="12"/>
                <w:color w:val="auto"/>
              </w:rPr>
              <w:t>The following documents are included on pages F-1 through F-32 attached hereto and are filed as part of this Annual Report on Form 10-K.</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10580" w:type="dxa"/>
            <w:vAlign w:val="bottom"/>
            <w:gridSpan w:val="24"/>
          </w:tcPr>
          <w:p>
            <w:pPr>
              <w:spacing w:after="0"/>
              <w:rPr>
                <w:sz w:val="20"/>
                <w:szCs w:val="20"/>
                <w:color w:val="auto"/>
              </w:rPr>
            </w:pPr>
            <w:r>
              <w:rPr>
                <w:rFonts w:ascii="Times New Roman" w:cs="Times New Roman" w:eastAsia="Times New Roman" w:hAnsi="Times New Roman"/>
                <w:sz w:val="12"/>
                <w:szCs w:val="12"/>
                <w:color w:val="auto"/>
              </w:rPr>
              <w:t>Report of Independent Registered Public Accounting Firm</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F-2</w:t>
            </w: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10580" w:type="dxa"/>
            <w:vAlign w:val="bottom"/>
            <w:gridSpan w:val="24"/>
          </w:tcPr>
          <w:p>
            <w:pPr>
              <w:spacing w:after="0" w:line="128" w:lineRule="exact"/>
              <w:rPr>
                <w:sz w:val="20"/>
                <w:szCs w:val="20"/>
                <w:color w:val="auto"/>
              </w:rPr>
            </w:pPr>
            <w:r>
              <w:rPr>
                <w:rFonts w:ascii="Times New Roman" w:cs="Times New Roman" w:eastAsia="Times New Roman" w:hAnsi="Times New Roman"/>
                <w:sz w:val="12"/>
                <w:szCs w:val="12"/>
                <w:color w:val="0000FF"/>
              </w:rPr>
              <w:t>Consolidated Balance Sheets as of December 31, 2023 and 2022</w:t>
            </w:r>
          </w:p>
        </w:tc>
        <w:tc>
          <w:tcPr>
            <w:tcW w:w="620" w:type="dxa"/>
            <w:vAlign w:val="bottom"/>
            <w:gridSpan w:val="2"/>
          </w:tcPr>
          <w:p>
            <w:pPr>
              <w:ind w:left="340"/>
              <w:spacing w:after="0" w:line="128" w:lineRule="exact"/>
              <w:rPr>
                <w:sz w:val="20"/>
                <w:szCs w:val="20"/>
                <w:color w:val="auto"/>
              </w:rPr>
            </w:pPr>
            <w:r>
              <w:rPr>
                <w:rFonts w:ascii="Times New Roman" w:cs="Times New Roman" w:eastAsia="Times New Roman" w:hAnsi="Times New Roman"/>
                <w:sz w:val="12"/>
                <w:szCs w:val="12"/>
                <w:color w:val="auto"/>
              </w:rPr>
              <w:t>F-4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0" w:type="dxa"/>
            <w:vAlign w:val="bottom"/>
          </w:tcPr>
          <w:p>
            <w:pPr>
              <w:spacing w:after="0"/>
              <w:rPr>
                <w:sz w:val="11"/>
                <w:szCs w:val="11"/>
                <w:color w:val="auto"/>
              </w:rPr>
            </w:pPr>
          </w:p>
        </w:tc>
        <w:tc>
          <w:tcPr>
            <w:tcW w:w="10580" w:type="dxa"/>
            <w:vAlign w:val="bottom"/>
            <w:gridSpan w:val="24"/>
          </w:tcPr>
          <w:p>
            <w:pPr>
              <w:spacing w:after="0" w:line="133" w:lineRule="exact"/>
              <w:rPr>
                <w:sz w:val="20"/>
                <w:szCs w:val="20"/>
                <w:color w:val="auto"/>
              </w:rPr>
            </w:pPr>
            <w:r>
              <w:rPr>
                <w:rFonts w:ascii="Times New Roman" w:cs="Times New Roman" w:eastAsia="Times New Roman" w:hAnsi="Times New Roman"/>
                <w:sz w:val="12"/>
                <w:szCs w:val="12"/>
                <w:color w:val="0000FF"/>
              </w:rPr>
              <w:t>Consolidated Statements of Operations for the Years Ended December 31, 2023, 2022 and 2021</w:t>
            </w:r>
          </w:p>
        </w:tc>
        <w:tc>
          <w:tcPr>
            <w:tcW w:w="62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2"/>
                <w:szCs w:val="12"/>
                <w:color w:val="auto"/>
              </w:rPr>
              <w:t>F-5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0" w:type="dxa"/>
            <w:vAlign w:val="bottom"/>
          </w:tcPr>
          <w:p>
            <w:pPr>
              <w:spacing w:after="0"/>
              <w:rPr>
                <w:sz w:val="11"/>
                <w:szCs w:val="11"/>
                <w:color w:val="auto"/>
              </w:rPr>
            </w:pPr>
          </w:p>
        </w:tc>
        <w:tc>
          <w:tcPr>
            <w:tcW w:w="7660" w:type="dxa"/>
            <w:vAlign w:val="bottom"/>
            <w:tcBorders>
              <w:bottom w:val="single" w:sz="8" w:color="0000FF"/>
            </w:tcBorders>
            <w:gridSpan w:val="18"/>
          </w:tcPr>
          <w:p>
            <w:pPr>
              <w:spacing w:after="0" w:line="133" w:lineRule="exact"/>
              <w:rPr>
                <w:sz w:val="20"/>
                <w:szCs w:val="20"/>
                <w:color w:val="auto"/>
              </w:rPr>
            </w:pPr>
            <w:r>
              <w:rPr>
                <w:rFonts w:ascii="Times New Roman" w:cs="Times New Roman" w:eastAsia="Times New Roman" w:hAnsi="Times New Roman"/>
                <w:sz w:val="12"/>
                <w:szCs w:val="12"/>
                <w:color w:val="0000FF"/>
                <w:w w:val="99"/>
              </w:rPr>
              <w:t>Consolidated Statements of Changes in Redeemable Noncontrolling Interest and Stockholders’ Deficit for the Years Ended December 31, 2023, 2022 and 2021</w:t>
            </w:r>
          </w:p>
        </w:tc>
        <w:tc>
          <w:tcPr>
            <w:tcW w:w="2920" w:type="dxa"/>
            <w:vAlign w:val="bottom"/>
            <w:gridSpan w:val="6"/>
          </w:tcPr>
          <w:p>
            <w:pPr>
              <w:spacing w:after="0"/>
              <w:rPr>
                <w:sz w:val="11"/>
                <w:szCs w:val="11"/>
                <w:color w:val="auto"/>
              </w:rPr>
            </w:pPr>
          </w:p>
        </w:tc>
        <w:tc>
          <w:tcPr>
            <w:tcW w:w="62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2"/>
                <w:szCs w:val="12"/>
                <w:color w:val="auto"/>
              </w:rPr>
              <w:t>F-6</w:t>
            </w: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10580" w:type="dxa"/>
            <w:vAlign w:val="bottom"/>
            <w:gridSpan w:val="24"/>
          </w:tcPr>
          <w:p>
            <w:pPr>
              <w:spacing w:after="0" w:line="133" w:lineRule="exact"/>
              <w:rPr>
                <w:sz w:val="20"/>
                <w:szCs w:val="20"/>
                <w:color w:val="auto"/>
              </w:rPr>
            </w:pPr>
            <w:r>
              <w:rPr>
                <w:rFonts w:ascii="Times New Roman" w:cs="Times New Roman" w:eastAsia="Times New Roman" w:hAnsi="Times New Roman"/>
                <w:sz w:val="12"/>
                <w:szCs w:val="12"/>
                <w:color w:val="0000FF"/>
              </w:rPr>
              <w:t>Consolidated Statements of Cash Flows for the Years Ended December 31, 2022, 2021 and 2020</w:t>
            </w:r>
          </w:p>
        </w:tc>
        <w:tc>
          <w:tcPr>
            <w:tcW w:w="620" w:type="dxa"/>
            <w:vAlign w:val="bottom"/>
            <w:gridSpan w:val="2"/>
          </w:tcPr>
          <w:p>
            <w:pPr>
              <w:ind w:left="340"/>
              <w:spacing w:after="0" w:line="133" w:lineRule="exact"/>
              <w:rPr>
                <w:sz w:val="20"/>
                <w:szCs w:val="20"/>
                <w:color w:val="auto"/>
              </w:rPr>
            </w:pPr>
            <w:r>
              <w:rPr>
                <w:rFonts w:ascii="Times New Roman" w:cs="Times New Roman" w:eastAsia="Times New Roman" w:hAnsi="Times New Roman"/>
                <w:sz w:val="12"/>
                <w:szCs w:val="12"/>
                <w:color w:val="auto"/>
              </w:rPr>
              <w:t>F-7</w:t>
            </w: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46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2"/>
                <w:szCs w:val="12"/>
                <w:color w:val="auto"/>
              </w:rPr>
              <w:t>Notes to Consolidated Financial Statements</w:t>
            </w:r>
          </w:p>
        </w:tc>
        <w:tc>
          <w:tcPr>
            <w:tcW w:w="5940" w:type="dxa"/>
            <w:vAlign w:val="bottom"/>
            <w:gridSpan w:val="13"/>
          </w:tcPr>
          <w:p>
            <w:pPr>
              <w:spacing w:after="0"/>
              <w:rPr>
                <w:sz w:val="13"/>
                <w:szCs w:val="13"/>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F-8</w:t>
            </w:r>
          </w:p>
        </w:tc>
        <w:tc>
          <w:tcPr>
            <w:tcW w:w="0" w:type="dxa"/>
            <w:vAlign w:val="bottom"/>
          </w:tcPr>
          <w:p>
            <w:pPr>
              <w:spacing w:after="0"/>
              <w:rPr>
                <w:sz w:val="1"/>
                <w:szCs w:val="1"/>
                <w:color w:val="auto"/>
              </w:rPr>
            </w:pPr>
          </w:p>
        </w:tc>
      </w:tr>
      <w:tr>
        <w:trPr>
          <w:trHeight w:val="279"/>
        </w:trPr>
        <w:tc>
          <w:tcPr>
            <w:tcW w:w="10680" w:type="dxa"/>
            <w:vAlign w:val="bottom"/>
            <w:gridSpan w:val="25"/>
          </w:tcPr>
          <w:p>
            <w:pPr>
              <w:spacing w:after="0"/>
              <w:rPr>
                <w:sz w:val="20"/>
                <w:szCs w:val="20"/>
                <w:color w:val="auto"/>
              </w:rPr>
            </w:pPr>
            <w:r>
              <w:rPr>
                <w:rFonts w:ascii="Times New Roman" w:cs="Times New Roman" w:eastAsia="Times New Roman" w:hAnsi="Times New Roman"/>
                <w:sz w:val="12"/>
                <w:szCs w:val="12"/>
                <w:color w:val="auto"/>
              </w:rPr>
              <w:t>(a)(2) Financial Statement Schedules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Not applicable</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(a)(3) List of Exhibits</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40" w:type="dxa"/>
            <w:vAlign w:val="bottom"/>
            <w:gridSpan w:val="10"/>
            <w:vMerge w:val="restart"/>
          </w:tcPr>
          <w:p>
            <w:pPr>
              <w:ind w:left="44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Number</w:t>
            </w: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40" w:type="dxa"/>
            <w:vAlign w:val="bottom"/>
            <w:gridSpan w:val="10"/>
            <w:vMerge w:val="continue"/>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0" w:type="dxa"/>
            <w:vAlign w:val="bottom"/>
            <w:gridSpan w:val="2"/>
          </w:tcPr>
          <w:p>
            <w:pPr>
              <w:spacing w:after="0"/>
              <w:rPr>
                <w:sz w:val="15"/>
                <w:szCs w:val="15"/>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3.1</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0" w:type="dxa"/>
            <w:vAlign w:val="bottom"/>
            <w:tcBorders>
              <w:bottom w:val="single" w:sz="8" w:color="0000FF"/>
            </w:tcBorders>
            <w:gridSpan w:val="19"/>
          </w:tcPr>
          <w:p>
            <w:pPr>
              <w:spacing w:after="0"/>
              <w:rPr>
                <w:rFonts w:ascii="Times New Roman" w:cs="Times New Roman" w:eastAsia="Times New Roman" w:hAnsi="Times New Roman"/>
                <w:sz w:val="12"/>
                <w:szCs w:val="12"/>
                <w:color w:val="0000FF"/>
                <w:w w:val="99"/>
              </w:rPr>
            </w:pPr>
            <w:hyperlink r:id="rId83">
              <w:r>
                <w:rPr>
                  <w:rFonts w:ascii="Times New Roman" w:cs="Times New Roman" w:eastAsia="Times New Roman" w:hAnsi="Times New Roman"/>
                  <w:sz w:val="12"/>
                  <w:szCs w:val="12"/>
                  <w:color w:val="0000FF"/>
                  <w:w w:val="99"/>
                </w:rPr>
                <w:t>Amended and Restated Certificate of Incorporation dated August 4, 2015 (incorporated by reference from Exhibit 3.1 to the Company’s Form 8-K, filed August 4, 2015 (File No. 001-37524)).</w:t>
              </w:r>
            </w:hyperlink>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3.2</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160" w:type="dxa"/>
            <w:vAlign w:val="bottom"/>
            <w:gridSpan w:val="22"/>
          </w:tcPr>
          <w:p>
            <w:pPr>
              <w:spacing w:after="0"/>
              <w:rPr>
                <w:rFonts w:ascii="Times New Roman" w:cs="Times New Roman" w:eastAsia="Times New Roman" w:hAnsi="Times New Roman"/>
                <w:sz w:val="12"/>
                <w:szCs w:val="12"/>
                <w:color w:val="0000FF"/>
              </w:rPr>
            </w:pPr>
            <w:hyperlink r:id="rId84">
              <w:r>
                <w:rPr>
                  <w:rFonts w:ascii="Times New Roman" w:cs="Times New Roman" w:eastAsia="Times New Roman" w:hAnsi="Times New Roman"/>
                  <w:sz w:val="12"/>
                  <w:szCs w:val="12"/>
                  <w:color w:val="0000FF"/>
                </w:rPr>
                <w:t>Certificate of Amendment to Certificate of Incorporation of vTv Therapeutics Inc. dated May 4, 2021 (incorporated by reference from Exhibit 3.1 to the Company’s Form 8-K, filed May 5, 2021 (File No.</w:t>
              </w:r>
            </w:hyperlink>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top w:val="single" w:sz="8" w:color="0000FF"/>
              <w:bottom w:val="single" w:sz="8" w:color="0000FF"/>
            </w:tcBorders>
          </w:tcPr>
          <w:p>
            <w:pPr>
              <w:spacing w:after="0" w:line="97" w:lineRule="exact"/>
              <w:rPr>
                <w:rFonts w:ascii="Times New Roman" w:cs="Times New Roman" w:eastAsia="Times New Roman" w:hAnsi="Times New Roman"/>
                <w:sz w:val="11"/>
                <w:szCs w:val="11"/>
                <w:color w:val="0000FF"/>
              </w:rPr>
            </w:pPr>
            <w:hyperlink r:id="rId84">
              <w:r>
                <w:rPr>
                  <w:rFonts w:ascii="Times New Roman" w:cs="Times New Roman" w:eastAsia="Times New Roman" w:hAnsi="Times New Roman"/>
                  <w:sz w:val="11"/>
                  <w:szCs w:val="11"/>
                  <w:color w:val="0000FF"/>
                </w:rPr>
                <w:t>001-37524)).</w:t>
              </w:r>
            </w:hyperlink>
          </w:p>
        </w:tc>
        <w:tc>
          <w:tcPr>
            <w:tcW w:w="460" w:type="dxa"/>
            <w:vAlign w:val="bottom"/>
            <w:tcBorders>
              <w:top w:val="single" w:sz="8" w:color="0000FF"/>
            </w:tcBorders>
          </w:tcPr>
          <w:p>
            <w:pPr>
              <w:spacing w:after="0"/>
              <w:rPr>
                <w:sz w:val="8"/>
                <w:szCs w:val="8"/>
                <w:color w:val="auto"/>
              </w:rPr>
            </w:pPr>
          </w:p>
        </w:tc>
        <w:tc>
          <w:tcPr>
            <w:tcW w:w="320" w:type="dxa"/>
            <w:vAlign w:val="bottom"/>
            <w:tcBorders>
              <w:top w:val="single" w:sz="8" w:color="0000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108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44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44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142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900" w:type="dxa"/>
            <w:vAlign w:val="bottom"/>
            <w:tcBorders>
              <w:top w:val="single" w:sz="8" w:color="0000FF"/>
            </w:tcBorders>
          </w:tcPr>
          <w:p>
            <w:pPr>
              <w:spacing w:after="0"/>
              <w:rPr>
                <w:sz w:val="8"/>
                <w:szCs w:val="8"/>
                <w:color w:val="auto"/>
              </w:rPr>
            </w:pPr>
          </w:p>
        </w:tc>
        <w:tc>
          <w:tcPr>
            <w:tcW w:w="74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3.3*</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3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2"/>
                <w:szCs w:val="12"/>
                <w:color w:val="0000FF"/>
                <w:w w:val="99"/>
              </w:rPr>
              <w:t>Certificate of Amendment of Certificate of Incorporation dated as of November 20, 2023.</w:t>
            </w:r>
          </w:p>
        </w:tc>
        <w:tc>
          <w:tcPr>
            <w:tcW w:w="5240" w:type="dxa"/>
            <w:vAlign w:val="bottom"/>
            <w:gridSpan w:val="10"/>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3.4</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540" w:type="dxa"/>
            <w:vAlign w:val="bottom"/>
            <w:gridSpan w:val="20"/>
          </w:tcPr>
          <w:p>
            <w:pPr>
              <w:spacing w:after="0"/>
              <w:rPr>
                <w:rFonts w:ascii="Times New Roman" w:cs="Times New Roman" w:eastAsia="Times New Roman" w:hAnsi="Times New Roman"/>
                <w:sz w:val="12"/>
                <w:szCs w:val="12"/>
                <w:color w:val="0000FF"/>
              </w:rPr>
            </w:pPr>
            <w:hyperlink r:id="rId85">
              <w:r>
                <w:rPr>
                  <w:rFonts w:ascii="Times New Roman" w:cs="Times New Roman" w:eastAsia="Times New Roman" w:hAnsi="Times New Roman"/>
                  <w:sz w:val="12"/>
                  <w:szCs w:val="12"/>
                  <w:color w:val="0000FF"/>
                </w:rPr>
                <w:t>Second Amended and Restated By-laws (incorporated by reference from Exhibit 3.1 to the Company’s Form 8-K, filed March 3, 2022 (File No. 001-37524)).</w:t>
              </w:r>
            </w:hyperlink>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4.1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60" w:type="dxa"/>
            <w:vAlign w:val="bottom"/>
            <w:tcBorders>
              <w:bottom w:val="single" w:sz="8" w:color="0000FF"/>
            </w:tcBorders>
            <w:gridSpan w:val="18"/>
          </w:tcPr>
          <w:p>
            <w:pPr>
              <w:spacing w:after="0"/>
              <w:rPr>
                <w:rFonts w:ascii="Times New Roman" w:cs="Times New Roman" w:eastAsia="Times New Roman" w:hAnsi="Times New Roman"/>
                <w:sz w:val="12"/>
                <w:szCs w:val="12"/>
                <w:color w:val="0000FF"/>
                <w:w w:val="99"/>
              </w:rPr>
            </w:pPr>
            <w:hyperlink r:id="rId86">
              <w:r>
                <w:rPr>
                  <w:rFonts w:ascii="Times New Roman" w:cs="Times New Roman" w:eastAsia="Times New Roman" w:hAnsi="Times New Roman"/>
                  <w:sz w:val="12"/>
                  <w:szCs w:val="12"/>
                  <w:color w:val="0000FF"/>
                  <w:w w:val="99"/>
                </w:rPr>
                <w:t>Form of Warrant to Purchase Class A Common Stock (incorporated by reference from Exhibit 4.1 to the Company’s Form 10-K, filed February 24, 2017 (File No. 001-37524)).</w:t>
              </w:r>
            </w:hyperlink>
          </w:p>
        </w:tc>
        <w:tc>
          <w:tcPr>
            <w:tcW w:w="1080" w:type="dxa"/>
            <w:vAlign w:val="bottom"/>
            <w:gridSpan w:val="2"/>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4.2</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540" w:type="dxa"/>
            <w:vAlign w:val="bottom"/>
            <w:gridSpan w:val="20"/>
          </w:tcPr>
          <w:p>
            <w:pPr>
              <w:spacing w:after="0"/>
              <w:rPr>
                <w:rFonts w:ascii="Times New Roman" w:cs="Times New Roman" w:eastAsia="Times New Roman" w:hAnsi="Times New Roman"/>
                <w:sz w:val="12"/>
                <w:szCs w:val="12"/>
                <w:color w:val="0000FF"/>
              </w:rPr>
            </w:pPr>
            <w:hyperlink r:id="rId87">
              <w:r>
                <w:rPr>
                  <w:rFonts w:ascii="Times New Roman" w:cs="Times New Roman" w:eastAsia="Times New Roman" w:hAnsi="Times New Roman"/>
                  <w:sz w:val="12"/>
                  <w:szCs w:val="12"/>
                  <w:color w:val="0000FF"/>
                </w:rPr>
                <w:t>Common Stock Purchase Warrant (incorporated by reference from Exhibit 4.2 to the Company’s Form 10-K, filed February 27, 2018 (File No. 001-37524)).</w:t>
              </w:r>
            </w:hyperlink>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4.3*</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2"/>
                <w:szCs w:val="12"/>
                <w:color w:val="0000FF"/>
                <w:w w:val="99"/>
              </w:rPr>
              <w:t>Amendment to Common Stock Purchase Warrant dated as December 5, 2018</w:t>
            </w:r>
          </w:p>
        </w:tc>
        <w:tc>
          <w:tcPr>
            <w:tcW w:w="3860" w:type="dxa"/>
            <w:vAlign w:val="bottom"/>
            <w:tcBorders>
              <w:top w:val="single" w:sz="8" w:color="0000FF"/>
            </w:tcBorders>
            <w:gridSpan w:val="9"/>
          </w:tcPr>
          <w:p>
            <w:pPr>
              <w:spacing w:after="0"/>
              <w:rPr>
                <w:sz w:val="14"/>
                <w:szCs w:val="14"/>
                <w:color w:val="auto"/>
              </w:rPr>
            </w:pPr>
          </w:p>
        </w:tc>
        <w:tc>
          <w:tcPr>
            <w:tcW w:w="1980" w:type="dxa"/>
            <w:vAlign w:val="bottom"/>
            <w:gridSpan w:val="3"/>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4.4*</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2"/>
                <w:szCs w:val="12"/>
                <w:color w:val="0000FF"/>
                <w:w w:val="98"/>
              </w:rPr>
              <w:t>Common Stock Purchase Warrant dated as of December 11, 2018</w:t>
            </w:r>
          </w:p>
        </w:tc>
        <w:tc>
          <w:tcPr>
            <w:tcW w:w="6400" w:type="dxa"/>
            <w:vAlign w:val="bottom"/>
            <w:gridSpan w:val="15"/>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4.5</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340" w:type="dxa"/>
            <w:vAlign w:val="bottom"/>
            <w:tcBorders>
              <w:bottom w:val="single" w:sz="8" w:color="0000FF"/>
            </w:tcBorders>
            <w:gridSpan w:val="16"/>
          </w:tcPr>
          <w:p>
            <w:pPr>
              <w:spacing w:after="0"/>
              <w:rPr>
                <w:rFonts w:ascii="Times New Roman" w:cs="Times New Roman" w:eastAsia="Times New Roman" w:hAnsi="Times New Roman"/>
                <w:sz w:val="12"/>
                <w:szCs w:val="12"/>
                <w:color w:val="0000FF"/>
                <w:w w:val="99"/>
              </w:rPr>
            </w:pPr>
            <w:hyperlink r:id="rId88">
              <w:r>
                <w:rPr>
                  <w:rFonts w:ascii="Times New Roman" w:cs="Times New Roman" w:eastAsia="Times New Roman" w:hAnsi="Times New Roman"/>
                  <w:sz w:val="12"/>
                  <w:szCs w:val="12"/>
                  <w:color w:val="0000FF"/>
                  <w:w w:val="99"/>
                </w:rPr>
                <w:t>Warrant to Purchase Common Stock (incorporated by reference from Exhibit 4.1 to the Company’s Form 8-K, filed July 25, 2022 (File No. 001-37524)).</w:t>
              </w:r>
            </w:hyperlink>
          </w:p>
        </w:tc>
        <w:tc>
          <w:tcPr>
            <w:tcW w:w="2200" w:type="dxa"/>
            <w:vAlign w:val="bottom"/>
            <w:gridSpan w:val="4"/>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4.6</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920" w:type="dxa"/>
            <w:vAlign w:val="bottom"/>
            <w:tcBorders>
              <w:bottom w:val="single" w:sz="8" w:color="0000FF"/>
            </w:tcBorders>
            <w:gridSpan w:val="15"/>
          </w:tcPr>
          <w:p>
            <w:pPr>
              <w:spacing w:after="0"/>
              <w:rPr>
                <w:rFonts w:ascii="Times New Roman" w:cs="Times New Roman" w:eastAsia="Times New Roman" w:hAnsi="Times New Roman"/>
                <w:sz w:val="12"/>
                <w:szCs w:val="12"/>
                <w:color w:val="0000FF"/>
                <w:w w:val="99"/>
              </w:rPr>
            </w:pPr>
            <w:hyperlink r:id="rId89">
              <w:r>
                <w:rPr>
                  <w:rFonts w:ascii="Times New Roman" w:cs="Times New Roman" w:eastAsia="Times New Roman" w:hAnsi="Times New Roman"/>
                  <w:sz w:val="12"/>
                  <w:szCs w:val="12"/>
                  <w:color w:val="0000FF"/>
                  <w:w w:val="99"/>
                </w:rPr>
                <w:t>Form of Pre-Funded Warrant (</w:t>
              </w:r>
            </w:hyperlink>
            <w:r>
              <w:rPr>
                <w:rFonts w:ascii="Times New Roman" w:cs="Times New Roman" w:eastAsia="Times New Roman" w:hAnsi="Times New Roman"/>
                <w:sz w:val="12"/>
                <w:szCs w:val="12"/>
                <w:color w:val="0000FF"/>
                <w:w w:val="99"/>
              </w:rPr>
              <w:t xml:space="preserve">incorporated </w:t>
            </w:r>
            <w:hyperlink r:id="rId89">
              <w:r>
                <w:rPr>
                  <w:rFonts w:ascii="Times New Roman" w:cs="Times New Roman" w:eastAsia="Times New Roman" w:hAnsi="Times New Roman"/>
                  <w:sz w:val="12"/>
                  <w:szCs w:val="12"/>
                  <w:color w:val="0000FF"/>
                  <w:w w:val="99"/>
                </w:rPr>
                <w:t xml:space="preserve">by reference from Exhibit 4.1 to the </w:t>
              </w:r>
            </w:hyperlink>
            <w:r>
              <w:rPr>
                <w:rFonts w:ascii="Times New Roman" w:cs="Times New Roman" w:eastAsia="Times New Roman" w:hAnsi="Times New Roman"/>
                <w:sz w:val="12"/>
                <w:szCs w:val="12"/>
                <w:color w:val="0000FF"/>
                <w:w w:val="99"/>
              </w:rPr>
              <w:t xml:space="preserve">Company's </w:t>
            </w:r>
            <w:hyperlink r:id="rId89">
              <w:r>
                <w:rPr>
                  <w:rFonts w:ascii="Times New Roman" w:cs="Times New Roman" w:eastAsia="Times New Roman" w:hAnsi="Times New Roman"/>
                  <w:sz w:val="12"/>
                  <w:szCs w:val="12"/>
                  <w:color w:val="0000FF"/>
                  <w:w w:val="99"/>
                </w:rPr>
                <w:t>8-K, filed February 28, 2024 (File No. 001-</w:t>
              </w:r>
            </w:hyperlink>
            <w:r>
              <w:rPr>
                <w:rFonts w:ascii="Times New Roman" w:cs="Times New Roman" w:eastAsia="Times New Roman" w:hAnsi="Times New Roman"/>
                <w:sz w:val="12"/>
                <w:szCs w:val="12"/>
                <w:color w:val="0000FF"/>
                <w:w w:val="99"/>
              </w:rPr>
              <w:t>37524))</w:t>
            </w:r>
            <w:hyperlink r:id="rId89">
              <w:r>
                <w:rPr>
                  <w:rFonts w:ascii="Times New Roman" w:cs="Times New Roman" w:eastAsia="Times New Roman" w:hAnsi="Times New Roman"/>
                  <w:sz w:val="12"/>
                  <w:szCs w:val="12"/>
                  <w:color w:val="0000FF"/>
                  <w:w w:val="99"/>
                </w:rPr>
                <w:t>.</w:t>
              </w:r>
            </w:hyperlink>
          </w:p>
        </w:tc>
        <w:tc>
          <w:tcPr>
            <w:tcW w:w="2620" w:type="dxa"/>
            <w:vAlign w:val="bottom"/>
            <w:gridSpan w:val="5"/>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4.7*</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8"/>
              </w:rPr>
              <w:t>Description of Capital Stock.</w:t>
            </w:r>
          </w:p>
        </w:tc>
        <w:tc>
          <w:tcPr>
            <w:tcW w:w="8140" w:type="dxa"/>
            <w:vAlign w:val="bottom"/>
            <w:gridSpan w:val="17"/>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10.1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160" w:type="dxa"/>
            <w:vAlign w:val="bottom"/>
            <w:gridSpan w:val="22"/>
          </w:tcPr>
          <w:p>
            <w:pPr>
              <w:spacing w:after="0"/>
              <w:rPr>
                <w:rFonts w:ascii="Times New Roman" w:cs="Times New Roman" w:eastAsia="Times New Roman" w:hAnsi="Times New Roman"/>
                <w:sz w:val="12"/>
                <w:szCs w:val="12"/>
                <w:color w:val="0000FF"/>
              </w:rPr>
            </w:pPr>
            <w:hyperlink r:id="rId90">
              <w:r>
                <w:rPr>
                  <w:rFonts w:ascii="Times New Roman" w:cs="Times New Roman" w:eastAsia="Times New Roman" w:hAnsi="Times New Roman"/>
                  <w:sz w:val="12"/>
                  <w:szCs w:val="12"/>
                  <w:color w:val="0000FF"/>
                </w:rPr>
                <w:t>Reorganization Agreement, dated as of July 29, 2015, among vTv Therapeutics Inc., vTv Therapeutics LLC, vTvx Holdings I LLC, vTvx Holdings II LLC and vTv Therapeutics Holdings LLC (incorporated</w:t>
              </w:r>
            </w:hyperlink>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540" w:type="dxa"/>
            <w:vAlign w:val="bottom"/>
            <w:tcBorders>
              <w:top w:val="single" w:sz="8" w:color="0000FF"/>
            </w:tcBorders>
            <w:gridSpan w:val="20"/>
          </w:tcPr>
          <w:p>
            <w:pPr>
              <w:spacing w:after="0" w:line="97" w:lineRule="exact"/>
              <w:rPr>
                <w:rFonts w:ascii="Times New Roman" w:cs="Times New Roman" w:eastAsia="Times New Roman" w:hAnsi="Times New Roman"/>
                <w:sz w:val="11"/>
                <w:szCs w:val="11"/>
                <w:color w:val="0000FF"/>
              </w:rPr>
            </w:pPr>
            <w:hyperlink r:id="rId90">
              <w:r>
                <w:rPr>
                  <w:rFonts w:ascii="Times New Roman" w:cs="Times New Roman" w:eastAsia="Times New Roman" w:hAnsi="Times New Roman"/>
                  <w:sz w:val="11"/>
                  <w:szCs w:val="11"/>
                  <w:color w:val="0000FF"/>
                </w:rPr>
                <w:t>by reference from Exhibit 10.1 to the Company’s Form 8-K, filed August 4, 2015 (File No. 001-37524)).</w:t>
              </w:r>
            </w:hyperlink>
          </w:p>
        </w:tc>
        <w:tc>
          <w:tcPr>
            <w:tcW w:w="40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060" w:type="dxa"/>
            <w:vAlign w:val="bottom"/>
            <w:gridSpan w:val="7"/>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92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10.2</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160" w:type="dxa"/>
            <w:vAlign w:val="bottom"/>
            <w:gridSpan w:val="22"/>
          </w:tcPr>
          <w:p>
            <w:pPr>
              <w:spacing w:after="0"/>
              <w:rPr>
                <w:rFonts w:ascii="Times New Roman" w:cs="Times New Roman" w:eastAsia="Times New Roman" w:hAnsi="Times New Roman"/>
                <w:sz w:val="12"/>
                <w:szCs w:val="12"/>
                <w:color w:val="0000FF"/>
              </w:rPr>
            </w:pPr>
            <w:hyperlink r:id="rId91">
              <w:r>
                <w:rPr>
                  <w:rFonts w:ascii="Times New Roman" w:cs="Times New Roman" w:eastAsia="Times New Roman" w:hAnsi="Times New Roman"/>
                  <w:sz w:val="12"/>
                  <w:szCs w:val="12"/>
                  <w:color w:val="0000FF"/>
                </w:rPr>
                <w:t>Amended and Restated Limited Liability Company Agreement of vTv Therapeutics LLC, dated July 29, 2015 (incorporated by reference from Exhibit 10.2 to the Company’s Form 8-K, filed August 4, 2015</w:t>
              </w:r>
            </w:hyperlink>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540" w:type="dxa"/>
            <w:vAlign w:val="bottom"/>
            <w:tcBorders>
              <w:top w:val="single" w:sz="8" w:color="0000FF"/>
            </w:tcBorders>
            <w:gridSpan w:val="20"/>
          </w:tcPr>
          <w:p>
            <w:pPr>
              <w:spacing w:after="0" w:line="97" w:lineRule="exact"/>
              <w:rPr>
                <w:rFonts w:ascii="Times New Roman" w:cs="Times New Roman" w:eastAsia="Times New Roman" w:hAnsi="Times New Roman"/>
                <w:sz w:val="11"/>
                <w:szCs w:val="11"/>
                <w:color w:val="0000FF"/>
              </w:rPr>
            </w:pPr>
            <w:hyperlink r:id="rId91">
              <w:r>
                <w:rPr>
                  <w:rFonts w:ascii="Times New Roman" w:cs="Times New Roman" w:eastAsia="Times New Roman" w:hAnsi="Times New Roman"/>
                  <w:sz w:val="11"/>
                  <w:szCs w:val="11"/>
                  <w:color w:val="0000FF"/>
                </w:rPr>
                <w:t>(File No. 001-37524)).</w:t>
              </w:r>
            </w:hyperlink>
          </w:p>
        </w:tc>
        <w:tc>
          <w:tcPr>
            <w:tcW w:w="40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5800" w:type="dxa"/>
            <w:vAlign w:val="bottom"/>
            <w:gridSpan w:val="1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10.3</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160" w:type="dxa"/>
            <w:vAlign w:val="bottom"/>
            <w:gridSpan w:val="22"/>
          </w:tcPr>
          <w:p>
            <w:pPr>
              <w:spacing w:after="0"/>
              <w:rPr>
                <w:rFonts w:ascii="Times New Roman" w:cs="Times New Roman" w:eastAsia="Times New Roman" w:hAnsi="Times New Roman"/>
                <w:sz w:val="12"/>
                <w:szCs w:val="12"/>
                <w:color w:val="0000FF"/>
              </w:rPr>
            </w:pPr>
            <w:hyperlink r:id="rId92">
              <w:r>
                <w:rPr>
                  <w:rFonts w:ascii="Times New Roman" w:cs="Times New Roman" w:eastAsia="Times New Roman" w:hAnsi="Times New Roman"/>
                  <w:sz w:val="12"/>
                  <w:szCs w:val="12"/>
                  <w:color w:val="0000FF"/>
                </w:rPr>
                <w:t>Investor Rights Agreement, dated as of July 29, 2015, among vTv Therapeutics Inc., vTv Therapeutics Holdings LLC and other stockholders party thereto from time to time (incorporated by reference from</w:t>
              </w:r>
            </w:hyperlink>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140" w:type="dxa"/>
            <w:vAlign w:val="bottom"/>
            <w:tcBorders>
              <w:top w:val="single" w:sz="8" w:color="0000FF"/>
              <w:bottom w:val="single" w:sz="8" w:color="0000FF"/>
            </w:tcBorders>
            <w:gridSpan w:val="9"/>
          </w:tcPr>
          <w:p>
            <w:pPr>
              <w:spacing w:after="0" w:line="97" w:lineRule="exact"/>
              <w:rPr>
                <w:rFonts w:ascii="Times New Roman" w:cs="Times New Roman" w:eastAsia="Times New Roman" w:hAnsi="Times New Roman"/>
                <w:sz w:val="11"/>
                <w:szCs w:val="11"/>
                <w:color w:val="0000FF"/>
              </w:rPr>
            </w:pPr>
            <w:hyperlink r:id="rId92">
              <w:r>
                <w:rPr>
                  <w:rFonts w:ascii="Times New Roman" w:cs="Times New Roman" w:eastAsia="Times New Roman" w:hAnsi="Times New Roman"/>
                  <w:sz w:val="11"/>
                  <w:szCs w:val="11"/>
                  <w:color w:val="0000FF"/>
                </w:rPr>
                <w:t>Exhibit 10.3 to the Company’s Form 8-K, filed August 4, 2015 (File No. 001-37524)).</w:t>
              </w:r>
            </w:hyperlink>
          </w:p>
        </w:tc>
        <w:tc>
          <w:tcPr>
            <w:tcW w:w="5400" w:type="dxa"/>
            <w:vAlign w:val="bottom"/>
            <w:tcBorders>
              <w:top w:val="single" w:sz="8" w:color="0000FF"/>
            </w:tcBorders>
            <w:gridSpan w:val="11"/>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3"/>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40" w:type="dxa"/>
            <w:vAlign w:val="bottom"/>
            <w:gridSpan w:val="11"/>
          </w:tcPr>
          <w:p>
            <w:pPr>
              <w:ind w:left="4440"/>
              <w:spacing w:after="0"/>
              <w:rPr>
                <w:sz w:val="20"/>
                <w:szCs w:val="20"/>
                <w:color w:val="auto"/>
              </w:rPr>
            </w:pPr>
            <w:r>
              <w:rPr>
                <w:rFonts w:ascii="Times New Roman" w:cs="Times New Roman" w:eastAsia="Times New Roman" w:hAnsi="Times New Roman"/>
                <w:sz w:val="12"/>
                <w:szCs w:val="12"/>
                <w:color w:val="auto"/>
              </w:rPr>
              <w:t>69</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4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780" w:type="dxa"/>
            <w:vAlign w:val="bottom"/>
            <w:gridSpan w:val="22"/>
            <w:vMerge w:val="restart"/>
          </w:tcPr>
          <w:p>
            <w:pPr>
              <w:ind w:left="34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940" w:type="dxa"/>
            <w:vAlign w:val="bottom"/>
            <w:gridSpan w:val="2"/>
          </w:tcPr>
          <w:p>
            <w:pPr>
              <w:spacing w:after="0" w:line="78" w:lineRule="exact"/>
              <w:rPr>
                <w:sz w:val="20"/>
                <w:szCs w:val="20"/>
                <w:color w:val="auto"/>
              </w:rPr>
            </w:pPr>
            <w:r>
              <w:rPr>
                <w:rFonts w:ascii="Times New Roman" w:cs="Times New Roman" w:eastAsia="Times New Roman" w:hAnsi="Times New Roman"/>
                <w:sz w:val="8"/>
                <w:szCs w:val="8"/>
                <w:b w:val="1"/>
                <w:bCs w:val="1"/>
                <w:color w:val="auto"/>
              </w:rPr>
              <w:t>Number</w:t>
            </w: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780" w:type="dxa"/>
            <w:vAlign w:val="bottom"/>
            <w:gridSpan w:val="2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600" w:type="dxa"/>
            <w:vAlign w:val="bottom"/>
          </w:tcPr>
          <w:p>
            <w:pPr>
              <w:spacing w:after="0"/>
              <w:rPr>
                <w:sz w:val="12"/>
                <w:szCs w:val="12"/>
                <w:color w:val="auto"/>
              </w:rPr>
            </w:pPr>
          </w:p>
        </w:tc>
        <w:tc>
          <w:tcPr>
            <w:tcW w:w="10180" w:type="dxa"/>
            <w:vAlign w:val="bottom"/>
            <w:gridSpan w:val="34"/>
          </w:tcPr>
          <w:p>
            <w:pPr>
              <w:spacing w:after="0"/>
              <w:rPr>
                <w:rFonts w:ascii="Times New Roman" w:cs="Times New Roman" w:eastAsia="Times New Roman" w:hAnsi="Times New Roman"/>
                <w:sz w:val="12"/>
                <w:szCs w:val="12"/>
                <w:color w:val="0000FF"/>
              </w:rPr>
            </w:pPr>
            <w:hyperlink r:id="rId95">
              <w:r>
                <w:rPr>
                  <w:rFonts w:ascii="Times New Roman" w:cs="Times New Roman" w:eastAsia="Times New Roman" w:hAnsi="Times New Roman"/>
                  <w:sz w:val="12"/>
                  <w:szCs w:val="12"/>
                  <w:color w:val="0000FF"/>
                </w:rPr>
                <w:t>Exchange Agreement, dated as of July 29, 2015, among vTv Therapeutics LLC, vTv Therapeutics Inc. and vTv Therapeutics Holdings LLC (incorporated by reference from Exhibit 10.4 to the Company’s</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40" w:type="dxa"/>
            <w:vAlign w:val="bottom"/>
            <w:tcBorders>
              <w:top w:val="single" w:sz="8" w:color="0000FF"/>
              <w:bottom w:val="single" w:sz="8" w:color="0000FF"/>
            </w:tcBorders>
            <w:gridSpan w:val="8"/>
          </w:tcPr>
          <w:p>
            <w:pPr>
              <w:spacing w:after="0" w:line="97" w:lineRule="exact"/>
              <w:rPr>
                <w:rFonts w:ascii="Times New Roman" w:cs="Times New Roman" w:eastAsia="Times New Roman" w:hAnsi="Times New Roman"/>
                <w:sz w:val="11"/>
                <w:szCs w:val="11"/>
                <w:color w:val="0000FF"/>
              </w:rPr>
            </w:pPr>
            <w:hyperlink r:id="rId95">
              <w:r>
                <w:rPr>
                  <w:rFonts w:ascii="Times New Roman" w:cs="Times New Roman" w:eastAsia="Times New Roman" w:hAnsi="Times New Roman"/>
                  <w:sz w:val="11"/>
                  <w:szCs w:val="11"/>
                  <w:color w:val="0000FF"/>
                </w:rPr>
                <w:t>Form 8-K, filed August 4, 2015 (File No. 001-37524)).</w:t>
              </w:r>
            </w:hyperlink>
          </w:p>
        </w:tc>
        <w:tc>
          <w:tcPr>
            <w:tcW w:w="7440" w:type="dxa"/>
            <w:vAlign w:val="bottom"/>
            <w:tcBorders>
              <w:top w:val="single" w:sz="8" w:color="0000FF"/>
            </w:tcBorders>
            <w:gridSpan w:val="21"/>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10.5</w:t>
            </w:r>
          </w:p>
        </w:tc>
        <w:tc>
          <w:tcPr>
            <w:tcW w:w="600" w:type="dxa"/>
            <w:vAlign w:val="bottom"/>
          </w:tcPr>
          <w:p>
            <w:pPr>
              <w:spacing w:after="0"/>
              <w:rPr>
                <w:sz w:val="15"/>
                <w:szCs w:val="15"/>
                <w:color w:val="auto"/>
              </w:rPr>
            </w:pPr>
          </w:p>
        </w:tc>
        <w:tc>
          <w:tcPr>
            <w:tcW w:w="10180" w:type="dxa"/>
            <w:vAlign w:val="bottom"/>
            <w:gridSpan w:val="34"/>
          </w:tcPr>
          <w:p>
            <w:pPr>
              <w:spacing w:after="0"/>
              <w:rPr>
                <w:rFonts w:ascii="Times New Roman" w:cs="Times New Roman" w:eastAsia="Times New Roman" w:hAnsi="Times New Roman"/>
                <w:sz w:val="12"/>
                <w:szCs w:val="12"/>
                <w:color w:val="0000FF"/>
              </w:rPr>
            </w:pPr>
            <w:hyperlink r:id="rId96">
              <w:r>
                <w:rPr>
                  <w:rFonts w:ascii="Times New Roman" w:cs="Times New Roman" w:eastAsia="Times New Roman" w:hAnsi="Times New Roman"/>
                  <w:sz w:val="12"/>
                  <w:szCs w:val="12"/>
                  <w:color w:val="0000FF"/>
                </w:rPr>
                <w:t>Tax Receivable Agreement, dated as of July 29, 2015, among vTv Therapeutics Inc. and the other persons named therein (incorporated by reference from Exhibit 10.5 to the Company’s Form 8-K, filed</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60" w:type="dxa"/>
            <w:vAlign w:val="bottom"/>
            <w:tcBorders>
              <w:top w:val="single" w:sz="8" w:color="0000FF"/>
              <w:bottom w:val="single" w:sz="8" w:color="0000FF"/>
            </w:tcBorders>
            <w:gridSpan w:val="7"/>
          </w:tcPr>
          <w:p>
            <w:pPr>
              <w:spacing w:after="0" w:line="97" w:lineRule="exact"/>
              <w:rPr>
                <w:rFonts w:ascii="Times New Roman" w:cs="Times New Roman" w:eastAsia="Times New Roman" w:hAnsi="Times New Roman"/>
                <w:sz w:val="11"/>
                <w:szCs w:val="11"/>
                <w:color w:val="0000FF"/>
              </w:rPr>
            </w:pPr>
            <w:hyperlink r:id="rId96">
              <w:r>
                <w:rPr>
                  <w:rFonts w:ascii="Times New Roman" w:cs="Times New Roman" w:eastAsia="Times New Roman" w:hAnsi="Times New Roman"/>
                  <w:sz w:val="11"/>
                  <w:szCs w:val="11"/>
                  <w:color w:val="0000FF"/>
                </w:rPr>
                <w:t>August 4, 2015 (File No. 001-37524)).</w:t>
              </w:r>
            </w:hyperlink>
          </w:p>
        </w:tc>
        <w:tc>
          <w:tcPr>
            <w:tcW w:w="8080" w:type="dxa"/>
            <w:vAlign w:val="bottom"/>
            <w:tcBorders>
              <w:top w:val="single" w:sz="8" w:color="0000FF"/>
            </w:tcBorders>
            <w:gridSpan w:val="15"/>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10.6</w:t>
            </w:r>
          </w:p>
        </w:tc>
        <w:tc>
          <w:tcPr>
            <w:tcW w:w="600" w:type="dxa"/>
            <w:vAlign w:val="bottom"/>
          </w:tcPr>
          <w:p>
            <w:pPr>
              <w:spacing w:after="0"/>
              <w:rPr>
                <w:sz w:val="15"/>
                <w:szCs w:val="15"/>
                <w:color w:val="auto"/>
              </w:rPr>
            </w:pPr>
          </w:p>
        </w:tc>
        <w:tc>
          <w:tcPr>
            <w:tcW w:w="9800" w:type="dxa"/>
            <w:vAlign w:val="bottom"/>
            <w:tcBorders>
              <w:bottom w:val="single" w:sz="8" w:color="0000FF"/>
            </w:tcBorders>
            <w:gridSpan w:val="21"/>
          </w:tcPr>
          <w:p>
            <w:pPr>
              <w:spacing w:after="0"/>
              <w:rPr>
                <w:rFonts w:ascii="Times New Roman" w:cs="Times New Roman" w:eastAsia="Times New Roman" w:hAnsi="Times New Roman"/>
                <w:sz w:val="12"/>
                <w:szCs w:val="12"/>
                <w:color w:val="0000FF"/>
                <w:w w:val="99"/>
              </w:rPr>
            </w:pPr>
            <w:hyperlink r:id="rId97">
              <w:r>
                <w:rPr>
                  <w:rFonts w:ascii="Times New Roman" w:cs="Times New Roman" w:eastAsia="Times New Roman" w:hAnsi="Times New Roman"/>
                  <w:sz w:val="12"/>
                  <w:szCs w:val="12"/>
                  <w:color w:val="0000FF"/>
                  <w:w w:val="99"/>
                </w:rPr>
                <w:t>Form of Indemnification Agreement (incorporated by reference from Exhibit 10.7 to Amendment No. 4 to the Company’s Registration Statement on Form S-1, dated July 23, 2015 (File No. 333-204951)).</w:t>
              </w:r>
            </w:hyperlink>
          </w:p>
        </w:tc>
        <w:tc>
          <w:tcPr>
            <w:tcW w:w="38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10.7†</w:t>
            </w:r>
          </w:p>
        </w:tc>
        <w:tc>
          <w:tcPr>
            <w:tcW w:w="8600" w:type="dxa"/>
            <w:vAlign w:val="bottom"/>
            <w:tcBorders>
              <w:bottom w:val="single" w:sz="8" w:color="0000FF"/>
            </w:tcBorders>
            <w:gridSpan w:val="18"/>
          </w:tcPr>
          <w:p>
            <w:pPr>
              <w:spacing w:after="0"/>
              <w:rPr>
                <w:rFonts w:ascii="Times New Roman" w:cs="Times New Roman" w:eastAsia="Times New Roman" w:hAnsi="Times New Roman"/>
                <w:sz w:val="12"/>
                <w:szCs w:val="12"/>
                <w:color w:val="0000FF"/>
                <w:w w:val="99"/>
              </w:rPr>
            </w:pPr>
            <w:hyperlink r:id="rId98">
              <w:r>
                <w:rPr>
                  <w:rFonts w:ascii="Times New Roman" w:cs="Times New Roman" w:eastAsia="Times New Roman" w:hAnsi="Times New Roman"/>
                  <w:sz w:val="12"/>
                  <w:szCs w:val="12"/>
                  <w:color w:val="0000FF"/>
                  <w:w w:val="99"/>
                </w:rPr>
                <w:t>vTv Therapeutics Inc. 2015 Omnibus Equity Incentive Plan (incorporated by reference from Exhibit 10.6 to the Company’s Form 8-K, filed August 4, 2015 (File No. 001-37524)).</w:t>
              </w:r>
            </w:hyperlink>
          </w:p>
        </w:tc>
        <w:tc>
          <w:tcPr>
            <w:tcW w:w="158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10.8†</w:t>
            </w:r>
          </w:p>
        </w:tc>
        <w:tc>
          <w:tcPr>
            <w:tcW w:w="10180" w:type="dxa"/>
            <w:vAlign w:val="bottom"/>
            <w:gridSpan w:val="34"/>
          </w:tcPr>
          <w:p>
            <w:pPr>
              <w:spacing w:after="0"/>
              <w:rPr>
                <w:rFonts w:ascii="Times New Roman" w:cs="Times New Roman" w:eastAsia="Times New Roman" w:hAnsi="Times New Roman"/>
                <w:sz w:val="12"/>
                <w:szCs w:val="12"/>
                <w:color w:val="0000FF"/>
              </w:rPr>
            </w:pPr>
            <w:hyperlink r:id="rId99">
              <w:r>
                <w:rPr>
                  <w:rFonts w:ascii="Times New Roman" w:cs="Times New Roman" w:eastAsia="Times New Roman" w:hAnsi="Times New Roman"/>
                  <w:sz w:val="12"/>
                  <w:szCs w:val="12"/>
                  <w:color w:val="0000FF"/>
                </w:rPr>
                <w:t>vTv Therapeutics Inc. Form of Nonqualified Option Award Agreement (incorporated by reference from Exhibit 10.7 to the Company’s Form 8-K, filed August 4, 2015 (File No. 001-37524)).</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10.9††</w:t>
            </w:r>
          </w:p>
        </w:tc>
        <w:tc>
          <w:tcPr>
            <w:tcW w:w="10180" w:type="dxa"/>
            <w:vAlign w:val="bottom"/>
            <w:gridSpan w:val="34"/>
          </w:tcPr>
          <w:p>
            <w:pPr>
              <w:spacing w:after="0"/>
              <w:rPr>
                <w:rFonts w:ascii="Times New Roman" w:cs="Times New Roman" w:eastAsia="Times New Roman" w:hAnsi="Times New Roman"/>
                <w:sz w:val="12"/>
                <w:szCs w:val="12"/>
                <w:color w:val="0000FF"/>
              </w:rPr>
            </w:pPr>
            <w:hyperlink r:id="rId100">
              <w:r>
                <w:rPr>
                  <w:rFonts w:ascii="Times New Roman" w:cs="Times New Roman" w:eastAsia="Times New Roman" w:hAnsi="Times New Roman"/>
                  <w:sz w:val="12"/>
                  <w:szCs w:val="12"/>
                  <w:color w:val="0000FF"/>
                </w:rPr>
                <w:t>Agreement Concerning Glucokinase Activator Project, dated as of February 20, 2007, by and between Novo Nordisk A/S and TransTech Pharma, Inc. (incorporated by reference from Exhibit 10.8 to</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120" w:type="dxa"/>
            <w:vAlign w:val="bottom"/>
            <w:tcBorders>
              <w:top w:val="single" w:sz="8" w:color="0000FF"/>
            </w:tcBorders>
            <w:gridSpan w:val="31"/>
          </w:tcPr>
          <w:p>
            <w:pPr>
              <w:spacing w:after="0" w:line="97" w:lineRule="exact"/>
              <w:rPr>
                <w:rFonts w:ascii="Times New Roman" w:cs="Times New Roman" w:eastAsia="Times New Roman" w:hAnsi="Times New Roman"/>
                <w:sz w:val="11"/>
                <w:szCs w:val="11"/>
                <w:color w:val="0000FF"/>
              </w:rPr>
            </w:pPr>
            <w:hyperlink r:id="rId100">
              <w:r>
                <w:rPr>
                  <w:rFonts w:ascii="Times New Roman" w:cs="Times New Roman" w:eastAsia="Times New Roman" w:hAnsi="Times New Roman"/>
                  <w:sz w:val="11"/>
                  <w:szCs w:val="11"/>
                  <w:color w:val="0000FF"/>
                </w:rPr>
                <w:t>Amendment No. 1 to the Company’s Registration Statement on Form S-1, dated June 19, 2015 (File No. 333-204951)).</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10.10††</w:t>
            </w:r>
          </w:p>
        </w:tc>
        <w:tc>
          <w:tcPr>
            <w:tcW w:w="10180" w:type="dxa"/>
            <w:vAlign w:val="bottom"/>
            <w:gridSpan w:val="34"/>
          </w:tcPr>
          <w:p>
            <w:pPr>
              <w:spacing w:after="0"/>
              <w:rPr>
                <w:rFonts w:ascii="Times New Roman" w:cs="Times New Roman" w:eastAsia="Times New Roman" w:hAnsi="Times New Roman"/>
                <w:sz w:val="12"/>
                <w:szCs w:val="12"/>
                <w:color w:val="0000FF"/>
              </w:rPr>
            </w:pPr>
            <w:hyperlink r:id="rId101">
              <w:r>
                <w:rPr>
                  <w:rFonts w:ascii="Times New Roman" w:cs="Times New Roman" w:eastAsia="Times New Roman" w:hAnsi="Times New Roman"/>
                  <w:sz w:val="12"/>
                  <w:szCs w:val="12"/>
                  <w:color w:val="0000FF"/>
                </w:rPr>
                <w:t>License and Research Agreement, dated as of December 21, 2017, by and between Hangzhou Zhongmei Huadong Pharmaceutical Co., Ltd. And vTv Therapeutics LLC (incorporated by reference from</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0" w:type="dxa"/>
            <w:vAlign w:val="bottom"/>
            <w:tcBorders>
              <w:top w:val="single" w:sz="8" w:color="0000FF"/>
            </w:tcBorders>
            <w:gridSpan w:val="25"/>
          </w:tcPr>
          <w:p>
            <w:pPr>
              <w:spacing w:after="0" w:line="97" w:lineRule="exact"/>
              <w:rPr>
                <w:rFonts w:ascii="Times New Roman" w:cs="Times New Roman" w:eastAsia="Times New Roman" w:hAnsi="Times New Roman"/>
                <w:sz w:val="11"/>
                <w:szCs w:val="11"/>
                <w:color w:val="0000FF"/>
              </w:rPr>
            </w:pPr>
            <w:hyperlink r:id="rId101">
              <w:r>
                <w:rPr>
                  <w:rFonts w:ascii="Times New Roman" w:cs="Times New Roman" w:eastAsia="Times New Roman" w:hAnsi="Times New Roman"/>
                  <w:sz w:val="11"/>
                  <w:szCs w:val="11"/>
                  <w:color w:val="0000FF"/>
                </w:rPr>
                <w:t>Exhibit 10.19 to the Company’s Form 10-K, filed February 27, 2018 (File No. 001-37524)).</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10.11††</w:t>
            </w:r>
          </w:p>
        </w:tc>
        <w:tc>
          <w:tcPr>
            <w:tcW w:w="10180" w:type="dxa"/>
            <w:vAlign w:val="bottom"/>
            <w:gridSpan w:val="34"/>
          </w:tcPr>
          <w:p>
            <w:pPr>
              <w:spacing w:after="0"/>
              <w:rPr>
                <w:rFonts w:ascii="Times New Roman" w:cs="Times New Roman" w:eastAsia="Times New Roman" w:hAnsi="Times New Roman"/>
                <w:sz w:val="12"/>
                <w:szCs w:val="12"/>
                <w:color w:val="0000FF"/>
              </w:rPr>
            </w:pPr>
            <w:hyperlink r:id="rId102">
              <w:r>
                <w:rPr>
                  <w:rFonts w:ascii="Times New Roman" w:cs="Times New Roman" w:eastAsia="Times New Roman" w:hAnsi="Times New Roman"/>
                  <w:sz w:val="12"/>
                  <w:szCs w:val="12"/>
                  <w:color w:val="0000FF"/>
                </w:rPr>
                <w:t>License and Research Agreement, dated as of December 21, 2017, by and between Reneo Pharmaceuticals, Inc. and vTv Therapeutics LLC (incorporated by reference from Exhibit 10.20 to the Company’s</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980" w:type="dxa"/>
            <w:vAlign w:val="bottom"/>
            <w:tcBorders>
              <w:top w:val="single" w:sz="8" w:color="0000FF"/>
            </w:tcBorders>
            <w:gridSpan w:val="24"/>
          </w:tcPr>
          <w:p>
            <w:pPr>
              <w:spacing w:after="0" w:line="97" w:lineRule="exact"/>
              <w:rPr>
                <w:rFonts w:ascii="Times New Roman" w:cs="Times New Roman" w:eastAsia="Times New Roman" w:hAnsi="Times New Roman"/>
                <w:sz w:val="11"/>
                <w:szCs w:val="11"/>
                <w:color w:val="0000FF"/>
              </w:rPr>
            </w:pPr>
            <w:hyperlink r:id="rId102">
              <w:r>
                <w:rPr>
                  <w:rFonts w:ascii="Times New Roman" w:cs="Times New Roman" w:eastAsia="Times New Roman" w:hAnsi="Times New Roman"/>
                  <w:sz w:val="11"/>
                  <w:szCs w:val="11"/>
                  <w:color w:val="0000FF"/>
                </w:rPr>
                <w:t>Form 10-K, filed February 27, 2018 (File No. 001-37524)).</w:t>
              </w:r>
            </w:hyperlink>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10.12††</w:t>
            </w:r>
          </w:p>
        </w:tc>
        <w:tc>
          <w:tcPr>
            <w:tcW w:w="10180" w:type="dxa"/>
            <w:vAlign w:val="bottom"/>
            <w:gridSpan w:val="34"/>
          </w:tcPr>
          <w:p>
            <w:pPr>
              <w:spacing w:after="0"/>
              <w:rPr>
                <w:rFonts w:ascii="Times New Roman" w:cs="Times New Roman" w:eastAsia="Times New Roman" w:hAnsi="Times New Roman"/>
                <w:sz w:val="12"/>
                <w:szCs w:val="12"/>
                <w:color w:val="0000FF"/>
              </w:rPr>
            </w:pPr>
            <w:hyperlink r:id="rId103">
              <w:r>
                <w:rPr>
                  <w:rFonts w:ascii="Times New Roman" w:cs="Times New Roman" w:eastAsia="Times New Roman" w:hAnsi="Times New Roman"/>
                  <w:sz w:val="12"/>
                  <w:szCs w:val="12"/>
                  <w:color w:val="0000FF"/>
                </w:rPr>
                <w:t>License Agreement, dated as of May 31, 2018, by and between Newsoara Biopharma Co., Ltd. and vTv Therapeutics LLC (incorporated by reference from Exhibit 10.1 to the Company’s Form 10-Q, filed</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60" w:type="dxa"/>
            <w:vAlign w:val="bottom"/>
            <w:tcBorders>
              <w:top w:val="single" w:sz="8" w:color="0000FF"/>
              <w:bottom w:val="single" w:sz="8" w:color="0000FF"/>
            </w:tcBorders>
            <w:gridSpan w:val="7"/>
          </w:tcPr>
          <w:p>
            <w:pPr>
              <w:spacing w:after="0" w:line="97" w:lineRule="exact"/>
              <w:rPr>
                <w:rFonts w:ascii="Times New Roman" w:cs="Times New Roman" w:eastAsia="Times New Roman" w:hAnsi="Times New Roman"/>
                <w:sz w:val="11"/>
                <w:szCs w:val="11"/>
                <w:color w:val="0000FF"/>
              </w:rPr>
            </w:pPr>
            <w:hyperlink r:id="rId103">
              <w:r>
                <w:rPr>
                  <w:rFonts w:ascii="Times New Roman" w:cs="Times New Roman" w:eastAsia="Times New Roman" w:hAnsi="Times New Roman"/>
                  <w:sz w:val="11"/>
                  <w:szCs w:val="11"/>
                  <w:color w:val="0000FF"/>
                </w:rPr>
                <w:t>August 3, 2018 (File No. 001-37524)).</w:t>
              </w:r>
            </w:hyperlink>
          </w:p>
        </w:tc>
        <w:tc>
          <w:tcPr>
            <w:tcW w:w="8200" w:type="dxa"/>
            <w:vAlign w:val="bottom"/>
            <w:tcBorders>
              <w:top w:val="single" w:sz="8" w:color="0000FF"/>
            </w:tcBorders>
            <w:gridSpan w:val="21"/>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color w:val="auto"/>
              </w:rPr>
              <w:t>10.13</w:t>
            </w:r>
          </w:p>
        </w:tc>
        <w:tc>
          <w:tcPr>
            <w:tcW w:w="600" w:type="dxa"/>
            <w:vAlign w:val="bottom"/>
          </w:tcPr>
          <w:p>
            <w:pPr>
              <w:spacing w:after="0"/>
              <w:rPr>
                <w:sz w:val="8"/>
                <w:szCs w:val="8"/>
                <w:color w:val="auto"/>
              </w:rPr>
            </w:pPr>
          </w:p>
        </w:tc>
        <w:tc>
          <w:tcPr>
            <w:tcW w:w="1300" w:type="dxa"/>
            <w:vAlign w:val="bottom"/>
            <w:gridSpan w:val="2"/>
            <w:vMerge w:val="restart"/>
          </w:tcPr>
          <w:p>
            <w:pPr>
              <w:spacing w:after="0"/>
              <w:rPr>
                <w:rFonts w:ascii="Times New Roman" w:cs="Times New Roman" w:eastAsia="Times New Roman" w:hAnsi="Times New Roman"/>
                <w:sz w:val="12"/>
                <w:szCs w:val="12"/>
                <w:color w:val="0000FF"/>
                <w:w w:val="97"/>
              </w:rPr>
            </w:pPr>
            <w:hyperlink r:id="rId104">
              <w:r>
                <w:rPr>
                  <w:rFonts w:ascii="Times New Roman" w:cs="Times New Roman" w:eastAsia="Times New Roman" w:hAnsi="Times New Roman"/>
                  <w:sz w:val="12"/>
                  <w:szCs w:val="12"/>
                  <w:color w:val="0000FF"/>
                  <w:w w:val="97"/>
                </w:rPr>
                <w:t>Controlled Equity Offering</w:t>
              </w:r>
            </w:hyperlink>
          </w:p>
        </w:tc>
        <w:tc>
          <w:tcPr>
            <w:tcW w:w="100" w:type="dxa"/>
            <w:vAlign w:val="bottom"/>
            <w:tcBorders>
              <w:bottom w:val="single" w:sz="8" w:color="0000FF"/>
            </w:tcBorders>
            <w:gridSpan w:val="3"/>
          </w:tcPr>
          <w:p>
            <w:pPr>
              <w:spacing w:after="0"/>
              <w:rPr>
                <w:rFonts w:ascii="Times New Roman" w:cs="Times New Roman" w:eastAsia="Times New Roman" w:hAnsi="Times New Roman"/>
                <w:sz w:val="6"/>
                <w:szCs w:val="6"/>
                <w:color w:val="0000FF"/>
                <w:w w:val="91"/>
              </w:rPr>
            </w:pPr>
            <w:hyperlink r:id="rId104">
              <w:r>
                <w:rPr>
                  <w:rFonts w:ascii="Times New Roman" w:cs="Times New Roman" w:eastAsia="Times New Roman" w:hAnsi="Times New Roman"/>
                  <w:sz w:val="6"/>
                  <w:szCs w:val="6"/>
                  <w:color w:val="0000FF"/>
                  <w:w w:val="91"/>
                </w:rPr>
                <w:t>SM</w:t>
              </w:r>
            </w:hyperlink>
          </w:p>
        </w:tc>
        <w:tc>
          <w:tcPr>
            <w:tcW w:w="8560" w:type="dxa"/>
            <w:vAlign w:val="bottom"/>
            <w:gridSpan w:val="18"/>
            <w:vMerge w:val="restart"/>
          </w:tcPr>
          <w:p>
            <w:pPr>
              <w:ind w:left="40"/>
              <w:spacing w:after="0"/>
              <w:rPr>
                <w:rFonts w:ascii="Times New Roman" w:cs="Times New Roman" w:eastAsia="Times New Roman" w:hAnsi="Times New Roman"/>
                <w:sz w:val="12"/>
                <w:szCs w:val="12"/>
                <w:color w:val="0000FF"/>
              </w:rPr>
            </w:pPr>
            <w:hyperlink r:id="rId104">
              <w:r>
                <w:rPr>
                  <w:rFonts w:ascii="Times New Roman" w:cs="Times New Roman" w:eastAsia="Times New Roman" w:hAnsi="Times New Roman"/>
                  <w:sz w:val="12"/>
                  <w:szCs w:val="12"/>
                  <w:color w:val="0000FF"/>
                </w:rPr>
                <w:t>Sales Agreement, dated as of April 24, 2020, by and between vTv Therapeutics Inc. and Cantor Fitzgerald &amp; Co. (incorporated by reference from Exhibit 1.1 to the Company’s</w:t>
              </w:r>
            </w:hyperlink>
          </w:p>
        </w:tc>
        <w:tc>
          <w:tcPr>
            <w:tcW w:w="220" w:type="dxa"/>
            <w:vAlign w:val="bottom"/>
            <w:gridSpan w:val="11"/>
            <w:vMerge w:val="restart"/>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54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1300" w:type="dxa"/>
            <w:vAlign w:val="bottom"/>
            <w:tcBorders>
              <w:bottom w:val="single" w:sz="8" w:color="0000FF"/>
            </w:tcBorders>
            <w:gridSpan w:val="2"/>
            <w:vMerge w:val="continue"/>
          </w:tcPr>
          <w:p>
            <w:pPr>
              <w:spacing w:after="0"/>
              <w:rPr>
                <w:sz w:val="5"/>
                <w:szCs w:val="5"/>
                <w:color w:val="auto"/>
              </w:rPr>
            </w:pPr>
          </w:p>
        </w:tc>
        <w:tc>
          <w:tcPr>
            <w:tcW w:w="20" w:type="dxa"/>
            <w:vAlign w:val="bottom"/>
            <w:tcBorders>
              <w:bottom w:val="single" w:sz="8" w:color="0000FF"/>
            </w:tcBorders>
          </w:tcPr>
          <w:p>
            <w:pPr>
              <w:spacing w:after="0"/>
              <w:rPr>
                <w:sz w:val="5"/>
                <w:szCs w:val="5"/>
                <w:color w:val="auto"/>
              </w:rPr>
            </w:pPr>
          </w:p>
        </w:tc>
        <w:tc>
          <w:tcPr>
            <w:tcW w:w="80" w:type="dxa"/>
            <w:vAlign w:val="bottom"/>
            <w:gridSpan w:val="2"/>
          </w:tcPr>
          <w:p>
            <w:pPr>
              <w:spacing w:after="0"/>
              <w:rPr>
                <w:sz w:val="5"/>
                <w:szCs w:val="5"/>
                <w:color w:val="auto"/>
              </w:rPr>
            </w:pPr>
          </w:p>
        </w:tc>
        <w:tc>
          <w:tcPr>
            <w:tcW w:w="8560" w:type="dxa"/>
            <w:vAlign w:val="bottom"/>
            <w:tcBorders>
              <w:bottom w:val="single" w:sz="8" w:color="0000FF"/>
            </w:tcBorders>
            <w:gridSpan w:val="18"/>
            <w:vMerge w:val="continue"/>
          </w:tcPr>
          <w:p>
            <w:pPr>
              <w:spacing w:after="0"/>
              <w:rPr>
                <w:sz w:val="5"/>
                <w:szCs w:val="5"/>
                <w:color w:val="auto"/>
              </w:rPr>
            </w:pPr>
          </w:p>
        </w:tc>
        <w:tc>
          <w:tcPr>
            <w:tcW w:w="22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60" w:type="dxa"/>
            <w:vAlign w:val="bottom"/>
            <w:tcBorders>
              <w:bottom w:val="single" w:sz="8" w:color="0000FF"/>
            </w:tcBorders>
            <w:gridSpan w:val="9"/>
          </w:tcPr>
          <w:p>
            <w:pPr>
              <w:spacing w:after="0" w:line="97" w:lineRule="exact"/>
              <w:rPr>
                <w:rFonts w:ascii="Times New Roman" w:cs="Times New Roman" w:eastAsia="Times New Roman" w:hAnsi="Times New Roman"/>
                <w:sz w:val="11"/>
                <w:szCs w:val="11"/>
                <w:color w:val="0000FF"/>
              </w:rPr>
            </w:pPr>
            <w:hyperlink r:id="rId104">
              <w:r>
                <w:rPr>
                  <w:rFonts w:ascii="Times New Roman" w:cs="Times New Roman" w:eastAsia="Times New Roman" w:hAnsi="Times New Roman"/>
                  <w:sz w:val="11"/>
                  <w:szCs w:val="11"/>
                  <w:color w:val="0000FF"/>
                </w:rPr>
                <w:t>Form 8-K, filed on April 24, 2020 (File No. 001-37524)).</w:t>
              </w:r>
            </w:hyperlink>
          </w:p>
        </w:tc>
        <w:tc>
          <w:tcPr>
            <w:tcW w:w="7420" w:type="dxa"/>
            <w:vAlign w:val="bottom"/>
            <w:gridSpan w:val="25"/>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10.14</w:t>
            </w:r>
          </w:p>
        </w:tc>
        <w:tc>
          <w:tcPr>
            <w:tcW w:w="600" w:type="dxa"/>
            <w:vAlign w:val="bottom"/>
          </w:tcPr>
          <w:p>
            <w:pPr>
              <w:spacing w:after="0"/>
              <w:rPr>
                <w:sz w:val="15"/>
                <w:szCs w:val="15"/>
                <w:color w:val="auto"/>
              </w:rPr>
            </w:pPr>
          </w:p>
        </w:tc>
        <w:tc>
          <w:tcPr>
            <w:tcW w:w="9580" w:type="dxa"/>
            <w:vAlign w:val="bottom"/>
            <w:tcBorders>
              <w:bottom w:val="single" w:sz="8" w:color="0000FF"/>
            </w:tcBorders>
            <w:gridSpan w:val="20"/>
          </w:tcPr>
          <w:p>
            <w:pPr>
              <w:spacing w:after="0"/>
              <w:rPr>
                <w:rFonts w:ascii="Times New Roman" w:cs="Times New Roman" w:eastAsia="Times New Roman" w:hAnsi="Times New Roman"/>
                <w:sz w:val="12"/>
                <w:szCs w:val="12"/>
                <w:color w:val="0000FF"/>
                <w:w w:val="99"/>
              </w:rPr>
            </w:pPr>
            <w:hyperlink r:id="rId105">
              <w:r>
                <w:rPr>
                  <w:rFonts w:ascii="Times New Roman" w:cs="Times New Roman" w:eastAsia="Times New Roman" w:hAnsi="Times New Roman"/>
                  <w:sz w:val="12"/>
                  <w:szCs w:val="12"/>
                  <w:color w:val="0000FF"/>
                  <w:w w:val="99"/>
                </w:rPr>
                <w:t>First Amendment to vTv Therapeutics Inc. 2015 Omnibus Equity Incentive Plan (incorporated by reference from Exhibit 3.5 to the Company’s Form S-8, filed August 3, 2020 (File No. 333-240304)).</w:t>
              </w:r>
            </w:hyperlink>
          </w:p>
        </w:tc>
        <w:tc>
          <w:tcPr>
            <w:tcW w:w="60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10.15††</w:t>
            </w:r>
          </w:p>
        </w:tc>
        <w:tc>
          <w:tcPr>
            <w:tcW w:w="10180" w:type="dxa"/>
            <w:vAlign w:val="bottom"/>
            <w:gridSpan w:val="34"/>
          </w:tcPr>
          <w:p>
            <w:pPr>
              <w:spacing w:after="0"/>
              <w:rPr>
                <w:rFonts w:ascii="Times New Roman" w:cs="Times New Roman" w:eastAsia="Times New Roman" w:hAnsi="Times New Roman"/>
                <w:sz w:val="12"/>
                <w:szCs w:val="12"/>
                <w:color w:val="0000FF"/>
              </w:rPr>
            </w:pPr>
            <w:hyperlink r:id="rId106">
              <w:r>
                <w:rPr>
                  <w:rFonts w:ascii="Times New Roman" w:cs="Times New Roman" w:eastAsia="Times New Roman" w:hAnsi="Times New Roman"/>
                  <w:sz w:val="12"/>
                  <w:szCs w:val="12"/>
                  <w:color w:val="0000FF"/>
                </w:rPr>
                <w:t>License Agreement, dated December 11, 2020, by and between Anteris Bio, Inc. and vTv Therapeutics LLC.</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10.16††</w:t>
            </w:r>
          </w:p>
        </w:tc>
        <w:tc>
          <w:tcPr>
            <w:tcW w:w="10180" w:type="dxa"/>
            <w:vAlign w:val="bottom"/>
            <w:gridSpan w:val="34"/>
          </w:tcPr>
          <w:p>
            <w:pPr>
              <w:spacing w:after="0"/>
              <w:rPr>
                <w:rFonts w:ascii="Times New Roman" w:cs="Times New Roman" w:eastAsia="Times New Roman" w:hAnsi="Times New Roman"/>
                <w:sz w:val="12"/>
                <w:szCs w:val="12"/>
                <w:color w:val="0000FF"/>
              </w:rPr>
            </w:pPr>
            <w:hyperlink r:id="rId107">
              <w:r>
                <w:rPr>
                  <w:rFonts w:ascii="Times New Roman" w:cs="Times New Roman" w:eastAsia="Times New Roman" w:hAnsi="Times New Roman"/>
                  <w:sz w:val="12"/>
                  <w:szCs w:val="12"/>
                  <w:color w:val="0000FF"/>
                </w:rPr>
                <w:t>First Amendment to License Agreement, dated as of January 14, 2021, by and between Hangzhou Zhongmei Huadong Pharmaceutical Co., Ltd. And vTv Therapeutics LLC.</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5220" w:type="dxa"/>
            <w:vAlign w:val="bottom"/>
            <w:gridSpan w:val="6"/>
            <w:shd w:val="clear" w:color="auto" w:fill="0000FF"/>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10.17†</w:t>
            </w:r>
          </w:p>
        </w:tc>
        <w:tc>
          <w:tcPr>
            <w:tcW w:w="10180" w:type="dxa"/>
            <w:vAlign w:val="bottom"/>
            <w:gridSpan w:val="34"/>
          </w:tcPr>
          <w:p>
            <w:pPr>
              <w:spacing w:after="0"/>
              <w:rPr>
                <w:rFonts w:ascii="Times New Roman" w:cs="Times New Roman" w:eastAsia="Times New Roman" w:hAnsi="Times New Roman"/>
                <w:sz w:val="12"/>
                <w:szCs w:val="12"/>
                <w:color w:val="0000FF"/>
              </w:rPr>
            </w:pPr>
            <w:hyperlink r:id="rId108">
              <w:r>
                <w:rPr>
                  <w:rFonts w:ascii="Times New Roman" w:cs="Times New Roman" w:eastAsia="Times New Roman" w:hAnsi="Times New Roman"/>
                  <w:sz w:val="12"/>
                  <w:szCs w:val="12"/>
                  <w:color w:val="0000FF"/>
                </w:rPr>
                <w:t>Employment Agreement, dated as of March 1, 2022, by and between vTv Therapeutics LLC and Richard S. Nelson (incorporated by reference from Exhibit 10.2 to the Company’s Form 10-Q, filed May 12,</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Borders>
              <w:top w:val="single" w:sz="8" w:color="0000FF"/>
              <w:bottom w:val="single" w:sz="8" w:color="0000FF"/>
            </w:tcBorders>
            <w:gridSpan w:val="4"/>
          </w:tcPr>
          <w:p>
            <w:pPr>
              <w:spacing w:after="0" w:line="97" w:lineRule="exact"/>
              <w:rPr>
                <w:rFonts w:ascii="Times New Roman" w:cs="Times New Roman" w:eastAsia="Times New Roman" w:hAnsi="Times New Roman"/>
                <w:sz w:val="11"/>
                <w:szCs w:val="11"/>
                <w:color w:val="0000FF"/>
              </w:rPr>
            </w:pPr>
            <w:hyperlink r:id="rId108">
              <w:r>
                <w:rPr>
                  <w:rFonts w:ascii="Times New Roman" w:cs="Times New Roman" w:eastAsia="Times New Roman" w:hAnsi="Times New Roman"/>
                  <w:sz w:val="11"/>
                  <w:szCs w:val="11"/>
                  <w:color w:val="0000FF"/>
                </w:rPr>
                <w:t>2022 (File No. 001-37524)).</w:t>
              </w:r>
            </w:hyperlink>
          </w:p>
        </w:tc>
        <w:tc>
          <w:tcPr>
            <w:tcW w:w="8600" w:type="dxa"/>
            <w:vAlign w:val="bottom"/>
            <w:tcBorders>
              <w:top w:val="single" w:sz="8" w:color="0000FF"/>
            </w:tcBorders>
            <w:gridSpan w:val="19"/>
          </w:tcPr>
          <w:p>
            <w:pPr>
              <w:spacing w:after="0"/>
              <w:rPr>
                <w:sz w:val="8"/>
                <w:szCs w:val="8"/>
                <w:color w:val="auto"/>
              </w:rPr>
            </w:pPr>
          </w:p>
        </w:tc>
        <w:tc>
          <w:tcPr>
            <w:tcW w:w="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10.18</w:t>
            </w:r>
          </w:p>
        </w:tc>
        <w:tc>
          <w:tcPr>
            <w:tcW w:w="600" w:type="dxa"/>
            <w:vAlign w:val="bottom"/>
          </w:tcPr>
          <w:p>
            <w:pPr>
              <w:spacing w:after="0"/>
              <w:rPr>
                <w:sz w:val="15"/>
                <w:szCs w:val="15"/>
                <w:color w:val="auto"/>
              </w:rPr>
            </w:pPr>
          </w:p>
        </w:tc>
        <w:tc>
          <w:tcPr>
            <w:tcW w:w="10180" w:type="dxa"/>
            <w:vAlign w:val="bottom"/>
            <w:gridSpan w:val="34"/>
          </w:tcPr>
          <w:p>
            <w:pPr>
              <w:spacing w:after="0"/>
              <w:rPr>
                <w:rFonts w:ascii="Times New Roman" w:cs="Times New Roman" w:eastAsia="Times New Roman" w:hAnsi="Times New Roman"/>
                <w:sz w:val="12"/>
                <w:szCs w:val="12"/>
                <w:color w:val="0000FF"/>
              </w:rPr>
            </w:pPr>
            <w:hyperlink r:id="rId109">
              <w:r>
                <w:rPr>
                  <w:rFonts w:ascii="Times New Roman" w:cs="Times New Roman" w:eastAsia="Times New Roman" w:hAnsi="Times New Roman"/>
                  <w:sz w:val="12"/>
                  <w:szCs w:val="12"/>
                  <w:color w:val="0000FF"/>
                </w:rPr>
                <w:t>Common Stock Purchase Agreement, dated as of May 31, 2022, by and between vTv Therapeutics Inc. and G42 Investments AI Holding RSC Ltd. (incorporated by reference from Exhibit 1.1 to the</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40" w:type="dxa"/>
            <w:vAlign w:val="bottom"/>
            <w:tcBorders>
              <w:top w:val="single" w:sz="8" w:color="0000FF"/>
            </w:tcBorders>
            <w:gridSpan w:val="27"/>
          </w:tcPr>
          <w:p>
            <w:pPr>
              <w:spacing w:after="0" w:line="97" w:lineRule="exact"/>
              <w:rPr>
                <w:rFonts w:ascii="Times New Roman" w:cs="Times New Roman" w:eastAsia="Times New Roman" w:hAnsi="Times New Roman"/>
                <w:sz w:val="11"/>
                <w:szCs w:val="11"/>
                <w:color w:val="0000FF"/>
              </w:rPr>
            </w:pPr>
            <w:hyperlink r:id="rId109">
              <w:r>
                <w:rPr>
                  <w:rFonts w:ascii="Times New Roman" w:cs="Times New Roman" w:eastAsia="Times New Roman" w:hAnsi="Times New Roman"/>
                  <w:sz w:val="11"/>
                  <w:szCs w:val="11"/>
                  <w:color w:val="0000FF"/>
                </w:rPr>
                <w:t>Company’s Form 8-K, filed June 1, 2022 (File No. 001-37524)).</w:t>
              </w:r>
            </w:hyperlink>
          </w:p>
        </w:tc>
        <w:tc>
          <w:tcPr>
            <w:tcW w:w="60" w:type="dxa"/>
            <w:vAlign w:val="bottom"/>
            <w:gridSpan w:val="3"/>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6940" w:type="dxa"/>
            <w:vAlign w:val="bottom"/>
            <w:gridSpan w:val="1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10.19</w:t>
            </w:r>
          </w:p>
        </w:tc>
        <w:tc>
          <w:tcPr>
            <w:tcW w:w="600" w:type="dxa"/>
            <w:vAlign w:val="bottom"/>
          </w:tcPr>
          <w:p>
            <w:pPr>
              <w:spacing w:after="0"/>
              <w:rPr>
                <w:sz w:val="15"/>
                <w:szCs w:val="15"/>
                <w:color w:val="auto"/>
              </w:rPr>
            </w:pPr>
          </w:p>
        </w:tc>
        <w:tc>
          <w:tcPr>
            <w:tcW w:w="10180" w:type="dxa"/>
            <w:vAlign w:val="bottom"/>
            <w:gridSpan w:val="34"/>
          </w:tcPr>
          <w:p>
            <w:pPr>
              <w:spacing w:after="0"/>
              <w:rPr>
                <w:rFonts w:ascii="Times New Roman" w:cs="Times New Roman" w:eastAsia="Times New Roman" w:hAnsi="Times New Roman"/>
                <w:sz w:val="12"/>
                <w:szCs w:val="12"/>
                <w:color w:val="0000FF"/>
              </w:rPr>
            </w:pPr>
            <w:hyperlink r:id="rId110">
              <w:r>
                <w:rPr>
                  <w:rFonts w:ascii="Times New Roman" w:cs="Times New Roman" w:eastAsia="Times New Roman" w:hAnsi="Times New Roman"/>
                  <w:sz w:val="12"/>
                  <w:szCs w:val="12"/>
                  <w:color w:val="0000FF"/>
                </w:rPr>
                <w:t>Common Stock and Warrant Purchase Agreement, dated as of July 22, 2022, by and among vTv Therapeutics Inc., CinPax, LLC and CinRx Pharma, LLC (incorporated by reference from Exhibit 10.1 to the</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140" w:type="dxa"/>
            <w:vAlign w:val="bottom"/>
            <w:tcBorders>
              <w:top w:val="single" w:sz="8" w:color="0000FF"/>
            </w:tcBorders>
            <w:gridSpan w:val="32"/>
          </w:tcPr>
          <w:p>
            <w:pPr>
              <w:spacing w:after="0" w:line="97" w:lineRule="exact"/>
              <w:rPr>
                <w:rFonts w:ascii="Times New Roman" w:cs="Times New Roman" w:eastAsia="Times New Roman" w:hAnsi="Times New Roman"/>
                <w:sz w:val="11"/>
                <w:szCs w:val="11"/>
                <w:color w:val="0000FF"/>
              </w:rPr>
            </w:pPr>
            <w:hyperlink r:id="rId110">
              <w:r>
                <w:rPr>
                  <w:rFonts w:ascii="Times New Roman" w:cs="Times New Roman" w:eastAsia="Times New Roman" w:hAnsi="Times New Roman"/>
                  <w:sz w:val="11"/>
                  <w:szCs w:val="11"/>
                  <w:color w:val="0000FF"/>
                </w:rPr>
                <w:t>Company’s Form 8-K, filed July 25, 2022 (File No. 001-37524).</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6940" w:type="dxa"/>
            <w:vAlign w:val="bottom"/>
            <w:gridSpan w:val="1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10.20†</w:t>
            </w:r>
          </w:p>
        </w:tc>
        <w:tc>
          <w:tcPr>
            <w:tcW w:w="10180" w:type="dxa"/>
            <w:vAlign w:val="bottom"/>
            <w:gridSpan w:val="34"/>
          </w:tcPr>
          <w:p>
            <w:pPr>
              <w:spacing w:after="0"/>
              <w:rPr>
                <w:rFonts w:ascii="Times New Roman" w:cs="Times New Roman" w:eastAsia="Times New Roman" w:hAnsi="Times New Roman"/>
                <w:sz w:val="12"/>
                <w:szCs w:val="12"/>
                <w:color w:val="0000FF"/>
              </w:rPr>
            </w:pPr>
            <w:hyperlink r:id="rId111">
              <w:r>
                <w:rPr>
                  <w:rFonts w:ascii="Times New Roman" w:cs="Times New Roman" w:eastAsia="Times New Roman" w:hAnsi="Times New Roman"/>
                  <w:sz w:val="12"/>
                  <w:szCs w:val="12"/>
                  <w:color w:val="0000FF"/>
                </w:rPr>
                <w:t>Employment Agreement, dated as of July 25, 2022, by and between vTv Therapeutics LLC and Paul Sekhri (incorporated by reference from Exhibit 10.1 to the Company’s Form 8-K, filed July 27, 2022</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100" w:type="dxa"/>
            <w:vAlign w:val="bottom"/>
            <w:tcBorders>
              <w:top w:val="single" w:sz="8" w:color="0000FF"/>
            </w:tcBorders>
            <w:gridSpan w:val="30"/>
          </w:tcPr>
          <w:p>
            <w:pPr>
              <w:spacing w:after="0" w:line="97" w:lineRule="exact"/>
              <w:rPr>
                <w:rFonts w:ascii="Times New Roman" w:cs="Times New Roman" w:eastAsia="Times New Roman" w:hAnsi="Times New Roman"/>
                <w:sz w:val="11"/>
                <w:szCs w:val="11"/>
                <w:color w:val="0000FF"/>
              </w:rPr>
            </w:pPr>
            <w:hyperlink r:id="rId111">
              <w:r>
                <w:rPr>
                  <w:rFonts w:ascii="Times New Roman" w:cs="Times New Roman" w:eastAsia="Times New Roman" w:hAnsi="Times New Roman"/>
                  <w:sz w:val="11"/>
                  <w:szCs w:val="11"/>
                  <w:color w:val="0000FF"/>
                </w:rPr>
                <w:t>(File No. 001-37524)).</w:t>
              </w:r>
            </w:hyperlink>
          </w:p>
        </w:tc>
        <w:tc>
          <w:tcPr>
            <w:tcW w:w="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520" w:type="dxa"/>
            <w:vAlign w:val="bottom"/>
            <w:gridSpan w:val="20"/>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10.21†</w:t>
            </w:r>
          </w:p>
        </w:tc>
        <w:tc>
          <w:tcPr>
            <w:tcW w:w="10180" w:type="dxa"/>
            <w:vAlign w:val="bottom"/>
            <w:gridSpan w:val="34"/>
          </w:tcPr>
          <w:p>
            <w:pPr>
              <w:spacing w:after="0"/>
              <w:rPr>
                <w:rFonts w:ascii="Times New Roman" w:cs="Times New Roman" w:eastAsia="Times New Roman" w:hAnsi="Times New Roman"/>
                <w:sz w:val="12"/>
                <w:szCs w:val="12"/>
                <w:color w:val="0000FF"/>
              </w:rPr>
            </w:pPr>
            <w:hyperlink r:id="rId112">
              <w:r>
                <w:rPr>
                  <w:rFonts w:ascii="Times New Roman" w:cs="Times New Roman" w:eastAsia="Times New Roman" w:hAnsi="Times New Roman"/>
                  <w:sz w:val="12"/>
                  <w:szCs w:val="12"/>
                  <w:color w:val="0000FF"/>
                </w:rPr>
                <w:t>Inducement Award Agreement, dated as of July 26, 2022, by and between vTv Therapeutics Inc. and Paul Sekhri (incorporated by reference from Exhibit 10.2 to the Company’s Form 8-K, filed July 27,</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Borders>
              <w:top w:val="single" w:sz="8" w:color="0000FF"/>
              <w:bottom w:val="single" w:sz="8" w:color="0000FF"/>
            </w:tcBorders>
            <w:gridSpan w:val="4"/>
          </w:tcPr>
          <w:p>
            <w:pPr>
              <w:spacing w:after="0" w:line="97" w:lineRule="exact"/>
              <w:rPr>
                <w:rFonts w:ascii="Times New Roman" w:cs="Times New Roman" w:eastAsia="Times New Roman" w:hAnsi="Times New Roman"/>
                <w:sz w:val="11"/>
                <w:szCs w:val="11"/>
                <w:color w:val="0000FF"/>
              </w:rPr>
            </w:pPr>
            <w:hyperlink r:id="rId112">
              <w:r>
                <w:rPr>
                  <w:rFonts w:ascii="Times New Roman" w:cs="Times New Roman" w:eastAsia="Times New Roman" w:hAnsi="Times New Roman"/>
                  <w:sz w:val="11"/>
                  <w:szCs w:val="11"/>
                  <w:color w:val="0000FF"/>
                </w:rPr>
                <w:t>2022 (File No. 001-37524)).</w:t>
              </w:r>
            </w:hyperlink>
          </w:p>
        </w:tc>
        <w:tc>
          <w:tcPr>
            <w:tcW w:w="8660" w:type="dxa"/>
            <w:vAlign w:val="bottom"/>
            <w:tcBorders>
              <w:top w:val="single" w:sz="8" w:color="0000FF"/>
            </w:tcBorders>
            <w:gridSpan w:val="22"/>
          </w:tcPr>
          <w:p>
            <w:pPr>
              <w:spacing w:after="0"/>
              <w:rPr>
                <w:sz w:val="8"/>
                <w:szCs w:val="8"/>
                <w:color w:val="auto"/>
              </w:rPr>
            </w:pPr>
          </w:p>
        </w:tc>
        <w:tc>
          <w:tcPr>
            <w:tcW w:w="140" w:type="dxa"/>
            <w:vAlign w:val="bottom"/>
            <w:gridSpan w:val="7"/>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10.22†</w:t>
            </w:r>
          </w:p>
        </w:tc>
        <w:tc>
          <w:tcPr>
            <w:tcW w:w="10180" w:type="dxa"/>
            <w:vAlign w:val="bottom"/>
            <w:gridSpan w:val="34"/>
          </w:tcPr>
          <w:p>
            <w:pPr>
              <w:spacing w:after="0"/>
              <w:rPr>
                <w:rFonts w:ascii="Times New Roman" w:cs="Times New Roman" w:eastAsia="Times New Roman" w:hAnsi="Times New Roman"/>
                <w:sz w:val="12"/>
                <w:szCs w:val="12"/>
                <w:color w:val="0000FF"/>
              </w:rPr>
            </w:pPr>
            <w:hyperlink r:id="rId113">
              <w:r>
                <w:rPr>
                  <w:rFonts w:ascii="Times New Roman" w:cs="Times New Roman" w:eastAsia="Times New Roman" w:hAnsi="Times New Roman"/>
                  <w:sz w:val="12"/>
                  <w:szCs w:val="12"/>
                  <w:color w:val="0000FF"/>
                </w:rPr>
                <w:t>Employment Agreement, dated as of December 8, 2022, by and between vTv Therapeutics LLC and Steven Tuch (incorporated by reference from Exhibit 10.1 to the Company’s Form 8-K, filed December</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160" w:type="dxa"/>
            <w:vAlign w:val="bottom"/>
            <w:tcBorders>
              <w:top w:val="single" w:sz="8" w:color="0000FF"/>
            </w:tcBorders>
            <w:gridSpan w:val="33"/>
          </w:tcPr>
          <w:p>
            <w:pPr>
              <w:spacing w:after="0" w:line="97" w:lineRule="exact"/>
              <w:rPr>
                <w:rFonts w:ascii="Times New Roman" w:cs="Times New Roman" w:eastAsia="Times New Roman" w:hAnsi="Times New Roman"/>
                <w:sz w:val="11"/>
                <w:szCs w:val="11"/>
                <w:color w:val="0000FF"/>
              </w:rPr>
            </w:pPr>
            <w:hyperlink r:id="rId113">
              <w:r>
                <w:rPr>
                  <w:rFonts w:ascii="Times New Roman" w:cs="Times New Roman" w:eastAsia="Times New Roman" w:hAnsi="Times New Roman"/>
                  <w:sz w:val="11"/>
                  <w:szCs w:val="11"/>
                  <w:color w:val="0000FF"/>
                </w:rPr>
                <w:t>13, 2022(File No. 001-37524)).</w:t>
              </w:r>
            </w:hyperlink>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3"/>
        </w:trPr>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Borders>
              <w:top w:val="single" w:sz="8" w:color="0000FF"/>
            </w:tcBorders>
            <w:gridSpan w:val="6"/>
          </w:tcPr>
          <w:p>
            <w:pPr>
              <w:spacing w:after="0"/>
              <w:rPr>
                <w:sz w:val="24"/>
                <w:szCs w:val="24"/>
                <w:color w:val="auto"/>
              </w:rPr>
            </w:pPr>
          </w:p>
        </w:tc>
        <w:tc>
          <w:tcPr>
            <w:tcW w:w="3240" w:type="dxa"/>
            <w:vAlign w:val="bottom"/>
            <w:gridSpan w:val="7"/>
          </w:tcPr>
          <w:p>
            <w:pPr>
              <w:jc w:val="right"/>
              <w:ind w:right="132"/>
              <w:spacing w:after="0"/>
              <w:rPr>
                <w:sz w:val="20"/>
                <w:szCs w:val="20"/>
                <w:color w:val="auto"/>
              </w:rPr>
            </w:pPr>
            <w:r>
              <w:rPr>
                <w:rFonts w:ascii="Times New Roman" w:cs="Times New Roman" w:eastAsia="Times New Roman" w:hAnsi="Times New Roman"/>
                <w:sz w:val="12"/>
                <w:szCs w:val="12"/>
                <w:color w:val="auto"/>
              </w:rPr>
              <w:t>70</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25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tbl>
      <w:tblPr>
        <w:tblLayout w:type="fixed"/>
        <w:tblInd w:w="200" w:type="dxa"/>
        <w:tblCellMar>
          <w:top w:w="0" w:type="dxa"/>
          <w:left w:w="0" w:type="dxa"/>
          <w:bottom w:w="0" w:type="dxa"/>
          <w:right w:w="0" w:type="dxa"/>
        </w:tblCellMar>
      </w:tblPr>
      <w:tr>
        <w:trPr>
          <w:trHeight w:val="115"/>
        </w:trPr>
        <w:tc>
          <w:tcPr>
            <w:tcW w:w="9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0" w:type="dxa"/>
            <w:vAlign w:val="bottom"/>
            <w:gridSpan w:val="15"/>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97"/>
        </w:trPr>
        <w:tc>
          <w:tcPr>
            <w:tcW w:w="940" w:type="dxa"/>
            <w:vAlign w:val="bottom"/>
            <w:gridSpan w:val="2"/>
          </w:tcPr>
          <w:p>
            <w:pPr>
              <w:spacing w:after="0" w:line="78" w:lineRule="exact"/>
              <w:rPr>
                <w:sz w:val="20"/>
                <w:szCs w:val="20"/>
                <w:color w:val="auto"/>
              </w:rPr>
            </w:pPr>
            <w:r>
              <w:rPr>
                <w:rFonts w:ascii="Times New Roman" w:cs="Times New Roman" w:eastAsia="Times New Roman" w:hAnsi="Times New Roman"/>
                <w:sz w:val="8"/>
                <w:szCs w:val="8"/>
                <w:b w:val="1"/>
                <w:bCs w:val="1"/>
                <w:color w:val="auto"/>
              </w:rPr>
              <w:t>Number</w:t>
            </w: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0" w:type="dxa"/>
            <w:vAlign w:val="bottom"/>
            <w:gridSpan w:val="1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10.23</w:t>
            </w:r>
          </w:p>
        </w:tc>
        <w:tc>
          <w:tcPr>
            <w:tcW w:w="600" w:type="dxa"/>
            <w:vAlign w:val="bottom"/>
          </w:tcPr>
          <w:p>
            <w:pPr>
              <w:spacing w:after="0"/>
              <w:rPr>
                <w:sz w:val="12"/>
                <w:szCs w:val="12"/>
                <w:color w:val="auto"/>
              </w:rPr>
            </w:pPr>
          </w:p>
        </w:tc>
        <w:tc>
          <w:tcPr>
            <w:tcW w:w="10100" w:type="dxa"/>
            <w:vAlign w:val="bottom"/>
            <w:gridSpan w:val="25"/>
          </w:tcPr>
          <w:p>
            <w:pPr>
              <w:spacing w:after="0"/>
              <w:rPr>
                <w:rFonts w:ascii="Times New Roman" w:cs="Times New Roman" w:eastAsia="Times New Roman" w:hAnsi="Times New Roman"/>
                <w:sz w:val="12"/>
                <w:szCs w:val="12"/>
                <w:color w:val="0000FF"/>
              </w:rPr>
            </w:pPr>
            <w:hyperlink r:id="rId116">
              <w:r>
                <w:rPr>
                  <w:rFonts w:ascii="Times New Roman" w:cs="Times New Roman" w:eastAsia="Times New Roman" w:hAnsi="Times New Roman"/>
                  <w:sz w:val="12"/>
                  <w:szCs w:val="12"/>
                  <w:color w:val="0000FF"/>
                </w:rPr>
                <w:t>Collaboration and License Agreement, dated as of May 31, 2022, by and between vTv Therapeutics, LLC and Cogna Technology Solutions LLC (incorporated by reference from Exhibit 10.1 to the</w:t>
              </w:r>
            </w:hyperlink>
          </w:p>
        </w:tc>
        <w:tc>
          <w:tcPr>
            <w:tcW w:w="0" w:type="dxa"/>
            <w:vAlign w:val="bottom"/>
          </w:tcPr>
          <w:p>
            <w:pPr>
              <w:spacing w:after="0"/>
              <w:rPr>
                <w:sz w:val="1"/>
                <w:szCs w:val="1"/>
                <w:color w:val="auto"/>
              </w:rPr>
            </w:pPr>
          </w:p>
        </w:tc>
      </w:tr>
      <w:tr>
        <w:trPr>
          <w:trHeight w:val="97"/>
        </w:trPr>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20" w:type="dxa"/>
            <w:vAlign w:val="bottom"/>
            <w:tcBorders>
              <w:top w:val="single" w:sz="8" w:color="0000FF"/>
            </w:tcBorders>
            <w:gridSpan w:val="21"/>
          </w:tcPr>
          <w:p>
            <w:pPr>
              <w:spacing w:after="0" w:line="97" w:lineRule="exact"/>
              <w:rPr>
                <w:rFonts w:ascii="Times New Roman" w:cs="Times New Roman" w:eastAsia="Times New Roman" w:hAnsi="Times New Roman"/>
                <w:sz w:val="11"/>
                <w:szCs w:val="11"/>
                <w:color w:val="0000FF"/>
              </w:rPr>
            </w:pPr>
            <w:hyperlink r:id="rId116">
              <w:r>
                <w:rPr>
                  <w:rFonts w:ascii="Times New Roman" w:cs="Times New Roman" w:eastAsia="Times New Roman" w:hAnsi="Times New Roman"/>
                  <w:sz w:val="11"/>
                  <w:szCs w:val="11"/>
                  <w:color w:val="0000FF"/>
                </w:rPr>
                <w:t>Company’s Form 10-Q, filed on August 15, 2022 (File No. 001-37524)).</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10.24</w:t>
            </w:r>
          </w:p>
        </w:tc>
        <w:tc>
          <w:tcPr>
            <w:tcW w:w="600" w:type="dxa"/>
            <w:vAlign w:val="bottom"/>
          </w:tcPr>
          <w:p>
            <w:pPr>
              <w:spacing w:after="0"/>
              <w:rPr>
                <w:sz w:val="15"/>
                <w:szCs w:val="15"/>
                <w:color w:val="auto"/>
              </w:rPr>
            </w:pPr>
          </w:p>
        </w:tc>
        <w:tc>
          <w:tcPr>
            <w:tcW w:w="10100" w:type="dxa"/>
            <w:vAlign w:val="bottom"/>
            <w:gridSpan w:val="25"/>
          </w:tcPr>
          <w:p>
            <w:pPr>
              <w:spacing w:after="0"/>
              <w:rPr>
                <w:rFonts w:ascii="Times New Roman" w:cs="Times New Roman" w:eastAsia="Times New Roman" w:hAnsi="Times New Roman"/>
                <w:sz w:val="12"/>
                <w:szCs w:val="12"/>
                <w:color w:val="0000FF"/>
              </w:rPr>
            </w:pPr>
            <w:hyperlink r:id="rId117">
              <w:r>
                <w:rPr>
                  <w:rFonts w:ascii="Times New Roman" w:cs="Times New Roman" w:eastAsia="Times New Roman" w:hAnsi="Times New Roman"/>
                  <w:sz w:val="12"/>
                  <w:szCs w:val="12"/>
                  <w:color w:val="0000FF"/>
                </w:rPr>
                <w:t>Deed of Novation, dated as of December 21, 2022, by and between vTv Therapeutics LLC, G42 Healthcare Technology Projects LLC and G42 Healthcare Technology Solutions LLC (f/k/a Cogna</w:t>
              </w:r>
            </w:hyperlink>
          </w:p>
        </w:tc>
        <w:tc>
          <w:tcPr>
            <w:tcW w:w="0" w:type="dxa"/>
            <w:vAlign w:val="bottom"/>
          </w:tcPr>
          <w:p>
            <w:pPr>
              <w:spacing w:after="0"/>
              <w:rPr>
                <w:sz w:val="1"/>
                <w:szCs w:val="1"/>
                <w:color w:val="auto"/>
              </w:rPr>
            </w:pPr>
          </w:p>
        </w:tc>
      </w:tr>
      <w:tr>
        <w:trPr>
          <w:trHeight w:val="97"/>
        </w:trPr>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960" w:type="dxa"/>
            <w:vAlign w:val="bottom"/>
            <w:tcBorders>
              <w:top w:val="single" w:sz="8" w:color="0000FF"/>
            </w:tcBorders>
            <w:gridSpan w:val="18"/>
          </w:tcPr>
          <w:p>
            <w:pPr>
              <w:spacing w:after="0" w:line="97" w:lineRule="exact"/>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Technology Solutions LLC) (incorporated by reference from Exhibit 10.36 (File No. 001-37524)).</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10.25</w:t>
            </w:r>
          </w:p>
        </w:tc>
        <w:tc>
          <w:tcPr>
            <w:tcW w:w="600" w:type="dxa"/>
            <w:vAlign w:val="bottom"/>
          </w:tcPr>
          <w:p>
            <w:pPr>
              <w:spacing w:after="0"/>
              <w:rPr>
                <w:sz w:val="15"/>
                <w:szCs w:val="15"/>
                <w:color w:val="auto"/>
              </w:rPr>
            </w:pPr>
          </w:p>
        </w:tc>
        <w:tc>
          <w:tcPr>
            <w:tcW w:w="10100" w:type="dxa"/>
            <w:vAlign w:val="bottom"/>
            <w:gridSpan w:val="25"/>
          </w:tcPr>
          <w:p>
            <w:pPr>
              <w:spacing w:after="0"/>
              <w:rPr>
                <w:rFonts w:ascii="Times New Roman" w:cs="Times New Roman" w:eastAsia="Times New Roman" w:hAnsi="Times New Roman"/>
                <w:sz w:val="12"/>
                <w:szCs w:val="12"/>
                <w:color w:val="0000FF"/>
              </w:rPr>
            </w:pPr>
            <w:hyperlink r:id="rId118">
              <w:r>
                <w:rPr>
                  <w:rFonts w:ascii="Times New Roman" w:cs="Times New Roman" w:eastAsia="Times New Roman" w:hAnsi="Times New Roman"/>
                  <w:sz w:val="12"/>
                  <w:szCs w:val="12"/>
                  <w:color w:val="0000FF"/>
                </w:rPr>
                <w:t>Deed of Variation, dated as of February 28, 2023, by and between vTv Therapeutics Inc., G42 Investments AI Holding RSC Ltd., and Group 42 Holding Limited (incorporated by reference from Exhibit</w:t>
              </w:r>
            </w:hyperlink>
          </w:p>
        </w:tc>
        <w:tc>
          <w:tcPr>
            <w:tcW w:w="0" w:type="dxa"/>
            <w:vAlign w:val="bottom"/>
          </w:tcPr>
          <w:p>
            <w:pPr>
              <w:spacing w:after="0"/>
              <w:rPr>
                <w:sz w:val="1"/>
                <w:szCs w:val="1"/>
                <w:color w:val="auto"/>
              </w:rPr>
            </w:pPr>
          </w:p>
        </w:tc>
      </w:tr>
      <w:tr>
        <w:trPr>
          <w:trHeight w:val="97"/>
        </w:trPr>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40" w:type="dxa"/>
            <w:vAlign w:val="bottom"/>
            <w:tcBorders>
              <w:top w:val="single" w:sz="8" w:color="0000FF"/>
            </w:tcBorders>
            <w:gridSpan w:val="22"/>
          </w:tcPr>
          <w:p>
            <w:pPr>
              <w:spacing w:after="0" w:line="97" w:lineRule="exact"/>
              <w:rPr>
                <w:rFonts w:ascii="Times New Roman" w:cs="Times New Roman" w:eastAsia="Times New Roman" w:hAnsi="Times New Roman"/>
                <w:sz w:val="11"/>
                <w:szCs w:val="11"/>
                <w:color w:val="0000FF"/>
              </w:rPr>
            </w:pPr>
            <w:hyperlink r:id="rId118">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37</w:t>
              </w:r>
              <w:r>
                <w:rPr>
                  <w:rFonts w:ascii="Times New Roman" w:cs="Times New Roman" w:eastAsia="Times New Roman" w:hAnsi="Times New Roman"/>
                  <w:sz w:val="11"/>
                  <w:szCs w:val="11"/>
                  <w:color w:val="0000FF"/>
                </w:rPr>
                <w:t xml:space="preserve"> (File No. 001-37524)).</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w w:val="96"/>
              </w:rPr>
              <w:t>10.26*</w:t>
            </w:r>
          </w:p>
        </w:tc>
        <w:tc>
          <w:tcPr>
            <w:tcW w:w="600" w:type="dxa"/>
            <w:vAlign w:val="bottom"/>
          </w:tcPr>
          <w:p>
            <w:pPr>
              <w:spacing w:after="0"/>
              <w:rPr>
                <w:sz w:val="15"/>
                <w:szCs w:val="15"/>
                <w:color w:val="auto"/>
              </w:rPr>
            </w:pPr>
          </w:p>
        </w:tc>
        <w:tc>
          <w:tcPr>
            <w:tcW w:w="47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2"/>
                <w:szCs w:val="12"/>
                <w:color w:val="0000FF"/>
                <w:w w:val="99"/>
              </w:rPr>
              <w:t>Reneo Pharmaceuticals, Inc. Common Stock Repurchase Agreement dated as of October 30, 2023.</w:t>
            </w:r>
          </w:p>
        </w:tc>
        <w:tc>
          <w:tcPr>
            <w:tcW w:w="534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10.27</w:t>
            </w:r>
          </w:p>
        </w:tc>
        <w:tc>
          <w:tcPr>
            <w:tcW w:w="600" w:type="dxa"/>
            <w:vAlign w:val="bottom"/>
          </w:tcPr>
          <w:p>
            <w:pPr>
              <w:spacing w:after="0"/>
              <w:rPr>
                <w:sz w:val="14"/>
                <w:szCs w:val="14"/>
                <w:color w:val="auto"/>
              </w:rPr>
            </w:pPr>
          </w:p>
        </w:tc>
        <w:tc>
          <w:tcPr>
            <w:tcW w:w="10100" w:type="dxa"/>
            <w:vAlign w:val="bottom"/>
            <w:gridSpan w:val="25"/>
          </w:tcPr>
          <w:p>
            <w:pPr>
              <w:spacing w:after="0"/>
              <w:rPr>
                <w:rFonts w:ascii="Times New Roman" w:cs="Times New Roman" w:eastAsia="Times New Roman" w:hAnsi="Times New Roman"/>
                <w:sz w:val="12"/>
                <w:szCs w:val="12"/>
                <w:color w:val="0000FF"/>
              </w:rPr>
            </w:pPr>
            <w:hyperlink r:id="rId119">
              <w:r>
                <w:rPr>
                  <w:rFonts w:ascii="Times New Roman" w:cs="Times New Roman" w:eastAsia="Times New Roman" w:hAnsi="Times New Roman"/>
                  <w:sz w:val="12"/>
                  <w:szCs w:val="12"/>
                  <w:color w:val="0000FF"/>
                </w:rPr>
                <w:t>Securities Purchase Agreement, dated February 27, 2024, by and among vTv Therapeutics Inc. and the investors party thereto (incorporated by reference from Exhibit 10.1 to the Company's 8-K, filed</w:t>
              </w:r>
            </w:hyperlink>
          </w:p>
        </w:tc>
        <w:tc>
          <w:tcPr>
            <w:tcW w:w="0" w:type="dxa"/>
            <w:vAlign w:val="bottom"/>
          </w:tcPr>
          <w:p>
            <w:pPr>
              <w:spacing w:after="0"/>
              <w:rPr>
                <w:sz w:val="1"/>
                <w:szCs w:val="1"/>
                <w:color w:val="auto"/>
              </w:rPr>
            </w:pPr>
          </w:p>
        </w:tc>
      </w:tr>
      <w:tr>
        <w:trPr>
          <w:trHeight w:val="97"/>
        </w:trPr>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0" w:type="dxa"/>
            <w:vAlign w:val="bottom"/>
            <w:tcBorders>
              <w:top w:val="single" w:sz="8" w:color="0000FF"/>
              <w:bottom w:val="single" w:sz="8" w:color="0000FF"/>
            </w:tcBorders>
            <w:gridSpan w:val="4"/>
          </w:tcPr>
          <w:p>
            <w:pPr>
              <w:spacing w:after="0" w:line="97" w:lineRule="exact"/>
              <w:rPr>
                <w:rFonts w:ascii="Times New Roman" w:cs="Times New Roman" w:eastAsia="Times New Roman" w:hAnsi="Times New Roman"/>
                <w:sz w:val="11"/>
                <w:szCs w:val="11"/>
                <w:color w:val="0000FF"/>
              </w:rPr>
            </w:pPr>
            <w:hyperlink r:id="rId119">
              <w:r>
                <w:rPr>
                  <w:rFonts w:ascii="Times New Roman" w:cs="Times New Roman" w:eastAsia="Times New Roman" w:hAnsi="Times New Roman"/>
                  <w:sz w:val="11"/>
                  <w:szCs w:val="11"/>
                  <w:color w:val="0000FF"/>
                </w:rPr>
                <w:t>February 28, 2024 (File No. 001-37524)).</w:t>
              </w:r>
            </w:hyperlink>
          </w:p>
        </w:tc>
        <w:tc>
          <w:tcPr>
            <w:tcW w:w="8080" w:type="dxa"/>
            <w:vAlign w:val="bottom"/>
            <w:tcBorders>
              <w:top w:val="single" w:sz="8" w:color="0000FF"/>
            </w:tcBorders>
            <w:gridSpan w:val="20"/>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10.28</w:t>
            </w:r>
          </w:p>
        </w:tc>
        <w:tc>
          <w:tcPr>
            <w:tcW w:w="600" w:type="dxa"/>
            <w:vAlign w:val="bottom"/>
          </w:tcPr>
          <w:p>
            <w:pPr>
              <w:spacing w:after="0"/>
              <w:rPr>
                <w:sz w:val="15"/>
                <w:szCs w:val="15"/>
                <w:color w:val="auto"/>
              </w:rPr>
            </w:pPr>
          </w:p>
        </w:tc>
        <w:tc>
          <w:tcPr>
            <w:tcW w:w="10100" w:type="dxa"/>
            <w:vAlign w:val="bottom"/>
            <w:gridSpan w:val="25"/>
          </w:tcPr>
          <w:p>
            <w:pPr>
              <w:spacing w:after="0"/>
              <w:rPr>
                <w:rFonts w:ascii="Times New Roman" w:cs="Times New Roman" w:eastAsia="Times New Roman" w:hAnsi="Times New Roman"/>
                <w:sz w:val="12"/>
                <w:szCs w:val="12"/>
                <w:color w:val="0000FF"/>
              </w:rPr>
            </w:pPr>
            <w:hyperlink r:id="rId120">
              <w:r>
                <w:rPr>
                  <w:rFonts w:ascii="Times New Roman" w:cs="Times New Roman" w:eastAsia="Times New Roman" w:hAnsi="Times New Roman"/>
                  <w:sz w:val="12"/>
                  <w:szCs w:val="12"/>
                  <w:color w:val="0000FF"/>
                </w:rPr>
                <w:t>Registration Rights Agreement, dated February 27, 2024, by and among vTv Therapeutics Inc. and the investors party thereto (incorporated by reference from Exhibit 10.2 to the Company's 8-K, filed</w:t>
              </w:r>
            </w:hyperlink>
          </w:p>
        </w:tc>
        <w:tc>
          <w:tcPr>
            <w:tcW w:w="0" w:type="dxa"/>
            <w:vAlign w:val="bottom"/>
          </w:tcPr>
          <w:p>
            <w:pPr>
              <w:spacing w:after="0"/>
              <w:rPr>
                <w:sz w:val="1"/>
                <w:szCs w:val="1"/>
                <w:color w:val="auto"/>
              </w:rPr>
            </w:pPr>
          </w:p>
        </w:tc>
      </w:tr>
      <w:tr>
        <w:trPr>
          <w:trHeight w:val="97"/>
        </w:trPr>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0" w:type="dxa"/>
            <w:vAlign w:val="bottom"/>
            <w:tcBorders>
              <w:top w:val="single" w:sz="8" w:color="0000FF"/>
              <w:bottom w:val="single" w:sz="8" w:color="0000FF"/>
            </w:tcBorders>
            <w:gridSpan w:val="4"/>
          </w:tcPr>
          <w:p>
            <w:pPr>
              <w:spacing w:after="0" w:line="97" w:lineRule="exact"/>
              <w:rPr>
                <w:rFonts w:ascii="Times New Roman" w:cs="Times New Roman" w:eastAsia="Times New Roman" w:hAnsi="Times New Roman"/>
                <w:sz w:val="11"/>
                <w:szCs w:val="11"/>
                <w:color w:val="0000FF"/>
              </w:rPr>
            </w:pPr>
            <w:hyperlink r:id="rId120">
              <w:r>
                <w:rPr>
                  <w:rFonts w:ascii="Times New Roman" w:cs="Times New Roman" w:eastAsia="Times New Roman" w:hAnsi="Times New Roman"/>
                  <w:sz w:val="11"/>
                  <w:szCs w:val="11"/>
                  <w:color w:val="0000FF"/>
                </w:rPr>
                <w:t>February 28, 2024 (File No. 001-37524)).</w:t>
              </w:r>
            </w:hyperlink>
          </w:p>
        </w:tc>
        <w:tc>
          <w:tcPr>
            <w:tcW w:w="5080" w:type="dxa"/>
            <w:vAlign w:val="bottom"/>
            <w:tcBorders>
              <w:top w:val="single" w:sz="8" w:color="0000FF"/>
            </w:tcBorders>
            <w:gridSpan w:val="10"/>
          </w:tcPr>
          <w:p>
            <w:pPr>
              <w:spacing w:after="0"/>
              <w:rPr>
                <w:sz w:val="8"/>
                <w:szCs w:val="8"/>
                <w:color w:val="auto"/>
              </w:rPr>
            </w:pPr>
          </w:p>
        </w:tc>
        <w:tc>
          <w:tcPr>
            <w:tcW w:w="700" w:type="dxa"/>
            <w:vAlign w:val="bottom"/>
            <w:tcBorders>
              <w:top w:val="single" w:sz="8" w:color="0000FF"/>
            </w:tcBorders>
          </w:tcPr>
          <w:p>
            <w:pPr>
              <w:spacing w:after="0"/>
              <w:rPr>
                <w:sz w:val="8"/>
                <w:szCs w:val="8"/>
                <w:color w:val="auto"/>
              </w:rPr>
            </w:pPr>
          </w:p>
        </w:tc>
        <w:tc>
          <w:tcPr>
            <w:tcW w:w="21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10.29</w:t>
            </w:r>
          </w:p>
        </w:tc>
        <w:tc>
          <w:tcPr>
            <w:tcW w:w="600" w:type="dxa"/>
            <w:vAlign w:val="bottom"/>
          </w:tcPr>
          <w:p>
            <w:pPr>
              <w:spacing w:after="0"/>
              <w:rPr>
                <w:sz w:val="15"/>
                <w:szCs w:val="15"/>
                <w:color w:val="auto"/>
              </w:rPr>
            </w:pPr>
          </w:p>
        </w:tc>
        <w:tc>
          <w:tcPr>
            <w:tcW w:w="10100" w:type="dxa"/>
            <w:vAlign w:val="bottom"/>
            <w:gridSpan w:val="25"/>
          </w:tcPr>
          <w:p>
            <w:pPr>
              <w:spacing w:after="0"/>
              <w:rPr>
                <w:rFonts w:ascii="Times New Roman" w:cs="Times New Roman" w:eastAsia="Times New Roman" w:hAnsi="Times New Roman"/>
                <w:sz w:val="12"/>
                <w:szCs w:val="12"/>
                <w:color w:val="0000FF"/>
              </w:rPr>
            </w:pPr>
            <w:hyperlink r:id="rId121">
              <w:r>
                <w:rPr>
                  <w:rFonts w:ascii="Times New Roman" w:cs="Times New Roman" w:eastAsia="Times New Roman" w:hAnsi="Times New Roman"/>
                  <w:sz w:val="12"/>
                  <w:szCs w:val="12"/>
                  <w:color w:val="0000FF"/>
                </w:rPr>
                <w:t>Amendment to Common Stock and Warrant Purchase Agreement, dated February 27, 2024, by and between vTv Therapeutics Inc. and G42 Investments AI Holdings RSC Ltd (incorporated by reference</w:t>
              </w:r>
            </w:hyperlink>
          </w:p>
        </w:tc>
        <w:tc>
          <w:tcPr>
            <w:tcW w:w="0" w:type="dxa"/>
            <w:vAlign w:val="bottom"/>
          </w:tcPr>
          <w:p>
            <w:pPr>
              <w:spacing w:after="0"/>
              <w:rPr>
                <w:sz w:val="1"/>
                <w:szCs w:val="1"/>
                <w:color w:val="auto"/>
              </w:rPr>
            </w:pPr>
          </w:p>
        </w:tc>
      </w:tr>
      <w:tr>
        <w:trPr>
          <w:trHeight w:val="97"/>
        </w:trPr>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900" w:type="dxa"/>
            <w:vAlign w:val="bottom"/>
            <w:tcBorders>
              <w:top w:val="single" w:sz="8" w:color="0000FF"/>
            </w:tcBorders>
            <w:gridSpan w:val="16"/>
          </w:tcPr>
          <w:p>
            <w:pPr>
              <w:spacing w:after="0" w:line="97" w:lineRule="exact"/>
              <w:rPr>
                <w:rFonts w:ascii="Times New Roman" w:cs="Times New Roman" w:eastAsia="Times New Roman" w:hAnsi="Times New Roman"/>
                <w:sz w:val="11"/>
                <w:szCs w:val="11"/>
                <w:color w:val="0000FF"/>
              </w:rPr>
            </w:pPr>
            <w:hyperlink r:id="rId121">
              <w:r>
                <w:rPr>
                  <w:rFonts w:ascii="Times New Roman" w:cs="Times New Roman" w:eastAsia="Times New Roman" w:hAnsi="Times New Roman"/>
                  <w:sz w:val="11"/>
                  <w:szCs w:val="11"/>
                  <w:color w:val="0000FF"/>
                </w:rPr>
                <w:t>from Exhibit 10.3 to the Company's 8-K, filed February 28, 2024 (File No. 001-37524)).</w:t>
              </w:r>
            </w:hyperlink>
          </w:p>
        </w:tc>
        <w:tc>
          <w:tcPr>
            <w:tcW w:w="80" w:type="dxa"/>
            <w:vAlign w:val="bottom"/>
            <w:tcBorders>
              <w:top w:val="single" w:sz="8" w:color="0000FF"/>
            </w:tcBorders>
            <w:gridSpan w:val="3"/>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0" w:type="dxa"/>
            <w:vAlign w:val="bottom"/>
            <w:gridSpan w:val="3"/>
          </w:tcPr>
          <w:p>
            <w:pPr>
              <w:spacing w:after="0"/>
              <w:rPr>
                <w:sz w:val="8"/>
                <w:szCs w:val="8"/>
                <w:color w:val="auto"/>
              </w:rPr>
            </w:pPr>
          </w:p>
        </w:tc>
        <w:tc>
          <w:tcPr>
            <w:tcW w:w="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10.30</w:t>
            </w:r>
          </w:p>
        </w:tc>
        <w:tc>
          <w:tcPr>
            <w:tcW w:w="600" w:type="dxa"/>
            <w:vAlign w:val="bottom"/>
          </w:tcPr>
          <w:p>
            <w:pPr>
              <w:spacing w:after="0"/>
              <w:rPr>
                <w:sz w:val="15"/>
                <w:szCs w:val="15"/>
                <w:color w:val="auto"/>
              </w:rPr>
            </w:pPr>
          </w:p>
        </w:tc>
        <w:tc>
          <w:tcPr>
            <w:tcW w:w="10100" w:type="dxa"/>
            <w:vAlign w:val="bottom"/>
            <w:gridSpan w:val="25"/>
          </w:tcPr>
          <w:p>
            <w:pPr>
              <w:spacing w:after="0"/>
              <w:rPr>
                <w:rFonts w:ascii="Times New Roman" w:cs="Times New Roman" w:eastAsia="Times New Roman" w:hAnsi="Times New Roman"/>
                <w:sz w:val="12"/>
                <w:szCs w:val="12"/>
                <w:color w:val="0000FF"/>
              </w:rPr>
            </w:pPr>
            <w:hyperlink r:id="rId122">
              <w:r>
                <w:rPr>
                  <w:rFonts w:ascii="Times New Roman" w:cs="Times New Roman" w:eastAsia="Times New Roman" w:hAnsi="Times New Roman"/>
                  <w:sz w:val="12"/>
                  <w:szCs w:val="12"/>
                  <w:color w:val="0000FF"/>
                </w:rPr>
                <w:t>Amendment to Common Stock Purchase Agreement, dated February 27, 2024, by and among vTv Therapeutics Inc., CinPax, LLC and CinRx Pharma, LLC (incorporated by reference from Exhibit 10.4 to</w:t>
              </w:r>
            </w:hyperlink>
          </w:p>
        </w:tc>
        <w:tc>
          <w:tcPr>
            <w:tcW w:w="0" w:type="dxa"/>
            <w:vAlign w:val="bottom"/>
          </w:tcPr>
          <w:p>
            <w:pPr>
              <w:spacing w:after="0"/>
              <w:rPr>
                <w:sz w:val="1"/>
                <w:szCs w:val="1"/>
                <w:color w:val="auto"/>
              </w:rPr>
            </w:pPr>
          </w:p>
        </w:tc>
      </w:tr>
      <w:tr>
        <w:trPr>
          <w:trHeight w:val="97"/>
        </w:trPr>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40" w:type="dxa"/>
            <w:vAlign w:val="bottom"/>
            <w:tcBorders>
              <w:top w:val="single" w:sz="8" w:color="0000FF"/>
              <w:bottom w:val="single" w:sz="8" w:color="0000FF"/>
            </w:tcBorders>
            <w:gridSpan w:val="6"/>
          </w:tcPr>
          <w:p>
            <w:pPr>
              <w:spacing w:after="0" w:line="97" w:lineRule="exact"/>
              <w:rPr>
                <w:rFonts w:ascii="Times New Roman" w:cs="Times New Roman" w:eastAsia="Times New Roman" w:hAnsi="Times New Roman"/>
                <w:sz w:val="11"/>
                <w:szCs w:val="11"/>
                <w:color w:val="0000FF"/>
              </w:rPr>
            </w:pPr>
            <w:hyperlink r:id="rId122">
              <w:r>
                <w:rPr>
                  <w:rFonts w:ascii="Times New Roman" w:cs="Times New Roman" w:eastAsia="Times New Roman" w:hAnsi="Times New Roman"/>
                  <w:sz w:val="11"/>
                  <w:szCs w:val="11"/>
                  <w:color w:val="0000FF"/>
                </w:rPr>
                <w:t>the Company's 8-K, filed February 28, 2024 (File No. 001-37524)).</w:t>
              </w:r>
            </w:hyperlink>
          </w:p>
        </w:tc>
        <w:tc>
          <w:tcPr>
            <w:tcW w:w="6820" w:type="dxa"/>
            <w:vAlign w:val="bottom"/>
            <w:tcBorders>
              <w:top w:val="single" w:sz="8" w:color="0000FF"/>
            </w:tcBorders>
            <w:gridSpan w:val="17"/>
          </w:tcPr>
          <w:p>
            <w:pPr>
              <w:spacing w:after="0"/>
              <w:rPr>
                <w:sz w:val="8"/>
                <w:szCs w:val="8"/>
                <w:color w:val="auto"/>
              </w:rPr>
            </w:pPr>
          </w:p>
        </w:tc>
        <w:tc>
          <w:tcPr>
            <w:tcW w:w="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10.31</w:t>
            </w:r>
          </w:p>
        </w:tc>
        <w:tc>
          <w:tcPr>
            <w:tcW w:w="600" w:type="dxa"/>
            <w:vAlign w:val="bottom"/>
          </w:tcPr>
          <w:p>
            <w:pPr>
              <w:spacing w:after="0"/>
              <w:rPr>
                <w:sz w:val="15"/>
                <w:szCs w:val="15"/>
                <w:color w:val="auto"/>
              </w:rPr>
            </w:pPr>
          </w:p>
        </w:tc>
        <w:tc>
          <w:tcPr>
            <w:tcW w:w="10100" w:type="dxa"/>
            <w:vAlign w:val="bottom"/>
            <w:gridSpan w:val="25"/>
          </w:tcPr>
          <w:p>
            <w:pPr>
              <w:spacing w:after="0"/>
              <w:rPr>
                <w:rFonts w:ascii="Times New Roman" w:cs="Times New Roman" w:eastAsia="Times New Roman" w:hAnsi="Times New Roman"/>
                <w:sz w:val="12"/>
                <w:szCs w:val="12"/>
                <w:color w:val="0000FF"/>
              </w:rPr>
            </w:pPr>
            <w:hyperlink r:id="rId123">
              <w:r>
                <w:rPr>
                  <w:rFonts w:ascii="Times New Roman" w:cs="Times New Roman" w:eastAsia="Times New Roman" w:hAnsi="Times New Roman"/>
                  <w:sz w:val="12"/>
                  <w:szCs w:val="12"/>
                  <w:color w:val="0000FF"/>
                </w:rPr>
                <w:t>Amendment to Investor Rights Agreement, dated February 27, 2024, by and between vTv Therapeutics Inc. and M&amp;F TTP Holdings Two LLC (as successor in interest to vTv Therapeutics Holdings LLC)</w:t>
              </w:r>
            </w:hyperlink>
          </w:p>
        </w:tc>
        <w:tc>
          <w:tcPr>
            <w:tcW w:w="0" w:type="dxa"/>
            <w:vAlign w:val="bottom"/>
          </w:tcPr>
          <w:p>
            <w:pPr>
              <w:spacing w:after="0"/>
              <w:rPr>
                <w:sz w:val="1"/>
                <w:szCs w:val="1"/>
                <w:color w:val="auto"/>
              </w:rPr>
            </w:pPr>
          </w:p>
        </w:tc>
      </w:tr>
      <w:tr>
        <w:trPr>
          <w:trHeight w:val="97"/>
        </w:trPr>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940" w:type="dxa"/>
            <w:vAlign w:val="bottom"/>
            <w:tcBorders>
              <w:top w:val="single" w:sz="8" w:color="0000FF"/>
            </w:tcBorders>
            <w:gridSpan w:val="17"/>
          </w:tcPr>
          <w:p>
            <w:pPr>
              <w:spacing w:after="0" w:line="97" w:lineRule="exact"/>
              <w:rPr>
                <w:rFonts w:ascii="Times New Roman" w:cs="Times New Roman" w:eastAsia="Times New Roman" w:hAnsi="Times New Roman"/>
                <w:sz w:val="11"/>
                <w:szCs w:val="11"/>
                <w:color w:val="0000FF"/>
              </w:rPr>
            </w:pPr>
            <w:hyperlink r:id="rId123">
              <w:r>
                <w:rPr>
                  <w:rFonts w:ascii="Times New Roman" w:cs="Times New Roman" w:eastAsia="Times New Roman" w:hAnsi="Times New Roman"/>
                  <w:sz w:val="11"/>
                  <w:szCs w:val="11"/>
                  <w:color w:val="0000FF"/>
                </w:rPr>
                <w:t>(incorporated by reference from Exhibit 10.5 to the Company's 8-K, filed February 28, 2024 (File No. 001-37524)).</w:t>
              </w:r>
            </w:hyperlink>
          </w:p>
        </w:tc>
        <w:tc>
          <w:tcPr>
            <w:tcW w:w="40" w:type="dxa"/>
            <w:vAlign w:val="bottom"/>
            <w:gridSpan w:val="2"/>
          </w:tcPr>
          <w:p>
            <w:pPr>
              <w:spacing w:after="0"/>
              <w:rPr>
                <w:sz w:val="8"/>
                <w:szCs w:val="8"/>
                <w:color w:val="auto"/>
              </w:rPr>
            </w:pPr>
          </w:p>
        </w:tc>
        <w:tc>
          <w:tcPr>
            <w:tcW w:w="120" w:type="dxa"/>
            <w:vAlign w:val="bottom"/>
            <w:gridSpan w:val="6"/>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21.1*</w:t>
            </w:r>
          </w:p>
        </w:tc>
        <w:tc>
          <w:tcPr>
            <w:tcW w:w="600" w:type="dxa"/>
            <w:vAlign w:val="bottom"/>
          </w:tcPr>
          <w:p>
            <w:pPr>
              <w:spacing w:after="0"/>
              <w:rPr>
                <w:sz w:val="15"/>
                <w:szCs w:val="15"/>
                <w:color w:val="auto"/>
              </w:rPr>
            </w:pPr>
          </w:p>
        </w:tc>
        <w:tc>
          <w:tcPr>
            <w:tcW w:w="18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8"/>
              </w:rPr>
              <w:t>Subsidiaries of vTv Therapeutics Inc.</w:t>
            </w:r>
          </w:p>
        </w:tc>
        <w:tc>
          <w:tcPr>
            <w:tcW w:w="3740" w:type="dxa"/>
            <w:vAlign w:val="bottom"/>
            <w:tcBorders>
              <w:top w:val="single" w:sz="8" w:color="0000FF"/>
            </w:tcBorders>
            <w:gridSpan w:val="10"/>
          </w:tcPr>
          <w:p>
            <w:pPr>
              <w:spacing w:after="0"/>
              <w:rPr>
                <w:sz w:val="15"/>
                <w:szCs w:val="15"/>
                <w:color w:val="auto"/>
              </w:rPr>
            </w:pPr>
          </w:p>
        </w:tc>
        <w:tc>
          <w:tcPr>
            <w:tcW w:w="456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23.1*</w:t>
            </w:r>
          </w:p>
        </w:tc>
        <w:tc>
          <w:tcPr>
            <w:tcW w:w="600" w:type="dxa"/>
            <w:vAlign w:val="bottom"/>
          </w:tcPr>
          <w:p>
            <w:pPr>
              <w:spacing w:after="0"/>
              <w:rPr>
                <w:sz w:val="14"/>
                <w:szCs w:val="14"/>
                <w:color w:val="auto"/>
              </w:rPr>
            </w:pPr>
          </w:p>
        </w:tc>
        <w:tc>
          <w:tcPr>
            <w:tcW w:w="39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2"/>
                <w:szCs w:val="12"/>
                <w:color w:val="0000FF"/>
                <w:w w:val="98"/>
              </w:rPr>
              <w:t>Consent of Ernst &amp; Young LLP, Independent Registered Public Accounting Firm.</w:t>
            </w:r>
          </w:p>
        </w:tc>
        <w:tc>
          <w:tcPr>
            <w:tcW w:w="618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31.1*</w:t>
            </w:r>
          </w:p>
        </w:tc>
        <w:tc>
          <w:tcPr>
            <w:tcW w:w="600" w:type="dxa"/>
            <w:vAlign w:val="bottom"/>
          </w:tcPr>
          <w:p>
            <w:pPr>
              <w:spacing w:after="0"/>
              <w:rPr>
                <w:sz w:val="14"/>
                <w:szCs w:val="14"/>
                <w:color w:val="auto"/>
              </w:rPr>
            </w:pPr>
          </w:p>
        </w:tc>
        <w:tc>
          <w:tcPr>
            <w:tcW w:w="10100" w:type="dxa"/>
            <w:vAlign w:val="bottom"/>
            <w:gridSpan w:val="25"/>
          </w:tcPr>
          <w:p>
            <w:pPr>
              <w:spacing w:after="0"/>
              <w:rPr>
                <w:sz w:val="20"/>
                <w:szCs w:val="20"/>
                <w:color w:val="auto"/>
              </w:rPr>
            </w:pPr>
            <w:r>
              <w:rPr>
                <w:rFonts w:ascii="Times New Roman" w:cs="Times New Roman" w:eastAsia="Times New Roman" w:hAnsi="Times New Roman"/>
                <w:sz w:val="12"/>
                <w:szCs w:val="12"/>
                <w:color w:val="0000FF"/>
              </w:rPr>
              <w:t>Certification of President and Chief Executive Officer required by Rule 13a-14(a)/15d-14(a) under the Securities Exchange Act of 1934, as amended, as adopted pursuant to Section 302 of the Sarbanes-</w:t>
            </w:r>
          </w:p>
        </w:tc>
        <w:tc>
          <w:tcPr>
            <w:tcW w:w="0" w:type="dxa"/>
            <w:vAlign w:val="bottom"/>
          </w:tcPr>
          <w:p>
            <w:pPr>
              <w:spacing w:after="0"/>
              <w:rPr>
                <w:sz w:val="1"/>
                <w:szCs w:val="1"/>
                <w:color w:val="auto"/>
              </w:rPr>
            </w:pPr>
          </w:p>
        </w:tc>
      </w:tr>
      <w:tr>
        <w:trPr>
          <w:trHeight w:val="97"/>
        </w:trPr>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Borders>
              <w:top w:val="single" w:sz="8" w:color="0000FF"/>
              <w:bottom w:val="single" w:sz="8" w:color="0000FF"/>
            </w:tcBorders>
          </w:tcPr>
          <w:p>
            <w:pPr>
              <w:spacing w:after="0" w:line="97" w:lineRule="exact"/>
              <w:rPr>
                <w:sz w:val="20"/>
                <w:szCs w:val="20"/>
                <w:color w:val="auto"/>
              </w:rPr>
            </w:pPr>
            <w:r>
              <w:rPr>
                <w:rFonts w:ascii="Times New Roman" w:cs="Times New Roman" w:eastAsia="Times New Roman" w:hAnsi="Times New Roman"/>
                <w:sz w:val="11"/>
                <w:szCs w:val="11"/>
                <w:color w:val="0000FF"/>
              </w:rPr>
              <w:t>Oxley Act of 2002.</w:t>
            </w:r>
          </w:p>
        </w:tc>
        <w:tc>
          <w:tcPr>
            <w:tcW w:w="9060" w:type="dxa"/>
            <w:vAlign w:val="bottom"/>
            <w:tcBorders>
              <w:top w:val="single" w:sz="8" w:color="0000FF"/>
            </w:tcBorders>
            <w:gridSpan w:val="18"/>
          </w:tcPr>
          <w:p>
            <w:pPr>
              <w:spacing w:after="0"/>
              <w:rPr>
                <w:sz w:val="8"/>
                <w:szCs w:val="8"/>
                <w:color w:val="auto"/>
              </w:rPr>
            </w:pPr>
          </w:p>
        </w:tc>
        <w:tc>
          <w:tcPr>
            <w:tcW w:w="120" w:type="dxa"/>
            <w:vAlign w:val="bottom"/>
            <w:gridSpan w:val="6"/>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31.2*</w:t>
            </w:r>
          </w:p>
        </w:tc>
        <w:tc>
          <w:tcPr>
            <w:tcW w:w="600" w:type="dxa"/>
            <w:vAlign w:val="bottom"/>
          </w:tcPr>
          <w:p>
            <w:pPr>
              <w:spacing w:after="0"/>
              <w:rPr>
                <w:sz w:val="15"/>
                <w:szCs w:val="15"/>
                <w:color w:val="auto"/>
              </w:rPr>
            </w:pPr>
          </w:p>
        </w:tc>
        <w:tc>
          <w:tcPr>
            <w:tcW w:w="99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2"/>
                <w:szCs w:val="12"/>
                <w:color w:val="0000FF"/>
                <w:w w:val="99"/>
              </w:rPr>
              <w:t>Certification of Chief Financial Officer required by Rule 13a-14(a)/15d-14(a) under the Securities Exchange Act of 1934, as amended, as adopted pursuant to Section 302 of the Sarbanes-Oxley Act of 2002.</w:t>
            </w:r>
          </w:p>
        </w:tc>
        <w:tc>
          <w:tcPr>
            <w:tcW w:w="20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32.1*</w:t>
            </w:r>
          </w:p>
        </w:tc>
        <w:tc>
          <w:tcPr>
            <w:tcW w:w="600" w:type="dxa"/>
            <w:vAlign w:val="bottom"/>
          </w:tcPr>
          <w:p>
            <w:pPr>
              <w:spacing w:after="0"/>
              <w:rPr>
                <w:sz w:val="14"/>
                <w:szCs w:val="14"/>
                <w:color w:val="auto"/>
              </w:rPr>
            </w:pPr>
          </w:p>
        </w:tc>
        <w:tc>
          <w:tcPr>
            <w:tcW w:w="10100" w:type="dxa"/>
            <w:vAlign w:val="bottom"/>
            <w:gridSpan w:val="25"/>
          </w:tcPr>
          <w:p>
            <w:pPr>
              <w:spacing w:after="0"/>
              <w:rPr>
                <w:sz w:val="20"/>
                <w:szCs w:val="20"/>
                <w:color w:val="auto"/>
              </w:rPr>
            </w:pPr>
            <w:r>
              <w:rPr>
                <w:rFonts w:ascii="Times New Roman" w:cs="Times New Roman" w:eastAsia="Times New Roman" w:hAnsi="Times New Roman"/>
                <w:sz w:val="12"/>
                <w:szCs w:val="12"/>
                <w:color w:val="0000FF"/>
              </w:rPr>
              <w:t>Certification of President and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32.2*</w:t>
            </w:r>
          </w:p>
        </w:tc>
        <w:tc>
          <w:tcPr>
            <w:tcW w:w="600" w:type="dxa"/>
            <w:vAlign w:val="bottom"/>
          </w:tcPr>
          <w:p>
            <w:pPr>
              <w:spacing w:after="0"/>
              <w:rPr>
                <w:sz w:val="14"/>
                <w:szCs w:val="14"/>
                <w:color w:val="auto"/>
              </w:rPr>
            </w:pPr>
          </w:p>
        </w:tc>
        <w:tc>
          <w:tcPr>
            <w:tcW w:w="70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2"/>
                <w:szCs w:val="12"/>
                <w:color w:val="0000FF"/>
                <w:w w:val="99"/>
              </w:rPr>
              <w:t>Certification of Chief Financial Officer pursuant to 18 U.S.C. Section 1350, as adopted pursuant to Section 906 of the Sarbanes-Oxley Act of 2002.</w:t>
            </w:r>
          </w:p>
        </w:tc>
        <w:tc>
          <w:tcPr>
            <w:tcW w:w="700" w:type="dxa"/>
            <w:vAlign w:val="bottom"/>
            <w:tcBorders>
              <w:top w:val="single" w:sz="8" w:color="0000FF"/>
            </w:tcBorders>
          </w:tcPr>
          <w:p>
            <w:pPr>
              <w:spacing w:after="0"/>
              <w:rPr>
                <w:sz w:val="14"/>
                <w:szCs w:val="14"/>
                <w:color w:val="auto"/>
              </w:rPr>
            </w:pPr>
          </w:p>
        </w:tc>
        <w:tc>
          <w:tcPr>
            <w:tcW w:w="232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97.1</w:t>
            </w:r>
          </w:p>
        </w:tc>
        <w:tc>
          <w:tcPr>
            <w:tcW w:w="600" w:type="dxa"/>
            <w:vAlign w:val="bottom"/>
          </w:tcPr>
          <w:p>
            <w:pPr>
              <w:spacing w:after="0"/>
              <w:rPr>
                <w:sz w:val="14"/>
                <w:szCs w:val="14"/>
                <w:color w:val="auto"/>
              </w:rPr>
            </w:pPr>
          </w:p>
        </w:tc>
        <w:tc>
          <w:tcPr>
            <w:tcW w:w="10100" w:type="dxa"/>
            <w:vAlign w:val="bottom"/>
            <w:gridSpan w:val="25"/>
          </w:tcPr>
          <w:p>
            <w:pPr>
              <w:spacing w:after="0"/>
              <w:rPr>
                <w:sz w:val="20"/>
                <w:szCs w:val="20"/>
                <w:color w:val="auto"/>
              </w:rPr>
            </w:pPr>
            <w:r>
              <w:rPr>
                <w:rFonts w:ascii="Times New Roman" w:cs="Times New Roman" w:eastAsia="Times New Roman" w:hAnsi="Times New Roman"/>
                <w:sz w:val="12"/>
                <w:szCs w:val="12"/>
                <w:color w:val="0000FF"/>
              </w:rPr>
              <w:t>Clawback Policy dated as of October 2, 2023</w:t>
            </w: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101*</w:t>
            </w:r>
          </w:p>
        </w:tc>
        <w:tc>
          <w:tcPr>
            <w:tcW w:w="600" w:type="dxa"/>
            <w:vAlign w:val="bottom"/>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794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4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0100" w:type="dxa"/>
            <w:vAlign w:val="bottom"/>
            <w:gridSpan w:val="25"/>
          </w:tcPr>
          <w:p>
            <w:pPr>
              <w:spacing w:after="0"/>
              <w:rPr>
                <w:sz w:val="20"/>
                <w:szCs w:val="20"/>
                <w:color w:val="auto"/>
              </w:rPr>
            </w:pPr>
            <w:r>
              <w:rPr>
                <w:rFonts w:ascii="Times New Roman" w:cs="Times New Roman" w:eastAsia="Times New Roman" w:hAnsi="Times New Roman"/>
                <w:sz w:val="12"/>
                <w:szCs w:val="12"/>
                <w:color w:val="auto"/>
              </w:rPr>
              <w:t>The following materials from the Company’s Annual Report on Form 10-K for the year ended December 31, 2023, formatted in iXBRL (Inline Extensible Business Reporting Language): (i) Consolidated</w:t>
            </w: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100" w:type="dxa"/>
            <w:vAlign w:val="bottom"/>
            <w:gridSpan w:val="25"/>
          </w:tcPr>
          <w:p>
            <w:pPr>
              <w:spacing w:after="0"/>
              <w:rPr>
                <w:sz w:val="20"/>
                <w:szCs w:val="20"/>
                <w:color w:val="auto"/>
              </w:rPr>
            </w:pPr>
            <w:r>
              <w:rPr>
                <w:rFonts w:ascii="Times New Roman" w:cs="Times New Roman" w:eastAsia="Times New Roman" w:hAnsi="Times New Roman"/>
                <w:sz w:val="12"/>
                <w:szCs w:val="12"/>
                <w:color w:val="auto"/>
              </w:rPr>
              <w:t>Balance Sheets (unaudited), (ii) Consolidated Statements of Operations (unaudited), (iii) Consolidated Statements of Changes in Redeemable Noncontrolling Interest and Stockholders’ Deficit (unaudited),</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100" w:type="dxa"/>
            <w:vAlign w:val="bottom"/>
            <w:gridSpan w:val="25"/>
          </w:tcPr>
          <w:p>
            <w:pPr>
              <w:spacing w:after="0"/>
              <w:rPr>
                <w:sz w:val="20"/>
                <w:szCs w:val="20"/>
                <w:color w:val="auto"/>
              </w:rPr>
            </w:pPr>
            <w:r>
              <w:rPr>
                <w:rFonts w:ascii="Times New Roman" w:cs="Times New Roman" w:eastAsia="Times New Roman" w:hAnsi="Times New Roman"/>
                <w:sz w:val="12"/>
                <w:szCs w:val="12"/>
                <w:color w:val="auto"/>
              </w:rPr>
              <w:t>(iv) Consolidated Statements of Cash Flows (unaudited) and (v) Notes to Consolidated Financial Statements (unaudited), tagged as blocks of text and including detailed tags</w:t>
            </w:r>
          </w:p>
        </w:tc>
        <w:tc>
          <w:tcPr>
            <w:tcW w:w="0" w:type="dxa"/>
            <w:vAlign w:val="bottom"/>
          </w:tcPr>
          <w:p>
            <w:pPr>
              <w:spacing w:after="0"/>
              <w:rPr>
                <w:sz w:val="1"/>
                <w:szCs w:val="1"/>
                <w:color w:val="auto"/>
              </w:rPr>
            </w:pPr>
          </w:p>
        </w:tc>
      </w:tr>
      <w:tr>
        <w:trPr>
          <w:trHeight w:val="207"/>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600" w:type="dxa"/>
            <w:vAlign w:val="bottom"/>
          </w:tcPr>
          <w:p>
            <w:pPr>
              <w:spacing w:after="0"/>
              <w:rPr>
                <w:sz w:val="18"/>
                <w:szCs w:val="18"/>
                <w:color w:val="auto"/>
              </w:rPr>
            </w:pPr>
          </w:p>
        </w:tc>
        <w:tc>
          <w:tcPr>
            <w:tcW w:w="10100" w:type="dxa"/>
            <w:vAlign w:val="bottom"/>
            <w:gridSpan w:val="25"/>
          </w:tcPr>
          <w:p>
            <w:pPr>
              <w:spacing w:after="0"/>
              <w:rPr>
                <w:sz w:val="20"/>
                <w:szCs w:val="20"/>
                <w:color w:val="auto"/>
              </w:rPr>
            </w:pPr>
            <w:r>
              <w:rPr>
                <w:rFonts w:ascii="Times New Roman" w:cs="Times New Roman" w:eastAsia="Times New Roman" w:hAnsi="Times New Roman"/>
                <w:sz w:val="12"/>
                <w:szCs w:val="12"/>
                <w:color w:val="auto"/>
              </w:rPr>
              <w:t>The cover page from this Annual Report on Form 10-K for the year ended December 31, 2023, formatted in Inline XBRL</w:t>
            </w: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________________________________________________</w:t>
      </w:r>
    </w:p>
    <w:p>
      <w:pPr>
        <w:spacing w:after="0" w:line="200" w:lineRule="exact"/>
        <w:rPr>
          <w:sz w:val="20"/>
          <w:szCs w:val="20"/>
          <w:color w:val="auto"/>
        </w:rPr>
      </w:pPr>
    </w:p>
    <w:p>
      <w:pPr>
        <w:spacing w:after="0" w:line="3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80"/>
          </w:cols>
          <w:pgMar w:left="300" w:top="129" w:right="5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60" w:hanging="356"/>
        <w:spacing w:after="0"/>
        <w:tabs>
          <w:tab w:leader="none" w:pos="36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Management contract or compensatory plan or arrangement</w:t>
      </w:r>
    </w:p>
    <w:p>
      <w:pPr>
        <w:spacing w:after="0" w:line="17" w:lineRule="exact"/>
        <w:rPr>
          <w:sz w:val="20"/>
          <w:szCs w:val="20"/>
          <w:color w:val="auto"/>
        </w:rPr>
      </w:pPr>
    </w:p>
    <w:p>
      <w:pPr>
        <w:ind w:left="360" w:hanging="356"/>
        <w:spacing w:after="0"/>
        <w:tabs>
          <w:tab w:leader="none" w:pos="36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Confidential treatment received with respect to portions of this exhibit.</w:t>
      </w:r>
    </w:p>
    <w:p>
      <w:pPr>
        <w:spacing w:after="0" w:line="15"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*Filed herewith</w:t>
      </w:r>
    </w:p>
    <w:p>
      <w:pPr>
        <w:spacing w:after="0" w:line="27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16.</w:t>
      </w:r>
      <w:r>
        <w:rPr>
          <w:sz w:val="20"/>
          <w:szCs w:val="20"/>
          <w:color w:val="auto"/>
        </w:rPr>
        <w:tab/>
      </w:r>
      <w:r>
        <w:rPr>
          <w:rFonts w:ascii="Times New Roman" w:cs="Times New Roman" w:eastAsia="Times New Roman" w:hAnsi="Times New Roman"/>
          <w:sz w:val="11"/>
          <w:szCs w:val="11"/>
          <w:b w:val="1"/>
          <w:bCs w:val="1"/>
          <w:color w:val="auto"/>
        </w:rPr>
        <w:t>FORM 10-K SUMMARY</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310"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13, 2024</w:t>
      </w:r>
    </w:p>
    <w:p>
      <w:pPr>
        <w:spacing w:after="0" w:line="114" w:lineRule="exact"/>
        <w:rPr>
          <w:sz w:val="20"/>
          <w:szCs w:val="20"/>
          <w:color w:val="auto"/>
        </w:rPr>
      </w:pPr>
    </w:p>
    <w:tbl>
      <w:tblPr>
        <w:tblLayout w:type="fixed"/>
        <w:tblInd w:w="6720" w:type="dxa"/>
        <w:tblCellMar>
          <w:top w:w="0" w:type="dxa"/>
          <w:left w:w="0" w:type="dxa"/>
          <w:bottom w:w="0" w:type="dxa"/>
          <w:right w:w="0" w:type="dxa"/>
        </w:tblCellMar>
      </w:tblPr>
      <w:tr>
        <w:trPr>
          <w:trHeight w:val="155"/>
        </w:trPr>
        <w:tc>
          <w:tcPr>
            <w:tcW w:w="540" w:type="dxa"/>
            <w:vAlign w:val="bottom"/>
          </w:tcPr>
          <w:p>
            <w:pPr>
              <w:spacing w:after="0"/>
              <w:rPr>
                <w:sz w:val="13"/>
                <w:szCs w:val="13"/>
                <w:color w:val="auto"/>
              </w:rPr>
            </w:pPr>
          </w:p>
        </w:tc>
        <w:tc>
          <w:tcPr>
            <w:tcW w:w="404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VTV THERAPEUTICS INC.</w:t>
            </w:r>
          </w:p>
        </w:tc>
      </w:tr>
      <w:tr>
        <w:trPr>
          <w:trHeight w:val="180"/>
        </w:trPr>
        <w:tc>
          <w:tcPr>
            <w:tcW w:w="540" w:type="dxa"/>
            <w:vAlign w:val="bottom"/>
          </w:tcPr>
          <w:p>
            <w:pPr>
              <w:spacing w:after="0"/>
              <w:rPr>
                <w:sz w:val="15"/>
                <w:szCs w:val="15"/>
                <w:color w:val="auto"/>
              </w:rPr>
            </w:pPr>
          </w:p>
        </w:tc>
        <w:tc>
          <w:tcPr>
            <w:tcW w:w="4040" w:type="dxa"/>
            <w:vAlign w:val="bottom"/>
          </w:tcPr>
          <w:p>
            <w:pPr>
              <w:ind w:left="1740"/>
              <w:spacing w:after="0"/>
              <w:rPr>
                <w:sz w:val="20"/>
                <w:szCs w:val="20"/>
                <w:color w:val="auto"/>
              </w:rPr>
            </w:pPr>
            <w:r>
              <w:rPr>
                <w:rFonts w:ascii="Times New Roman" w:cs="Times New Roman" w:eastAsia="Times New Roman" w:hAnsi="Times New Roman"/>
                <w:sz w:val="12"/>
                <w:szCs w:val="12"/>
                <w:color w:val="auto"/>
              </w:rPr>
              <w:t>(Registrant)</w:t>
            </w:r>
          </w:p>
        </w:tc>
      </w:tr>
      <w:tr>
        <w:trPr>
          <w:trHeight w:val="279"/>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Paul J. Sekhri</w:t>
            </w:r>
          </w:p>
        </w:tc>
      </w:tr>
      <w:tr>
        <w:trPr>
          <w:trHeight w:val="140"/>
        </w:trPr>
        <w:tc>
          <w:tcPr>
            <w:tcW w:w="540" w:type="dxa"/>
            <w:vAlign w:val="bottom"/>
          </w:tcPr>
          <w:p>
            <w:pPr>
              <w:spacing w:after="0"/>
              <w:rPr>
                <w:sz w:val="12"/>
                <w:szCs w:val="12"/>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Paul J. Sekhri</w:t>
            </w:r>
          </w:p>
        </w:tc>
      </w:tr>
      <w:tr>
        <w:trPr>
          <w:trHeight w:val="155"/>
        </w:trPr>
        <w:tc>
          <w:tcPr>
            <w:tcW w:w="540" w:type="dxa"/>
            <w:vAlign w:val="bottom"/>
          </w:tcPr>
          <w:p>
            <w:pPr>
              <w:spacing w:after="0"/>
              <w:rPr>
                <w:sz w:val="13"/>
                <w:szCs w:val="13"/>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261"/>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Steven Tuch</w:t>
            </w:r>
          </w:p>
        </w:tc>
      </w:tr>
      <w:tr>
        <w:trPr>
          <w:trHeight w:val="140"/>
        </w:trPr>
        <w:tc>
          <w:tcPr>
            <w:tcW w:w="540" w:type="dxa"/>
            <w:vAlign w:val="bottom"/>
          </w:tcPr>
          <w:p>
            <w:pPr>
              <w:spacing w:after="0"/>
              <w:rPr>
                <w:sz w:val="12"/>
                <w:szCs w:val="12"/>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Steven Tuch</w:t>
            </w:r>
          </w:p>
        </w:tc>
      </w:tr>
      <w:tr>
        <w:trPr>
          <w:trHeight w:val="155"/>
        </w:trPr>
        <w:tc>
          <w:tcPr>
            <w:tcW w:w="540" w:type="dxa"/>
            <w:vAlign w:val="bottom"/>
          </w:tcPr>
          <w:p>
            <w:pPr>
              <w:spacing w:after="0"/>
              <w:rPr>
                <w:sz w:val="13"/>
                <w:szCs w:val="13"/>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tc>
      </w:tr>
    </w:tbl>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0" w:type="dxa"/>
            <w:vAlign w:val="bottom"/>
          </w:tcPr>
          <w:p>
            <w:pPr>
              <w:spacing w:after="0"/>
              <w:rPr>
                <w:sz w:val="13"/>
                <w:szCs w:val="13"/>
                <w:color w:val="auto"/>
              </w:rPr>
            </w:pPr>
          </w:p>
        </w:tc>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Paul J. Sekhri</w:t>
            </w:r>
          </w:p>
        </w:tc>
        <w:tc>
          <w:tcPr>
            <w:tcW w:w="3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President, Chief Executive Officer and Executive Chairperson</w:t>
            </w:r>
          </w:p>
        </w:tc>
        <w:tc>
          <w:tcPr>
            <w:tcW w:w="5820" w:type="dxa"/>
            <w:vAlign w:val="bottom"/>
          </w:tcPr>
          <w:p>
            <w:pPr>
              <w:ind w:left="5000"/>
              <w:spacing w:after="0"/>
              <w:rPr>
                <w:sz w:val="20"/>
                <w:szCs w:val="20"/>
                <w:color w:val="auto"/>
              </w:rPr>
            </w:pPr>
            <w:r>
              <w:rPr>
                <w:rFonts w:ascii="Times New Roman" w:cs="Times New Roman" w:eastAsia="Times New Roman" w:hAnsi="Times New Roman"/>
                <w:sz w:val="12"/>
                <w:szCs w:val="12"/>
                <w:color w:val="auto"/>
              </w:rPr>
              <w:t>March 13, 2024</w:t>
            </w:r>
          </w:p>
        </w:tc>
      </w:tr>
      <w:tr>
        <w:trPr>
          <w:trHeight w:val="144"/>
        </w:trPr>
        <w:tc>
          <w:tcPr>
            <w:tcW w:w="40" w:type="dxa"/>
            <w:vAlign w:val="bottom"/>
          </w:tcPr>
          <w:p>
            <w:pPr>
              <w:spacing w:after="0"/>
              <w:rPr>
                <w:sz w:val="12"/>
                <w:szCs w:val="12"/>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Paul J. Sekhri</w:t>
            </w:r>
          </w:p>
        </w:tc>
        <w:tc>
          <w:tcPr>
            <w:tcW w:w="3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(Principal Executive Officer)</w:t>
            </w:r>
          </w:p>
        </w:tc>
        <w:tc>
          <w:tcPr>
            <w:tcW w:w="5820" w:type="dxa"/>
            <w:vAlign w:val="bottom"/>
          </w:tcPr>
          <w:p>
            <w:pPr>
              <w:spacing w:after="0"/>
              <w:rPr>
                <w:sz w:val="12"/>
                <w:szCs w:val="12"/>
                <w:color w:val="auto"/>
              </w:rPr>
            </w:pPr>
          </w:p>
        </w:tc>
      </w:tr>
      <w:tr>
        <w:trPr>
          <w:trHeight w:val="259"/>
        </w:trPr>
        <w:tc>
          <w:tcPr>
            <w:tcW w:w="40" w:type="dxa"/>
            <w:vAlign w:val="bottom"/>
          </w:tcPr>
          <w:p>
            <w:pPr>
              <w:spacing w:after="0"/>
              <w:rPr>
                <w:sz w:val="22"/>
                <w:szCs w:val="22"/>
                <w:color w:val="auto"/>
              </w:rPr>
            </w:pPr>
          </w:p>
        </w:tc>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Steven Tuch</w:t>
            </w:r>
          </w:p>
        </w:tc>
        <w:tc>
          <w:tcPr>
            <w:tcW w:w="3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tc>
        <w:tc>
          <w:tcPr>
            <w:tcW w:w="5820" w:type="dxa"/>
            <w:vAlign w:val="bottom"/>
          </w:tcPr>
          <w:p>
            <w:pPr>
              <w:ind w:left="5000"/>
              <w:spacing w:after="0"/>
              <w:rPr>
                <w:sz w:val="20"/>
                <w:szCs w:val="20"/>
                <w:color w:val="auto"/>
              </w:rPr>
            </w:pPr>
            <w:r>
              <w:rPr>
                <w:rFonts w:ascii="Times New Roman" w:cs="Times New Roman" w:eastAsia="Times New Roman" w:hAnsi="Times New Roman"/>
                <w:sz w:val="12"/>
                <w:szCs w:val="12"/>
                <w:color w:val="auto"/>
              </w:rPr>
              <w:t>March 13, 2024</w:t>
            </w:r>
          </w:p>
        </w:tc>
      </w:tr>
      <w:tr>
        <w:trPr>
          <w:trHeight w:val="144"/>
        </w:trPr>
        <w:tc>
          <w:tcPr>
            <w:tcW w:w="40" w:type="dxa"/>
            <w:vAlign w:val="bottom"/>
          </w:tcPr>
          <w:p>
            <w:pPr>
              <w:spacing w:after="0"/>
              <w:rPr>
                <w:sz w:val="12"/>
                <w:szCs w:val="12"/>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Steven Tuch</w:t>
            </w:r>
          </w:p>
        </w:tc>
        <w:tc>
          <w:tcPr>
            <w:tcW w:w="3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(Principal Financial Officer)</w:t>
            </w:r>
          </w:p>
        </w:tc>
        <w:tc>
          <w:tcPr>
            <w:tcW w:w="5820" w:type="dxa"/>
            <w:vAlign w:val="bottom"/>
          </w:tcPr>
          <w:p>
            <w:pPr>
              <w:spacing w:after="0"/>
              <w:rPr>
                <w:sz w:val="12"/>
                <w:szCs w:val="12"/>
                <w:color w:val="auto"/>
              </w:rPr>
            </w:pPr>
          </w:p>
        </w:tc>
      </w:tr>
      <w:tr>
        <w:trPr>
          <w:trHeight w:val="250"/>
        </w:trPr>
        <w:tc>
          <w:tcPr>
            <w:tcW w:w="40" w:type="dxa"/>
            <w:vAlign w:val="bottom"/>
          </w:tcPr>
          <w:p>
            <w:pPr>
              <w:spacing w:after="0"/>
              <w:rPr>
                <w:sz w:val="21"/>
                <w:szCs w:val="21"/>
                <w:color w:val="auto"/>
              </w:rPr>
            </w:pPr>
          </w:p>
        </w:tc>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John A. Fry</w:t>
            </w:r>
          </w:p>
        </w:tc>
        <w:tc>
          <w:tcPr>
            <w:tcW w:w="3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Director</w:t>
            </w:r>
          </w:p>
        </w:tc>
        <w:tc>
          <w:tcPr>
            <w:tcW w:w="5820" w:type="dxa"/>
            <w:vAlign w:val="bottom"/>
          </w:tcPr>
          <w:p>
            <w:pPr>
              <w:ind w:left="5000"/>
              <w:spacing w:after="0"/>
              <w:rPr>
                <w:sz w:val="20"/>
                <w:szCs w:val="20"/>
                <w:color w:val="auto"/>
              </w:rPr>
            </w:pPr>
            <w:r>
              <w:rPr>
                <w:rFonts w:ascii="Times New Roman" w:cs="Times New Roman" w:eastAsia="Times New Roman" w:hAnsi="Times New Roman"/>
                <w:sz w:val="12"/>
                <w:szCs w:val="12"/>
                <w:color w:val="auto"/>
              </w:rPr>
              <w:t>March 13, 2024</w:t>
            </w:r>
          </w:p>
        </w:tc>
      </w:tr>
      <w:tr>
        <w:trPr>
          <w:trHeight w:val="144"/>
        </w:trPr>
        <w:tc>
          <w:tcPr>
            <w:tcW w:w="40" w:type="dxa"/>
            <w:vAlign w:val="bottom"/>
          </w:tcPr>
          <w:p>
            <w:pPr>
              <w:spacing w:after="0"/>
              <w:rPr>
                <w:sz w:val="12"/>
                <w:szCs w:val="12"/>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John A. Fry</w:t>
            </w:r>
          </w:p>
        </w:tc>
        <w:tc>
          <w:tcPr>
            <w:tcW w:w="3220" w:type="dxa"/>
            <w:vAlign w:val="bottom"/>
          </w:tcPr>
          <w:p>
            <w:pPr>
              <w:spacing w:after="0"/>
              <w:rPr>
                <w:sz w:val="12"/>
                <w:szCs w:val="12"/>
                <w:color w:val="auto"/>
              </w:rPr>
            </w:pPr>
          </w:p>
        </w:tc>
        <w:tc>
          <w:tcPr>
            <w:tcW w:w="5820" w:type="dxa"/>
            <w:vAlign w:val="bottom"/>
          </w:tcPr>
          <w:p>
            <w:pPr>
              <w:spacing w:after="0"/>
              <w:rPr>
                <w:sz w:val="12"/>
                <w:szCs w:val="12"/>
                <w:color w:val="auto"/>
              </w:rPr>
            </w:pPr>
          </w:p>
        </w:tc>
      </w:tr>
      <w:tr>
        <w:trPr>
          <w:trHeight w:val="259"/>
        </w:trPr>
        <w:tc>
          <w:tcPr>
            <w:tcW w:w="40" w:type="dxa"/>
            <w:vAlign w:val="bottom"/>
          </w:tcPr>
          <w:p>
            <w:pPr>
              <w:spacing w:after="0"/>
              <w:rPr>
                <w:sz w:val="22"/>
                <w:szCs w:val="22"/>
                <w:color w:val="auto"/>
              </w:rPr>
            </w:pPr>
          </w:p>
        </w:tc>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Keith Harris</w:t>
            </w:r>
          </w:p>
        </w:tc>
        <w:tc>
          <w:tcPr>
            <w:tcW w:w="3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Director</w:t>
            </w:r>
          </w:p>
        </w:tc>
        <w:tc>
          <w:tcPr>
            <w:tcW w:w="5820" w:type="dxa"/>
            <w:vAlign w:val="bottom"/>
          </w:tcPr>
          <w:p>
            <w:pPr>
              <w:ind w:left="5000"/>
              <w:spacing w:after="0"/>
              <w:rPr>
                <w:sz w:val="20"/>
                <w:szCs w:val="20"/>
                <w:color w:val="auto"/>
              </w:rPr>
            </w:pPr>
            <w:r>
              <w:rPr>
                <w:rFonts w:ascii="Times New Roman" w:cs="Times New Roman" w:eastAsia="Times New Roman" w:hAnsi="Times New Roman"/>
                <w:sz w:val="12"/>
                <w:szCs w:val="12"/>
                <w:color w:val="auto"/>
              </w:rPr>
              <w:t>March 13, 2024</w:t>
            </w:r>
          </w:p>
        </w:tc>
      </w:tr>
      <w:tr>
        <w:trPr>
          <w:trHeight w:val="144"/>
        </w:trPr>
        <w:tc>
          <w:tcPr>
            <w:tcW w:w="40" w:type="dxa"/>
            <w:vAlign w:val="bottom"/>
          </w:tcPr>
          <w:p>
            <w:pPr>
              <w:spacing w:after="0"/>
              <w:rPr>
                <w:sz w:val="12"/>
                <w:szCs w:val="12"/>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Keith Harris</w:t>
            </w:r>
          </w:p>
        </w:tc>
        <w:tc>
          <w:tcPr>
            <w:tcW w:w="3220" w:type="dxa"/>
            <w:vAlign w:val="bottom"/>
          </w:tcPr>
          <w:p>
            <w:pPr>
              <w:spacing w:after="0"/>
              <w:rPr>
                <w:sz w:val="12"/>
                <w:szCs w:val="12"/>
                <w:color w:val="auto"/>
              </w:rPr>
            </w:pPr>
          </w:p>
        </w:tc>
        <w:tc>
          <w:tcPr>
            <w:tcW w:w="5820" w:type="dxa"/>
            <w:vAlign w:val="bottom"/>
          </w:tcPr>
          <w:p>
            <w:pPr>
              <w:spacing w:after="0"/>
              <w:rPr>
                <w:sz w:val="12"/>
                <w:szCs w:val="12"/>
                <w:color w:val="auto"/>
              </w:rPr>
            </w:pPr>
          </w:p>
        </w:tc>
      </w:tr>
      <w:tr>
        <w:trPr>
          <w:trHeight w:val="259"/>
        </w:trPr>
        <w:tc>
          <w:tcPr>
            <w:tcW w:w="40" w:type="dxa"/>
            <w:vAlign w:val="bottom"/>
          </w:tcPr>
          <w:p>
            <w:pPr>
              <w:spacing w:after="0"/>
              <w:rPr>
                <w:sz w:val="22"/>
                <w:szCs w:val="22"/>
                <w:color w:val="auto"/>
              </w:rPr>
            </w:pPr>
          </w:p>
        </w:tc>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Howard L. Weiner</w:t>
            </w:r>
          </w:p>
        </w:tc>
        <w:tc>
          <w:tcPr>
            <w:tcW w:w="3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Director</w:t>
            </w:r>
          </w:p>
        </w:tc>
        <w:tc>
          <w:tcPr>
            <w:tcW w:w="5820" w:type="dxa"/>
            <w:vAlign w:val="bottom"/>
          </w:tcPr>
          <w:p>
            <w:pPr>
              <w:ind w:left="5000"/>
              <w:spacing w:after="0"/>
              <w:rPr>
                <w:sz w:val="20"/>
                <w:szCs w:val="20"/>
                <w:color w:val="auto"/>
              </w:rPr>
            </w:pPr>
            <w:r>
              <w:rPr>
                <w:rFonts w:ascii="Times New Roman" w:cs="Times New Roman" w:eastAsia="Times New Roman" w:hAnsi="Times New Roman"/>
                <w:sz w:val="12"/>
                <w:szCs w:val="12"/>
                <w:color w:val="auto"/>
              </w:rPr>
              <w:t>March 13, 2024</w:t>
            </w:r>
          </w:p>
        </w:tc>
      </w:tr>
      <w:tr>
        <w:trPr>
          <w:trHeight w:val="144"/>
        </w:trPr>
        <w:tc>
          <w:tcPr>
            <w:tcW w:w="40" w:type="dxa"/>
            <w:vAlign w:val="bottom"/>
          </w:tcPr>
          <w:p>
            <w:pPr>
              <w:spacing w:after="0"/>
              <w:rPr>
                <w:sz w:val="12"/>
                <w:szCs w:val="12"/>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Howard L. Weiner</w:t>
            </w:r>
          </w:p>
        </w:tc>
        <w:tc>
          <w:tcPr>
            <w:tcW w:w="3220" w:type="dxa"/>
            <w:vAlign w:val="bottom"/>
          </w:tcPr>
          <w:p>
            <w:pPr>
              <w:spacing w:after="0"/>
              <w:rPr>
                <w:sz w:val="12"/>
                <w:szCs w:val="12"/>
                <w:color w:val="auto"/>
              </w:rPr>
            </w:pPr>
          </w:p>
        </w:tc>
        <w:tc>
          <w:tcPr>
            <w:tcW w:w="5820" w:type="dxa"/>
            <w:vAlign w:val="bottom"/>
          </w:tcPr>
          <w:p>
            <w:pPr>
              <w:spacing w:after="0"/>
              <w:rPr>
                <w:sz w:val="12"/>
                <w:szCs w:val="12"/>
                <w:color w:val="auto"/>
              </w:rPr>
            </w:pPr>
          </w:p>
        </w:tc>
      </w:tr>
      <w:tr>
        <w:trPr>
          <w:trHeight w:val="259"/>
        </w:trPr>
        <w:tc>
          <w:tcPr>
            <w:tcW w:w="40" w:type="dxa"/>
            <w:vAlign w:val="bottom"/>
          </w:tcPr>
          <w:p>
            <w:pPr>
              <w:spacing w:after="0"/>
              <w:rPr>
                <w:sz w:val="22"/>
                <w:szCs w:val="22"/>
                <w:color w:val="auto"/>
              </w:rPr>
            </w:pPr>
          </w:p>
        </w:tc>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Richard Nelson</w:t>
            </w:r>
          </w:p>
        </w:tc>
        <w:tc>
          <w:tcPr>
            <w:tcW w:w="3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Director and Executive Vice President, Corporate Development</w:t>
            </w:r>
          </w:p>
        </w:tc>
        <w:tc>
          <w:tcPr>
            <w:tcW w:w="5820" w:type="dxa"/>
            <w:vAlign w:val="bottom"/>
          </w:tcPr>
          <w:p>
            <w:pPr>
              <w:ind w:left="5000"/>
              <w:spacing w:after="0"/>
              <w:rPr>
                <w:sz w:val="20"/>
                <w:szCs w:val="20"/>
                <w:color w:val="auto"/>
              </w:rPr>
            </w:pPr>
            <w:r>
              <w:rPr>
                <w:rFonts w:ascii="Times New Roman" w:cs="Times New Roman" w:eastAsia="Times New Roman" w:hAnsi="Times New Roman"/>
                <w:sz w:val="12"/>
                <w:szCs w:val="12"/>
                <w:color w:val="auto"/>
              </w:rPr>
              <w:t>March 13, 2024</w:t>
            </w:r>
          </w:p>
        </w:tc>
      </w:tr>
      <w:tr>
        <w:trPr>
          <w:trHeight w:val="144"/>
        </w:trPr>
        <w:tc>
          <w:tcPr>
            <w:tcW w:w="40" w:type="dxa"/>
            <w:vAlign w:val="bottom"/>
          </w:tcPr>
          <w:p>
            <w:pPr>
              <w:spacing w:after="0"/>
              <w:rPr>
                <w:sz w:val="12"/>
                <w:szCs w:val="12"/>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Richard Nelson</w:t>
            </w:r>
          </w:p>
        </w:tc>
        <w:tc>
          <w:tcPr>
            <w:tcW w:w="3220" w:type="dxa"/>
            <w:vAlign w:val="bottom"/>
          </w:tcPr>
          <w:p>
            <w:pPr>
              <w:spacing w:after="0"/>
              <w:rPr>
                <w:sz w:val="12"/>
                <w:szCs w:val="12"/>
                <w:color w:val="auto"/>
              </w:rPr>
            </w:pPr>
          </w:p>
        </w:tc>
        <w:tc>
          <w:tcPr>
            <w:tcW w:w="5820" w:type="dxa"/>
            <w:vAlign w:val="bottom"/>
          </w:tcPr>
          <w:p>
            <w:pPr>
              <w:spacing w:after="0"/>
              <w:rPr>
                <w:sz w:val="12"/>
                <w:szCs w:val="12"/>
                <w:color w:val="auto"/>
              </w:rPr>
            </w:pPr>
          </w:p>
        </w:tc>
      </w:tr>
      <w:tr>
        <w:trPr>
          <w:trHeight w:val="259"/>
        </w:trPr>
        <w:tc>
          <w:tcPr>
            <w:tcW w:w="40" w:type="dxa"/>
            <w:vAlign w:val="bottom"/>
          </w:tcPr>
          <w:p>
            <w:pPr>
              <w:spacing w:after="0"/>
              <w:rPr>
                <w:sz w:val="22"/>
                <w:szCs w:val="22"/>
                <w:color w:val="auto"/>
              </w:rPr>
            </w:pPr>
          </w:p>
        </w:tc>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Fahed Al Marzooqi</w:t>
            </w:r>
          </w:p>
        </w:tc>
        <w:tc>
          <w:tcPr>
            <w:tcW w:w="3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Director</w:t>
            </w:r>
          </w:p>
        </w:tc>
        <w:tc>
          <w:tcPr>
            <w:tcW w:w="5820" w:type="dxa"/>
            <w:vAlign w:val="bottom"/>
          </w:tcPr>
          <w:p>
            <w:pPr>
              <w:ind w:left="5000"/>
              <w:spacing w:after="0"/>
              <w:rPr>
                <w:sz w:val="20"/>
                <w:szCs w:val="20"/>
                <w:color w:val="auto"/>
              </w:rPr>
            </w:pPr>
            <w:r>
              <w:rPr>
                <w:rFonts w:ascii="Times New Roman" w:cs="Times New Roman" w:eastAsia="Times New Roman" w:hAnsi="Times New Roman"/>
                <w:sz w:val="12"/>
                <w:szCs w:val="12"/>
                <w:color w:val="auto"/>
              </w:rPr>
              <w:t>March 13, 2024</w:t>
            </w:r>
          </w:p>
        </w:tc>
      </w:tr>
      <w:tr>
        <w:trPr>
          <w:trHeight w:val="144"/>
        </w:trPr>
        <w:tc>
          <w:tcPr>
            <w:tcW w:w="40" w:type="dxa"/>
            <w:vAlign w:val="bottom"/>
          </w:tcPr>
          <w:p>
            <w:pPr>
              <w:spacing w:after="0"/>
              <w:rPr>
                <w:sz w:val="12"/>
                <w:szCs w:val="12"/>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Fahed Al Marzooqi</w:t>
            </w:r>
          </w:p>
        </w:tc>
        <w:tc>
          <w:tcPr>
            <w:tcW w:w="3220" w:type="dxa"/>
            <w:vAlign w:val="bottom"/>
          </w:tcPr>
          <w:p>
            <w:pPr>
              <w:spacing w:after="0"/>
              <w:rPr>
                <w:sz w:val="12"/>
                <w:szCs w:val="12"/>
                <w:color w:val="auto"/>
              </w:rPr>
            </w:pPr>
          </w:p>
        </w:tc>
        <w:tc>
          <w:tcPr>
            <w:tcW w:w="5820" w:type="dxa"/>
            <w:vAlign w:val="bottom"/>
          </w:tcPr>
          <w:p>
            <w:pPr>
              <w:spacing w:after="0"/>
              <w:rPr>
                <w:sz w:val="12"/>
                <w:szCs w:val="12"/>
                <w:color w:val="auto"/>
              </w:rPr>
            </w:pPr>
          </w:p>
        </w:tc>
      </w:tr>
      <w:tr>
        <w:trPr>
          <w:trHeight w:val="331"/>
        </w:trPr>
        <w:tc>
          <w:tcPr>
            <w:tcW w:w="40" w:type="dxa"/>
            <w:vAlign w:val="bottom"/>
          </w:tcPr>
          <w:p>
            <w:pPr>
              <w:spacing w:after="0"/>
              <w:rPr>
                <w:sz w:val="24"/>
                <w:szCs w:val="24"/>
                <w:color w:val="auto"/>
              </w:rPr>
            </w:pPr>
          </w:p>
        </w:tc>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Raymond Cheong</w:t>
            </w:r>
          </w:p>
        </w:tc>
        <w:tc>
          <w:tcPr>
            <w:tcW w:w="3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Director</w:t>
            </w:r>
          </w:p>
        </w:tc>
        <w:tc>
          <w:tcPr>
            <w:tcW w:w="5820" w:type="dxa"/>
            <w:vAlign w:val="bottom"/>
          </w:tcPr>
          <w:p>
            <w:pPr>
              <w:ind w:left="5000"/>
              <w:spacing w:after="0"/>
              <w:rPr>
                <w:sz w:val="20"/>
                <w:szCs w:val="20"/>
                <w:color w:val="auto"/>
              </w:rPr>
            </w:pPr>
            <w:r>
              <w:rPr>
                <w:rFonts w:ascii="Times New Roman" w:cs="Times New Roman" w:eastAsia="Times New Roman" w:hAnsi="Times New Roman"/>
                <w:sz w:val="12"/>
                <w:szCs w:val="12"/>
                <w:color w:val="auto"/>
              </w:rPr>
              <w:t>March 13, 2024</w:t>
            </w:r>
          </w:p>
        </w:tc>
      </w:tr>
      <w:tr>
        <w:trPr>
          <w:trHeight w:val="144"/>
        </w:trPr>
        <w:tc>
          <w:tcPr>
            <w:tcW w:w="40" w:type="dxa"/>
            <w:vAlign w:val="bottom"/>
          </w:tcPr>
          <w:p>
            <w:pPr>
              <w:spacing w:after="0"/>
              <w:rPr>
                <w:sz w:val="12"/>
                <w:szCs w:val="12"/>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Raymond Cheong</w:t>
            </w:r>
          </w:p>
        </w:tc>
        <w:tc>
          <w:tcPr>
            <w:tcW w:w="3220" w:type="dxa"/>
            <w:vAlign w:val="bottom"/>
          </w:tcPr>
          <w:p>
            <w:pPr>
              <w:spacing w:after="0"/>
              <w:rPr>
                <w:sz w:val="12"/>
                <w:szCs w:val="12"/>
                <w:color w:val="auto"/>
              </w:rPr>
            </w:pPr>
          </w:p>
        </w:tc>
        <w:tc>
          <w:tcPr>
            <w:tcW w:w="5820" w:type="dxa"/>
            <w:vAlign w:val="bottom"/>
          </w:tcPr>
          <w:p>
            <w:pPr>
              <w:spacing w:after="0"/>
              <w:rPr>
                <w:sz w:val="12"/>
                <w:szCs w:val="12"/>
                <w:color w:val="auto"/>
              </w:rPr>
            </w:pPr>
          </w:p>
        </w:tc>
      </w:tr>
      <w:tr>
        <w:trPr>
          <w:trHeight w:val="331"/>
        </w:trPr>
        <w:tc>
          <w:tcPr>
            <w:tcW w:w="40" w:type="dxa"/>
            <w:vAlign w:val="bottom"/>
          </w:tcPr>
          <w:p>
            <w:pPr>
              <w:spacing w:after="0"/>
              <w:rPr>
                <w:sz w:val="24"/>
                <w:szCs w:val="24"/>
                <w:color w:val="auto"/>
              </w:rPr>
            </w:pPr>
          </w:p>
        </w:tc>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Srinivas Akkaraju</w:t>
            </w:r>
          </w:p>
        </w:tc>
        <w:tc>
          <w:tcPr>
            <w:tcW w:w="3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Director</w:t>
            </w:r>
          </w:p>
        </w:tc>
        <w:tc>
          <w:tcPr>
            <w:tcW w:w="5820" w:type="dxa"/>
            <w:vAlign w:val="bottom"/>
          </w:tcPr>
          <w:p>
            <w:pPr>
              <w:ind w:left="5000"/>
              <w:spacing w:after="0"/>
              <w:rPr>
                <w:sz w:val="20"/>
                <w:szCs w:val="20"/>
                <w:color w:val="auto"/>
              </w:rPr>
            </w:pPr>
            <w:r>
              <w:rPr>
                <w:rFonts w:ascii="Times New Roman" w:cs="Times New Roman" w:eastAsia="Times New Roman" w:hAnsi="Times New Roman"/>
                <w:sz w:val="12"/>
                <w:szCs w:val="12"/>
                <w:color w:val="auto"/>
              </w:rPr>
              <w:t>March 13, 2024</w:t>
            </w:r>
          </w:p>
        </w:tc>
      </w:tr>
      <w:tr>
        <w:trPr>
          <w:trHeight w:val="144"/>
        </w:trPr>
        <w:tc>
          <w:tcPr>
            <w:tcW w:w="40" w:type="dxa"/>
            <w:vAlign w:val="bottom"/>
          </w:tcPr>
          <w:p>
            <w:pPr>
              <w:spacing w:after="0"/>
              <w:rPr>
                <w:sz w:val="12"/>
                <w:szCs w:val="12"/>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Srinivas Akkaraju</w:t>
            </w:r>
          </w:p>
        </w:tc>
        <w:tc>
          <w:tcPr>
            <w:tcW w:w="3220" w:type="dxa"/>
            <w:vAlign w:val="bottom"/>
          </w:tcPr>
          <w:p>
            <w:pPr>
              <w:spacing w:after="0"/>
              <w:rPr>
                <w:sz w:val="12"/>
                <w:szCs w:val="12"/>
                <w:color w:val="auto"/>
              </w:rPr>
            </w:pPr>
          </w:p>
        </w:tc>
        <w:tc>
          <w:tcPr>
            <w:tcW w:w="5820" w:type="dxa"/>
            <w:vAlign w:val="bottom"/>
          </w:tcPr>
          <w:p>
            <w:pPr>
              <w:spacing w:after="0"/>
              <w:rPr>
                <w:sz w:val="12"/>
                <w:szCs w:val="12"/>
                <w:color w:val="auto"/>
              </w:rPr>
            </w:pPr>
          </w:p>
        </w:tc>
      </w:tr>
      <w:tr>
        <w:trPr>
          <w:trHeight w:val="709"/>
        </w:trPr>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8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73</w:t>
            </w:r>
          </w:p>
        </w:tc>
      </w:tr>
      <w:tr>
        <w:trPr>
          <w:trHeight w:val="63"/>
        </w:trPr>
        <w:tc>
          <w:tcPr>
            <w:tcW w:w="40" w:type="dxa"/>
            <w:vAlign w:val="bottom"/>
            <w:tcBorders>
              <w:bottom w:val="single" w:sz="8" w:color="9A9A9A"/>
            </w:tcBorders>
          </w:tcPr>
          <w:p>
            <w:pPr>
              <w:spacing w:after="0"/>
              <w:rPr>
                <w:sz w:val="5"/>
                <w:szCs w:val="5"/>
                <w:color w:val="auto"/>
              </w:rPr>
            </w:pPr>
          </w:p>
        </w:tc>
        <w:tc>
          <w:tcPr>
            <w:tcW w:w="2220" w:type="dxa"/>
            <w:vAlign w:val="bottom"/>
            <w:tcBorders>
              <w:bottom w:val="single" w:sz="8" w:color="9A9A9A"/>
            </w:tcBorders>
          </w:tcPr>
          <w:p>
            <w:pPr>
              <w:spacing w:after="0"/>
              <w:rPr>
                <w:sz w:val="5"/>
                <w:szCs w:val="5"/>
                <w:color w:val="auto"/>
              </w:rPr>
            </w:pPr>
          </w:p>
        </w:tc>
        <w:tc>
          <w:tcPr>
            <w:tcW w:w="3220" w:type="dxa"/>
            <w:vAlign w:val="bottom"/>
            <w:tcBorders>
              <w:bottom w:val="single" w:sz="8" w:color="9A9A9A"/>
            </w:tcBorders>
          </w:tcPr>
          <w:p>
            <w:pPr>
              <w:spacing w:after="0"/>
              <w:rPr>
                <w:sz w:val="5"/>
                <w:szCs w:val="5"/>
                <w:color w:val="auto"/>
              </w:rPr>
            </w:pPr>
          </w:p>
        </w:tc>
        <w:tc>
          <w:tcPr>
            <w:tcW w:w="582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INDEX TO FINANCIAL STATEMENTS</w:t>
      </w:r>
    </w:p>
    <w:p>
      <w:pPr>
        <w:spacing w:after="0" w:line="103" w:lineRule="exact"/>
        <w:rPr>
          <w:sz w:val="20"/>
          <w:szCs w:val="20"/>
          <w:color w:val="auto"/>
        </w:rPr>
      </w:pPr>
    </w:p>
    <w:tbl>
      <w:tblPr>
        <w:tblLayout w:type="fixed"/>
        <w:tblInd w:w="100" w:type="dxa"/>
        <w:tblCellMar>
          <w:top w:w="0" w:type="dxa"/>
          <w:left w:w="0" w:type="dxa"/>
          <w:bottom w:w="0" w:type="dxa"/>
          <w:right w:w="0" w:type="dxa"/>
        </w:tblCellMar>
      </w:tblPr>
      <w:tr>
        <w:trPr>
          <w:trHeight w:val="131"/>
        </w:trPr>
        <w:tc>
          <w:tcPr>
            <w:tcW w:w="2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6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0"/>
                <w:szCs w:val="10"/>
                <w:b w:val="1"/>
                <w:bCs w:val="1"/>
                <w:color w:val="auto"/>
              </w:rPr>
              <w:t>Page</w:t>
            </w:r>
          </w:p>
        </w:tc>
      </w:tr>
      <w:tr>
        <w:trPr>
          <w:trHeight w:val="297"/>
        </w:trPr>
        <w:tc>
          <w:tcPr>
            <w:tcW w:w="10420" w:type="dxa"/>
            <w:vAlign w:val="bottom"/>
            <w:gridSpan w:val="15"/>
          </w:tcPr>
          <w:p>
            <w:pPr>
              <w:spacing w:after="0"/>
              <w:rPr>
                <w:sz w:val="20"/>
                <w:szCs w:val="20"/>
                <w:color w:val="auto"/>
              </w:rPr>
            </w:pPr>
            <w:r>
              <w:rPr>
                <w:rFonts w:ascii="Times New Roman" w:cs="Times New Roman" w:eastAsia="Times New Roman" w:hAnsi="Times New Roman"/>
                <w:sz w:val="12"/>
                <w:szCs w:val="12"/>
                <w:b w:val="1"/>
                <w:bCs w:val="1"/>
                <w:color w:val="0000FF"/>
              </w:rPr>
              <w:t xml:space="preserve">Report of Independent Registered Public Accounting Firm </w:t>
            </w:r>
            <w:r>
              <w:rPr>
                <w:rFonts w:ascii="Times New Roman" w:cs="Times New Roman" w:eastAsia="Times New Roman" w:hAnsi="Times New Roman"/>
                <w:sz w:val="12"/>
                <w:szCs w:val="12"/>
                <w:b w:val="1"/>
                <w:bCs w:val="1"/>
                <w:color w:val="000000"/>
              </w:rPr>
              <w:t>PCAOB ID No. (42</w:t>
            </w:r>
            <w:r>
              <w:rPr>
                <w:rFonts w:ascii="Times New Roman" w:cs="Times New Roman" w:eastAsia="Times New Roman" w:hAnsi="Times New Roman"/>
                <w:sz w:val="12"/>
                <w:szCs w:val="12"/>
                <w:b w:val="1"/>
                <w:bCs w:val="1"/>
                <w:u w:val="single" w:color="auto"/>
                <w:color w:val="000000"/>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2"/>
                <w:szCs w:val="12"/>
                <w:color w:val="auto"/>
                <w:w w:val="95"/>
              </w:rPr>
              <w:t>F-2</w:t>
            </w:r>
          </w:p>
        </w:tc>
      </w:tr>
      <w:tr>
        <w:trPr>
          <w:trHeight w:val="338"/>
        </w:trPr>
        <w:tc>
          <w:tcPr>
            <w:tcW w:w="30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2"/>
                <w:szCs w:val="12"/>
                <w:b w:val="1"/>
                <w:bCs w:val="1"/>
                <w:color w:val="auto"/>
              </w:rPr>
              <w:t>Financial Statements:</w:t>
            </w:r>
          </w:p>
        </w:tc>
        <w:tc>
          <w:tcPr>
            <w:tcW w:w="860" w:type="dxa"/>
            <w:vAlign w:val="bottom"/>
            <w:tcBorders>
              <w:top w:val="single" w:sz="8" w:color="auto"/>
            </w:tcBorders>
            <w:gridSpan w:val="3"/>
          </w:tcPr>
          <w:p>
            <w:pPr>
              <w:spacing w:after="0"/>
              <w:rPr>
                <w:sz w:val="24"/>
                <w:szCs w:val="24"/>
                <w:color w:val="auto"/>
              </w:rPr>
            </w:pPr>
          </w:p>
        </w:tc>
        <w:tc>
          <w:tcPr>
            <w:tcW w:w="6520" w:type="dxa"/>
            <w:vAlign w:val="bottom"/>
            <w:gridSpan w:val="7"/>
          </w:tcPr>
          <w:p>
            <w:pPr>
              <w:spacing w:after="0"/>
              <w:rPr>
                <w:sz w:val="24"/>
                <w:szCs w:val="24"/>
                <w:color w:val="auto"/>
              </w:rPr>
            </w:pPr>
          </w:p>
        </w:tc>
        <w:tc>
          <w:tcPr>
            <w:tcW w:w="680" w:type="dxa"/>
            <w:vAlign w:val="bottom"/>
          </w:tcPr>
          <w:p>
            <w:pPr>
              <w:spacing w:after="0"/>
              <w:rPr>
                <w:sz w:val="24"/>
                <w:szCs w:val="24"/>
                <w:color w:val="auto"/>
              </w:rPr>
            </w:pPr>
          </w:p>
        </w:tc>
      </w:tr>
      <w:tr>
        <w:trPr>
          <w:trHeight w:val="128"/>
        </w:trPr>
        <w:tc>
          <w:tcPr>
            <w:tcW w:w="280" w:type="dxa"/>
            <w:vAlign w:val="bottom"/>
          </w:tcPr>
          <w:p>
            <w:pPr>
              <w:spacing w:after="0"/>
              <w:rPr>
                <w:sz w:val="11"/>
                <w:szCs w:val="11"/>
                <w:color w:val="auto"/>
              </w:rPr>
            </w:pPr>
          </w:p>
        </w:tc>
        <w:tc>
          <w:tcPr>
            <w:tcW w:w="10140" w:type="dxa"/>
            <w:vAlign w:val="bottom"/>
            <w:gridSpan w:val="14"/>
          </w:tcPr>
          <w:p>
            <w:pPr>
              <w:spacing w:after="0" w:line="128" w:lineRule="exact"/>
              <w:rPr>
                <w:sz w:val="20"/>
                <w:szCs w:val="20"/>
                <w:color w:val="auto"/>
              </w:rPr>
            </w:pPr>
            <w:r>
              <w:rPr>
                <w:rFonts w:ascii="Times New Roman" w:cs="Times New Roman" w:eastAsia="Times New Roman" w:hAnsi="Times New Roman"/>
                <w:sz w:val="12"/>
                <w:szCs w:val="12"/>
                <w:color w:val="0000FF"/>
              </w:rPr>
              <w:t>Consolidated Balance Sheets as of December 31, 2023 and 2022</w:t>
            </w:r>
          </w:p>
        </w:tc>
        <w:tc>
          <w:tcPr>
            <w:tcW w:w="680" w:type="dxa"/>
            <w:vAlign w:val="bottom"/>
          </w:tcPr>
          <w:p>
            <w:pPr>
              <w:ind w:left="500"/>
              <w:spacing w:after="0" w:line="128" w:lineRule="exact"/>
              <w:rPr>
                <w:sz w:val="20"/>
                <w:szCs w:val="20"/>
                <w:color w:val="auto"/>
              </w:rPr>
            </w:pPr>
            <w:r>
              <w:rPr>
                <w:rFonts w:ascii="Times New Roman" w:cs="Times New Roman" w:eastAsia="Times New Roman" w:hAnsi="Times New Roman"/>
                <w:sz w:val="12"/>
                <w:szCs w:val="12"/>
                <w:color w:val="auto"/>
                <w:w w:val="95"/>
              </w:rPr>
              <w:t>F-4</w:t>
            </w:r>
          </w:p>
        </w:tc>
      </w:tr>
      <w:tr>
        <w:trPr>
          <w:trHeight w:val="20"/>
        </w:trPr>
        <w:tc>
          <w:tcPr>
            <w:tcW w:w="28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33"/>
        </w:trPr>
        <w:tc>
          <w:tcPr>
            <w:tcW w:w="280" w:type="dxa"/>
            <w:vAlign w:val="bottom"/>
          </w:tcPr>
          <w:p>
            <w:pPr>
              <w:spacing w:after="0"/>
              <w:rPr>
                <w:sz w:val="11"/>
                <w:szCs w:val="11"/>
                <w:color w:val="auto"/>
              </w:rPr>
            </w:pPr>
          </w:p>
        </w:tc>
        <w:tc>
          <w:tcPr>
            <w:tcW w:w="10140" w:type="dxa"/>
            <w:vAlign w:val="bottom"/>
            <w:gridSpan w:val="14"/>
          </w:tcPr>
          <w:p>
            <w:pPr>
              <w:spacing w:after="0" w:line="133" w:lineRule="exact"/>
              <w:rPr>
                <w:sz w:val="20"/>
                <w:szCs w:val="20"/>
                <w:color w:val="auto"/>
              </w:rPr>
            </w:pPr>
            <w:r>
              <w:rPr>
                <w:rFonts w:ascii="Times New Roman" w:cs="Times New Roman" w:eastAsia="Times New Roman" w:hAnsi="Times New Roman"/>
                <w:sz w:val="12"/>
                <w:szCs w:val="12"/>
                <w:color w:val="0000FF"/>
              </w:rPr>
              <w:t xml:space="preserve">Consolidated Statements of Operations for the Years Ended </w:t>
            </w:r>
            <w:r>
              <w:rPr>
                <w:rFonts w:ascii="Times New Roman" w:cs="Times New Roman" w:eastAsia="Times New Roman" w:hAnsi="Times New Roman"/>
                <w:sz w:val="12"/>
                <w:szCs w:val="12"/>
                <w:color w:val="000000"/>
              </w:rPr>
              <w:t>December 31, 2023</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2022</w:t>
            </w:r>
            <w:r>
              <w:rPr>
                <w:rFonts w:ascii="Times New Roman" w:cs="Times New Roman" w:eastAsia="Times New Roman" w:hAnsi="Times New Roman"/>
                <w:sz w:val="12"/>
                <w:szCs w:val="12"/>
                <w:color w:val="0000FF"/>
              </w:rPr>
              <w:t xml:space="preserve"> and </w:t>
            </w:r>
            <w:r>
              <w:rPr>
                <w:rFonts w:ascii="Times New Roman" w:cs="Times New Roman" w:eastAsia="Times New Roman" w:hAnsi="Times New Roman"/>
                <w:sz w:val="12"/>
                <w:szCs w:val="12"/>
                <w:color w:val="000000"/>
              </w:rPr>
              <w:t>2021</w:t>
            </w:r>
          </w:p>
        </w:tc>
        <w:tc>
          <w:tcPr>
            <w:tcW w:w="680" w:type="dxa"/>
            <w:vAlign w:val="bottom"/>
          </w:tcPr>
          <w:p>
            <w:pPr>
              <w:ind w:left="500"/>
              <w:spacing w:after="0" w:line="133" w:lineRule="exact"/>
              <w:rPr>
                <w:sz w:val="20"/>
                <w:szCs w:val="20"/>
                <w:color w:val="auto"/>
              </w:rPr>
            </w:pPr>
            <w:r>
              <w:rPr>
                <w:rFonts w:ascii="Times New Roman" w:cs="Times New Roman" w:eastAsia="Times New Roman" w:hAnsi="Times New Roman"/>
                <w:sz w:val="12"/>
                <w:szCs w:val="12"/>
                <w:color w:val="auto"/>
                <w:w w:val="95"/>
              </w:rPr>
              <w:t>F-5</w:t>
            </w:r>
          </w:p>
        </w:tc>
      </w:tr>
      <w:tr>
        <w:trPr>
          <w:trHeight w:val="20"/>
        </w:trPr>
        <w:tc>
          <w:tcPr>
            <w:tcW w:w="28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right w:val="single" w:sz="8" w:color="0000FF"/>
            </w:tcBorders>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33"/>
        </w:trPr>
        <w:tc>
          <w:tcPr>
            <w:tcW w:w="280" w:type="dxa"/>
            <w:vAlign w:val="bottom"/>
          </w:tcPr>
          <w:p>
            <w:pPr>
              <w:spacing w:after="0"/>
              <w:rPr>
                <w:sz w:val="11"/>
                <w:szCs w:val="11"/>
                <w:color w:val="auto"/>
              </w:rPr>
            </w:pPr>
          </w:p>
        </w:tc>
        <w:tc>
          <w:tcPr>
            <w:tcW w:w="10140" w:type="dxa"/>
            <w:vAlign w:val="bottom"/>
            <w:gridSpan w:val="14"/>
          </w:tcPr>
          <w:p>
            <w:pPr>
              <w:spacing w:after="0" w:line="133" w:lineRule="exact"/>
              <w:rPr>
                <w:sz w:val="20"/>
                <w:szCs w:val="20"/>
                <w:color w:val="auto"/>
              </w:rPr>
            </w:pPr>
            <w:r>
              <w:rPr>
                <w:rFonts w:ascii="Times New Roman" w:cs="Times New Roman" w:eastAsia="Times New Roman" w:hAnsi="Times New Roman"/>
                <w:sz w:val="12"/>
                <w:szCs w:val="12"/>
                <w:color w:val="0000FF"/>
              </w:rPr>
              <w:t xml:space="preserve">Consolidated Statements of Changes in Redeemable Noncontrolling Interest and Stockholders’ Deficit for the Years Ended </w:t>
            </w:r>
            <w:r>
              <w:rPr>
                <w:rFonts w:ascii="Times New Roman" w:cs="Times New Roman" w:eastAsia="Times New Roman" w:hAnsi="Times New Roman"/>
                <w:sz w:val="12"/>
                <w:szCs w:val="12"/>
                <w:color w:val="000000"/>
              </w:rPr>
              <w:t>December 31, 2023</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2022</w:t>
            </w:r>
            <w:r>
              <w:rPr>
                <w:rFonts w:ascii="Times New Roman" w:cs="Times New Roman" w:eastAsia="Times New Roman" w:hAnsi="Times New Roman"/>
                <w:sz w:val="12"/>
                <w:szCs w:val="12"/>
                <w:color w:val="0000FF"/>
              </w:rPr>
              <w:t xml:space="preserve"> and </w:t>
            </w:r>
            <w:r>
              <w:rPr>
                <w:rFonts w:ascii="Times New Roman" w:cs="Times New Roman" w:eastAsia="Times New Roman" w:hAnsi="Times New Roman"/>
                <w:sz w:val="12"/>
                <w:szCs w:val="12"/>
                <w:color w:val="000000"/>
              </w:rPr>
              <w:t>2021</w:t>
            </w:r>
          </w:p>
        </w:tc>
        <w:tc>
          <w:tcPr>
            <w:tcW w:w="680" w:type="dxa"/>
            <w:vAlign w:val="bottom"/>
          </w:tcPr>
          <w:p>
            <w:pPr>
              <w:ind w:left="500"/>
              <w:spacing w:after="0" w:line="133" w:lineRule="exact"/>
              <w:rPr>
                <w:sz w:val="20"/>
                <w:szCs w:val="20"/>
                <w:color w:val="auto"/>
              </w:rPr>
            </w:pPr>
            <w:r>
              <w:rPr>
                <w:rFonts w:ascii="Times New Roman" w:cs="Times New Roman" w:eastAsia="Times New Roman" w:hAnsi="Times New Roman"/>
                <w:sz w:val="12"/>
                <w:szCs w:val="12"/>
                <w:color w:val="auto"/>
                <w:w w:val="95"/>
              </w:rPr>
              <w:t>F-6</w:t>
            </w:r>
          </w:p>
        </w:tc>
      </w:tr>
      <w:tr>
        <w:trPr>
          <w:trHeight w:val="133"/>
        </w:trPr>
        <w:tc>
          <w:tcPr>
            <w:tcW w:w="280" w:type="dxa"/>
            <w:vAlign w:val="bottom"/>
          </w:tcPr>
          <w:p>
            <w:pPr>
              <w:spacing w:after="0"/>
              <w:rPr>
                <w:sz w:val="11"/>
                <w:szCs w:val="11"/>
                <w:color w:val="auto"/>
              </w:rPr>
            </w:pPr>
          </w:p>
        </w:tc>
        <w:tc>
          <w:tcPr>
            <w:tcW w:w="7400" w:type="dxa"/>
            <w:vAlign w:val="bottom"/>
            <w:tcBorders>
              <w:top w:val="single" w:sz="8" w:color="0000FF"/>
            </w:tcBorders>
            <w:gridSpan w:val="13"/>
          </w:tcPr>
          <w:p>
            <w:pPr>
              <w:spacing w:after="0" w:line="133" w:lineRule="exact"/>
              <w:rPr>
                <w:sz w:val="20"/>
                <w:szCs w:val="20"/>
                <w:color w:val="auto"/>
              </w:rPr>
            </w:pPr>
            <w:r>
              <w:rPr>
                <w:rFonts w:ascii="Times New Roman" w:cs="Times New Roman" w:eastAsia="Times New Roman" w:hAnsi="Times New Roman"/>
                <w:sz w:val="12"/>
                <w:szCs w:val="12"/>
                <w:color w:val="0000FF"/>
              </w:rPr>
              <w:t xml:space="preserve">Consolidated Statements of Cash Flows for the Years Ended </w:t>
            </w:r>
            <w:r>
              <w:rPr>
                <w:rFonts w:ascii="Times New Roman" w:cs="Times New Roman" w:eastAsia="Times New Roman" w:hAnsi="Times New Roman"/>
                <w:sz w:val="12"/>
                <w:szCs w:val="12"/>
                <w:color w:val="000000"/>
              </w:rPr>
              <w:t>December 31, 2023</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2022</w:t>
            </w:r>
            <w:r>
              <w:rPr>
                <w:rFonts w:ascii="Times New Roman" w:cs="Times New Roman" w:eastAsia="Times New Roman" w:hAnsi="Times New Roman"/>
                <w:sz w:val="12"/>
                <w:szCs w:val="12"/>
                <w:color w:val="0000FF"/>
              </w:rPr>
              <w:t xml:space="preserve"> and </w:t>
            </w:r>
            <w:r>
              <w:rPr>
                <w:rFonts w:ascii="Times New Roman" w:cs="Times New Roman" w:eastAsia="Times New Roman" w:hAnsi="Times New Roman"/>
                <w:sz w:val="12"/>
                <w:szCs w:val="12"/>
                <w:color w:val="000000"/>
              </w:rPr>
              <w:t>2021</w:t>
            </w:r>
          </w:p>
        </w:tc>
        <w:tc>
          <w:tcPr>
            <w:tcW w:w="2740" w:type="dxa"/>
            <w:vAlign w:val="bottom"/>
          </w:tcPr>
          <w:p>
            <w:pPr>
              <w:spacing w:after="0"/>
              <w:rPr>
                <w:sz w:val="11"/>
                <w:szCs w:val="11"/>
                <w:color w:val="auto"/>
              </w:rPr>
            </w:pPr>
          </w:p>
        </w:tc>
        <w:tc>
          <w:tcPr>
            <w:tcW w:w="680" w:type="dxa"/>
            <w:vAlign w:val="bottom"/>
          </w:tcPr>
          <w:p>
            <w:pPr>
              <w:ind w:left="500"/>
              <w:spacing w:after="0" w:line="133" w:lineRule="exact"/>
              <w:rPr>
                <w:sz w:val="20"/>
                <w:szCs w:val="20"/>
                <w:color w:val="auto"/>
              </w:rPr>
            </w:pPr>
            <w:r>
              <w:rPr>
                <w:rFonts w:ascii="Times New Roman" w:cs="Times New Roman" w:eastAsia="Times New Roman" w:hAnsi="Times New Roman"/>
                <w:sz w:val="12"/>
                <w:szCs w:val="12"/>
                <w:color w:val="auto"/>
                <w:w w:val="95"/>
              </w:rPr>
              <w:t>F-7</w:t>
            </w:r>
          </w:p>
        </w:tc>
      </w:tr>
      <w:tr>
        <w:trPr>
          <w:trHeight w:val="20"/>
        </w:trPr>
        <w:tc>
          <w:tcPr>
            <w:tcW w:w="28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3"/>
        </w:trPr>
        <w:tc>
          <w:tcPr>
            <w:tcW w:w="2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b w:val="1"/>
                <w:bCs w:val="1"/>
                <w:color w:val="0000FF"/>
                <w:w w:val="99"/>
              </w:rPr>
              <w:t>Notes to Consolidated Financial Statements</w:t>
            </w:r>
          </w:p>
        </w:tc>
        <w:tc>
          <w:tcPr>
            <w:tcW w:w="8180" w:type="dxa"/>
            <w:vAlign w:val="bottom"/>
            <w:gridSpan w:val="12"/>
          </w:tcPr>
          <w:p>
            <w:pPr>
              <w:spacing w:after="0"/>
              <w:rPr>
                <w:sz w:val="24"/>
                <w:szCs w:val="24"/>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2"/>
                <w:szCs w:val="12"/>
                <w:color w:val="auto"/>
                <w:w w:val="95"/>
              </w:rPr>
              <w:t>F-8</w:t>
            </w:r>
          </w:p>
        </w:tc>
      </w:tr>
    </w:tbl>
    <w:p>
      <w:pPr>
        <w:spacing w:after="0" w:line="14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Annual Report on Form 10-K to the “Company”, “we”, “us” and “our” refer to vTv Therapeutics Inc. and its consolidated subsidiaries.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Shareholders and the Board of Directors of vTv Therapeutics Inc.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Opinion on the Financial Statements</w:t>
      </w:r>
    </w:p>
    <w:p>
      <w:pPr>
        <w:spacing w:after="0" w:line="10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sheets of vTv Therapeutics Inc. (the Company) as of December 31, 2023 and 2022, the related consolidated statements of operations, changes in redeemable noncontrolling interest and stockholders’ deficit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for Opinion</w:t>
      </w:r>
    </w:p>
    <w:p>
      <w:pPr>
        <w:spacing w:after="0" w:line="10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5" w:lineRule="exact"/>
        <w:rPr>
          <w:sz w:val="20"/>
          <w:szCs w:val="20"/>
          <w:color w:val="auto"/>
        </w:rPr>
      </w:pPr>
    </w:p>
    <w:p>
      <w:pPr>
        <w:jc w:val="both"/>
        <w:ind w:firstLine="324"/>
        <w:spacing w:after="0" w:line="280"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6"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333333"/>
        </w:rPr>
        <w:t>Critical Audit Matter</w:t>
      </w:r>
    </w:p>
    <w:p>
      <w:pPr>
        <w:spacing w:after="0" w:line="91"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9" w:right="29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2"/>
          <w:szCs w:val="12"/>
          <w:b w:val="1"/>
          <w:bCs w:val="1"/>
          <w:i w:val="1"/>
          <w:iCs w:val="1"/>
          <w:color w:val="333333"/>
        </w:rPr>
        <w:t>Accrued Development Costs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Description of the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i w:val="1"/>
          <w:iCs w:val="1"/>
          <w:color w:val="auto"/>
        </w:rPr>
        <w:t>How We Addressed</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i w:val="1"/>
          <w:iCs w:val="1"/>
          <w:color w:val="auto"/>
        </w:rPr>
        <w:t>the Matter in Our</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i w:val="1"/>
          <w:iCs w:val="1"/>
          <w:color w:val="auto"/>
        </w:rPr>
        <w:t>Audit</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Ernst &amp; Young LLP</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served as the Company’s auditor since 2000.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Raleigh, North Carolina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13, 2024</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2"/>
          <w:szCs w:val="12"/>
          <w:color w:val="auto"/>
        </w:rPr>
        <w:t>As discussed in Notes 2 and 8 to the consolidated financial statements, the Company has recorded $4.4 million of accrued development costs at December 31, 2023, which includes costs for clinical trial and contract manufacturing activities (together, clinical related activities) based upon estimates of expenses incurred through</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the balance sheet date that have yet to be invoiced by the contract research organizations, clinical study sites, contract manufacturing organizations, or other vendors (together, clinical vendors). This accrual process involves identifying services that have been performed and estimating the level of service performed and the associated cost when the Company has not yet been invoiced or otherwise notified of actual cost incurred.</w:t>
      </w:r>
    </w:p>
    <w:p>
      <w:pPr>
        <w:spacing w:after="0" w:line="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2"/>
          <w:szCs w:val="12"/>
          <w:color w:val="auto"/>
        </w:rPr>
        <w:t>Auditing the Company’s accrued development costs is judgmental because the timing and pattern of vendor invoicing may not correspond to the level of services provided and the estimate can incorporate significant assumptions such as expected patient enrollment, site activation, and estimated project duration.</w:t>
      </w:r>
    </w:p>
    <w:p>
      <w:pPr>
        <w:spacing w:after="0" w:line="170" w:lineRule="exact"/>
        <w:rPr>
          <w:sz w:val="20"/>
          <w:szCs w:val="20"/>
          <w:color w:val="auto"/>
        </w:rPr>
      </w:pPr>
    </w:p>
    <w:p>
      <w:pPr>
        <w:jc w:val="both"/>
        <w:ind w:left="20" w:right="40"/>
        <w:spacing w:after="0" w:line="221" w:lineRule="auto"/>
        <w:rPr>
          <w:sz w:val="20"/>
          <w:szCs w:val="20"/>
          <w:color w:val="auto"/>
        </w:rPr>
      </w:pPr>
      <w:r>
        <w:rPr>
          <w:rFonts w:ascii="Times New Roman" w:cs="Times New Roman" w:eastAsia="Times New Roman" w:hAnsi="Times New Roman"/>
          <w:sz w:val="12"/>
          <w:szCs w:val="12"/>
          <w:color w:val="auto"/>
        </w:rPr>
        <w:t>To evaluate the accrued development costs, our audit procedures included, among others, reading the Company’s contracts with clinical vendors (including pending change orders), testing the completeness and accuracy of the underlying data used in the estimate of the level of service provided, including evaluating the</w:t>
      </w:r>
    </w:p>
    <w:p>
      <w:pPr>
        <w:spacing w:after="0" w:line="1" w:lineRule="exact"/>
        <w:rPr>
          <w:sz w:val="20"/>
          <w:szCs w:val="20"/>
          <w:color w:val="auto"/>
        </w:rPr>
      </w:pPr>
    </w:p>
    <w:p>
      <w:pPr>
        <w:jc w:val="both"/>
        <w:ind w:left="20" w:right="20"/>
        <w:spacing w:after="0" w:line="208" w:lineRule="auto"/>
        <w:rPr>
          <w:sz w:val="20"/>
          <w:szCs w:val="20"/>
          <w:color w:val="auto"/>
        </w:rPr>
      </w:pPr>
      <w:r>
        <w:rPr>
          <w:rFonts w:ascii="Times New Roman" w:cs="Times New Roman" w:eastAsia="Times New Roman" w:hAnsi="Times New Roman"/>
          <w:sz w:val="12"/>
          <w:szCs w:val="12"/>
          <w:color w:val="auto"/>
        </w:rPr>
        <w:t>applicable significant assumptions as discussed above for the in-process contracts with clinical vendors. To assess the significant assumptions, we corroborated the progress of clinical related activities through inquiry with the Company’s operations personnel that oversee the clinical trials and contract manufacturing activities and with information obtained from third party clinical vendor invoices, as well as tested invoices received from clinical vendors subsequent to the balance sheet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-2163445</wp:posOffset>
            </wp:positionH>
            <wp:positionV relativeFrom="paragraph">
              <wp:posOffset>43815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3100" w:space="280"/>
            <w:col w:w="7900"/>
          </w:cols>
          <w:pgMar w:left="300" w:top="1061"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2"/>
          <w:szCs w:val="12"/>
          <w:b w:val="1"/>
          <w:bCs w:val="1"/>
          <w:color w:val="auto"/>
        </w:rPr>
        <w:t>vTv Therapeutics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(dollars in thousands, except per share and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60" w:type="dxa"/>
            <w:vAlign w:val="bottom"/>
          </w:tcPr>
          <w:p>
            <w:pPr>
              <w:spacing w:after="0"/>
              <w:rPr>
                <w:sz w:val="10"/>
                <w:szCs w:val="10"/>
                <w:color w:val="auto"/>
              </w:rPr>
            </w:pPr>
          </w:p>
        </w:tc>
        <w:tc>
          <w:tcPr>
            <w:tcW w:w="1200" w:type="dxa"/>
            <w:vAlign w:val="bottom"/>
          </w:tcPr>
          <w:p>
            <w:pPr>
              <w:jc w:val="right"/>
              <w:ind w:right="401"/>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9"/>
        </w:trPr>
        <w:tc>
          <w:tcPr>
            <w:tcW w:w="82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64"/>
        </w:trPr>
        <w:tc>
          <w:tcPr>
            <w:tcW w:w="8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Current assets:</w:t>
            </w: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3"/>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9,446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12,126</w:t>
            </w:r>
          </w:p>
        </w:tc>
      </w:tr>
      <w:tr>
        <w:trPr>
          <w:trHeight w:val="153"/>
        </w:trPr>
        <w:tc>
          <w:tcPr>
            <w:tcW w:w="82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Accounts receivable, net</w:t>
            </w: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173</w:t>
            </w:r>
          </w:p>
        </w:tc>
      </w:tr>
      <w:tr>
        <w:trPr>
          <w:trHeight w:val="153"/>
        </w:trPr>
        <w:tc>
          <w:tcPr>
            <w:tcW w:w="8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Promissory note receivable</w:t>
            </w:r>
          </w:p>
        </w:tc>
        <w:tc>
          <w:tcPr>
            <w:tcW w:w="2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12,243</w:t>
            </w:r>
          </w:p>
        </w:tc>
      </w:tr>
      <w:tr>
        <w:trPr>
          <w:trHeight w:val="153"/>
        </w:trPr>
        <w:tc>
          <w:tcPr>
            <w:tcW w:w="82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2,537</w:t>
            </w:r>
          </w:p>
        </w:tc>
      </w:tr>
      <w:tr>
        <w:trPr>
          <w:trHeight w:val="153"/>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Current deposits</w:t>
            </w: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w:t>
            </w:r>
          </w:p>
        </w:tc>
      </w:tr>
      <w:tr>
        <w:trPr>
          <w:trHeight w:val="142"/>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current assets</w:t>
            </w:r>
          </w:p>
        </w:tc>
        <w:tc>
          <w:tcPr>
            <w:tcW w:w="2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10,657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27,094</w:t>
            </w:r>
          </w:p>
        </w:tc>
      </w:tr>
      <w:tr>
        <w:trPr>
          <w:trHeight w:val="15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207</w:t>
            </w: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349</w:t>
            </w:r>
          </w:p>
        </w:tc>
      </w:tr>
      <w:tr>
        <w:trPr>
          <w:trHeight w:val="15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Long-term investments</w:t>
            </w:r>
          </w:p>
        </w:tc>
        <w:tc>
          <w:tcPr>
            <w:tcW w:w="2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5,588</w:t>
            </w:r>
          </w:p>
        </w:tc>
      </w:tr>
      <w:tr>
        <w:trPr>
          <w:trHeight w:val="158"/>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Total assets</w:t>
            </w: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11,018</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33,238</w:t>
            </w:r>
          </w:p>
        </w:tc>
      </w:tr>
      <w:tr>
        <w:trPr>
          <w:trHeight w:val="135"/>
        </w:trPr>
        <w:tc>
          <w:tcPr>
            <w:tcW w:w="8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Liabilities, Redeemable Noncontrolling Interest and Stockholders’ Deficit</w:t>
            </w: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Current liabilities:</w:t>
            </w: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3"/>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10,242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7,313</w:t>
            </w:r>
          </w:p>
        </w:tc>
      </w:tr>
      <w:tr>
        <w:trPr>
          <w:trHeight w:val="153"/>
        </w:trPr>
        <w:tc>
          <w:tcPr>
            <w:tcW w:w="82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portion of operating lease liabilities</w:t>
            </w: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154</w:t>
            </w:r>
          </w:p>
        </w:tc>
      </w:tr>
      <w:tr>
        <w:trPr>
          <w:trHeight w:val="153"/>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Current portion of contract liabilities</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w:t>
            </w:r>
          </w:p>
        </w:tc>
      </w:tr>
      <w:tr>
        <w:trPr>
          <w:trHeight w:val="153"/>
        </w:trPr>
        <w:tc>
          <w:tcPr>
            <w:tcW w:w="8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Current portion of notes payable</w:t>
            </w: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224</w:t>
            </w:r>
          </w:p>
        </w:tc>
      </w:tr>
      <w:tr>
        <w:trPr>
          <w:trHeight w:val="1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10,619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7,708</w:t>
            </w: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Contract liabilities, net of current portion</w:t>
            </w: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18,669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18,669</w:t>
            </w:r>
          </w:p>
        </w:tc>
      </w:tr>
      <w:tr>
        <w:trPr>
          <w:trHeight w:val="15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Operating lease liabilities, net of current portion</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338</w:t>
            </w:r>
          </w:p>
        </w:tc>
      </w:tr>
      <w:tr>
        <w:trPr>
          <w:trHeight w:val="15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Warrant liability, related party</w:t>
            </w: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684</w:t>
            </w:r>
          </w:p>
        </w:tc>
      </w:tr>
      <w:tr>
        <w:trPr>
          <w:trHeight w:val="1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liabilities</w:t>
            </w: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29,567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27,399</w:t>
            </w: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Commitments and contingencies</w:t>
            </w: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Redeemable noncontrolling interest</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16,579</w:t>
            </w: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Stockholders’ deficit:</w:t>
            </w: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3"/>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Class A common stock, $0.01 par value; 200,000,000 shares authorized and 2,084,973 outstanding as of December 31, 2023 and 2022 (*)</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21</w:t>
            </w:r>
          </w:p>
        </w:tc>
      </w:tr>
      <w:tr>
        <w:trPr>
          <w:trHeight w:val="153"/>
        </w:trPr>
        <w:tc>
          <w:tcPr>
            <w:tcW w:w="82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Class B common stock, $0.01 par value; 100,000,000 shares authorized, and 577,349 outstanding as of December 31, 2023 and 2022 (*)</w:t>
            </w: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w:t>
            </w:r>
          </w:p>
        </w:tc>
      </w:tr>
      <w:tr>
        <w:trPr>
          <w:trHeight w:val="153"/>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Additional paid-in capital (*)</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256,335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254,757</w:t>
            </w:r>
          </w:p>
        </w:tc>
      </w:tr>
      <w:tr>
        <w:trPr>
          <w:trHeight w:val="153"/>
        </w:trPr>
        <w:tc>
          <w:tcPr>
            <w:tcW w:w="8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Accumulated deficit</w:t>
            </w: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(281,042)</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(265,524)</w:t>
            </w:r>
          </w:p>
        </w:tc>
      </w:tr>
      <w:tr>
        <w:trPr>
          <w:trHeight w:val="1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stockholders’ deficit attributable to vTv Therapeutics Inc.</w:t>
            </w:r>
          </w:p>
        </w:tc>
        <w:tc>
          <w:tcPr>
            <w:tcW w:w="2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(24,680)</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(10,740)</w:t>
            </w:r>
          </w:p>
        </w:tc>
      </w:tr>
      <w:tr>
        <w:trPr>
          <w:trHeight w:val="158"/>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Total liabilities, redeemable noncontrolling interest and stockholders’ deficit</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11,018</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33,238</w:t>
            </w:r>
          </w:p>
        </w:tc>
      </w:tr>
      <w:tr>
        <w:trPr>
          <w:trHeight w:val="117"/>
        </w:trPr>
        <w:tc>
          <w:tcPr>
            <w:tcW w:w="8200" w:type="dxa"/>
            <w:vAlign w:val="bottom"/>
            <w:shd w:val="clear" w:color="auto" w:fill="CCEEFF"/>
          </w:tcPr>
          <w:p>
            <w:pPr>
              <w:ind w:left="20"/>
              <w:spacing w:after="0" w:line="106" w:lineRule="exact"/>
              <w:rPr>
                <w:sz w:val="20"/>
                <w:szCs w:val="20"/>
                <w:color w:val="auto"/>
              </w:rPr>
            </w:pPr>
            <w:r>
              <w:rPr>
                <w:rFonts w:ascii="Times New Roman" w:cs="Times New Roman" w:eastAsia="Times New Roman" w:hAnsi="Times New Roman"/>
                <w:sz w:val="10"/>
                <w:szCs w:val="10"/>
                <w:color w:val="auto"/>
              </w:rPr>
              <w:t>(*) Adjusted retroactively for reverse stock split, see Note 1</w:t>
            </w:r>
          </w:p>
        </w:tc>
        <w:tc>
          <w:tcPr>
            <w:tcW w:w="2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43815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40" w:top="773" w:right="359" w:bottom="1440" w:gutter="0" w:footer="0" w:header="0"/>
        </w:sectPr>
      </w:pPr>
    </w:p>
    <w:bookmarkStart w:id="77" w:name="page78"/>
    <w:bookmarkEnd w:id="7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vTv Therapeutics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per share and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Years Ending December 31,</w:t>
            </w: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43"/>
        </w:trPr>
        <w:tc>
          <w:tcPr>
            <w:tcW w:w="65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2023</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51"/>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880" w:type="dxa"/>
            <w:vAlign w:val="bottom"/>
            <w:shd w:val="clear" w:color="auto" w:fill="CCEEFF"/>
          </w:tcPr>
          <w:p>
            <w:pPr>
              <w:jc w:val="right"/>
              <w:ind w:right="76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2,018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4,005</w:t>
            </w:r>
          </w:p>
        </w:tc>
      </w:tr>
      <w:tr>
        <w:trPr>
          <w:trHeight w:val="153"/>
        </w:trPr>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Research and development</w:t>
            </w: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13,595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12,357</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13,324</w:t>
            </w:r>
          </w:p>
        </w:tc>
      </w:tr>
      <w:tr>
        <w:trPr>
          <w:trHeight w:val="153"/>
        </w:trPr>
        <w:tc>
          <w:tcPr>
            <w:tcW w:w="6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8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11,907</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12,201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12,343</w:t>
            </w:r>
          </w:p>
        </w:tc>
      </w:tr>
      <w:tr>
        <w:trPr>
          <w:trHeight w:val="142"/>
        </w:trPr>
        <w:tc>
          <w:tcPr>
            <w:tcW w:w="6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Total operating expenses</w:t>
            </w:r>
          </w:p>
        </w:tc>
        <w:tc>
          <w:tcPr>
            <w:tcW w:w="8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25,502</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24,558</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25,667</w:t>
            </w:r>
          </w:p>
        </w:tc>
      </w:tr>
      <w:tr>
        <w:trPr>
          <w:trHeight w:val="142"/>
        </w:trPr>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Operating loss</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(25,502)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(22,540)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(21,662)</w:t>
            </w:r>
          </w:p>
        </w:tc>
      </w:tr>
      <w:tr>
        <w:trPr>
          <w:trHeight w:val="15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(expense) income</w:t>
            </w: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2,448</w:t>
            </w:r>
          </w:p>
        </w:tc>
      </w:tr>
      <w:tr>
        <w:trPr>
          <w:trHeight w:val="153"/>
        </w:trPr>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 related party</w:t>
            </w:r>
          </w:p>
        </w:tc>
        <w:tc>
          <w:tcPr>
            <w:tcW w:w="8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946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1,609</w:t>
            </w:r>
          </w:p>
        </w:tc>
      </w:tr>
      <w:tr>
        <w:trPr>
          <w:trHeight w:val="15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352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w:t>
            </w:r>
          </w:p>
        </w:tc>
      </w:tr>
      <w:tr>
        <w:trPr>
          <w:trHeight w:val="153"/>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8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42"/>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before income taxes and noncontrolling interest</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(25,966)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(24,873)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(17,616)</w:t>
            </w:r>
          </w:p>
        </w:tc>
      </w:tr>
      <w:tr>
        <w:trPr>
          <w:trHeight w:val="153"/>
        </w:trPr>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Income tax provision</w:t>
            </w:r>
          </w:p>
        </w:tc>
        <w:tc>
          <w:tcPr>
            <w:tcW w:w="8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200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115</w:t>
            </w:r>
          </w:p>
        </w:tc>
      </w:tr>
      <w:tr>
        <w:trPr>
          <w:trHeight w:val="142"/>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before noncontrolling interest</w:t>
            </w:r>
          </w:p>
        </w:tc>
        <w:tc>
          <w:tcPr>
            <w:tcW w:w="8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(25,966)</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(25,073)</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(17,731)</w:t>
            </w:r>
          </w:p>
        </w:tc>
      </w:tr>
      <w:tr>
        <w:trPr>
          <w:trHeight w:val="153"/>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net loss attributable to noncontrolling interest</w:t>
            </w:r>
          </w:p>
        </w:tc>
        <w:tc>
          <w:tcPr>
            <w:tcW w:w="8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(5,716)</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(5,909)</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(4,744)</w:t>
            </w:r>
          </w:p>
        </w:tc>
      </w:tr>
      <w:tr>
        <w:trPr>
          <w:trHeight w:val="158"/>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attributable to vTv Therapeutics Inc.</w:t>
            </w:r>
          </w:p>
        </w:tc>
        <w:tc>
          <w:tcPr>
            <w:tcW w:w="880" w:type="dxa"/>
            <w:vAlign w:val="bottom"/>
            <w:tcBorders>
              <w:bottom w:val="single" w:sz="8" w:color="auto"/>
            </w:tcBorders>
            <w:shd w:val="clear" w:color="auto" w:fill="CCEEFF"/>
          </w:tcPr>
          <w:p>
            <w:pPr>
              <w:jc w:val="right"/>
              <w:ind w:right="76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(20,250)</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(19,164)</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(12,987)</w:t>
            </w:r>
          </w:p>
        </w:tc>
      </w:tr>
      <w:tr>
        <w:trPr>
          <w:trHeight w:val="169"/>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loss attributable to vTv Therapeutics Inc. common shareholders</w:t>
            </w:r>
          </w:p>
        </w:tc>
        <w:tc>
          <w:tcPr>
            <w:tcW w:w="880" w:type="dxa"/>
            <w:vAlign w:val="bottom"/>
            <w:tcBorders>
              <w:bottom w:val="single" w:sz="8" w:color="auto"/>
            </w:tcBorders>
          </w:tcPr>
          <w:p>
            <w:pPr>
              <w:jc w:val="right"/>
              <w:ind w:right="76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(20,250)</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(19,164)</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(12,987)</w:t>
            </w:r>
          </w:p>
        </w:tc>
      </w:tr>
      <w:tr>
        <w:trPr>
          <w:trHeight w:val="169"/>
        </w:trPr>
        <w:tc>
          <w:tcPr>
            <w:tcW w:w="6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Net loss per share of vTv Therapeutics Inc. Class A common stock, basic and diluted (*)</w:t>
            </w:r>
          </w:p>
        </w:tc>
        <w:tc>
          <w:tcPr>
            <w:tcW w:w="880" w:type="dxa"/>
            <w:vAlign w:val="bottom"/>
            <w:tcBorders>
              <w:bottom w:val="single" w:sz="8" w:color="auto"/>
            </w:tcBorders>
            <w:shd w:val="clear" w:color="auto" w:fill="CCEEFF"/>
          </w:tcPr>
          <w:p>
            <w:pPr>
              <w:jc w:val="right"/>
              <w:ind w:right="76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(9.98)</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(8.29)</w:t>
            </w:r>
          </w:p>
        </w:tc>
      </w:tr>
      <w:tr>
        <w:trPr>
          <w:trHeight w:val="169"/>
        </w:trPr>
        <w:tc>
          <w:tcPr>
            <w:tcW w:w="65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Weighted average number of vTv Therapeutics Inc. Class A common stock, basic and diluted (*)</w:t>
            </w:r>
          </w:p>
        </w:tc>
        <w:tc>
          <w:tcPr>
            <w:tcW w:w="8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2,084,973</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1,919,788</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1,566,204</w:t>
            </w:r>
          </w:p>
        </w:tc>
      </w:tr>
      <w:tr>
        <w:trPr>
          <w:trHeight w:val="117"/>
        </w:trPr>
        <w:tc>
          <w:tcPr>
            <w:tcW w:w="656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 Adjusted retroactively for reverse stock split, see Note 1</w:t>
            </w:r>
          </w:p>
        </w:tc>
        <w:tc>
          <w:tcPr>
            <w:tcW w:w="8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bl>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43815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00"/>
          </w:cols>
          <w:pgMar w:left="400" w:top="773" w:right="399" w:bottom="1440" w:gutter="0" w:footer="0" w:header="0"/>
        </w:sectPr>
      </w:pPr>
    </w:p>
    <w:bookmarkStart w:id="78" w:name="page79"/>
    <w:bookmarkEnd w:id="7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vTv Therapeutics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Changes in Redeemable Noncontrolling Interest and Stockholders’ Deficit</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share data)</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8"/>
          <w:szCs w:val="8"/>
          <w:b w:val="1"/>
          <w:bCs w:val="1"/>
          <w:color w:val="auto"/>
        </w:rPr>
        <w:t>For the twelve months ended December 31, 2023</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31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auto"/>
              <w:right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940" w:type="dxa"/>
            <w:vAlign w:val="bottom"/>
            <w:tcBorders>
              <w:top w:val="single" w:sz="8" w:color="auto"/>
            </w:tcBorders>
            <w:gridSpan w:val="5"/>
          </w:tcPr>
          <w:p>
            <w:pPr>
              <w:ind w:left="520"/>
              <w:spacing w:after="0"/>
              <w:rPr>
                <w:sz w:val="20"/>
                <w:szCs w:val="20"/>
                <w:color w:val="auto"/>
              </w:rPr>
            </w:pPr>
            <w:r>
              <w:rPr>
                <w:rFonts w:ascii="Times New Roman" w:cs="Times New Roman" w:eastAsia="Times New Roman" w:hAnsi="Times New Roman"/>
                <w:sz w:val="8"/>
                <w:szCs w:val="8"/>
                <w:b w:val="1"/>
                <w:bCs w:val="1"/>
                <w:color w:val="auto"/>
              </w:rPr>
              <w:t>Class A Common Stock</w:t>
            </w:r>
          </w:p>
        </w:tc>
        <w:tc>
          <w:tcPr>
            <w:tcW w:w="1700" w:type="dxa"/>
            <w:vAlign w:val="bottom"/>
            <w:tcBorders>
              <w:top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8"/>
                <w:szCs w:val="8"/>
                <w:b w:val="1"/>
                <w:bCs w:val="1"/>
                <w:color w:val="auto"/>
              </w:rPr>
              <w:t>Class B Common Stock</w:t>
            </w:r>
          </w:p>
        </w:tc>
        <w:tc>
          <w:tcPr>
            <w:tcW w:w="1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r>
      <w:tr>
        <w:trPr>
          <w:trHeight w:val="92"/>
        </w:trPr>
        <w:tc>
          <w:tcPr>
            <w:tcW w:w="3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Redeemable</w:t>
            </w:r>
          </w:p>
        </w:tc>
        <w:tc>
          <w:tcPr>
            <w:tcW w:w="4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99"/>
        </w:trPr>
        <w:tc>
          <w:tcPr>
            <w:tcW w:w="3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Noncontrolling</w:t>
            </w: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Paid-in</w:t>
            </w: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Total Stockholders'</w:t>
            </w:r>
          </w:p>
        </w:tc>
      </w:tr>
      <w:tr>
        <w:trPr>
          <w:trHeight w:val="133"/>
        </w:trPr>
        <w:tc>
          <w:tcPr>
            <w:tcW w:w="3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7"/>
              </w:rPr>
              <w:t>Interest</w:t>
            </w:r>
          </w:p>
        </w:tc>
        <w:tc>
          <w:tcPr>
            <w:tcW w:w="40" w:type="dxa"/>
            <w:vAlign w:val="bottom"/>
          </w:tcPr>
          <w:p>
            <w:pPr>
              <w:spacing w:after="0"/>
              <w:rPr>
                <w:sz w:val="11"/>
                <w:szCs w:val="11"/>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8"/>
                <w:szCs w:val="8"/>
                <w:b w:val="1"/>
                <w:bCs w:val="1"/>
                <w:color w:val="auto"/>
              </w:rPr>
              <w:t>Shares (*)</w:t>
            </w:r>
          </w:p>
        </w:tc>
        <w:tc>
          <w:tcPr>
            <w:tcW w:w="16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8"/>
                <w:szCs w:val="8"/>
                <w:b w:val="1"/>
                <w:bCs w:val="1"/>
                <w:color w:val="auto"/>
              </w:rPr>
              <w:t>Amount (*)</w:t>
            </w: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8"/>
                <w:szCs w:val="8"/>
                <w:b w:val="1"/>
                <w:bCs w:val="1"/>
                <w:color w:val="auto"/>
              </w:rPr>
              <w:t>Shares (*)</w:t>
            </w:r>
          </w:p>
        </w:tc>
        <w:tc>
          <w:tcPr>
            <w:tcW w:w="720" w:type="dxa"/>
            <w:vAlign w:val="bottom"/>
          </w:tcPr>
          <w:p>
            <w:pPr>
              <w:jc w:val="right"/>
              <w:ind w:right="29"/>
              <w:spacing w:after="0"/>
              <w:rPr>
                <w:sz w:val="20"/>
                <w:szCs w:val="20"/>
                <w:color w:val="auto"/>
              </w:rPr>
            </w:pPr>
            <w:r>
              <w:rPr>
                <w:rFonts w:ascii="Times New Roman" w:cs="Times New Roman" w:eastAsia="Times New Roman" w:hAnsi="Times New Roman"/>
                <w:sz w:val="8"/>
                <w:szCs w:val="8"/>
                <w:b w:val="1"/>
                <w:bCs w:val="1"/>
                <w:color w:val="auto"/>
              </w:rPr>
              <w:t>Amount (*)</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Capital (*)</w:t>
            </w:r>
          </w:p>
        </w:tc>
        <w:tc>
          <w:tcPr>
            <w:tcW w:w="6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8"/>
                <w:szCs w:val="8"/>
                <w:b w:val="1"/>
                <w:bCs w:val="1"/>
                <w:color w:val="auto"/>
              </w:rPr>
              <w:t>Accumulated Deficit</w:t>
            </w:r>
          </w:p>
        </w:tc>
        <w:tc>
          <w:tcPr>
            <w:tcW w:w="80" w:type="dxa"/>
            <w:vAlign w:val="bottom"/>
          </w:tcPr>
          <w:p>
            <w:pPr>
              <w:spacing w:after="0"/>
              <w:rPr>
                <w:sz w:val="11"/>
                <w:szCs w:val="11"/>
                <w:color w:val="auto"/>
              </w:rPr>
            </w:pPr>
          </w:p>
        </w:tc>
        <w:tc>
          <w:tcPr>
            <w:tcW w:w="840" w:type="dxa"/>
            <w:vAlign w:val="bottom"/>
          </w:tcPr>
          <w:p>
            <w:pPr>
              <w:jc w:val="right"/>
              <w:ind w:right="298"/>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12"/>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Balances at December 31, 2020</w:t>
            </w:r>
          </w:p>
        </w:tc>
        <w:tc>
          <w:tcPr>
            <w:tcW w:w="1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83,895</w:t>
            </w: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1,399,160</w:t>
            </w: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14</w:t>
            </w:r>
          </w:p>
        </w:tc>
        <w:tc>
          <w:tcPr>
            <w:tcW w:w="6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577,358</w:t>
            </w:r>
          </w:p>
        </w:tc>
        <w:tc>
          <w:tcPr>
            <w:tcW w:w="8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6</w:t>
            </w: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209,914</w:t>
            </w: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(290,036)</w:t>
            </w: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(80,102)</w:t>
            </w:r>
          </w:p>
        </w:tc>
      </w:tr>
      <w:tr>
        <w:trPr>
          <w:trHeight w:val="112"/>
        </w:trPr>
        <w:tc>
          <w:tcPr>
            <w:tcW w:w="3180" w:type="dxa"/>
            <w:vAlign w:val="bottom"/>
          </w:tcPr>
          <w:p>
            <w:pPr>
              <w:ind w:left="160"/>
              <w:spacing w:after="0"/>
              <w:rPr>
                <w:sz w:val="20"/>
                <w:szCs w:val="20"/>
                <w:color w:val="auto"/>
              </w:rPr>
            </w:pPr>
            <w:r>
              <w:rPr>
                <w:rFonts w:ascii="Times New Roman" w:cs="Times New Roman" w:eastAsia="Times New Roman" w:hAnsi="Times New Roman"/>
                <w:sz w:val="8"/>
                <w:szCs w:val="8"/>
                <w:color w:val="auto"/>
              </w:rPr>
              <w:t>Net loss</w:t>
            </w:r>
          </w:p>
        </w:tc>
        <w:tc>
          <w:tcPr>
            <w:tcW w:w="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(4,744)</w:t>
            </w: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spacing w:after="0"/>
              <w:rPr>
                <w:sz w:val="9"/>
                <w:szCs w:val="9"/>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(12,987)</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(12,987)</w:t>
            </w:r>
          </w:p>
        </w:tc>
      </w:tr>
      <w:tr>
        <w:trPr>
          <w:trHeight w:val="122"/>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8"/>
                <w:szCs w:val="8"/>
                <w:color w:val="auto"/>
              </w:rPr>
              <w:t>Share-based compensation</w:t>
            </w:r>
          </w:p>
        </w:tc>
        <w:tc>
          <w:tcPr>
            <w:tcW w:w="120" w:type="dxa"/>
            <w:vAlign w:val="bottom"/>
            <w:shd w:val="clear" w:color="auto" w:fill="CCEEFF"/>
          </w:tcPr>
          <w:p>
            <w:pPr>
              <w:spacing w:after="0"/>
              <w:rPr>
                <w:sz w:val="10"/>
                <w:szCs w:val="10"/>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2,356</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2,356</w:t>
            </w:r>
          </w:p>
        </w:tc>
      </w:tr>
      <w:tr>
        <w:trPr>
          <w:trHeight w:val="112"/>
        </w:trPr>
        <w:tc>
          <w:tcPr>
            <w:tcW w:w="3180" w:type="dxa"/>
            <w:vAlign w:val="bottom"/>
          </w:tcPr>
          <w:p>
            <w:pPr>
              <w:ind w:left="160"/>
              <w:spacing w:after="0"/>
              <w:rPr>
                <w:sz w:val="20"/>
                <w:szCs w:val="20"/>
                <w:color w:val="auto"/>
              </w:rPr>
            </w:pPr>
            <w:r>
              <w:rPr>
                <w:rFonts w:ascii="Times New Roman" w:cs="Times New Roman" w:eastAsia="Times New Roman" w:hAnsi="Times New Roman"/>
                <w:sz w:val="8"/>
                <w:szCs w:val="8"/>
                <w:color w:val="auto"/>
              </w:rPr>
              <w:t>Issuance of Class A common stock under ATM offering</w:t>
            </w:r>
          </w:p>
        </w:tc>
        <w:tc>
          <w:tcPr>
            <w:tcW w:w="120" w:type="dxa"/>
            <w:vAlign w:val="bottom"/>
          </w:tcPr>
          <w:p>
            <w:pPr>
              <w:spacing w:after="0"/>
              <w:rPr>
                <w:sz w:val="9"/>
                <w:szCs w:val="9"/>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223,221</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60" w:type="dxa"/>
            <w:vAlign w:val="bottom"/>
          </w:tcPr>
          <w:p>
            <w:pPr>
              <w:spacing w:after="0"/>
              <w:rPr>
                <w:sz w:val="9"/>
                <w:szCs w:val="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spacing w:after="0"/>
              <w:rPr>
                <w:sz w:val="9"/>
                <w:szCs w:val="9"/>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17,668</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17,670</w:t>
            </w:r>
          </w:p>
        </w:tc>
      </w:tr>
      <w:tr>
        <w:trPr>
          <w:trHeight w:val="122"/>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8"/>
                <w:szCs w:val="8"/>
                <w:color w:val="auto"/>
              </w:rPr>
              <w:t>Exchange of Class B common stock for Class A common stock</w:t>
            </w:r>
          </w:p>
        </w:tc>
        <w:tc>
          <w:tcPr>
            <w:tcW w:w="120" w:type="dxa"/>
            <w:vAlign w:val="bottom"/>
            <w:shd w:val="clear" w:color="auto" w:fill="CCEEFF"/>
          </w:tcPr>
          <w:p>
            <w:pPr>
              <w:spacing w:after="0"/>
              <w:rPr>
                <w:sz w:val="10"/>
                <w:szCs w:val="10"/>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12"/>
        </w:trPr>
        <w:tc>
          <w:tcPr>
            <w:tcW w:w="3180" w:type="dxa"/>
            <w:vAlign w:val="bottom"/>
          </w:tcPr>
          <w:p>
            <w:pPr>
              <w:ind w:left="160"/>
              <w:spacing w:after="0"/>
              <w:rPr>
                <w:sz w:val="20"/>
                <w:szCs w:val="20"/>
                <w:color w:val="auto"/>
              </w:rPr>
            </w:pPr>
            <w:r>
              <w:rPr>
                <w:rFonts w:ascii="Times New Roman" w:cs="Times New Roman" w:eastAsia="Times New Roman" w:hAnsi="Times New Roman"/>
                <w:sz w:val="8"/>
                <w:szCs w:val="8"/>
                <w:color w:val="auto"/>
              </w:rPr>
              <w:t>Exercise of stock options</w:t>
            </w:r>
          </w:p>
        </w:tc>
        <w:tc>
          <w:tcPr>
            <w:tcW w:w="120" w:type="dxa"/>
            <w:vAlign w:val="bottom"/>
          </w:tcPr>
          <w:p>
            <w:pPr>
              <w:spacing w:after="0"/>
              <w:rPr>
                <w:sz w:val="9"/>
                <w:szCs w:val="9"/>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519</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spacing w:after="0"/>
              <w:rPr>
                <w:sz w:val="9"/>
                <w:szCs w:val="9"/>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w:t>
            </w:r>
          </w:p>
        </w:tc>
      </w:tr>
      <w:tr>
        <w:trPr>
          <w:trHeight w:val="122"/>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8"/>
                <w:szCs w:val="8"/>
                <w:color w:val="auto"/>
              </w:rPr>
              <w:t>Issuance of Class A common stock under LPC Agreement</w:t>
            </w:r>
          </w:p>
        </w:tc>
        <w:tc>
          <w:tcPr>
            <w:tcW w:w="120" w:type="dxa"/>
            <w:vAlign w:val="bottom"/>
            <w:shd w:val="clear" w:color="auto" w:fill="CCEEFF"/>
          </w:tcPr>
          <w:p>
            <w:pPr>
              <w:spacing w:after="0"/>
              <w:rPr>
                <w:sz w:val="10"/>
                <w:szCs w:val="10"/>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98,543</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9,086</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9,087</w:t>
            </w:r>
          </w:p>
        </w:tc>
      </w:tr>
      <w:tr>
        <w:trPr>
          <w:trHeight w:val="112"/>
        </w:trPr>
        <w:tc>
          <w:tcPr>
            <w:tcW w:w="3180" w:type="dxa"/>
            <w:vAlign w:val="bottom"/>
          </w:tcPr>
          <w:p>
            <w:pPr>
              <w:ind w:left="160"/>
              <w:spacing w:after="0"/>
              <w:rPr>
                <w:sz w:val="20"/>
                <w:szCs w:val="20"/>
                <w:color w:val="auto"/>
              </w:rPr>
            </w:pPr>
            <w:r>
              <w:rPr>
                <w:rFonts w:ascii="Times New Roman" w:cs="Times New Roman" w:eastAsia="Times New Roman" w:hAnsi="Times New Roman"/>
                <w:sz w:val="8"/>
                <w:szCs w:val="8"/>
                <w:color w:val="auto"/>
              </w:rPr>
              <w:t>Change in redemption value of noncontrolling interest</w:t>
            </w:r>
          </w:p>
        </w:tc>
        <w:tc>
          <w:tcPr>
            <w:tcW w:w="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(54,189)</w:t>
            </w: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spacing w:after="0"/>
              <w:rPr>
                <w:sz w:val="9"/>
                <w:szCs w:val="9"/>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54,189</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54,189</w:t>
            </w:r>
          </w:p>
        </w:tc>
      </w:tr>
      <w:tr>
        <w:trPr>
          <w:trHeight w:val="111"/>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Balances at December 31, 2021</w:t>
            </w:r>
          </w:p>
        </w:tc>
        <w:tc>
          <w:tcPr>
            <w:tcW w:w="120" w:type="dxa"/>
            <w:vAlign w:val="bottom"/>
            <w:tcBorders>
              <w:top w:val="single" w:sz="8" w:color="auto"/>
              <w:bottom w:val="single" w:sz="8" w:color="auto"/>
            </w:tcBorders>
            <w:shd w:val="clear" w:color="auto" w:fill="CCEEFF"/>
          </w:tcPr>
          <w:p>
            <w:pPr>
              <w:spacing w:after="0"/>
              <w:rPr>
                <w:sz w:val="9"/>
                <w:szCs w:val="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24,962</w:t>
            </w: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1,721,452</w:t>
            </w: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bottom w:val="single" w:sz="8" w:color="auto"/>
            </w:tcBorders>
            <w:shd w:val="clear" w:color="auto" w:fill="CCEEFF"/>
          </w:tcPr>
          <w:p>
            <w:pPr>
              <w:spacing w:after="0"/>
              <w:rPr>
                <w:sz w:val="9"/>
                <w:szCs w:val="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17</w:t>
            </w:r>
          </w:p>
        </w:tc>
        <w:tc>
          <w:tcPr>
            <w:tcW w:w="6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577,349</w:t>
            </w:r>
          </w:p>
        </w:tc>
        <w:tc>
          <w:tcPr>
            <w:tcW w:w="8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bottom w:val="single" w:sz="8" w:color="auto"/>
            </w:tcBorders>
            <w:shd w:val="clear" w:color="auto" w:fill="CCEEFF"/>
          </w:tcPr>
          <w:p>
            <w:pPr>
              <w:spacing w:after="0"/>
              <w:rPr>
                <w:sz w:val="9"/>
                <w:szCs w:val="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6</w:t>
            </w: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bottom w:val="single" w:sz="8" w:color="auto"/>
            </w:tcBorders>
            <w:shd w:val="clear" w:color="auto" w:fill="CCEEFF"/>
          </w:tcPr>
          <w:p>
            <w:pPr>
              <w:spacing w:after="0"/>
              <w:rPr>
                <w:sz w:val="9"/>
                <w:szCs w:val="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239,071</w:t>
            </w: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spacing w:after="0"/>
              <w:rPr>
                <w:sz w:val="9"/>
                <w:szCs w:val="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(248,834)</w:t>
            </w: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spacing w:after="0"/>
              <w:rPr>
                <w:sz w:val="9"/>
                <w:szCs w:val="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(9,740)</w:t>
            </w:r>
          </w:p>
        </w:tc>
      </w:tr>
      <w:tr>
        <w:trPr>
          <w:trHeight w:val="101"/>
        </w:trPr>
        <w:tc>
          <w:tcPr>
            <w:tcW w:w="3180" w:type="dxa"/>
            <w:vAlign w:val="bottom"/>
          </w:tcPr>
          <w:p>
            <w:pPr>
              <w:ind w:left="160"/>
              <w:spacing w:after="0"/>
              <w:rPr>
                <w:sz w:val="20"/>
                <w:szCs w:val="20"/>
                <w:color w:val="auto"/>
              </w:rPr>
            </w:pPr>
            <w:r>
              <w:rPr>
                <w:rFonts w:ascii="Times New Roman" w:cs="Times New Roman" w:eastAsia="Times New Roman" w:hAnsi="Times New Roman"/>
                <w:sz w:val="8"/>
                <w:szCs w:val="8"/>
                <w:color w:val="auto"/>
              </w:rPr>
              <w:t>Net loss</w:t>
            </w:r>
          </w:p>
        </w:tc>
        <w:tc>
          <w:tcPr>
            <w:tcW w:w="120" w:type="dxa"/>
            <w:vAlign w:val="bottom"/>
          </w:tcPr>
          <w:p>
            <w:pPr>
              <w:spacing w:after="0"/>
              <w:rPr>
                <w:sz w:val="8"/>
                <w:szCs w:val="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(5,909)</w:t>
            </w:r>
          </w:p>
        </w:tc>
        <w:tc>
          <w:tcPr>
            <w:tcW w:w="10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(19,164)</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(19,164)</w:t>
            </w:r>
          </w:p>
        </w:tc>
      </w:tr>
      <w:tr>
        <w:trPr>
          <w:trHeight w:val="122"/>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8"/>
                <w:szCs w:val="8"/>
                <w:color w:val="auto"/>
              </w:rPr>
              <w:t>Share-based compensation</w:t>
            </w:r>
          </w:p>
        </w:tc>
        <w:tc>
          <w:tcPr>
            <w:tcW w:w="120" w:type="dxa"/>
            <w:vAlign w:val="bottom"/>
            <w:shd w:val="clear" w:color="auto" w:fill="CCEEFF"/>
          </w:tcPr>
          <w:p>
            <w:pPr>
              <w:spacing w:after="0"/>
              <w:rPr>
                <w:sz w:val="10"/>
                <w:szCs w:val="10"/>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1,272</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1,272</w:t>
            </w:r>
          </w:p>
        </w:tc>
      </w:tr>
      <w:tr>
        <w:trPr>
          <w:trHeight w:val="112"/>
        </w:trPr>
        <w:tc>
          <w:tcPr>
            <w:tcW w:w="3180" w:type="dxa"/>
            <w:vAlign w:val="bottom"/>
          </w:tcPr>
          <w:p>
            <w:pPr>
              <w:ind w:left="160"/>
              <w:spacing w:after="0"/>
              <w:rPr>
                <w:sz w:val="20"/>
                <w:szCs w:val="20"/>
                <w:color w:val="auto"/>
              </w:rPr>
            </w:pPr>
            <w:r>
              <w:rPr>
                <w:rFonts w:ascii="Times New Roman" w:cs="Times New Roman" w:eastAsia="Times New Roman" w:hAnsi="Times New Roman"/>
                <w:sz w:val="8"/>
                <w:szCs w:val="8"/>
                <w:color w:val="auto"/>
              </w:rPr>
              <w:t>Issuance of Class A common stock to collaboration agreement, net of offering costs</w:t>
            </w:r>
          </w:p>
        </w:tc>
        <w:tc>
          <w:tcPr>
            <w:tcW w:w="120" w:type="dxa"/>
            <w:vAlign w:val="bottom"/>
          </w:tcPr>
          <w:p>
            <w:pPr>
              <w:spacing w:after="0"/>
              <w:rPr>
                <w:sz w:val="9"/>
                <w:szCs w:val="9"/>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259,657</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60" w:type="dxa"/>
            <w:vAlign w:val="bottom"/>
          </w:tcPr>
          <w:p>
            <w:pPr>
              <w:spacing w:after="0"/>
              <w:rPr>
                <w:sz w:val="9"/>
                <w:szCs w:val="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spacing w:after="0"/>
              <w:rPr>
                <w:sz w:val="9"/>
                <w:szCs w:val="9"/>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5,037</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5,040</w:t>
            </w:r>
          </w:p>
        </w:tc>
      </w:tr>
      <w:tr>
        <w:trPr>
          <w:trHeight w:val="86"/>
        </w:trPr>
        <w:tc>
          <w:tcPr>
            <w:tcW w:w="3180" w:type="dxa"/>
            <w:vAlign w:val="bottom"/>
            <w:shd w:val="clear" w:color="auto" w:fill="CCEEFF"/>
          </w:tcPr>
          <w:p>
            <w:pPr>
              <w:ind w:left="160"/>
              <w:spacing w:after="0" w:line="86" w:lineRule="exact"/>
              <w:rPr>
                <w:sz w:val="20"/>
                <w:szCs w:val="20"/>
                <w:color w:val="auto"/>
              </w:rPr>
            </w:pPr>
            <w:r>
              <w:rPr>
                <w:rFonts w:ascii="Times New Roman" w:cs="Times New Roman" w:eastAsia="Times New Roman" w:hAnsi="Times New Roman"/>
                <w:sz w:val="8"/>
                <w:szCs w:val="8"/>
                <w:color w:val="auto"/>
              </w:rPr>
              <w:t>Issuance of Class A common stock under CinRx purchase agreement, net of offering</w:t>
            </w: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tcBorders>
              <w:right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r>
      <w:tr>
        <w:trPr>
          <w:trHeight w:val="126"/>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costs</w:t>
            </w:r>
          </w:p>
        </w:tc>
        <w:tc>
          <w:tcPr>
            <w:tcW w:w="120" w:type="dxa"/>
            <w:vAlign w:val="bottom"/>
            <w:shd w:val="clear" w:color="auto" w:fill="CCEEFF"/>
          </w:tcPr>
          <w:p>
            <w:pPr>
              <w:spacing w:after="0"/>
              <w:rPr>
                <w:sz w:val="10"/>
                <w:szCs w:val="10"/>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103,864</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9,377</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9,378</w:t>
            </w:r>
          </w:p>
        </w:tc>
      </w:tr>
      <w:tr>
        <w:trPr>
          <w:trHeight w:val="112"/>
        </w:trPr>
        <w:tc>
          <w:tcPr>
            <w:tcW w:w="3180" w:type="dxa"/>
            <w:vAlign w:val="bottom"/>
          </w:tcPr>
          <w:p>
            <w:pPr>
              <w:ind w:left="160"/>
              <w:spacing w:after="0"/>
              <w:rPr>
                <w:sz w:val="20"/>
                <w:szCs w:val="20"/>
                <w:color w:val="auto"/>
              </w:rPr>
            </w:pPr>
            <w:r>
              <w:rPr>
                <w:rFonts w:ascii="Times New Roman" w:cs="Times New Roman" w:eastAsia="Times New Roman" w:hAnsi="Times New Roman"/>
                <w:sz w:val="8"/>
                <w:szCs w:val="8"/>
                <w:color w:val="auto"/>
              </w:rPr>
              <w:t>Change in redemption value of noncontrolling interest</w:t>
            </w:r>
          </w:p>
        </w:tc>
        <w:tc>
          <w:tcPr>
            <w:tcW w:w="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(2,474)</w:t>
            </w: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spacing w:after="0"/>
              <w:rPr>
                <w:sz w:val="9"/>
                <w:szCs w:val="9"/>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2,474</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2,474</w:t>
            </w:r>
          </w:p>
        </w:tc>
      </w:tr>
      <w:tr>
        <w:trPr>
          <w:trHeight w:val="111"/>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Balances at December 31, 2022</w:t>
            </w:r>
          </w:p>
        </w:tc>
        <w:tc>
          <w:tcPr>
            <w:tcW w:w="120" w:type="dxa"/>
            <w:vAlign w:val="bottom"/>
            <w:tcBorders>
              <w:top w:val="single" w:sz="8" w:color="auto"/>
              <w:bottom w:val="single" w:sz="8" w:color="auto"/>
            </w:tcBorders>
            <w:shd w:val="clear" w:color="auto" w:fill="CCEEFF"/>
          </w:tcPr>
          <w:p>
            <w:pPr>
              <w:spacing w:after="0"/>
              <w:rPr>
                <w:sz w:val="9"/>
                <w:szCs w:val="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16,579</w:t>
            </w: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2,084,973</w:t>
            </w: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bottom w:val="single" w:sz="8" w:color="auto"/>
            </w:tcBorders>
            <w:shd w:val="clear" w:color="auto" w:fill="CCEEFF"/>
          </w:tcPr>
          <w:p>
            <w:pPr>
              <w:spacing w:after="0"/>
              <w:rPr>
                <w:sz w:val="9"/>
                <w:szCs w:val="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21</w:t>
            </w:r>
          </w:p>
        </w:tc>
        <w:tc>
          <w:tcPr>
            <w:tcW w:w="6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577,349</w:t>
            </w:r>
          </w:p>
        </w:tc>
        <w:tc>
          <w:tcPr>
            <w:tcW w:w="8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bottom w:val="single" w:sz="8" w:color="auto"/>
            </w:tcBorders>
            <w:shd w:val="clear" w:color="auto" w:fill="CCEEFF"/>
          </w:tcPr>
          <w:p>
            <w:pPr>
              <w:spacing w:after="0"/>
              <w:rPr>
                <w:sz w:val="9"/>
                <w:szCs w:val="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6</w:t>
            </w: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bottom w:val="single" w:sz="8" w:color="auto"/>
            </w:tcBorders>
            <w:shd w:val="clear" w:color="auto" w:fill="CCEEFF"/>
          </w:tcPr>
          <w:p>
            <w:pPr>
              <w:spacing w:after="0"/>
              <w:rPr>
                <w:sz w:val="9"/>
                <w:szCs w:val="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254,757</w:t>
            </w: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spacing w:after="0"/>
              <w:rPr>
                <w:sz w:val="9"/>
                <w:szCs w:val="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(265,524)</w:t>
            </w: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spacing w:after="0"/>
              <w:rPr>
                <w:sz w:val="9"/>
                <w:szCs w:val="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(10,740)</w:t>
            </w:r>
          </w:p>
        </w:tc>
      </w:tr>
      <w:tr>
        <w:trPr>
          <w:trHeight w:val="101"/>
        </w:trPr>
        <w:tc>
          <w:tcPr>
            <w:tcW w:w="3180" w:type="dxa"/>
            <w:vAlign w:val="bottom"/>
          </w:tcPr>
          <w:p>
            <w:pPr>
              <w:ind w:left="160"/>
              <w:spacing w:after="0"/>
              <w:rPr>
                <w:sz w:val="20"/>
                <w:szCs w:val="20"/>
                <w:color w:val="auto"/>
              </w:rPr>
            </w:pPr>
            <w:r>
              <w:rPr>
                <w:rFonts w:ascii="Times New Roman" w:cs="Times New Roman" w:eastAsia="Times New Roman" w:hAnsi="Times New Roman"/>
                <w:sz w:val="8"/>
                <w:szCs w:val="8"/>
                <w:color w:val="auto"/>
              </w:rPr>
              <w:t>Net loss</w:t>
            </w:r>
          </w:p>
        </w:tc>
        <w:tc>
          <w:tcPr>
            <w:tcW w:w="120" w:type="dxa"/>
            <w:vAlign w:val="bottom"/>
          </w:tcPr>
          <w:p>
            <w:pPr>
              <w:spacing w:after="0"/>
              <w:rPr>
                <w:sz w:val="8"/>
                <w:szCs w:val="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(5,716)</w:t>
            </w:r>
          </w:p>
        </w:tc>
        <w:tc>
          <w:tcPr>
            <w:tcW w:w="10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(20,250)</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(20,250)</w:t>
            </w:r>
          </w:p>
        </w:tc>
      </w:tr>
      <w:tr>
        <w:trPr>
          <w:trHeight w:val="122"/>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8"/>
                <w:szCs w:val="8"/>
                <w:color w:val="auto"/>
              </w:rPr>
              <w:t>Share-based compensation</w:t>
            </w:r>
          </w:p>
        </w:tc>
        <w:tc>
          <w:tcPr>
            <w:tcW w:w="120" w:type="dxa"/>
            <w:vAlign w:val="bottom"/>
            <w:shd w:val="clear" w:color="auto" w:fill="CCEEFF"/>
          </w:tcPr>
          <w:p>
            <w:pPr>
              <w:spacing w:after="0"/>
              <w:rPr>
                <w:sz w:val="10"/>
                <w:szCs w:val="10"/>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1,578</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1,578</w:t>
            </w:r>
          </w:p>
        </w:tc>
      </w:tr>
      <w:tr>
        <w:trPr>
          <w:trHeight w:val="112"/>
        </w:trPr>
        <w:tc>
          <w:tcPr>
            <w:tcW w:w="3180" w:type="dxa"/>
            <w:vAlign w:val="bottom"/>
          </w:tcPr>
          <w:p>
            <w:pPr>
              <w:ind w:left="160"/>
              <w:spacing w:after="0"/>
              <w:rPr>
                <w:sz w:val="20"/>
                <w:szCs w:val="20"/>
                <w:color w:val="auto"/>
              </w:rPr>
            </w:pPr>
            <w:r>
              <w:rPr>
                <w:rFonts w:ascii="Times New Roman" w:cs="Times New Roman" w:eastAsia="Times New Roman" w:hAnsi="Times New Roman"/>
                <w:sz w:val="8"/>
                <w:szCs w:val="8"/>
                <w:color w:val="auto"/>
              </w:rPr>
              <w:t>Change in redemption value of noncontrolling interest</w:t>
            </w:r>
          </w:p>
        </w:tc>
        <w:tc>
          <w:tcPr>
            <w:tcW w:w="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(4,732)</w:t>
            </w: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spacing w:after="0"/>
              <w:rPr>
                <w:sz w:val="9"/>
                <w:szCs w:val="9"/>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4,732</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4,732</w:t>
            </w:r>
          </w:p>
        </w:tc>
      </w:tr>
      <w:tr>
        <w:trPr>
          <w:trHeight w:val="111"/>
        </w:trPr>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Balances at December 31, 2023</w:t>
            </w:r>
          </w:p>
        </w:tc>
        <w:tc>
          <w:tcPr>
            <w:tcW w:w="1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6,131</w:t>
            </w:r>
          </w:p>
        </w:tc>
        <w:tc>
          <w:tcPr>
            <w:tcW w:w="100" w:type="dxa"/>
            <w:vAlign w:val="bottom"/>
            <w:tcBorders>
              <w:top w:val="single" w:sz="8" w:color="CCEEFF"/>
              <w:bottom w:val="single" w:sz="8" w:color="CCEEFF"/>
              <w:right w:val="single" w:sz="8" w:color="auto"/>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2,084,973</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16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21</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577,349</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720" w:type="dxa"/>
            <w:vAlign w:val="bottom"/>
            <w:tcBorders>
              <w:top w:val="single" w:sz="8" w:color="auto"/>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6</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16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256,335</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(281,042)</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(24,680)</w:t>
            </w:r>
          </w:p>
        </w:tc>
      </w:tr>
    </w:tbl>
    <w:p>
      <w:pPr>
        <w:spacing w:after="0"/>
        <w:rPr>
          <w:sz w:val="20"/>
          <w:szCs w:val="20"/>
          <w:color w:val="auto"/>
        </w:rPr>
      </w:pPr>
      <w:r>
        <w:rPr>
          <w:rFonts w:ascii="Times New Roman" w:cs="Times New Roman" w:eastAsia="Times New Roman" w:hAnsi="Times New Roman"/>
          <w:sz w:val="10"/>
          <w:szCs w:val="10"/>
          <w:b w:val="1"/>
          <w:bCs w:val="1"/>
          <w:color w:val="auto"/>
        </w:rPr>
        <w:t>(*) Adjusted retroactively for reverse stock split,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-66675</wp:posOffset>
            </wp:positionV>
            <wp:extent cx="495490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3">
                      <a:extLst>
                        <a:ext uri="{28A0092B-C50C-407E-A947-70E740481C1C}"/>
                      </a:extLst>
                    </a:blip>
                    <a:srcRect/>
                    <a:stretch>
                      <a:fillRect/>
                    </a:stretch>
                  </pic:blipFill>
                  <pic:spPr bwMode="auto">
                    <a:xfrm>
                      <a:off x="0" y="0"/>
                      <a:ext cx="4954905" cy="5715"/>
                    </a:xfrm>
                    <a:prstGeom prst="rect">
                      <a:avLst/>
                    </a:prstGeom>
                    <a:noFill/>
                  </pic:spPr>
                </pic:pic>
              </a:graphicData>
            </a:graphic>
          </wp:anchor>
        </w:drawing>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43815</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980"/>
          </w:cols>
          <w:pgMar w:left="460" w:top="773" w:right="45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2"/>
          <w:szCs w:val="12"/>
          <w:b w:val="1"/>
          <w:bCs w:val="1"/>
          <w:color w:val="auto"/>
        </w:rPr>
        <w:t>vTv Therapeutics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2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w w:val="94"/>
              </w:rPr>
              <w:t>Twelve Months Ended December 31,</w:t>
            </w: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1"/>
        </w:trPr>
        <w:tc>
          <w:tcPr>
            <w:tcW w:w="6640" w:type="dxa"/>
            <w:vAlign w:val="bottom"/>
          </w:tcPr>
          <w:p>
            <w:pPr>
              <w:spacing w:after="0"/>
              <w:rPr>
                <w:sz w:val="12"/>
                <w:szCs w:val="12"/>
                <w:color w:val="auto"/>
              </w:rPr>
            </w:pPr>
          </w:p>
        </w:tc>
        <w:tc>
          <w:tcPr>
            <w:tcW w:w="8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0"/>
                <w:szCs w:val="10"/>
                <w:b w:val="1"/>
                <w:bCs w:val="1"/>
                <w:color w:val="auto"/>
              </w:rPr>
              <w:t>2023</w:t>
            </w: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44"/>
        </w:trPr>
        <w:tc>
          <w:tcPr>
            <w:tcW w:w="66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 before noncontrolling interest</w:t>
            </w:r>
          </w:p>
        </w:tc>
        <w:tc>
          <w:tcPr>
            <w:tcW w:w="86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(25,966)</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(25,073)</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(17,731)</w:t>
            </w:r>
          </w:p>
        </w:tc>
      </w:tr>
      <w:tr>
        <w:trPr>
          <w:trHeight w:val="153"/>
        </w:trPr>
        <w:tc>
          <w:tcPr>
            <w:tcW w:w="6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Adjustments to reconcile net loss before noncontrolling interest to net cash used in operating activities:</w:t>
            </w: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3"/>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Depreciation expense</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w:t>
            </w:r>
          </w:p>
        </w:tc>
      </w:tr>
      <w:tr>
        <w:trPr>
          <w:trHeight w:val="153"/>
        </w:trPr>
        <w:tc>
          <w:tcPr>
            <w:tcW w:w="66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Loss from G42 Promissory Note early redemption</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Non-cash interest income</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Interest expense</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2,356</w:t>
            </w:r>
          </w:p>
        </w:tc>
      </w:tr>
      <w:tr>
        <w:trPr>
          <w:trHeight w:val="153"/>
        </w:trPr>
        <w:tc>
          <w:tcPr>
            <w:tcW w:w="66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Change in fair value of investments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(2,448)</w:t>
            </w:r>
          </w:p>
        </w:tc>
      </w:tr>
      <w:tr>
        <w:trPr>
          <w:trHeight w:val="153"/>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Realized gain on sale of investment in Reneo Pharmaceuticals, Inc.</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Impairment of investments in Anteris Bio, Inc.</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Change in fair value of warrants, related party</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(1,609)</w:t>
            </w:r>
          </w:p>
        </w:tc>
      </w:tr>
      <w:tr>
        <w:trPr>
          <w:trHeight w:val="153"/>
        </w:trPr>
        <w:tc>
          <w:tcPr>
            <w:tcW w:w="6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Changes in assets and liabilities:</w:t>
            </w: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3"/>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Accounts receivable</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r>
      <w:tr>
        <w:trPr>
          <w:trHeight w:val="153"/>
        </w:trPr>
        <w:tc>
          <w:tcPr>
            <w:tcW w:w="66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(839)</w:t>
            </w:r>
          </w:p>
        </w:tc>
      </w:tr>
      <w:tr>
        <w:trPr>
          <w:trHeight w:val="153"/>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Other assets</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1,828</w:t>
            </w:r>
          </w:p>
        </w:tc>
      </w:tr>
      <w:tr>
        <w:trPr>
          <w:trHeight w:val="153"/>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Contract liabilities</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6,760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(1,005)</w:t>
            </w:r>
          </w:p>
        </w:tc>
      </w:tr>
      <w:tr>
        <w:trPr>
          <w:trHeight w:val="153"/>
        </w:trPr>
        <w:tc>
          <w:tcPr>
            <w:tcW w:w="66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liabilities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r>
      <w:tr>
        <w:trPr>
          <w:trHeight w:val="142"/>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8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(19,081)</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(16,022)</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(19,308)</w:t>
            </w:r>
          </w:p>
        </w:tc>
      </w:tr>
      <w:tr>
        <w:trPr>
          <w:trHeight w:val="153"/>
        </w:trPr>
        <w:tc>
          <w:tcPr>
            <w:tcW w:w="66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3"/>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Proceed from sale of investments in Reneo Pharmaceuticals, Inc.</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8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provided by (used in) investing activities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3"/>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Proceeds from sale of Class A common stock to collaboration partner, net of offering costs</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12,030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Proceeds from sale of Class A common stock and warrants, net of offering costs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9,746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Proceeds from issuance of Class A common stock, net of offering costs</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26,757</w:t>
            </w:r>
          </w:p>
        </w:tc>
      </w:tr>
      <w:tr>
        <w:trPr>
          <w:trHeight w:val="153"/>
        </w:trPr>
        <w:tc>
          <w:tcPr>
            <w:tcW w:w="66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Proceeds from exercise of stock options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53"/>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Proceeds from debt issuance</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887</w:t>
            </w:r>
          </w:p>
        </w:tc>
      </w:tr>
      <w:tr>
        <w:trPr>
          <w:trHeight w:val="153"/>
        </w:trPr>
        <w:tc>
          <w:tcPr>
            <w:tcW w:w="6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Repayment of notes payable</w:t>
            </w:r>
          </w:p>
        </w:tc>
        <w:tc>
          <w:tcPr>
            <w:tcW w:w="8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(599)</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(808)</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(715)</w:t>
            </w:r>
          </w:p>
        </w:tc>
      </w:tr>
      <w:tr>
        <w:trPr>
          <w:trHeight w:val="14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11,997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14,754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26,976</w:t>
            </w:r>
          </w:p>
        </w:tc>
      </w:tr>
      <w:tr>
        <w:trPr>
          <w:trHeight w:val="153"/>
        </w:trPr>
        <w:tc>
          <w:tcPr>
            <w:tcW w:w="6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(decrease) increase in cash, cash equivalents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7,668</w:t>
            </w:r>
          </w:p>
        </w:tc>
      </w:tr>
      <w:tr>
        <w:trPr>
          <w:trHeight w:val="15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cash and cash equivalents, beginning of year</w:t>
            </w:r>
          </w:p>
        </w:tc>
        <w:tc>
          <w:tcPr>
            <w:tcW w:w="8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12,126</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13,415</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5,747</w:t>
            </w:r>
          </w:p>
        </w:tc>
      </w:tr>
      <w:tr>
        <w:trPr>
          <w:trHeight w:val="158"/>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Total cash and cash equivalents, end of year</w:t>
            </w:r>
          </w:p>
        </w:tc>
        <w:tc>
          <w:tcPr>
            <w:tcW w:w="86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9,446</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12,126</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13,415</w:t>
            </w:r>
          </w:p>
        </w:tc>
      </w:tr>
      <w:tr>
        <w:trPr>
          <w:trHeight w:val="15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Supplemental cash flow information:</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5"/>
        </w:trPr>
        <w:tc>
          <w:tcPr>
            <w:tcW w:w="6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Cash paid for interest</w:t>
            </w:r>
          </w:p>
        </w:tc>
        <w:tc>
          <w:tcPr>
            <w:tcW w:w="86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42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58"/>
        </w:trPr>
        <w:tc>
          <w:tcPr>
            <w:tcW w:w="6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Cash paid for income taxes</w:t>
            </w:r>
          </w:p>
        </w:tc>
        <w:tc>
          <w:tcPr>
            <w:tcW w:w="860" w:type="dxa"/>
            <w:vAlign w:val="bottom"/>
            <w:tcBorders>
              <w:top w:val="single" w:sz="8" w:color="auto"/>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w:t>
            </w:r>
          </w:p>
        </w:tc>
      </w:tr>
      <w:tr>
        <w:trPr>
          <w:trHeight w:val="90"/>
        </w:trPr>
        <w:tc>
          <w:tcPr>
            <w:tcW w:w="6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15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Non-cash activities:</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53"/>
        </w:trPr>
        <w:tc>
          <w:tcPr>
            <w:tcW w:w="66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Notes receivable recorded at fair value from collaboration partner</w:t>
            </w:r>
          </w:p>
        </w:tc>
        <w:tc>
          <w:tcPr>
            <w:tcW w:w="860" w:type="dxa"/>
            <w:vAlign w:val="bottom"/>
          </w:tcPr>
          <w:p>
            <w:pPr>
              <w:jc w:val="right"/>
              <w:ind w:right="72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11,891</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Change in redemption value of noncontrolling interest</w:t>
            </w:r>
          </w:p>
        </w:tc>
        <w:tc>
          <w:tcPr>
            <w:tcW w:w="86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(4,732)</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(54,189)</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43815</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80"/>
          </w:cols>
          <w:pgMar w:left="500" w:top="701" w:right="5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2"/>
          <w:szCs w:val="12"/>
          <w:b w:val="1"/>
          <w:bCs w:val="1"/>
          <w:color w:val="auto"/>
        </w:rPr>
        <w:t>vTv Therapeutics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(dollar amounts are in thousands, unless otherwise noted)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 Description of Business, Basis of Presentation and Going Concern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Description of Business</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vTv Therapeutics Inc. (the “Company,” the “Registrant,” “we” or “us”) was incorporated in the state of Delaware in April 2015. The Company is a clinical stage pharmaceutical company focused on treating metabolic and inflammatory diseases to minimize their long-term complications and improve the lives of patients.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Principles of Consolidation</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vTv Therapeutics Inc. is a holding company, and its principal asset is a controlling equity interest in vTv Therapeutics LLC (“vTv LLC”), the Company’s principal operating subsidiary, which is a clinical stage pharmaceutical company engaged in the discovery and development of orally administered small molecule drug candidates to fill significant unmet medical needs.</w:t>
      </w:r>
    </w:p>
    <w:p>
      <w:pPr>
        <w:spacing w:after="0" w:line="3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Consolidated Financial Statements. The assets and liabilities of vTv LLC represent substantially all of the Company's consolidated assets and liabilities with the exception of the Warrants.</w:t>
      </w:r>
    </w:p>
    <w:p>
      <w:pPr>
        <w:spacing w:after="0" w:line="5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2"/>
          <w:szCs w:val="12"/>
          <w:color w:val="auto"/>
        </w:rPr>
        <w:t>Various holders own non-voting interests in vTv LLC, representing a 21.7% economic interest in vTv LLC, effectively restricting vTv Therapeutics Inc.’s interest to 78.3% of vTv LLC’s economic results, subject to increase in the future, should vTv Therapeutics Inc. purchase additional non-voting common units (“vTv Units”) of vTv LLC, or should the holders of vTv Units decide to exchange such units (together with shares of the Company’s Class B common stock, par value $0.01 (“Class B common stock”)) for shares of Class A common stock (or cash) pursuant to the Exchange Agreement. vTv Therapeutics Inc. has provided financial and other support to vTv LLC in the form of its purchase of vTv Units with the net proceeds of the Company’s initial public offering (“IPO”) in 2015, its registered direct offering in March 2019, and its agreeing to be a co-borrower under the Venture Loan and Security Agreement (the “Loan Agreement”) with Horizon Technology Finance Corporation and Silicon Valley Bank (together, the “Lenders”) which was entered into in 2016. vTv Therapeutics Inc. entered into the letter agreements with MacAndrews and Forbes Group LLC (“M&amp;F Group”), a related party and an affiliate of MacAndrews &amp; Forbes Incorporated (together with its affiliates “MacAndrews”) in December 2017, July 2018, December 2018, March 2019, September 2019, and December 2019 (each a “Letter Agreement” and collectively, the “Letter Agreements”). vTv Therapeutics Inc. also entered into a common stock purchase agreement with G42 Investments AI Holding RSC Ltd (“G42 Investments”) (the “G42 Purchase Agreement”) and the common stock and warrant purchase agreement with CinPax, LLC and CinRx, LLC, respectively (the “CinRx Purchase Agreement”). In addition vTv Therapeutics Inc also entered into a sales agreement with Cowen and Company, LLC (“TD Cowen”) (“TD Cowen Sales Agreement”). vTv Therapeutics Inc. will not be required to provide financial or other support for vTv LLC. However, vTv Therapeutics Inc. will control its business and other activities through its managing member interest in vTv LLC, and its management is the management of vTv LLC. Nevertheless, because vTv Therapeutics Inc. will have no material assets other than its interests in vTv LLC, any financial difficulties at vTv LLC could result in vTv Therapeutics Inc. recognizing a loss.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Reverse Stock Split</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On November 14, 2023, the Board of Directors of the Company approved a reverse stock split at a ratio of 1-for-40, such that every 40 shares of the Company’s Class A common stock, par value $0.01 per share (the “Class A common stock”), would be combined into one issued and outstanding share of Class A common stock, and every 40 shares of the Company’s Class B common stock, par value $0.01 per share (the “Class B common stock”), would be combined into one issued and outstanding share of Class B Common Stock (together, the “Reverse Stock Split”).</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On November 20, 2023, the Company filed a Certificate of Amendment to the Company’s amended and restated certificate of incorporation, as amended, with the Secretary of State of the State of Delaware, which effected a reverse stock split of our Class A common stock and Class B common stock at a ratio of 1-for-40. No fractional shares were issued in connection with the Reverse Stock Split. Any fractional shares of Class A common stock and Class B common stock to which a stockholder was entitled resulting from the Reverse Stock Split were rounded up to the nearest whole share. The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3" w:right="299" w:bottom="1440" w:gutter="0" w:footer="0" w:header="0"/>
        </w:sectPr>
      </w:pPr>
    </w:p>
    <w:bookmarkStart w:id="81" w:name="page82"/>
    <w:bookmarkEnd w:id="81"/>
    <w:p>
      <w:pPr>
        <w:jc w:val="both"/>
        <w:spacing w:after="0" w:line="279" w:lineRule="auto"/>
        <w:rPr>
          <w:sz w:val="20"/>
          <w:szCs w:val="20"/>
          <w:color w:val="auto"/>
        </w:rPr>
      </w:pPr>
      <w:r>
        <w:rPr>
          <w:rFonts w:ascii="Times New Roman" w:cs="Times New Roman" w:eastAsia="Times New Roman" w:hAnsi="Times New Roman"/>
          <w:sz w:val="12"/>
          <w:szCs w:val="12"/>
          <w:color w:val="auto"/>
        </w:rPr>
        <w:t>Class A common stock began trading on a reverse split-adjusted basis on the Nasdaq on November 21, 2023. The Company’s Class A common stock will continue trading under the symbol “VTVT,” and the new CUSIP number for the Class A common stock following the Reverse Stock Split is 91835204.</w:t>
      </w:r>
    </w:p>
    <w:p>
      <w:pPr>
        <w:spacing w:after="0" w:line="39" w:lineRule="exact"/>
        <w:rPr>
          <w:sz w:val="20"/>
          <w:szCs w:val="20"/>
          <w:color w:val="auto"/>
        </w:rPr>
      </w:pPr>
    </w:p>
    <w:p>
      <w:pPr>
        <w:jc w:val="both"/>
        <w:ind w:firstLine="324"/>
        <w:spacing w:after="0" w:line="326" w:lineRule="auto"/>
        <w:rPr>
          <w:sz w:val="20"/>
          <w:szCs w:val="20"/>
          <w:color w:val="auto"/>
        </w:rPr>
      </w:pPr>
      <w:r>
        <w:rPr>
          <w:rFonts w:ascii="Times New Roman" w:cs="Times New Roman" w:eastAsia="Times New Roman" w:hAnsi="Times New Roman"/>
          <w:sz w:val="12"/>
          <w:szCs w:val="12"/>
          <w:color w:val="auto"/>
        </w:rPr>
        <w:t>The Reverse Stock Split did not reduce the number of authorized shares of Class A and Class B common stock, which remains at 200,000,000 and 100,000,000, respectively and did not change the par value of the common stock, which remains at $0.01 per share.</w:t>
      </w:r>
    </w:p>
    <w:p>
      <w:pPr>
        <w:spacing w:after="0" w:line="1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retroactively adjusted its consolidated financial statements to reflect the Reverse Stock Split. All issued and outstanding common stock and per share amounts contained in the consolidated financial statements have been retroactively adjusted to reflect this Reverse Stock Split for all periods presented. In addition, a proportionate adjustment was made to the per share exercise price and the number of shares issuable upon the exercise and/or vesting of all warrants to purchase shares of common stock.</w:t>
      </w:r>
    </w:p>
    <w:p>
      <w:pPr>
        <w:spacing w:after="0" w:line="74"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A proportionate adjustment was also made to the number of shares reserved for issuance pursuant to the Company’s equity incentive compensation plans to reflect the Reverse Stock Split. The common stock and additional paid-in-capital line items contained in the consolidated financial statements were adjusted to account for the Reverse Stock Split for all periods presented.</w:t>
      </w:r>
    </w:p>
    <w:p>
      <w:pPr>
        <w:spacing w:after="0" w:line="39"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reverse stock split did not have any effect on the number of authorized shares of the Company’s preferred stock, par value of $0.01 per share, remains at 50,000,000 shares. Currently no shares of preferred stock are outstanding.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Going Concern</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To date, the Company has not generated any product revenue and has not achieved profitable operations. The continuing development of our drug candidates will require additional financing. From its inception through December 31, 2023,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December 31, 2023, the Company had an accumulated deficit of $281.0 million and has generated net losses in each year of its existence. As of December 31, 2023, the Company's liquidity sources included cash and cash equivalents of $9.4 million.</w:t>
      </w:r>
    </w:p>
    <w:p>
      <w:pPr>
        <w:spacing w:after="0" w:line="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On February 27, 2024, we entered into a securities purchase agreement (the “Securities Purchase Agreement”) with certain institutional accredited investors (the “Private Placement Investors”), pursuant to which we agreed to issue and sell to the Private Placement Investors in a private placement (the “Private Placement”) (i) an aggregate of 464,377 shares (the “Private Placement Shares”) of our Class A common stock, at a purchase price of $11.81 per share, and (ii) pre-funded warrants (the “Private Placement Pre-Funded Warrants”) to purchase up to an aggregate of 3,853,997 shares of our Class A common stock (the “Private Placement Warrant Shares”) at a purchase price of $11.80 per Private Placement Pre-Funded Warrant (representing the $11.81 per Private Placement Share purchase price less the exercise price of $0.01 per Private Placement Warrant Share). We received aggregate gross proceeds from the Private Placement of approximately $51.0 million, before deducting offering expenses payable by us. The Private Placement Pre-Funded Warrants are exercisable at any time after their original issuance and will not expire.</w:t>
      </w:r>
    </w:p>
    <w:p>
      <w:pPr>
        <w:spacing w:after="0" w:line="53"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 xml:space="preserve">Based on our current operating plan, we believe that our current cash and cash equivalents will allow us to meet our liquidity requirements for at least the next twelve months. We plan to finance our operations into the first quarter of 2026 through the use of our cash and cash equivalents and based on current operating plans, we are evaluating several financing strategies to fund the ongoing and future clinical trials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including direct equity investments and the potential licensing and monetization of other Company programs.</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 of the issuance date of the Company's December 31, 2022 Form 10-K, the Company disclosed, as required under applicable accounting standards, that substantial doubt existed surrounding the Company's ability to continue as a going concern within one year of the issuance date of the December 31, 2022 consolidated financial statements. Based on the cash and cash equivalents currently available to the Company as discussed above, the Company has concluded there is no longer substantial doubt regarding the ability to continue as a going concern for at least twelve months from the issuance of the December 31, 2023 Form 10-K.</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(the “TD Cowen ATM Offering”). Pursuant to General Instruction I.B.6 of Form S-3, in no event will we sell securities registered on the registration statement relating to the TD Cowen ATM Offering with a value exceeding more than one-third of our</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82" w:name="page83"/>
    <w:bookmarkEnd w:id="82"/>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public float in any 12-month period so long as our public float remains below $75.0 million. Under the terms of the TD Cowen Sales Agreement, we will pay TD Cowen a commission of 3.0% of the aggregate proceeds from the sale of shares and reimburse certain legal fees or other disbursements See Note 20 for further details.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 Summary of Significant Accounting Policies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Use of Estimates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preparation of the consolidated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Actual results could differ from those estimates.</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On an ongoing basis, the Company evaluates its estimates, including those related to the grant date fair value of equity awards, the fair value of warrants to purchase shares of its Class A common stock, the fair value of its Class B common stock, the useful lives of property and equipment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Concentration of Credit Risk</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Financial instruments that potentially expose the Company to concentrations of credit risk consist principally of cash on deposit with multiple financial institutions. The balance of the cash account frequently exceeds insured limits. The associated risk of concentration for cash and cash equivalents is mitigated by transferring a majority of our cash to a AAA rated money market account with a creditworthy institution.</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One customer represented 100% of the revenue earned during the year ended December 31, 2022, and was attributable from the satisfaction of a development milestone from the First Huadong Amendment (as defined herein).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Three customers represented 100% of the revenue earned during the year ended December 31, 2021. The Company did not have any revenue during the year ended December 31, 2023.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Cash and Cash Equivalents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 considers any highly liquid investments with an original maturity of three months or less to be cash and cash equivalents.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Collaboration Revenue and Accounts Receivable</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majority of the Company’s collaboration revenue and accounts receivable relates to its agreements to license certain of its potential drug products for development. See Note 3 for further discussion of the Company’s collaboration agreements.</w:t>
      </w:r>
    </w:p>
    <w:p>
      <w:pPr>
        <w:spacing w:after="0" w:line="3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Accounts receivable are stated at net realizable value. On a periodic basis, the Company evaluates its accounts receivable and establishes an allowance based on its history of collections and write-offs and the current status of all receivables.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Property and Equipment and other Long-lived Assets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records property and equipment at cost less accumulated depreciation. Costs of renewals and improvements that extend the useful lives of the assets are capitalized. Maintenance and repairs are expensed as incurred. Depreciation is determined on a straight-line basis over the estimated useful lives of the assets, which generally range from three to ten years. Leasehold improvements are depreciated over the shorter of the useful life of the asset or the term of the related lease. Upon retirement or disposition of assets, the costs and related accumulated depreciation are removed from the accounts with the resulting gains or losses, if any, reflected in results of operations.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83" w:name="page84"/>
    <w:bookmarkEnd w:id="83"/>
    <w:p>
      <w:pPr>
        <w:ind w:left="320"/>
        <w:spacing w:after="0"/>
        <w:rPr>
          <w:sz w:val="20"/>
          <w:szCs w:val="20"/>
          <w:color w:val="auto"/>
        </w:rPr>
      </w:pPr>
      <w:r>
        <w:rPr>
          <w:rFonts w:ascii="Times New Roman" w:cs="Times New Roman" w:eastAsia="Times New Roman" w:hAnsi="Times New Roman"/>
          <w:sz w:val="12"/>
          <w:szCs w:val="12"/>
          <w:color w:val="auto"/>
        </w:rPr>
        <w:t>The estimated useful lives of property and equipment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660" w:type="dxa"/>
            <w:vAlign w:val="bottom"/>
          </w:tcPr>
          <w:p>
            <w:pPr>
              <w:ind w:left="2980"/>
              <w:spacing w:after="0"/>
              <w:rPr>
                <w:sz w:val="20"/>
                <w:szCs w:val="20"/>
                <w:color w:val="auto"/>
              </w:rPr>
            </w:pPr>
            <w:r>
              <w:rPr>
                <w:rFonts w:ascii="Times New Roman" w:cs="Times New Roman" w:eastAsia="Times New Roman" w:hAnsi="Times New Roman"/>
                <w:sz w:val="10"/>
                <w:szCs w:val="10"/>
                <w:b w:val="1"/>
                <w:bCs w:val="1"/>
                <w:color w:val="auto"/>
              </w:rPr>
              <w:t>Asset Category</w:t>
            </w:r>
          </w:p>
        </w:tc>
        <w:tc>
          <w:tcPr>
            <w:tcW w:w="5420" w:type="dxa"/>
            <w:vAlign w:val="bottom"/>
          </w:tcPr>
          <w:p>
            <w:pPr>
              <w:jc w:val="center"/>
              <w:ind w:left="902"/>
              <w:spacing w:after="0"/>
              <w:rPr>
                <w:sz w:val="20"/>
                <w:szCs w:val="20"/>
                <w:color w:val="auto"/>
              </w:rPr>
            </w:pPr>
            <w:r>
              <w:rPr>
                <w:rFonts w:ascii="Times New Roman" w:cs="Times New Roman" w:eastAsia="Times New Roman" w:hAnsi="Times New Roman"/>
                <w:sz w:val="10"/>
                <w:szCs w:val="10"/>
                <w:b w:val="1"/>
                <w:bCs w:val="1"/>
                <w:color w:val="auto"/>
                <w:w w:val="95"/>
              </w:rPr>
              <w:t>Useful Life (in years)</w:t>
            </w:r>
          </w:p>
        </w:tc>
      </w:tr>
      <w:tr>
        <w:trPr>
          <w:trHeight w:val="162"/>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Laboratory equipment</w:t>
            </w:r>
          </w:p>
        </w:tc>
        <w:tc>
          <w:tcPr>
            <w:tcW w:w="5420" w:type="dxa"/>
            <w:vAlign w:val="bottom"/>
            <w:shd w:val="clear" w:color="auto" w:fill="CCEEFF"/>
          </w:tcPr>
          <w:p>
            <w:pPr>
              <w:jc w:val="center"/>
              <w:ind w:left="902"/>
              <w:spacing w:after="0"/>
              <w:rPr>
                <w:sz w:val="20"/>
                <w:szCs w:val="20"/>
                <w:color w:val="auto"/>
              </w:rPr>
            </w:pPr>
            <w:r>
              <w:rPr>
                <w:rFonts w:ascii="Times New Roman" w:cs="Times New Roman" w:eastAsia="Times New Roman" w:hAnsi="Times New Roman"/>
                <w:sz w:val="12"/>
                <w:szCs w:val="12"/>
                <w:color w:val="auto"/>
                <w:w w:val="99"/>
              </w:rPr>
              <w:t>7</w:t>
            </w:r>
          </w:p>
        </w:tc>
      </w:tr>
      <w:tr>
        <w:trPr>
          <w:trHeight w:val="153"/>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Computers and hardware</w:t>
            </w:r>
          </w:p>
        </w:tc>
        <w:tc>
          <w:tcPr>
            <w:tcW w:w="5420" w:type="dxa"/>
            <w:vAlign w:val="bottom"/>
          </w:tcPr>
          <w:p>
            <w:pPr>
              <w:jc w:val="center"/>
              <w:ind w:left="882"/>
              <w:spacing w:after="0"/>
              <w:rPr>
                <w:sz w:val="20"/>
                <w:szCs w:val="20"/>
                <w:color w:val="auto"/>
              </w:rPr>
            </w:pPr>
            <w:r>
              <w:rPr>
                <w:rFonts w:ascii="Times New Roman" w:cs="Times New Roman" w:eastAsia="Times New Roman" w:hAnsi="Times New Roman"/>
                <w:sz w:val="12"/>
                <w:szCs w:val="12"/>
                <w:color w:val="auto"/>
                <w:w w:val="99"/>
              </w:rPr>
              <w:t>3-5</w:t>
            </w:r>
          </w:p>
        </w:tc>
      </w:tr>
      <w:tr>
        <w:trPr>
          <w:trHeight w:val="153"/>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Furniture and office equipment</w:t>
            </w:r>
          </w:p>
        </w:tc>
        <w:tc>
          <w:tcPr>
            <w:tcW w:w="5420" w:type="dxa"/>
            <w:vAlign w:val="bottom"/>
            <w:shd w:val="clear" w:color="auto" w:fill="CCEEFF"/>
          </w:tcPr>
          <w:p>
            <w:pPr>
              <w:jc w:val="center"/>
              <w:ind w:left="882"/>
              <w:spacing w:after="0"/>
              <w:rPr>
                <w:sz w:val="20"/>
                <w:szCs w:val="20"/>
                <w:color w:val="auto"/>
              </w:rPr>
            </w:pPr>
            <w:r>
              <w:rPr>
                <w:rFonts w:ascii="Times New Roman" w:cs="Times New Roman" w:eastAsia="Times New Roman" w:hAnsi="Times New Roman"/>
                <w:sz w:val="12"/>
                <w:szCs w:val="12"/>
                <w:color w:val="auto"/>
                <w:w w:val="99"/>
              </w:rPr>
              <w:t>3-7</w:t>
            </w:r>
          </w:p>
        </w:tc>
      </w:tr>
      <w:tr>
        <w:trPr>
          <w:trHeight w:val="153"/>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Software</w:t>
            </w:r>
          </w:p>
        </w:tc>
        <w:tc>
          <w:tcPr>
            <w:tcW w:w="5420" w:type="dxa"/>
            <w:vAlign w:val="bottom"/>
          </w:tcPr>
          <w:p>
            <w:pPr>
              <w:jc w:val="center"/>
              <w:ind w:left="902"/>
              <w:spacing w:after="0"/>
              <w:rPr>
                <w:sz w:val="20"/>
                <w:szCs w:val="20"/>
                <w:color w:val="auto"/>
              </w:rPr>
            </w:pPr>
            <w:r>
              <w:rPr>
                <w:rFonts w:ascii="Times New Roman" w:cs="Times New Roman" w:eastAsia="Times New Roman" w:hAnsi="Times New Roman"/>
                <w:sz w:val="12"/>
                <w:szCs w:val="12"/>
                <w:color w:val="auto"/>
                <w:w w:val="99"/>
              </w:rPr>
              <w:t>3</w:t>
            </w:r>
          </w:p>
        </w:tc>
      </w:tr>
      <w:tr>
        <w:trPr>
          <w:trHeight w:val="153"/>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5420" w:type="dxa"/>
            <w:vAlign w:val="bottom"/>
            <w:shd w:val="clear" w:color="auto" w:fill="CCEEFF"/>
          </w:tcPr>
          <w:p>
            <w:pPr>
              <w:jc w:val="center"/>
              <w:ind w:left="882"/>
              <w:spacing w:after="0"/>
              <w:rPr>
                <w:sz w:val="20"/>
                <w:szCs w:val="20"/>
                <w:color w:val="auto"/>
              </w:rPr>
            </w:pPr>
            <w:r>
              <w:rPr>
                <w:rFonts w:ascii="Times New Roman" w:cs="Times New Roman" w:eastAsia="Times New Roman" w:hAnsi="Times New Roman"/>
                <w:sz w:val="12"/>
                <w:szCs w:val="12"/>
                <w:color w:val="auto"/>
                <w:w w:val="99"/>
              </w:rPr>
              <w:t>Shorter of useful life or remaining term of lease</w:t>
            </w:r>
          </w:p>
        </w:tc>
      </w:tr>
    </w:tbl>
    <w:p>
      <w:pPr>
        <w:spacing w:after="0" w:line="124"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Company periodically assesses its property and equipment and other long-lived assets for impairment in accordance with the relevant accounting guidance. No such charges were recognized during the years ended December 31, 2023, 2022 or 2021. There were no assets held for sale at December 31, 2023 or 2022.</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Investments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Investments in entities in which the Company has no control or significant influence, is not the primary beneficiary, and have a readily determinable fair value are classified as equity investments with readily determinable fair value. The investments are measured at fair value based on a quoted market price per unit in active markets multiplied by the number of units held without consideration of transaction costs (Level 1). Gains and losses are recorded in other (expense) income, net on the Consolidated Statements of Operations.</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Equity investments without readily determinable fair value include ownership rights that do not provide the Company with control or significant influence and these investments do not have readily determinable fair values. The Company has elected to measure its equity investments without readily determinable fair values at cost minus impairment, if any, plus or minus changes resulting from observable price changes in orderly transactions for the identical or similar investment.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82"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 xml:space="preserve">The Company uses the revenue recognition guidance established by ASC 606, “Revenue From Contracts With Customers” (“ASC 606”). When an agreement falls under the scope of other standards, such as ASC 808, </w:t>
      </w:r>
      <w:r>
        <w:rPr>
          <w:rFonts w:ascii="Times New Roman" w:cs="Times New Roman" w:eastAsia="Times New Roman" w:hAnsi="Times New Roman"/>
          <w:sz w:val="12"/>
          <w:szCs w:val="12"/>
          <w:i w:val="1"/>
          <w:iCs w:val="1"/>
          <w:color w:val="auto"/>
        </w:rPr>
        <w:t xml:space="preserve">Collaborative Arrangements </w:t>
      </w:r>
      <w:r>
        <w:rPr>
          <w:rFonts w:ascii="Times New Roman" w:cs="Times New Roman" w:eastAsia="Times New Roman" w:hAnsi="Times New Roman"/>
          <w:sz w:val="12"/>
          <w:szCs w:val="12"/>
          <w:color w:val="auto"/>
        </w:rPr>
        <w:t>(“ASC 808”), the Company will apply the recognition, measurement, presentation, and disclosure guidance in ASC 606 to the performance obligations in the agreements if those performance obligations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 a customer. Revenue recognized by analogizing to ASC 606, is recorded as collaboration revenue on the statements of operations.</w:t>
      </w:r>
    </w:p>
    <w:p>
      <w:pPr>
        <w:spacing w:after="0" w:line="4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 The Company will recognize collaboration revenue under ASC 808 as a stand-ready obligation under ASC 606 over time based on the estimated period of performance.</w:t>
      </w:r>
    </w:p>
    <w:p>
      <w:pPr>
        <w:spacing w:after="0" w:line="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discernible pattern over which the services will be provided.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Fair Value of Financial Instruments</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Company uses a three-tier fair value hierarchy to classify and disclose all assets and liabilities measured at fair value on a recurring basis, as well as assets and liabilities measured at fair value on a non-recurring basis, in periods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2"/>
          <w:szCs w:val="12"/>
          <w:color w:val="auto"/>
        </w:rPr>
        <w:t>subsequent to their initial measurement. The hierarchy requires the Company to use observable inputs when available, and to minimize the use of unobservable inputs, when determining fair value. The three tiers are defined as follows:</w:t>
      </w:r>
    </w:p>
    <w:p>
      <w:pPr>
        <w:spacing w:after="0" w:line="78" w:lineRule="exact"/>
        <w:rPr>
          <w:sz w:val="20"/>
          <w:szCs w:val="20"/>
          <w:color w:val="auto"/>
        </w:rPr>
      </w:pPr>
    </w:p>
    <w:p>
      <w:pPr>
        <w:ind w:left="640" w:hanging="324"/>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1—Observable inputs that reflect quoted market prices (unadjusted) for identical assets or liabilities in active markets;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2—Observable inputs other than quoted prices in active markets that are observable either directly or indirectly in the marketplace for identical or similar assets and liabilities;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3—Unobservable inputs that are supported by little or no market data, which require the Company to develop its own assumptions.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Major components of research and development costs include cash compensation to employees, depreciation expense on research and development property and equipment,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the Company’s behalf. Research and development costs are expensed as incurred.</w:t>
      </w:r>
    </w:p>
    <w:p>
      <w:pPr>
        <w:spacing w:after="0" w:line="4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Company records accruals based on estimates of the services received, efforts expended and amounts owed pursuant to contracts with numerous contract research and manufacturing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consolidated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53"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Company records nonrefundable advance payments it makes for future research and development activities as prepaid expenses. Prepaid expenses are recognized as expenses in the Consolidated Statements of Operations as the Company receives the related goods or services.</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Research and development costs that are reimbursed under a cost-sharing arrangement are reflected as a reduction of research and development expense.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Patent Costs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Patent costs, including related legal costs, are expensed as incurred and recorded within general and administrative operating expenses on the Consolidated Statements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From its formation on August 1, 2015, vTv Therapeutics Inc. has been subject to corporate level income taxes. Prior to July 30, 2015, the Company’s predecessor entities were taxed as partnerships and all their income and deductions flowed through and were subject to tax at the partner level.</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vTv Therapeutics Inc. is required to recognize deferred tax assets and liabilities for the difference between the financial reporting and tax basis of its investment in vTv LLC.</w:t>
      </w:r>
    </w:p>
    <w:p>
      <w:pPr>
        <w:spacing w:after="0" w:line="78"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Company’s income tax expense, deferred tax assets and liabilities and reserves for unrecognized tax benefits reflect management’s best assessment of estimated future taxes to be paid. The Company is subject to income taxes in both the United States and various state jurisdictions. Significant judgments and estimates are required in determining the consolidated income tax expense.</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accounts for income taxes under the asset and liability method, which requires the recognition of deferred tax assets and liabilities for the expected future tax consequences of events included in the consolidated financial statements. Under this method, the Company determines deferred tax assets and liabilities on the basis of differences between the consolidated financial statement and tax bases of assets and liabilities by using enacted tax rates in effect for the year in which the differences are expected to reverse. The effect of a change in tax rates on deferred tax assets and liabilities is recognized in income in the period in which the enactment date occurs.</w:t>
      </w:r>
    </w:p>
    <w:p>
      <w:pPr>
        <w:spacing w:after="0" w:line="47"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Company recognizes deferred tax assets to the extent it believes these assets are more-likely-than-not to be realized. In making such a determination, the Company considers all available positive and negative evidence, including</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2"/>
          <w:szCs w:val="12"/>
          <w:color w:val="auto"/>
        </w:rPr>
        <w:t>future reversals of existing taxable temporary differences, projected future taxable income, tax planning strategies and recent results of operations.</w:t>
      </w:r>
    </w:p>
    <w:p>
      <w:pPr>
        <w:spacing w:after="0" w:line="7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records uncertain tax positions on the basis of a two-step process in which (1) it determines whether it is more-likely-than-not that the tax positions will be sustained on the basis of the technical merits of the position and (2) for those tax positions meeting the more-likely-than-not recognition threshold, it recognizes the largest amount of tax benefit that is more than 50% likely to be realized upon ultimate settlement with the related tax authority.</w:t>
      </w:r>
    </w:p>
    <w:p>
      <w:pPr>
        <w:spacing w:after="0" w:line="47"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Interest and penalties related to income taxes are included in the benefit (provision) for income taxes in the Company’s Consolidated Statements of Operations. The Company has not incurred any significant interest or penalties related to income taxes in any of the periods presented.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Noncontrolling Interest</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Company records the redeemable noncontrolling interest represented by the vTv Units and the Class B common stock at the higher of (1) its initial fair value plus accumulated earnings/losses associated with the noncontrolling interest or (2) the redemption value as of the balance sheet date. See discussion and additional detail of the redeemable noncontrolling interest at Note 13.</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Segment and Geographic Information</w:t>
      </w:r>
    </w:p>
    <w:p>
      <w:pPr>
        <w:spacing w:after="0" w:line="82"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Operating segments are defined as an enterprise’s components (business activities from which it earns revenue and incurs expenses) for which discrete financial information is (1) available; and (2) is regularly reviewed by the chief operating decision maker (“CODM”) in deciding how to allocate resources and in assessing performance. The Company’s CODM is its President and Chief Executive Officer. The Company’s business operates in one reportable segment comprised of one operating segment.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Leases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Company determines if an arrangement is a lease at inception. Balances recognized related to operating leases are included in operating lease right-of-use assets and operating lease liabilities in the Consolidated Balance Sheets. Operating lease right-of-use assets and operating lease liabilities are recognized based on the present value of the future minimum lease payments over the lease term at commencement date. Lease terms may include options to extend or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operating lease right-of-use asset also includes any lease payments made and excludes lease incentives and initial direct costs incurred. The Company has elected a practical expedient to not separate its lease and non-lease components and instead account for them as a single lease component.</w:t>
      </w:r>
    </w:p>
    <w:p>
      <w:pPr>
        <w:spacing w:after="0" w:line="53"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Share-Based Compensation</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Compensation expense for share-based compensation awards issued is based on the fair value of the award at the date of grant, and compensation expense is recognized for those awards earned over the service period. The grant date fair value of stock option awards is estimated using the Black-Scholes option pricing formula. Expected volatility is based on the historical volatility of the Company’s common stock over the most recent period commensurate with the estimated expected term of the Company’s stock options offering period which is derived from historical experience. The risk-free rate is based on the U.S. Treasury yield curve in effect at the time of grant. Due to a lack of historical exercise data, the Company estimates the expected life of its outstanding stock options using the simplified method specified under Staff Accounting Bulletin Topic 14.D.2.</w:t>
      </w:r>
    </w:p>
    <w:p>
      <w:pPr>
        <w:spacing w:after="0" w:line="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the event the participant’s employment by or engagement with (as a director or otherwise) the Company terminates before exercise of the options granted, the stock options granted to the participant shall immediately expire and all rights to purchase shares there under shall immediately cease and expire and be of no further force or effect, other than applicable exercise rights for vested shares that may extend past the termination date as provided for in the participant’s applicable option award agreement.</w:t>
      </w:r>
    </w:p>
    <w:p>
      <w:pPr>
        <w:spacing w:after="0" w:line="47"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fair value of restricted stock units (“RSU”) grants is based on the market value of the Class A common stock on the date of grant. The Company also estimates the amount of share-based awards that are expected to be forfeited based on historical employee turnover rates.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2"/>
          <w:szCs w:val="12"/>
          <w:b w:val="1"/>
          <w:bCs w:val="1"/>
          <w:i w:val="1"/>
          <w:iCs w:val="1"/>
          <w:color w:val="auto"/>
        </w:rPr>
        <w:t>Comprehensive Income</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Company does not have any components of other comprehensive income recorded within its Consolidated Financial Statements, and, therefore, does not separately present a statement of comprehensive income in its Consolidated Financial Statements.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Recently Issued Accounting Pronouncements</w:t>
      </w:r>
    </w:p>
    <w:p>
      <w:pPr>
        <w:spacing w:after="0" w:line="7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Fair Value Measurements: </w:t>
      </w:r>
      <w:r>
        <w:rPr>
          <w:rFonts w:ascii="Times New Roman" w:cs="Times New Roman" w:eastAsia="Times New Roman" w:hAnsi="Times New Roman"/>
          <w:sz w:val="12"/>
          <w:szCs w:val="12"/>
          <w:color w:val="auto"/>
        </w:rPr>
        <w:t>In June 2022, the Financial Accounting Standards Board (FASB) issued Accounting Standards Update (ASU) No. 2022-03 “</w:t>
      </w:r>
      <w:r>
        <w:rPr>
          <w:rFonts w:ascii="Times New Roman" w:cs="Times New Roman" w:eastAsia="Times New Roman" w:hAnsi="Times New Roman"/>
          <w:sz w:val="12"/>
          <w:szCs w:val="12"/>
          <w:i w:val="1"/>
          <w:iCs w:val="1"/>
          <w:color w:val="auto"/>
        </w:rPr>
        <w:t>Fair Value Measurements (Topic 820): Fair Value Measurement of Equity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Securities Subject to Contractual Sale Restrictions</w:t>
      </w:r>
      <w:r>
        <w:rPr>
          <w:rFonts w:ascii="Times New Roman" w:cs="Times New Roman" w:eastAsia="Times New Roman" w:hAnsi="Times New Roman"/>
          <w:sz w:val="12"/>
          <w:szCs w:val="12"/>
          <w:color w:val="auto"/>
        </w:rPr>
        <w:t>”. These amendments clarify that a contractual restriction on the sale of an equity security is not considered part of the unit of account of the equity security and, therefore, is not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considered in measuring fair value. This guidance is effective for public business entities for fiscal years, including interim periods within those fiscal years, beginning after December 15, 2023. Early adoption is permitted. The Company has assessed ASU 2022-03 and early adopted the guidance during the second quarter of 2022. The adoption did not have a material impact on the Company's Consolidated Financial Statements.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Recently Issued Accounting Pronouncements Not Yet Adopted</w:t>
      </w:r>
    </w:p>
    <w:p>
      <w:pPr>
        <w:spacing w:after="0" w:line="7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2"/>
          <w:szCs w:val="12"/>
          <w:b w:val="1"/>
          <w:bCs w:val="1"/>
          <w:color w:val="auto"/>
        </w:rPr>
        <w:t>Segment Reporting</w:t>
      </w:r>
      <w:r>
        <w:rPr>
          <w:rFonts w:ascii="Times New Roman" w:cs="Times New Roman" w:eastAsia="Times New Roman" w:hAnsi="Times New Roman"/>
          <w:sz w:val="12"/>
          <w:szCs w:val="12"/>
          <w:color w:val="auto"/>
        </w:rPr>
        <w:t>: In November 2023, the FASB issued ASU 2023-07, Segment Reporting (Topic 280): “</w:t>
      </w:r>
      <w:r>
        <w:rPr>
          <w:rFonts w:ascii="Times New Roman" w:cs="Times New Roman" w:eastAsia="Times New Roman" w:hAnsi="Times New Roman"/>
          <w:sz w:val="12"/>
          <w:szCs w:val="12"/>
          <w:i w:val="1"/>
          <w:iCs w:val="1"/>
          <w:color w:val="auto"/>
        </w:rPr>
        <w:t>Improvements to Reportable Segment Disclosures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(ASU 2023-07)</w:t>
      </w:r>
      <w:r>
        <w:rPr>
          <w:rFonts w:ascii="Times New Roman" w:cs="Times New Roman" w:eastAsia="Times New Roman" w:hAnsi="Times New Roman"/>
          <w:sz w:val="12"/>
          <w:szCs w:val="12"/>
          <w:color w:val="auto"/>
        </w:rPr>
        <w:t>. The ASU expands public entities' segment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disclosures by requiring disclosures of significant segment expenses that are regularly provided to the CODM and included within each reported measure of segment profit or loss, an amount and description of its composition for other segment items, and interim disclosures of a reportable segment's profit or loss and assets. Early adoption is permitted. The Company is currently evaluating the impact of adopting this ASU on the Company's Consolidated Financial Statements and disclosures.</w:t>
      </w:r>
    </w:p>
    <w:p>
      <w:pPr>
        <w:spacing w:after="0" w:line="4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2"/>
          <w:szCs w:val="12"/>
          <w:b w:val="1"/>
          <w:bCs w:val="1"/>
          <w:color w:val="auto"/>
        </w:rPr>
        <w:t>Income Taxes</w:t>
      </w:r>
      <w:r>
        <w:rPr>
          <w:rFonts w:ascii="Times New Roman" w:cs="Times New Roman" w:eastAsia="Times New Roman" w:hAnsi="Times New Roman"/>
          <w:sz w:val="12"/>
          <w:szCs w:val="12"/>
          <w:color w:val="auto"/>
        </w:rPr>
        <w:t>: In December 2023, the FASB issued ASU 2023-09: “</w:t>
      </w:r>
      <w:r>
        <w:rPr>
          <w:rFonts w:ascii="Times New Roman" w:cs="Times New Roman" w:eastAsia="Times New Roman" w:hAnsi="Times New Roman"/>
          <w:sz w:val="12"/>
          <w:szCs w:val="12"/>
          <w:i w:val="1"/>
          <w:iCs w:val="1"/>
          <w:color w:val="auto"/>
        </w:rPr>
        <w:t>Improvements to Income Tax Disclosures</w:t>
      </w:r>
      <w:r>
        <w:rPr>
          <w:rFonts w:ascii="Times New Roman" w:cs="Times New Roman" w:eastAsia="Times New Roman" w:hAnsi="Times New Roman"/>
          <w:sz w:val="12"/>
          <w:szCs w:val="12"/>
          <w:color w:val="auto"/>
        </w:rPr>
        <w:t>” (“ASU 2023-09”). The ASU is intended to enhance the transparency and decision usefulness of income tax</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disclosures. The amendments in the ASU address investor requests for enhanced income tax information primarily through changes to the rate reconciliation and income taxes paid information. ASU 2023-09 will be effective for us in the annual period beginning January 1, 2025, though early adoption is permitted. The Company is currently evaluating the presentational effect that ASU 2023-09 will have on the Company's Consolidated Financial Statements and disclosures, but we expect considerable changes to our income tax footnote.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3: Collaboration Agreements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G42 Purchase Agreement and Cogna Collaborative and License Agreement</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The Company and G42 Investments AI Holding RSC Ltd, a private limited company (“G42 Investments”), entered into a Common Stock Purchase Agreement (the “G42 Purchase Agreement”), on May 31, 2022, pursuant to which the Company sold to G42 Investments 259,657 shares of the Company’s Class A common stock at a price per share of approximately $96.40, for an aggregate purchase price of $25.0 million, which was paid (i) $12.5 million in cash at the closing and (ii) $12.5 million in the form of a promissory note of G42 Investments to be paid at May 31, 2023 (the "G42 Promissory Note"). 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resulting in a loss of $0.3 million and was recognized as a component of other (expense)/income in the Company’s Consolidated Statements of Operations.</w:t>
      </w:r>
    </w:p>
    <w:p>
      <w:pPr>
        <w:spacing w:after="0" w:line="53"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 xml:space="preserve">G42 Investments has agreed to certain transfer restrictions (including restrictions on short sales or similar transactions) and restrictions on further acquisitions of shares, in each case subject to specified exceptions. Following the expiration of a lock up period, from the period May 31, 2022 until December 31, 2024 (or if earlier, the date of receipt of U.S. Food and Drug Administration (“FDA”) approval in the U.S. for </w:t>
      </w:r>
      <w:r>
        <w:rPr>
          <w:rFonts w:ascii="Times New Roman" w:cs="Times New Roman" w:eastAsia="Times New Roman" w:hAnsi="Times New Roman"/>
          <w:sz w:val="12"/>
          <w:szCs w:val="12"/>
          <w:i w:val="1"/>
          <w:iCs w:val="1"/>
          <w:color w:val="auto"/>
        </w:rPr>
        <w:t>cadisegliatin (TTP399)</w:t>
      </w:r>
      <w:r>
        <w:rPr>
          <w:rFonts w:ascii="Times New Roman" w:cs="Times New Roman" w:eastAsia="Times New Roman" w:hAnsi="Times New Roman"/>
          <w:sz w:val="12"/>
          <w:szCs w:val="12"/>
          <w:color w:val="auto"/>
        </w:rPr>
        <w:t>, the Company has granted to G42 Investments certain shelf and piggyback registration rights with respect to those shares of Class A common stock issued to G42 Investments pursuant to the G42 Purchase Agreement, including the ability to conduct an underwritten offering to resell such shares under certain circumstances. The registration rights include customary cooperation, cut-back, expense reimbursement, and indemnification provisions.</w:t>
      </w:r>
    </w:p>
    <w:p>
      <w:pPr>
        <w:spacing w:after="0" w:line="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 xml:space="preserve">Contemporaneously with the G42 Purchase Agreement, effective on May 31, 2022, the Company entered into a collaboration and license agreement (the “Cogna Agreement”) with Cogna Technology Solutions LLC, an affiliate of G42 Investments (“Cogna”), which requires Cogna to work with the Company in performing clinical trials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TP399)</w:t>
      </w:r>
      <w:r>
        <w:rPr>
          <w:rFonts w:ascii="Times New Roman" w:cs="Times New Roman" w:eastAsia="Times New Roman" w:hAnsi="Times New Roman"/>
          <w:sz w:val="12"/>
          <w:szCs w:val="12"/>
          <w:color w:val="auto"/>
        </w:rPr>
        <w:t xml:space="preserve"> as well as jointly creating a global development plan to develop, market, and commercialize </w:t>
      </w:r>
      <w:r>
        <w:rPr>
          <w:rFonts w:ascii="Times New Roman" w:cs="Times New Roman" w:eastAsia="Times New Roman" w:hAnsi="Times New Roman"/>
          <w:sz w:val="12"/>
          <w:szCs w:val="12"/>
          <w:i w:val="1"/>
          <w:iCs w:val="1"/>
          <w:color w:val="auto"/>
        </w:rPr>
        <w:t xml:space="preserve">cadisegliatin </w:t>
      </w:r>
      <w:r>
        <w:rPr>
          <w:rFonts w:ascii="Times New Roman" w:cs="Times New Roman" w:eastAsia="Times New Roman" w:hAnsi="Times New Roman"/>
          <w:sz w:val="12"/>
          <w:szCs w:val="12"/>
          <w:color w:val="auto"/>
        </w:rPr>
        <w:t>in certain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5" w:right="299" w:bottom="1440" w:gutter="0" w:footer="0" w:header="0"/>
        </w:sectPr>
      </w:pPr>
    </w:p>
    <w:bookmarkStart w:id="87" w:name="page88"/>
    <w:bookmarkEnd w:id="87"/>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countries in the Middle East, Africa, and Central Asia (the “Partner Territory”). Under the terms of the Cogna Agreement, Cogna will obtain a license under certain intellectual property controlled by the Company to enable it to fulfill its obligations and exercise its rights under the Cogna agreement, including to develop and commercialize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the Partner Territory, but will not have access to the various intellectual property (“IP”) related to the license and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Specifically, the Company will share various protocols with Cogna related to conducting the clinical trials and will provide the patient dosages and placebo of</w:t>
      </w:r>
      <w:r>
        <w:rPr>
          <w:rFonts w:ascii="Times New Roman" w:cs="Times New Roman" w:eastAsia="Times New Roman" w:hAnsi="Times New Roman"/>
          <w:sz w:val="12"/>
          <w:szCs w:val="12"/>
          <w:i w:val="1"/>
          <w:iCs w:val="1"/>
          <w:color w:val="auto"/>
        </w:rPr>
        <w:t xml:space="preserve"> cadisegliatin </w:t>
      </w:r>
      <w:r>
        <w:rPr>
          <w:rFonts w:ascii="Times New Roman" w:cs="Times New Roman" w:eastAsia="Times New Roman" w:hAnsi="Times New Roman"/>
          <w:sz w:val="12"/>
          <w:szCs w:val="12"/>
          <w:color w:val="auto"/>
        </w:rPr>
        <w:t>needed to conduct the trials.</w:t>
      </w:r>
    </w:p>
    <w:p>
      <w:pPr>
        <w:spacing w:after="0" w:line="4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Under the Cogna Agreement, Cogna has the right to develop and commercialize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the Partner Territory at its own cost once restrictions on the use of the IP have been lifted by the Company. The Cogna Agreement determined which specific countries in the Partner Territory that Cogna may pursue development and commercialization and provides the Company with the ability to determine when Cogna can benefit from this IP through the powers granted to the Company to approve the global development plan. Further, the Company may supply at cost, or Cogna may manufacture,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for commercial sale under terms to be agreed upon by the parties at a later date.</w:t>
      </w:r>
    </w:p>
    <w:p>
      <w:pPr>
        <w:spacing w:after="0" w:line="4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Separately, the Company will conduct its clinical trials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outside of the Partner Territory at its own cost. The results of each party’s clinical trials will be combined by the Company to seek FDA approval in the United States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On December 21, 2022, G42 Healthcare Technology Solutions LLC (formerly known as Cogna Technology Solutions LLC) novated its rights and obligation under the Cogna agreement to G42 Healthcare Research Technology Projects LLC ("G42 Healthcare"), an affiliate of G42 Investments. As a result of the novation, all reference to Cogna herein shall be deemed to refer to G42 Healthcare.</w:t>
      </w:r>
    </w:p>
    <w:p>
      <w:pPr>
        <w:spacing w:after="0" w:line="4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2"/>
          <w:szCs w:val="12"/>
          <w:color w:val="auto"/>
        </w:rPr>
        <w:t xml:space="preserve">The G42 Purchase Agreement also provides for, following the receipt of the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FDA Approval, at the option of G42 Investments, either (a) the issuance of the Company’s Class A common stock (the “Milestone Shares”) having an aggregate value equal to $30.0 million or (b) the payment by the Company of $30.0 million in cash (the “Milestone Cash Payment”). The issuance of the Milestone Shares or the payment of the Milestone Cash Payment, as applicable, is conditioned upon receipt of the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FDA Approval and subject to certain limitations and conditions set forth in the G42 Purchase Agreement. There can be no assurance that the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FDA Approval will be granted or as to the timing thereof.</w:t>
      </w:r>
    </w:p>
    <w:p>
      <w:pPr>
        <w:spacing w:after="0" w:line="48"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12"/>
          <w:szCs w:val="12"/>
          <w:color w:val="auto"/>
        </w:rPr>
        <w:t xml:space="preserve">Once commercialization takes place in the Partner Territory, the Company will receive royalties in the single digits from Cogna on the net sales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for a period of at least ten years after the first commercial sale of </w:t>
      </w:r>
      <w:r>
        <w:rPr>
          <w:rFonts w:ascii="Times New Roman" w:cs="Times New Roman" w:eastAsia="Times New Roman" w:hAnsi="Times New Roman"/>
          <w:sz w:val="12"/>
          <w:szCs w:val="12"/>
          <w:i w:val="1"/>
          <w:iCs w:val="1"/>
          <w:color w:val="auto"/>
        </w:rPr>
        <w:t xml:space="preserve">cadisegliatin </w:t>
      </w:r>
      <w:r>
        <w:rPr>
          <w:rFonts w:ascii="Times New Roman" w:cs="Times New Roman" w:eastAsia="Times New Roman" w:hAnsi="Times New Roman"/>
          <w:sz w:val="12"/>
          <w:szCs w:val="12"/>
          <w:color w:val="auto"/>
        </w:rPr>
        <w:t>in the Partner Territory.</w:t>
      </w:r>
    </w:p>
    <w:p>
      <w:pPr>
        <w:spacing w:after="0" w:line="3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Common stock is generally recorded at fair value at the date of issuance. In determining the fair value of the Class A common stock issued to G42 Investments, the Company considered the closing price of the common stock on the effective date. The Company did not make an adjustment to the fair value for sale restrictions on the stock in accordance with guidance recently adopted in ASU 2022-03. See the “Recently Issued Accounting Guidance” in this 10-K for details of the ASU. Accordingly, the Company determined that cash consideration of $5.7 million should be recorded as fair value of the Class A common stock at the effective date, utilizing the Class A common stock closing price of $22.04 at the effective date.</w:t>
      </w:r>
    </w:p>
    <w:p>
      <w:pPr>
        <w:spacing w:after="0" w:line="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A premium was paid on the Class A common stock by G42 Investments of $18.7 million, net of a note receivable discount of $0.6 million. This premium is determined to be the transaction price for all remaining obligations under the agreements, which will be accounted for under ASC 808 or ASC 606 based on determination of the unit of account.</w:t>
      </w:r>
    </w:p>
    <w:p>
      <w:pPr>
        <w:spacing w:after="0" w:line="3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2"/>
          <w:szCs w:val="12"/>
          <w:color w:val="auto"/>
        </w:rPr>
        <w:t xml:space="preserve">The Company determined that certain commitments under the agreements are in the scope of ASC 808 as both the Company and Cogna are active participants in the clinical trials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and both are exposed to significant risks and rewards based on the success of the clinical trials and subsequent FDA approval. Cogna is determined to be a vendor of the Company during the clinical trial phase, working on the Company’s behalf to complete research and development activities, and not in a customer capacity. The Company accounted for the commitments related to the clinical trials, which includes transfer of trial protocols, supply of clinical trial dosages, and collaboration on the joint development committee (“JDC”) as an ASC 808 unit of account, applying the recognition and measurement principles of ASC 606 by analogy. The Company will recognize collaboration revenue for its development activities under ASC 808 over time based on the estimated period of performance.</w:t>
      </w:r>
    </w:p>
    <w:p>
      <w:pPr>
        <w:spacing w:after="0" w:line="5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By applying the principals in ASC 606 by analogy, the Company identified the performance obligation and considered the timing of satisfaction of the obligation to account for the pattern of revenue recognition. In order to recognize collaboration revenue, generally, the Company would begin satisfying its performance obligation and Cogna would need to be able to use and benefit from delivery of the assets or services. The performance obligation under the agreements that fall within the ASC 808 unit of account are concentrated in the clinical trials. As of December 31, 2023, the clinical trials had not commenced. Accordingly, no collaboration revenue was recognized for the ASC 808 unit of account during the year ended December 31, 2023.</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88" w:name="page89"/>
    <w:bookmarkEnd w:id="88"/>
    <w:p>
      <w:pPr>
        <w:ind w:left="328"/>
        <w:spacing w:after="0"/>
        <w:rPr>
          <w:sz w:val="20"/>
          <w:szCs w:val="20"/>
          <w:color w:val="auto"/>
        </w:rPr>
      </w:pPr>
      <w:r>
        <w:rPr>
          <w:rFonts w:ascii="Times New Roman" w:cs="Times New Roman" w:eastAsia="Times New Roman" w:hAnsi="Times New Roman"/>
          <w:sz w:val="12"/>
          <w:szCs w:val="12"/>
          <w:color w:val="auto"/>
        </w:rPr>
        <w:t>The Company identified certain commitments that are in the scope of ASC 606 as Cogna’s relationship is that of a customer for these commitments. The significant performance obligations that are in the scope of ASC 606 are</w:t>
      </w:r>
    </w:p>
    <w:p>
      <w:pPr>
        <w:spacing w:after="0" w:line="17" w:lineRule="exact"/>
        <w:rPr>
          <w:sz w:val="20"/>
          <w:szCs w:val="20"/>
          <w:color w:val="auto"/>
        </w:rPr>
      </w:pPr>
    </w:p>
    <w:p>
      <w:pPr>
        <w:jc w:val="both"/>
        <w:ind w:left="8" w:hanging="8"/>
        <w:spacing w:after="0" w:line="253" w:lineRule="auto"/>
        <w:tabs>
          <w:tab w:leader="none" w:pos="178"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development, commercialization and manufacturing license of the IP once restrictions on the use of the IP have been lifted by the Company and (2) a potential material right to a commercial supply agreement. The Company will recognize revenue from the development, commercial and manufacturing license at a point in time when the Company releases the restrictions on the use of the IP, which is expected to be after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is approved by the FDA. The Company will recognize revenue from the material right related to Cogna’s ability to purchase the commercial supply at cost as Cogna purchases the commercial supply from the Company, which will occur after the completion of the initial clinical trials (if Cogna decides to purchase the clinical supply from the Company). As a result, the Company has not recognized any revenue under the ASC 606 unit of account during the years ended December 31, 2023 and 2022.</w:t>
      </w:r>
    </w:p>
    <w:p>
      <w:pPr>
        <w:spacing w:after="0" w:line="54" w:lineRule="exact"/>
        <w:rPr>
          <w:sz w:val="20"/>
          <w:szCs w:val="20"/>
          <w:color w:val="auto"/>
        </w:rPr>
      </w:pPr>
    </w:p>
    <w:p>
      <w:pPr>
        <w:jc w:val="both"/>
        <w:ind w:left="8" w:firstLine="324"/>
        <w:spacing w:after="0" w:line="255" w:lineRule="auto"/>
        <w:rPr>
          <w:sz w:val="20"/>
          <w:szCs w:val="20"/>
          <w:color w:val="auto"/>
        </w:rPr>
      </w:pPr>
      <w:r>
        <w:rPr>
          <w:rFonts w:ascii="Times New Roman" w:cs="Times New Roman" w:eastAsia="Times New Roman" w:hAnsi="Times New Roman"/>
          <w:sz w:val="12"/>
          <w:szCs w:val="12"/>
          <w:color w:val="auto"/>
        </w:rPr>
        <w:t>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resulting in a loss of $0.3 million and was recognized as a component of other (expense) income in the Company’s Consolidated Statements of Operations. The G42 Promissory Note receivable was classified and accounted for under ASC 310 Receivables (“ASC 310”) and was initially measured at its fair value of $11.9 million. The Company also recorded the $18.7 million as deferred revenue in the Consolidated Balance Sheets, as none of the underlying performance obligations had been satisfied as of and for the</w:t>
      </w:r>
    </w:p>
    <w:p>
      <w:pPr>
        <w:ind w:left="8"/>
        <w:spacing w:after="0"/>
        <w:rPr>
          <w:sz w:val="20"/>
          <w:szCs w:val="20"/>
          <w:color w:val="auto"/>
        </w:rPr>
      </w:pPr>
      <w:r>
        <w:rPr>
          <w:rFonts w:ascii="Times New Roman" w:cs="Times New Roman" w:eastAsia="Times New Roman" w:hAnsi="Times New Roman"/>
          <w:sz w:val="12"/>
          <w:szCs w:val="12"/>
          <w:color w:val="auto"/>
        </w:rPr>
        <w:t>years ended December 31, 2023 and 2022</w:t>
      </w:r>
      <w:r>
        <w:rPr>
          <w:rFonts w:ascii="Arial" w:cs="Arial" w:eastAsia="Arial" w:hAnsi="Arial"/>
          <w:sz w:val="14"/>
          <w:szCs w:val="14"/>
          <w:color w:val="auto"/>
        </w:rPr>
        <w:t>.</w:t>
      </w:r>
    </w:p>
    <w:p>
      <w:pPr>
        <w:spacing w:after="0" w:line="6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Reneo License Agreement</w:t>
      </w:r>
    </w:p>
    <w:p>
      <w:pPr>
        <w:spacing w:after="0" w:line="82" w:lineRule="exact"/>
        <w:rPr>
          <w:sz w:val="20"/>
          <w:szCs w:val="20"/>
          <w:color w:val="auto"/>
        </w:rPr>
      </w:pPr>
    </w:p>
    <w:p>
      <w:pPr>
        <w:jc w:val="both"/>
        <w:ind w:left="8" w:firstLine="324"/>
        <w:spacing w:after="0" w:line="256" w:lineRule="auto"/>
        <w:rPr>
          <w:sz w:val="20"/>
          <w:szCs w:val="20"/>
          <w:color w:val="auto"/>
        </w:rPr>
      </w:pPr>
      <w:r>
        <w:rPr>
          <w:rFonts w:ascii="Times New Roman" w:cs="Times New Roman" w:eastAsia="Times New Roman" w:hAnsi="Times New Roman"/>
          <w:sz w:val="12"/>
          <w:szCs w:val="12"/>
          <w:color w:val="auto"/>
        </w:rPr>
        <w:t xml:space="preserve">On December 21, 2017, the Company entered into the Reneo License Agreement, under which Reneo Pharmaceuticals, Inc. ("Reneo") obtained an exclusive, worldwide, sublicensable license to develop and commercialize the Company’s peroxisome proliferation activated receptor delta (PPAR-δ) agonist program, including the compound </w:t>
      </w:r>
      <w:r>
        <w:rPr>
          <w:rFonts w:ascii="Times New Roman" w:cs="Times New Roman" w:eastAsia="Times New Roman" w:hAnsi="Times New Roman"/>
          <w:sz w:val="12"/>
          <w:szCs w:val="12"/>
          <w:i w:val="1"/>
          <w:iCs w:val="1"/>
          <w:color w:val="auto"/>
        </w:rPr>
        <w:t>HPP593</w:t>
      </w:r>
      <w:r>
        <w:rPr>
          <w:rFonts w:ascii="Times New Roman" w:cs="Times New Roman" w:eastAsia="Times New Roman" w:hAnsi="Times New Roman"/>
          <w:sz w:val="12"/>
          <w:szCs w:val="12"/>
          <w:color w:val="auto"/>
        </w:rPr>
        <w:t>, for therapeutic, prophylactic or diagnostic application in humans. Under the terms of the Reneo License Agreement, Reneo paid the Company an upfront cash payment of $3.0 million. The Company is eligible to receive additional potential development, regulatory and sales-based milestone payments totaling up to $94.5 million. In addition, Reneo is obligated to pay the Company royalty payments at mid-single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 As additional consideration, the Company has also received common stock and certain participation rights representing a minority equity interest in Reneo.</w:t>
      </w:r>
    </w:p>
    <w:p>
      <w:pPr>
        <w:spacing w:after="0" w:line="53" w:lineRule="exact"/>
        <w:rPr>
          <w:sz w:val="20"/>
          <w:szCs w:val="20"/>
          <w:color w:val="auto"/>
        </w:rPr>
      </w:pPr>
    </w:p>
    <w:p>
      <w:pPr>
        <w:jc w:val="both"/>
        <w:ind w:left="8" w:firstLine="324"/>
        <w:spacing w:after="0" w:line="265" w:lineRule="auto"/>
        <w:rPr>
          <w:sz w:val="20"/>
          <w:szCs w:val="20"/>
          <w:color w:val="auto"/>
        </w:rPr>
      </w:pPr>
      <w:r>
        <w:rPr>
          <w:rFonts w:ascii="Times New Roman" w:cs="Times New Roman" w:eastAsia="Times New Roman" w:hAnsi="Times New Roman"/>
          <w:sz w:val="12"/>
          <w:szCs w:val="12"/>
          <w:color w:val="auto"/>
        </w:rPr>
        <w:t>Pursuant to the terms of the Reneo License Agreement, the Company is required to provide technology transfer services for a defined period after the effective date. In accordance with ASC 606, the Company identified all of the performance obligations at the inception of the Reneo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 combined performance obligation.</w:t>
      </w:r>
    </w:p>
    <w:p>
      <w:pPr>
        <w:spacing w:after="0" w:line="47" w:lineRule="exact"/>
        <w:rPr>
          <w:sz w:val="20"/>
          <w:szCs w:val="20"/>
          <w:color w:val="auto"/>
        </w:rPr>
      </w:pPr>
    </w:p>
    <w:p>
      <w:pPr>
        <w:jc w:val="both"/>
        <w:ind w:left="8" w:right="20" w:firstLine="324"/>
        <w:spacing w:after="0" w:line="279" w:lineRule="auto"/>
        <w:rPr>
          <w:sz w:val="20"/>
          <w:szCs w:val="20"/>
          <w:color w:val="auto"/>
        </w:rPr>
      </w:pPr>
      <w:r>
        <w:rPr>
          <w:rFonts w:ascii="Times New Roman" w:cs="Times New Roman" w:eastAsia="Times New Roman" w:hAnsi="Times New Roman"/>
          <w:sz w:val="12"/>
          <w:szCs w:val="12"/>
          <w:color w:val="auto"/>
        </w:rPr>
        <w:t>The Company determined that there was no discernible pattern in which the technology services would be provided during the transfer services period. As such, the Company determined that the straight-line method would be used to recognize revenue over the transfer service period. As of December 31, 2019, revenue allocated to this performance obligation was fully recognized.</w:t>
      </w:r>
    </w:p>
    <w:p>
      <w:pPr>
        <w:spacing w:after="0" w:line="39" w:lineRule="exact"/>
        <w:rPr>
          <w:sz w:val="20"/>
          <w:szCs w:val="20"/>
          <w:color w:val="auto"/>
        </w:rPr>
      </w:pPr>
    </w:p>
    <w:p>
      <w:pPr>
        <w:jc w:val="both"/>
        <w:ind w:left="8" w:firstLine="324"/>
        <w:spacing w:after="0" w:line="265" w:lineRule="auto"/>
        <w:rPr>
          <w:sz w:val="20"/>
          <w:szCs w:val="20"/>
          <w:color w:val="auto"/>
        </w:rPr>
      </w:pPr>
      <w:r>
        <w:rPr>
          <w:rFonts w:ascii="Times New Roman" w:cs="Times New Roman" w:eastAsia="Times New Roman" w:hAnsi="Times New Roman"/>
          <w:sz w:val="12"/>
          <w:szCs w:val="12"/>
          <w:color w:val="auto"/>
        </w:rPr>
        <w:t>During the year ended December 31, 2021, $2.0 million of revenue was recognized due to the satisfaction of a development milestone under the license agreement. This amount was fully recognized as revenue during the year ended December 31, 2021, as the related performance obligation was fully satisfied. The remaining milestone payments that the Company is eligible to receive have not been included in the transaction price as of December 31, 2023, as it is not considered probable that such payments will be received.</w:t>
      </w:r>
    </w:p>
    <w:p>
      <w:pPr>
        <w:spacing w:after="0" w:line="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Huadong License Agreement</w:t>
      </w:r>
    </w:p>
    <w:p>
      <w:pPr>
        <w:spacing w:after="0" w:line="82" w:lineRule="exact"/>
        <w:rPr>
          <w:sz w:val="20"/>
          <w:szCs w:val="20"/>
          <w:color w:val="auto"/>
        </w:rPr>
      </w:pPr>
    </w:p>
    <w:p>
      <w:pPr>
        <w:jc w:val="both"/>
        <w:ind w:left="8" w:firstLine="324"/>
        <w:spacing w:after="0" w:line="260" w:lineRule="auto"/>
        <w:rPr>
          <w:sz w:val="20"/>
          <w:szCs w:val="20"/>
          <w:color w:val="auto"/>
        </w:rPr>
      </w:pPr>
      <w:r>
        <w:rPr>
          <w:rFonts w:ascii="Times New Roman" w:cs="Times New Roman" w:eastAsia="Times New Roman" w:hAnsi="Times New Roman"/>
          <w:sz w:val="12"/>
          <w:szCs w:val="12"/>
          <w:color w:val="auto"/>
        </w:rPr>
        <w:t xml:space="preserve">The Company was a party to a license agreement with Hangzhou Zhongmei Huadong Pharmaceutical Co., Ltd. (“Huadong”) (the “Huadong License Agreement”), under which Huadong obtained an exclusive and sublicensable license to develop and commercialize the Company’s glucagon-like peptide-1 receptor agonist (“GLP-1r”) program, including the compound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for therapeutic uses in humans or animals, in China and certain other Pacific Rim countries, including Australia and South Korea (collectively, the “Huadong License Territory”). Additionally, under the Huadong License Agreement, the Company obtained a non-exclusive, sublicensable, royalty-free license to develop and commercialize certain</w:t>
      </w:r>
    </w:p>
    <w:p>
      <w:pPr>
        <w:spacing w:after="0" w:line="200" w:lineRule="exact"/>
        <w:rPr>
          <w:sz w:val="20"/>
          <w:szCs w:val="20"/>
          <w:color w:val="auto"/>
        </w:rPr>
      </w:pPr>
    </w:p>
    <w:p>
      <w:pPr>
        <w:spacing w:after="0" w:line="29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9" w:right="299" w:bottom="1440" w:gutter="0" w:footer="0" w:header="0"/>
        </w:sectPr>
      </w:pPr>
    </w:p>
    <w:bookmarkStart w:id="89" w:name="page90"/>
    <w:bookmarkEnd w:id="89"/>
    <w:p>
      <w:pPr>
        <w:jc w:val="both"/>
        <w:spacing w:after="0" w:line="260" w:lineRule="auto"/>
        <w:rPr>
          <w:sz w:val="20"/>
          <w:szCs w:val="20"/>
          <w:color w:val="auto"/>
        </w:rPr>
      </w:pPr>
      <w:r>
        <w:rPr>
          <w:rFonts w:ascii="Times New Roman" w:cs="Times New Roman" w:eastAsia="Times New Roman" w:hAnsi="Times New Roman"/>
          <w:sz w:val="12"/>
          <w:szCs w:val="12"/>
          <w:color w:val="auto"/>
        </w:rPr>
        <w:t>Huadong patent rights and know-how related to the Company’s GLP-1r program for therapeutic uses in humans or animals outside of the Huadong License Territory. Under the terms of the Huadong License Agreement, as amended, Huadong paid the Company an initial license fee of $8.0 million and is obligated to pay potential development and regulatory milestone payments totaling up to $22.0 million, with an additional potential regulatory milestone of $20.0 million if Huadong receives regulatory approval for a central nervous system indication. In addition, the Company is eligible for an additional $50.0 million in potential sales-based milestones, as well as royalty payments ranging from low-single to low-double digit rates, based on tiered sales of licensed products.</w:t>
      </w:r>
    </w:p>
    <w:p>
      <w:pPr>
        <w:spacing w:after="0" w:line="50"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On January 14, 2021, the Company entered into the first amendment to the Huadong License Agreement ("First Huadong Amendment") which eliminated the Company’s obligation to sponsor a multi-region clinical trial (the “Phase 2 MRCT”), and corresponding obligation to contribute up to $3.0 million in support of such trial. The amendment also reduced the total potential development and regulatory milestone payments by $3.0 million.</w:t>
      </w:r>
    </w:p>
    <w:p>
      <w:pPr>
        <w:spacing w:after="0" w:line="3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Prior to the First Amendment, the Company had allocated a portion of the transaction price to the obligation to sponsor and conduct a portion of the Phase 2 MRCT. Upon the removal of this performance obligation, the Company evaluated the impact of the modification under the provisions of ASC 606 and performed a reallocation of the transaction price among the remaining performance obligations. This resulted in the recognition of approximately $1.0 million of revenue on a cumulative catch up basis during the year ended December 31, 2021. The majority of the transaction price originally allocated to the Phase 2 MRCT performance obligation was reallocated to the license and technology transfer services combined performance obligation discussed below, which had already been completed. The reallocation of the purchase price in connection with the First Huadong Amendment was made based on the relative estimated selling prices of the remaining performance obligations.</w:t>
      </w:r>
    </w:p>
    <w:p>
      <w:pPr>
        <w:spacing w:after="0" w:line="53" w:lineRule="exact"/>
        <w:rPr>
          <w:sz w:val="20"/>
          <w:szCs w:val="20"/>
          <w:color w:val="auto"/>
        </w:rPr>
      </w:pPr>
    </w:p>
    <w:p>
      <w:pPr>
        <w:jc w:val="both"/>
        <w:ind w:firstLine="324"/>
        <w:spacing w:after="0" w:line="327" w:lineRule="auto"/>
        <w:rPr>
          <w:sz w:val="20"/>
          <w:szCs w:val="20"/>
          <w:color w:val="auto"/>
        </w:rPr>
      </w:pPr>
      <w:r>
        <w:rPr>
          <w:rFonts w:ascii="Times New Roman" w:cs="Times New Roman" w:eastAsia="Times New Roman" w:hAnsi="Times New Roman"/>
          <w:sz w:val="11"/>
          <w:szCs w:val="11"/>
          <w:color w:val="auto"/>
        </w:rPr>
        <w:t>The significant performance obligations under the Huadong License Agreement, as amended, were determined to be (i) the exclusive license to develop and commercialize the Company’s GLP-1r program, (ii) technology transfer services related to the chemistry and manufacturing know-how for a defined period after the effective date, (iii) the Company’s obligation to participate on the JDC, and (iv) other obligations considered to be immaterial in nature.</w:t>
      </w:r>
    </w:p>
    <w:p>
      <w:pPr>
        <w:spacing w:after="0" w:line="1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Company has determined that the license and technology transfer services related to the chemistry and manufacturing know-how represent a combined performance obligation because they were not capable of being distinct on their own. The Company also determined that there was no discernible pattern in which the technology transfer services would be provided during the transfer service period. As such, the Company recognized the revenue related to this combined performance obligation using the straight-line method over the transfer service period. In the first quarter of 2022, the transaction price for this performance obligation was increased by $2.0 million due to the satisfaction of a development milestone under the license agreement. This amount was fully recognized as revenue during the year ended December 31, 2022 as the related performance obligation was fully satisfied. No revenue related to this combined performance obligation was recognized during the year ended December 31, 2023.</w:t>
      </w:r>
    </w:p>
    <w:p>
      <w:pPr>
        <w:spacing w:after="0" w:line="53"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A portion of the transaction price allocated to the obligation to participate in the JDC to oversee the development of products and the Phase 2 MRCT in accordance with the development plan remained deferred as of December 31, 2023, and revenue will be recognized using the proportional performance model over the period of the Company’s participation on the JDC. The unrecognized amount of the transaction price allocated to this performance obligation as of December 31, 2023 was immaterial. An immaterial amount of revenue for this performance obligation was recognized during the years ended December 31, 2022 and 2021. No revenue was recognized during the year ended December 31, 2023.</w:t>
      </w:r>
    </w:p>
    <w:p>
      <w:pPr>
        <w:spacing w:after="0" w:line="50"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On December 18, 2023, vTv LLC received notice from Huadong of their intent to terminate the Huadong License Agreement between vTv LLC and Huadong, dated as of December 21, 2017, as amended on January 14, 2021 (both together constituting the "Agreement"). The termination of the Agreement will not be effective until after both parties negotiate and finalize a termination agreement, to be completed at a future date.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Newsoara License Agreement</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 xml:space="preserve">On May 31, 2018, the Company entered into a license agreement with Newsoara Biopharma Co., Ltd., (“Newsoara”) (the “Newsoara License Agreement”), under which Newsoara obtained an exclusive and sublicensable license to develop and commercialize the Company’s phosphodiesterase type 4 inhibitors (“PDE4”) program, including the compound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in China and other Pacific Rim territories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 The Newsoara License Agreement was amended in 2020 to change certain future milestone payments and patent rights (the “First Newsoara Amendment”). Under the terms of the Newsoara License Agreement, Newsoara paid the Company an upfront cash payment of $2.0 million. During the year ended December 31, 2019, the Company received an additional payment of $1.0 million related to the satisfaction of a development milestone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90" w:name="page91"/>
    <w:bookmarkEnd w:id="90"/>
    <w:p>
      <w:pPr>
        <w:jc w:val="both"/>
        <w:spacing w:after="0" w:line="260" w:lineRule="auto"/>
        <w:rPr>
          <w:sz w:val="20"/>
          <w:szCs w:val="20"/>
          <w:color w:val="auto"/>
        </w:rPr>
      </w:pPr>
      <w:r>
        <w:rPr>
          <w:rFonts w:ascii="Times New Roman" w:cs="Times New Roman" w:eastAsia="Times New Roman" w:hAnsi="Times New Roman"/>
          <w:sz w:val="12"/>
          <w:szCs w:val="12"/>
          <w:color w:val="auto"/>
        </w:rPr>
        <w:t>during the year. As amended, the Company is eligible to receive additional potential development, regulatory and sales-based milestone payments totaling up to $58.5 million. In addition, Newsoara is obligated to pay the Company royalty payments at high-single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w:t>
      </w:r>
    </w:p>
    <w:p>
      <w:pPr>
        <w:spacing w:after="0" w:line="5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Pursuant to the terms of the Newsoara License Agreement, the Company is required to provide technology transfer services for a defined period after the effective date. In accordance with ASC 606, the Company identified all of the performance obligations at the inception of the Newsoara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 combined performance obligation and the related revenue was recognized during the year ended December 31, 2018.</w:t>
      </w:r>
    </w:p>
    <w:p>
      <w:pPr>
        <w:spacing w:after="0" w:line="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During the year ended December 31, 2021, the transaction price for this performance obligation was increased by $1.0 million due to the satisfaction of development milestones under the license agreement. This amount was fully recognized as revenue during the year ended December 31, 2021, as the related performance obligations have been fully satisfied.</w:t>
      </w:r>
    </w:p>
    <w:p>
      <w:pPr>
        <w:spacing w:after="0" w:line="39" w:lineRule="exact"/>
        <w:rPr>
          <w:sz w:val="20"/>
          <w:szCs w:val="20"/>
          <w:color w:val="auto"/>
        </w:rPr>
      </w:pPr>
    </w:p>
    <w:p>
      <w:pPr>
        <w:ind w:right="600" w:firstLine="324"/>
        <w:spacing w:after="0" w:line="375" w:lineRule="auto"/>
        <w:rPr>
          <w:sz w:val="20"/>
          <w:szCs w:val="20"/>
          <w:color w:val="auto"/>
        </w:rPr>
      </w:pPr>
      <w:r>
        <w:rPr>
          <w:rFonts w:ascii="Times New Roman" w:cs="Times New Roman" w:eastAsia="Times New Roman" w:hAnsi="Times New Roman"/>
          <w:sz w:val="12"/>
          <w:szCs w:val="12"/>
          <w:color w:val="auto"/>
        </w:rPr>
        <w:t xml:space="preserve">The remaining milestone payments that the Company is eligible to receive have not been included in the transaction price as of December 31, 2023, as it is not considered probable that such payments will be received. </w:t>
      </w:r>
      <w:r>
        <w:rPr>
          <w:rFonts w:ascii="Times New Roman" w:cs="Times New Roman" w:eastAsia="Times New Roman" w:hAnsi="Times New Roman"/>
          <w:sz w:val="12"/>
          <w:szCs w:val="12"/>
          <w:b w:val="1"/>
          <w:bCs w:val="1"/>
          <w:i w:val="1"/>
          <w:iCs w:val="1"/>
          <w:color w:val="auto"/>
        </w:rPr>
        <w:t>Anteris License Agreement</w:t>
      </w:r>
    </w:p>
    <w:p>
      <w:pPr>
        <w:spacing w:after="0" w:line="1"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 xml:space="preserve">On December 11, 2020, the Company entered into a license agreement with Anteris Bio, Inc. (“Anteris”) (the “Anteris License Agreement”), under which Anteris obtained a worldwide, exclusive and sublicensable license to develop and commercialize the Company’s Nrf2 activator, </w:t>
      </w:r>
      <w:r>
        <w:rPr>
          <w:rFonts w:ascii="Times New Roman" w:cs="Times New Roman" w:eastAsia="Times New Roman" w:hAnsi="Times New Roman"/>
          <w:sz w:val="12"/>
          <w:szCs w:val="12"/>
          <w:i w:val="1"/>
          <w:iCs w:val="1"/>
          <w:color w:val="auto"/>
        </w:rPr>
        <w:t>HPP971</w:t>
      </w:r>
      <w:r>
        <w:rPr>
          <w:rFonts w:ascii="Times New Roman" w:cs="Times New Roman" w:eastAsia="Times New Roman" w:hAnsi="Times New Roman"/>
          <w:sz w:val="12"/>
          <w:szCs w:val="12"/>
          <w:color w:val="auto"/>
        </w:rPr>
        <w:t>.</w:t>
      </w:r>
    </w:p>
    <w:p>
      <w:pPr>
        <w:spacing w:after="0" w:line="3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Under the terms of the Anteris License Agreement, Anteris paid the Company an initial license fee of $2.0 million. The Company is eligible to receive additional potential development, regulatory, and sales-based milestone payments totaling up to $151.0 million. Anteris is also obligated to pay vTv royalty payments at a double-digit rate based on annual net sales of licensed products. Such royalties will be payable on a licensed product-by-licensed product basis until the latest of expiration of the licensed patents covering a licensed product in a country, expiration of data exclusivity rights for a licensed product in a country, or a specified number of years after the first commercial sale of a licensed product in a country. As additional consideration, the Company received preferred stock representing a minority ownership interest in Anteris.</w:t>
      </w:r>
    </w:p>
    <w:p>
      <w:pPr>
        <w:spacing w:after="0" w:line="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Pursuant to the terms of the Anteris License Agreement, the Company was required to provide technology transfer services for a 30 day period after the effective date. In accordance with ASC 606, the Company identified all of the performance obligations at the inception of the Anteris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 combined performance obligation and consisted of the $2.0 million initial license payment as well as the fair value of the equity interest received in Anteris of $4.2 million. The revenue related to this performance obligation was fully recognized during the year ended December 31, 2020, as the technology transfer services were considered complete as of that date.</w:t>
      </w:r>
    </w:p>
    <w:p>
      <w:pPr>
        <w:spacing w:after="0" w:line="53"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On September 25, 2023, Anteris notified the Company that it was terminating the Anteris License Agreement. Under the terms of the Anteris License Agreement, the termination would become effective ninety days following the receipt of notice, or December 24, 2023.</w:t>
      </w:r>
    </w:p>
    <w:p>
      <w:pPr>
        <w:spacing w:after="0" w:line="3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On October 16, 2023, the Company received a Section 228(e) notice from Anteris. that the stockholders voted in favor of the dissolution of the Company and the adoption of a plan of Liquidation and Dissolution (“Plan of Dissolution”). The termination became effective on December 24, 2023, and Anteris has since liquidated its assets and ceased business.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JDRF Agreement</w:t>
      </w:r>
    </w:p>
    <w:p>
      <w:pPr>
        <w:spacing w:after="0" w:line="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2"/>
          <w:szCs w:val="12"/>
          <w:color w:val="auto"/>
        </w:rPr>
        <w:t xml:space="preserve">In August 2017, the Company entered into the JDRF Agreement to support the funding of the Simplici-T1 Study, an adaptive Phase 1b/2 study to explore the effects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type 1 diabetics. The Company initiated this study in the fourth quarter of 2017. The JDRF Agreement was amended in June 2021 to provide additional funding for the Company’s mechanistic study exploring the effects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on ketone body formation during a period of insulin withdrawal in people with type 1 diabetes. According to the terms of the JDRF Agreement, as amended, JDRF will provide research funding of up to $3.4 million based on the achievement of research and development milestones, with the total funding</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91" w:name="page92"/>
    <w:bookmarkEnd w:id="91"/>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provided by JDRF not to exceed approximately one-half of the total cost of the project. Additionally, the Company has the obligation to make certain milestone payments to JDRF upon the commercialization, licensing, sale or transfer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 treatment for type 1 diabetes.</w:t>
      </w:r>
    </w:p>
    <w:p>
      <w:pPr>
        <w:spacing w:after="0" w:line="39"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Payments that the Company receives from JDRF under this agreement are recorded as restricted cash and current liabilities and recognized as an offset to research and development expense, based on the progress of the project, and only to the extent that the restricted cash is utilized to fund such development activities. As of December 31, 2023, the Company had received funding under this agreement of $3.4 million, and research and development costs were offset by $3.4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4: Share-Based Compensation</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The Company has issued non-qualified stock option awards to management, other key employees, consultants, and nonemployee directors. These awards generally vest ratably over a three-year period and the option awards expire after a term of ten years from the date of grant. For the years ended December 31, 2023, 2022 and 2021, the Company recognized $1.6 million, $1.3 million and $2.4 million, respectively, of compensation expense related to share-based awards. Given that the Company has established a full valuation allowance against its deferred tax assets, the Company has recognized no tax benefit related to these awards. As of December 31, 2023, the Company had total unrecognized stock-based compensation expense of approximately $1.6 million, which is expected to be recognized on a straight-line basis over a weighted average period of 2.2 years. The weighted average grant date fair value for all option grants during the years ended December 31, 2023, 2022 and 2021 was $24.78, $27.75 and $49.32 per option, respectively. The aggregate intrinsic value of the in-the-money awards outstanding as well as those exercisable as of December 31, 2023, was an insignificant amount. The total fair value of stock options vested during the years ended December 31, 2023, 2022 and 2021 was $2.2 million, $1.5 million and $2.1 million, respectively.</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 uses the Black-Scholes option pricing model to calculate the fair value of stock options granted. The fair value of stock options granted was estimated using the following assumptions during the years ended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December 31, 2023, 2022 and 2021:</w:t>
      </w:r>
    </w:p>
    <w:p>
      <w:pPr>
        <w:spacing w:after="0" w:line="161" w:lineRule="exact"/>
        <w:rPr>
          <w:sz w:val="20"/>
          <w:szCs w:val="20"/>
          <w:color w:val="auto"/>
        </w:rPr>
      </w:pPr>
    </w:p>
    <w:tbl>
      <w:tblPr>
        <w:tblLayout w:type="fixed"/>
        <w:tblInd w:w="100" w:type="dxa"/>
        <w:tblCellMar>
          <w:top w:w="0" w:type="dxa"/>
          <w:left w:w="0" w:type="dxa"/>
          <w:bottom w:w="0" w:type="dxa"/>
          <w:right w:w="0" w:type="dxa"/>
        </w:tblCellMar>
      </w:tblPr>
      <w:tr>
        <w:trPr>
          <w:trHeight w:val="125"/>
        </w:trPr>
        <w:tc>
          <w:tcPr>
            <w:tcW w:w="52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5"/>
          </w:tcPr>
          <w:p>
            <w:pPr>
              <w:ind w:left="24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240" w:type="dxa"/>
            <w:vAlign w:val="bottom"/>
            <w:tcBorders>
              <w:bottom w:val="single" w:sz="8" w:color="CCEEFF"/>
            </w:tcBorders>
          </w:tcPr>
          <w:p>
            <w:pPr>
              <w:spacing w:after="0"/>
              <w:rPr>
                <w:sz w:val="12"/>
                <w:szCs w:val="12"/>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80" w:type="dxa"/>
            <w:vAlign w:val="bottom"/>
            <w:tcBorders>
              <w:bottom w:val="single" w:sz="8" w:color="CCEEFF"/>
            </w:tcBorders>
          </w:tcPr>
          <w:p>
            <w:pPr>
              <w:spacing w:after="0"/>
              <w:rPr>
                <w:sz w:val="12"/>
                <w:szCs w:val="12"/>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center"/>
              <w:ind w:right="503"/>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0" w:type="dxa"/>
            <w:vAlign w:val="bottom"/>
          </w:tcPr>
          <w:p>
            <w:pPr>
              <w:spacing w:after="0"/>
              <w:rPr>
                <w:sz w:val="1"/>
                <w:szCs w:val="1"/>
                <w:color w:val="auto"/>
              </w:rPr>
            </w:pPr>
          </w:p>
        </w:tc>
      </w:tr>
      <w:tr>
        <w:trPr>
          <w:trHeight w:val="178"/>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volatility</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121.01% - 126.76%</w:t>
            </w:r>
          </w:p>
        </w:tc>
        <w:tc>
          <w:tcPr>
            <w:tcW w:w="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118.72% - 128.72%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ind w:right="403"/>
              <w:spacing w:after="0"/>
              <w:rPr>
                <w:sz w:val="20"/>
                <w:szCs w:val="20"/>
                <w:color w:val="auto"/>
              </w:rPr>
            </w:pPr>
            <w:r>
              <w:rPr>
                <w:rFonts w:ascii="Times New Roman" w:cs="Times New Roman" w:eastAsia="Times New Roman" w:hAnsi="Times New Roman"/>
                <w:sz w:val="12"/>
                <w:szCs w:val="12"/>
                <w:color w:val="auto"/>
                <w:w w:val="99"/>
              </w:rPr>
              <w:t>118.75% - 122.17%</w:t>
            </w:r>
          </w:p>
        </w:tc>
        <w:tc>
          <w:tcPr>
            <w:tcW w:w="0" w:type="dxa"/>
            <w:vAlign w:val="bottom"/>
          </w:tcPr>
          <w:p>
            <w:pPr>
              <w:spacing w:after="0"/>
              <w:rPr>
                <w:sz w:val="1"/>
                <w:szCs w:val="1"/>
                <w:color w:val="auto"/>
              </w:rPr>
            </w:pPr>
          </w:p>
        </w:tc>
      </w:tr>
      <w:tr>
        <w:trPr>
          <w:trHeight w:val="153"/>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Expected life of option, in years</w:t>
            </w:r>
          </w:p>
        </w:tc>
        <w:tc>
          <w:tcPr>
            <w:tcW w:w="1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5.5 - 6.1</w:t>
            </w:r>
          </w:p>
        </w:tc>
        <w:tc>
          <w:tcPr>
            <w:tcW w:w="80" w:type="dxa"/>
            <w:vAlign w:val="bottom"/>
          </w:tcPr>
          <w:p>
            <w:pPr>
              <w:spacing w:after="0"/>
              <w:rPr>
                <w:sz w:val="13"/>
                <w:szCs w:val="13"/>
                <w:color w:val="auto"/>
              </w:rPr>
            </w:pP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5.2 - 6.1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ind w:right="503"/>
              <w:spacing w:after="0"/>
              <w:rPr>
                <w:sz w:val="20"/>
                <w:szCs w:val="20"/>
                <w:color w:val="auto"/>
              </w:rPr>
            </w:pPr>
            <w:r>
              <w:rPr>
                <w:rFonts w:ascii="Times New Roman" w:cs="Times New Roman" w:eastAsia="Times New Roman" w:hAnsi="Times New Roman"/>
                <w:sz w:val="12"/>
                <w:szCs w:val="12"/>
                <w:color w:val="auto"/>
                <w:w w:val="99"/>
              </w:rPr>
              <w:t>5.8 - 6.0</w:t>
            </w: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3.42% - 4.61%</w:t>
            </w:r>
          </w:p>
        </w:tc>
        <w:tc>
          <w:tcPr>
            <w:tcW w:w="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1.59% - 4.31%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ind w:right="503"/>
              <w:spacing w:after="0"/>
              <w:rPr>
                <w:sz w:val="20"/>
                <w:szCs w:val="20"/>
                <w:color w:val="auto"/>
              </w:rPr>
            </w:pPr>
            <w:r>
              <w:rPr>
                <w:rFonts w:ascii="Times New Roman" w:cs="Times New Roman" w:eastAsia="Times New Roman" w:hAnsi="Times New Roman"/>
                <w:sz w:val="12"/>
                <w:szCs w:val="12"/>
                <w:color w:val="auto"/>
                <w:w w:val="99"/>
              </w:rPr>
              <w:t>1.00% - 1.34%</w:t>
            </w:r>
          </w:p>
        </w:tc>
        <w:tc>
          <w:tcPr>
            <w:tcW w:w="0" w:type="dxa"/>
            <w:vAlign w:val="bottom"/>
          </w:tcPr>
          <w:p>
            <w:pPr>
              <w:spacing w:after="0"/>
              <w:rPr>
                <w:sz w:val="1"/>
                <w:szCs w:val="1"/>
                <w:color w:val="auto"/>
              </w:rPr>
            </w:pPr>
          </w:p>
        </w:tc>
      </w:tr>
      <w:tr>
        <w:trPr>
          <w:trHeight w:val="155"/>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Expected dividend yield</w:t>
            </w:r>
          </w:p>
        </w:tc>
        <w:tc>
          <w:tcPr>
            <w:tcW w:w="19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0.00%</w:t>
            </w:r>
          </w:p>
        </w:tc>
        <w:tc>
          <w:tcPr>
            <w:tcW w:w="80" w:type="dxa"/>
            <w:vAlign w:val="bottom"/>
          </w:tcPr>
          <w:p>
            <w:pPr>
              <w:spacing w:after="0"/>
              <w:rPr>
                <w:sz w:val="13"/>
                <w:szCs w:val="13"/>
                <w:color w:val="auto"/>
              </w:rPr>
            </w:pP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0.00%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ind w:right="503"/>
              <w:spacing w:after="0"/>
              <w:rPr>
                <w:sz w:val="20"/>
                <w:szCs w:val="20"/>
                <w:color w:val="auto"/>
              </w:rPr>
            </w:pPr>
            <w:r>
              <w:rPr>
                <w:rFonts w:ascii="Times New Roman" w:cs="Times New Roman" w:eastAsia="Times New Roman" w:hAnsi="Times New Roman"/>
                <w:sz w:val="12"/>
                <w:szCs w:val="12"/>
                <w:color w:val="auto"/>
              </w:rPr>
              <w:t>0.00%</w:t>
            </w:r>
          </w:p>
        </w:tc>
        <w:tc>
          <w:tcPr>
            <w:tcW w:w="0" w:type="dxa"/>
            <w:vAlign w:val="bottom"/>
          </w:tcPr>
          <w:p>
            <w:pPr>
              <w:spacing w:after="0"/>
              <w:rPr>
                <w:sz w:val="1"/>
                <w:szCs w:val="1"/>
                <w:color w:val="auto"/>
              </w:rPr>
            </w:pPr>
          </w:p>
        </w:tc>
      </w:tr>
      <w:tr>
        <w:trPr>
          <w:trHeight w:val="277"/>
        </w:trPr>
        <w:tc>
          <w:tcPr>
            <w:tcW w:w="9640" w:type="dxa"/>
            <w:vAlign w:val="bottom"/>
            <w:gridSpan w:val="8"/>
          </w:tcPr>
          <w:p>
            <w:pPr>
              <w:ind w:left="220"/>
              <w:spacing w:after="0"/>
              <w:rPr>
                <w:sz w:val="20"/>
                <w:szCs w:val="20"/>
                <w:color w:val="auto"/>
              </w:rPr>
            </w:pPr>
            <w:r>
              <w:rPr>
                <w:rFonts w:ascii="Times New Roman" w:cs="Times New Roman" w:eastAsia="Times New Roman" w:hAnsi="Times New Roman"/>
                <w:sz w:val="12"/>
                <w:szCs w:val="12"/>
                <w:color w:val="auto"/>
              </w:rPr>
              <w:t>The following table summarizes the activity related to the stock option awards for the year ended December 31, 2023 (in thousands, except per share amounts):</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2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40" w:type="dxa"/>
            <w:vAlign w:val="bottom"/>
            <w:gridSpan w:val="4"/>
            <w:vMerge w:val="restart"/>
          </w:tcPr>
          <w:p>
            <w:pPr>
              <w:ind w:left="360"/>
              <w:spacing w:after="0"/>
              <w:rPr>
                <w:sz w:val="20"/>
                <w:szCs w:val="20"/>
                <w:color w:val="auto"/>
              </w:rPr>
            </w:pPr>
            <w:r>
              <w:rPr>
                <w:rFonts w:ascii="Times New Roman" w:cs="Times New Roman" w:eastAsia="Times New Roman" w:hAnsi="Times New Roman"/>
                <w:sz w:val="10"/>
                <w:szCs w:val="10"/>
                <w:b w:val="1"/>
                <w:bCs w:val="1"/>
                <w:color w:val="auto"/>
              </w:rPr>
              <w:t>Number of Shares</w:t>
            </w:r>
          </w:p>
        </w:tc>
        <w:tc>
          <w:tcPr>
            <w:tcW w:w="100" w:type="dxa"/>
            <w:vAlign w:val="bottom"/>
          </w:tcPr>
          <w:p>
            <w:pPr>
              <w:spacing w:after="0"/>
              <w:rPr>
                <w:sz w:val="15"/>
                <w:szCs w:val="15"/>
                <w:color w:val="auto"/>
              </w:rPr>
            </w:pPr>
          </w:p>
        </w:tc>
        <w:tc>
          <w:tcPr>
            <w:tcW w:w="1360" w:type="dxa"/>
            <w:vAlign w:val="bottom"/>
          </w:tcPr>
          <w:p>
            <w:pPr>
              <w:jc w:val="right"/>
              <w:ind w:right="483"/>
              <w:spacing w:after="0"/>
              <w:rPr>
                <w:sz w:val="20"/>
                <w:szCs w:val="20"/>
                <w:color w:val="auto"/>
              </w:rPr>
            </w:pPr>
            <w:r>
              <w:rPr>
                <w:rFonts w:ascii="Times New Roman" w:cs="Times New Roman" w:eastAsia="Times New Roman" w:hAnsi="Times New Roman"/>
                <w:sz w:val="10"/>
                <w:szCs w:val="10"/>
                <w:b w:val="1"/>
                <w:bCs w:val="1"/>
                <w:color w:val="auto"/>
              </w:rPr>
              <w:t>Weighted</w:t>
            </w:r>
          </w:p>
        </w:tc>
        <w:tc>
          <w:tcPr>
            <w:tcW w:w="0" w:type="dxa"/>
            <w:vAlign w:val="bottom"/>
          </w:tcPr>
          <w:p>
            <w:pPr>
              <w:spacing w:after="0"/>
              <w:rPr>
                <w:sz w:val="1"/>
                <w:szCs w:val="1"/>
                <w:color w:val="auto"/>
              </w:rPr>
            </w:pPr>
          </w:p>
        </w:tc>
      </w:tr>
      <w:tr>
        <w:trPr>
          <w:trHeight w:val="130"/>
        </w:trPr>
        <w:tc>
          <w:tcPr>
            <w:tcW w:w="52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right"/>
              <w:ind w:right="203"/>
              <w:spacing w:after="0"/>
              <w:rPr>
                <w:sz w:val="20"/>
                <w:szCs w:val="20"/>
                <w:color w:val="auto"/>
              </w:rPr>
            </w:pPr>
            <w:r>
              <w:rPr>
                <w:rFonts w:ascii="Times New Roman" w:cs="Times New Roman" w:eastAsia="Times New Roman" w:hAnsi="Times New Roman"/>
                <w:sz w:val="10"/>
                <w:szCs w:val="10"/>
                <w:b w:val="1"/>
                <w:bCs w:val="1"/>
                <w:color w:val="auto"/>
              </w:rPr>
              <w:t>Average Exercise Price</w:t>
            </w:r>
          </w:p>
        </w:tc>
        <w:tc>
          <w:tcPr>
            <w:tcW w:w="0" w:type="dxa"/>
            <w:vAlign w:val="bottom"/>
          </w:tcPr>
          <w:p>
            <w:pPr>
              <w:spacing w:after="0"/>
              <w:rPr>
                <w:sz w:val="1"/>
                <w:szCs w:val="1"/>
                <w:color w:val="auto"/>
              </w:rPr>
            </w:pPr>
          </w:p>
        </w:tc>
      </w:tr>
      <w:tr>
        <w:trPr>
          <w:trHeight w:val="147"/>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Awards outstanding at December 31, 2022</w:t>
            </w:r>
          </w:p>
        </w:tc>
        <w:tc>
          <w:tcPr>
            <w:tcW w:w="19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208,586</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87.11</w:t>
            </w:r>
          </w:p>
        </w:tc>
        <w:tc>
          <w:tcPr>
            <w:tcW w:w="0" w:type="dxa"/>
            <w:vAlign w:val="bottom"/>
          </w:tcPr>
          <w:p>
            <w:pPr>
              <w:spacing w:after="0"/>
              <w:rPr>
                <w:sz w:val="1"/>
                <w:szCs w:val="1"/>
                <w:color w:val="auto"/>
              </w:rPr>
            </w:pPr>
          </w:p>
        </w:tc>
      </w:tr>
      <w:tr>
        <w:trPr>
          <w:trHeight w:val="153"/>
        </w:trPr>
        <w:tc>
          <w:tcPr>
            <w:tcW w:w="52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Granted</w:t>
            </w: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43,786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29.21</w:t>
            </w:r>
          </w:p>
        </w:tc>
        <w:tc>
          <w:tcPr>
            <w:tcW w:w="0" w:type="dxa"/>
            <w:vAlign w:val="bottom"/>
          </w:tcPr>
          <w:p>
            <w:pPr>
              <w:spacing w:after="0"/>
              <w:rPr>
                <w:sz w:val="1"/>
                <w:szCs w:val="1"/>
                <w:color w:val="auto"/>
              </w:rPr>
            </w:pPr>
          </w:p>
        </w:tc>
      </w:tr>
      <w:tr>
        <w:trPr>
          <w:trHeight w:val="153"/>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Forfeited</w:t>
            </w:r>
          </w:p>
        </w:tc>
        <w:tc>
          <w:tcPr>
            <w:tcW w:w="1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3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(3,125)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39.84</w:t>
            </w:r>
          </w:p>
        </w:tc>
        <w:tc>
          <w:tcPr>
            <w:tcW w:w="0" w:type="dxa"/>
            <w:vAlign w:val="bottom"/>
          </w:tcPr>
          <w:p>
            <w:pPr>
              <w:spacing w:after="0"/>
              <w:rPr>
                <w:sz w:val="1"/>
                <w:szCs w:val="1"/>
                <w:color w:val="auto"/>
              </w:rPr>
            </w:pPr>
          </w:p>
        </w:tc>
      </w:tr>
      <w:tr>
        <w:trPr>
          <w:trHeight w:val="158"/>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Awards outstanding at December 31, 2023</w:t>
            </w:r>
          </w:p>
        </w:tc>
        <w:tc>
          <w:tcPr>
            <w:tcW w:w="19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4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249,247</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77.53</w:t>
            </w:r>
          </w:p>
        </w:tc>
        <w:tc>
          <w:tcPr>
            <w:tcW w:w="0" w:type="dxa"/>
            <w:vAlign w:val="bottom"/>
          </w:tcPr>
          <w:p>
            <w:pPr>
              <w:spacing w:after="0"/>
              <w:rPr>
                <w:sz w:val="1"/>
                <w:szCs w:val="1"/>
                <w:color w:val="auto"/>
              </w:rPr>
            </w:pPr>
          </w:p>
        </w:tc>
      </w:tr>
      <w:tr>
        <w:trPr>
          <w:trHeight w:val="15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exercisable at December 31, 2023</w:t>
            </w:r>
          </w:p>
        </w:tc>
        <w:tc>
          <w:tcPr>
            <w:tcW w:w="1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142,349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112.25</w:t>
            </w:r>
          </w:p>
        </w:tc>
        <w:tc>
          <w:tcPr>
            <w:tcW w:w="0" w:type="dxa"/>
            <w:vAlign w:val="bottom"/>
          </w:tcPr>
          <w:p>
            <w:pPr>
              <w:spacing w:after="0"/>
              <w:rPr>
                <w:sz w:val="1"/>
                <w:szCs w:val="1"/>
                <w:color w:val="auto"/>
              </w:rPr>
            </w:pPr>
          </w:p>
        </w:tc>
      </w:tr>
      <w:tr>
        <w:trPr>
          <w:trHeight w:val="153"/>
        </w:trPr>
        <w:tc>
          <w:tcPr>
            <w:tcW w:w="52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Weighted average remaining contractual term</w:t>
            </w: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40" w:type="dxa"/>
            <w:vAlign w:val="bottom"/>
            <w:gridSpan w:val="4"/>
          </w:tcPr>
          <w:p>
            <w:pPr>
              <w:ind w:left="1000"/>
              <w:spacing w:after="0"/>
              <w:rPr>
                <w:sz w:val="20"/>
                <w:szCs w:val="20"/>
                <w:color w:val="auto"/>
              </w:rPr>
            </w:pPr>
            <w:r>
              <w:rPr>
                <w:rFonts w:ascii="Times New Roman" w:cs="Times New Roman" w:eastAsia="Times New Roman" w:hAnsi="Times New Roman"/>
                <w:sz w:val="12"/>
                <w:szCs w:val="12"/>
                <w:color w:val="auto"/>
              </w:rPr>
              <w:t>6.6 Years</w:t>
            </w: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vested and expected to vest at December 31, 2023</w:t>
            </w:r>
          </w:p>
        </w:tc>
        <w:tc>
          <w:tcPr>
            <w:tcW w:w="1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3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215,205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85.19</w:t>
            </w:r>
          </w:p>
        </w:tc>
        <w:tc>
          <w:tcPr>
            <w:tcW w:w="0" w:type="dxa"/>
            <w:vAlign w:val="bottom"/>
          </w:tcPr>
          <w:p>
            <w:pPr>
              <w:spacing w:after="0"/>
              <w:rPr>
                <w:sz w:val="1"/>
                <w:szCs w:val="1"/>
                <w:color w:val="auto"/>
              </w:rPr>
            </w:pPr>
          </w:p>
        </w:tc>
      </w:tr>
      <w:tr>
        <w:trPr>
          <w:trHeight w:val="155"/>
        </w:trPr>
        <w:tc>
          <w:tcPr>
            <w:tcW w:w="52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Weighted average remaining contractual term</w:t>
            </w: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40" w:type="dxa"/>
            <w:vAlign w:val="bottom"/>
            <w:gridSpan w:val="4"/>
          </w:tcPr>
          <w:p>
            <w:pPr>
              <w:ind w:left="1000"/>
              <w:spacing w:after="0"/>
              <w:rPr>
                <w:sz w:val="20"/>
                <w:szCs w:val="20"/>
                <w:color w:val="auto"/>
              </w:rPr>
            </w:pPr>
            <w:r>
              <w:rPr>
                <w:rFonts w:ascii="Times New Roman" w:cs="Times New Roman" w:eastAsia="Times New Roman" w:hAnsi="Times New Roman"/>
                <w:sz w:val="12"/>
                <w:szCs w:val="12"/>
                <w:color w:val="auto"/>
              </w:rPr>
              <w:t>7.3 Years</w:t>
            </w: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Compensation expense related to the grants of stock options is included in research and development and general and administrative expense as follows (in thousands):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34"/>
        </w:trPr>
        <w:tc>
          <w:tcPr>
            <w:tcW w:w="100" w:type="dxa"/>
            <w:vAlign w:val="bottom"/>
          </w:tcPr>
          <w:p>
            <w:pPr>
              <w:spacing w:after="0"/>
              <w:rPr>
                <w:sz w:val="11"/>
                <w:szCs w:val="11"/>
                <w:color w:val="auto"/>
              </w:rPr>
            </w:pPr>
          </w:p>
        </w:tc>
        <w:tc>
          <w:tcPr>
            <w:tcW w:w="656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2023</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2022</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50"/>
        </w:trPr>
        <w:tc>
          <w:tcPr>
            <w:tcW w:w="100" w:type="dxa"/>
            <w:vAlign w:val="bottom"/>
          </w:tcPr>
          <w:p>
            <w:pPr>
              <w:spacing w:after="0"/>
              <w:rPr>
                <w:sz w:val="13"/>
                <w:szCs w:val="13"/>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98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599</w:t>
            </w:r>
          </w:p>
        </w:tc>
      </w:tr>
      <w:tr>
        <w:trPr>
          <w:trHeight w:val="153"/>
        </w:trPr>
        <w:tc>
          <w:tcPr>
            <w:tcW w:w="100" w:type="dxa"/>
            <w:vAlign w:val="bottom"/>
          </w:tcPr>
          <w:p>
            <w:pPr>
              <w:spacing w:after="0"/>
              <w:rPr>
                <w:sz w:val="13"/>
                <w:szCs w:val="13"/>
                <w:color w:val="auto"/>
              </w:rPr>
            </w:pPr>
          </w:p>
        </w:tc>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9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1,153</w:t>
            </w: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866</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1,757</w:t>
            </w:r>
          </w:p>
        </w:tc>
      </w:tr>
      <w:tr>
        <w:trPr>
          <w:trHeight w:val="162"/>
        </w:trPr>
        <w:tc>
          <w:tcPr>
            <w:tcW w:w="100" w:type="dxa"/>
            <w:vAlign w:val="bottom"/>
          </w:tcPr>
          <w:p>
            <w:pPr>
              <w:spacing w:after="0"/>
              <w:rPr>
                <w:sz w:val="14"/>
                <w:szCs w:val="14"/>
                <w:color w:val="auto"/>
              </w:rPr>
            </w:pPr>
          </w:p>
        </w:tc>
        <w:tc>
          <w:tcPr>
            <w:tcW w:w="6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share-based compensation expense</w:t>
            </w:r>
          </w:p>
        </w:tc>
        <w:tc>
          <w:tcPr>
            <w:tcW w:w="98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1,578</w:t>
            </w:r>
          </w:p>
        </w:tc>
        <w:tc>
          <w:tcPr>
            <w:tcW w:w="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1,272</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2,356</w:t>
            </w:r>
          </w:p>
        </w:tc>
      </w:tr>
      <w:tr>
        <w:trPr>
          <w:trHeight w:val="365"/>
        </w:trPr>
        <w:tc>
          <w:tcPr>
            <w:tcW w:w="6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Note 5: Prepaid Expenses and Other Current Assets</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00" w:type="dxa"/>
            <w:vAlign w:val="bottom"/>
          </w:tcPr>
          <w:p>
            <w:pPr>
              <w:spacing w:after="0"/>
              <w:rPr>
                <w:sz w:val="18"/>
                <w:szCs w:val="18"/>
                <w:color w:val="auto"/>
              </w:rPr>
            </w:pPr>
          </w:p>
        </w:tc>
        <w:tc>
          <w:tcPr>
            <w:tcW w:w="65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Prepaid expenses and other current assets consist of the following (in thousands):</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8"/>
        </w:trPr>
        <w:tc>
          <w:tcPr>
            <w:tcW w:w="10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gridSpan w:val="3"/>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020" w:type="dxa"/>
            <w:vAlign w:val="bottom"/>
          </w:tcPr>
          <w:p>
            <w:pPr>
              <w:spacing w:after="0"/>
              <w:rPr>
                <w:sz w:val="18"/>
                <w:szCs w:val="18"/>
                <w:color w:val="auto"/>
              </w:rPr>
            </w:pPr>
          </w:p>
        </w:tc>
      </w:tr>
      <w:tr>
        <w:trPr>
          <w:trHeight w:val="143"/>
        </w:trPr>
        <w:tc>
          <w:tcPr>
            <w:tcW w:w="100" w:type="dxa"/>
            <w:vAlign w:val="bottom"/>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2023</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51"/>
        </w:trPr>
        <w:tc>
          <w:tcPr>
            <w:tcW w:w="100" w:type="dxa"/>
            <w:vAlign w:val="bottom"/>
          </w:tcPr>
          <w:p>
            <w:pPr>
              <w:spacing w:after="0"/>
              <w:rPr>
                <w:sz w:val="13"/>
                <w:szCs w:val="13"/>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Prepaid insurance</w:t>
            </w: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680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755</w:t>
            </w:r>
          </w:p>
        </w:tc>
      </w:tr>
      <w:tr>
        <w:trPr>
          <w:trHeight w:val="153"/>
        </w:trPr>
        <w:tc>
          <w:tcPr>
            <w:tcW w:w="100" w:type="dxa"/>
            <w:vAlign w:val="bottom"/>
          </w:tcPr>
          <w:p>
            <w:pPr>
              <w:spacing w:after="0"/>
              <w:rPr>
                <w:sz w:val="13"/>
                <w:szCs w:val="13"/>
                <w:color w:val="auto"/>
              </w:rPr>
            </w:pPr>
          </w:p>
        </w:tc>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Prepaid - other</w:t>
            </w:r>
          </w:p>
        </w:tc>
        <w:tc>
          <w:tcPr>
            <w:tcW w:w="98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364</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1,782</w:t>
            </w:r>
          </w:p>
        </w:tc>
      </w:tr>
      <w:tr>
        <w:trPr>
          <w:trHeight w:val="162"/>
        </w:trPr>
        <w:tc>
          <w:tcPr>
            <w:tcW w:w="100" w:type="dxa"/>
            <w:vAlign w:val="bottom"/>
          </w:tcPr>
          <w:p>
            <w:pPr>
              <w:spacing w:after="0"/>
              <w:rPr>
                <w:sz w:val="14"/>
                <w:szCs w:val="14"/>
                <w:color w:val="auto"/>
              </w:rPr>
            </w:pPr>
          </w:p>
        </w:tc>
        <w:tc>
          <w:tcPr>
            <w:tcW w:w="6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w:t>
            </w:r>
          </w:p>
        </w:tc>
        <w:tc>
          <w:tcPr>
            <w:tcW w:w="9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1,044</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2,537</w:t>
            </w:r>
          </w:p>
        </w:tc>
      </w:tr>
      <w:tr>
        <w:trPr>
          <w:trHeight w:val="356"/>
        </w:trPr>
        <w:tc>
          <w:tcPr>
            <w:tcW w:w="6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Note 6: Property and Equipment</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00" w:type="dxa"/>
            <w:vAlign w:val="bottom"/>
          </w:tcPr>
          <w:p>
            <w:pPr>
              <w:spacing w:after="0"/>
              <w:rPr>
                <w:sz w:val="18"/>
                <w:szCs w:val="18"/>
                <w:color w:val="auto"/>
              </w:rPr>
            </w:pPr>
          </w:p>
        </w:tc>
        <w:tc>
          <w:tcPr>
            <w:tcW w:w="65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Property and equipment consists of the following (in thousands):</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8"/>
        </w:trPr>
        <w:tc>
          <w:tcPr>
            <w:tcW w:w="10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gridSpan w:val="3"/>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020" w:type="dxa"/>
            <w:vAlign w:val="bottom"/>
          </w:tcPr>
          <w:p>
            <w:pPr>
              <w:spacing w:after="0"/>
              <w:rPr>
                <w:sz w:val="18"/>
                <w:szCs w:val="18"/>
                <w:color w:val="auto"/>
              </w:rPr>
            </w:pPr>
          </w:p>
        </w:tc>
      </w:tr>
      <w:tr>
        <w:trPr>
          <w:trHeight w:val="143"/>
        </w:trPr>
        <w:tc>
          <w:tcPr>
            <w:tcW w:w="100" w:type="dxa"/>
            <w:vAlign w:val="bottom"/>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2023</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50"/>
        </w:trPr>
        <w:tc>
          <w:tcPr>
            <w:tcW w:w="100" w:type="dxa"/>
            <w:vAlign w:val="bottom"/>
          </w:tcPr>
          <w:p>
            <w:pPr>
              <w:spacing w:after="0"/>
              <w:rPr>
                <w:sz w:val="13"/>
                <w:szCs w:val="13"/>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406</w:t>
            </w:r>
          </w:p>
        </w:tc>
      </w:tr>
      <w:tr>
        <w:trPr>
          <w:trHeight w:val="153"/>
        </w:trPr>
        <w:tc>
          <w:tcPr>
            <w:tcW w:w="100" w:type="dxa"/>
            <w:vAlign w:val="bottom"/>
          </w:tcPr>
          <w:p>
            <w:pPr>
              <w:spacing w:after="0"/>
              <w:rPr>
                <w:sz w:val="13"/>
                <w:szCs w:val="13"/>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Computers and hardware</w:t>
            </w: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69</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69</w:t>
            </w:r>
          </w:p>
        </w:tc>
      </w:tr>
      <w:tr>
        <w:trPr>
          <w:trHeight w:val="153"/>
        </w:trPr>
        <w:tc>
          <w:tcPr>
            <w:tcW w:w="100" w:type="dxa"/>
            <w:vAlign w:val="bottom"/>
          </w:tcPr>
          <w:p>
            <w:pPr>
              <w:spacing w:after="0"/>
              <w:rPr>
                <w:sz w:val="13"/>
                <w:szCs w:val="13"/>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Software</w:t>
            </w: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80</w:t>
            </w:r>
          </w:p>
        </w:tc>
      </w:tr>
      <w:tr>
        <w:trPr>
          <w:trHeight w:val="153"/>
        </w:trPr>
        <w:tc>
          <w:tcPr>
            <w:tcW w:w="100" w:type="dxa"/>
            <w:vAlign w:val="bottom"/>
          </w:tcPr>
          <w:p>
            <w:pPr>
              <w:spacing w:after="0"/>
              <w:rPr>
                <w:sz w:val="13"/>
                <w:szCs w:val="13"/>
                <w:color w:val="auto"/>
              </w:rPr>
            </w:pPr>
          </w:p>
        </w:tc>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Furniture and office equipment</w:t>
            </w:r>
          </w:p>
        </w:tc>
        <w:tc>
          <w:tcPr>
            <w:tcW w:w="98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49</w:t>
            </w:r>
          </w:p>
        </w:tc>
      </w:tr>
      <w:tr>
        <w:trPr>
          <w:trHeight w:val="142"/>
        </w:trPr>
        <w:tc>
          <w:tcPr>
            <w:tcW w:w="100" w:type="dxa"/>
            <w:vAlign w:val="bottom"/>
          </w:tcPr>
          <w:p>
            <w:pPr>
              <w:spacing w:after="0"/>
              <w:rPr>
                <w:sz w:val="12"/>
                <w:szCs w:val="12"/>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Total property and equipment</w:t>
            </w: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604</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604</w:t>
            </w:r>
          </w:p>
        </w:tc>
      </w:tr>
      <w:tr>
        <w:trPr>
          <w:trHeight w:val="153"/>
        </w:trPr>
        <w:tc>
          <w:tcPr>
            <w:tcW w:w="100" w:type="dxa"/>
            <w:vAlign w:val="bottom"/>
          </w:tcPr>
          <w:p>
            <w:pPr>
              <w:spacing w:after="0"/>
              <w:rPr>
                <w:sz w:val="13"/>
                <w:szCs w:val="13"/>
                <w:color w:val="auto"/>
              </w:rPr>
            </w:pPr>
          </w:p>
        </w:tc>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accumulated depreciation and amortization</w:t>
            </w:r>
          </w:p>
        </w:tc>
        <w:tc>
          <w:tcPr>
            <w:tcW w:w="98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(487)</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(397)</w:t>
            </w:r>
          </w:p>
        </w:tc>
      </w:tr>
      <w:tr>
        <w:trPr>
          <w:trHeight w:val="158"/>
        </w:trPr>
        <w:tc>
          <w:tcPr>
            <w:tcW w:w="100" w:type="dxa"/>
            <w:vAlign w:val="bottom"/>
          </w:tcPr>
          <w:p>
            <w:pPr>
              <w:spacing w:after="0"/>
              <w:rPr>
                <w:sz w:val="13"/>
                <w:szCs w:val="13"/>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9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117</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207</w:t>
            </w:r>
          </w:p>
        </w:tc>
      </w:tr>
    </w:tbl>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Depreciation expense was $0.1 million for the years ended December 31, 2023, 2022 and 2021.</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7: Investments</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In connection with the Reneo and Anteris License Agreements, the Company received equity ownership interests of less than 20% of the voting equity of the investees. Further, the Company does not have the ability to exercise significant influence over the investees. As of December 31, 2023 the Company has no investments classified as long-term investments in the Company’s Consolidated Balance Sheets.</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Reneo completed its initial public offering in April 2021. Prior to Reneo becoming a publicly-traded company, the Company’s investment in Reneo did not have a readily determinable fair value and was measured at cost less impairment, adjusted for any changes in observable prices, under the measurement alternative. Subsequent to Reneo’s initial public offering, the Company’s investment in Reneo is considered to have a readily determinable fair value and, as such, is adjusted to its fair value each period with changes in fair value recognized as a component of other (expense) income.</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Company’s investment in Anteris does not have a readily determinable fair value and is measured at cost less impairment, adjusted for any changes in observable prices.</w:t>
      </w:r>
    </w:p>
    <w:p>
      <w:pPr>
        <w:spacing w:after="0" w:line="78"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On October 16, 2023, the Company received a Section 228(e) notice from Anteris that the stockholders voted in favor of the dissolution of Anteris and the adoption of the Plan of Dissolution. The Company determined the carrying value of this investment was not expected to be recoverable due to the Plan of Dissolution. As a result, the Company recorded a $4.2 million impairment charge during the year ended December 31, 2023.</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On October 30, 2023, the Company entered into the Repurchase Agreement with Reneo to purchase all of its common stock held by vTv LLC for total proceeds to vTv LLC of approximately $4.4 million. The Company</w:t>
      </w:r>
    </w:p>
    <w:p>
      <w:pPr>
        <w:spacing w:after="0" w:line="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color w:val="auto"/>
        </w:rPr>
        <w:t>recognized a realized gain on the sale of its investment in Reneo of $3.1 million for the year ended December 31, 2023</w:t>
      </w:r>
      <w:r>
        <w:rPr>
          <w:rFonts w:ascii="Arial" w:cs="Arial" w:eastAsia="Arial" w:hAnsi="Arial"/>
          <w:sz w:val="14"/>
          <w:szCs w:val="14"/>
          <w:color w:val="auto"/>
        </w:rPr>
        <w:t>.</w:t>
      </w:r>
      <w:r>
        <w:rPr>
          <w:rFonts w:ascii="Times New Roman" w:cs="Times New Roman" w:eastAsia="Times New Roman" w:hAnsi="Times New Roman"/>
          <w:sz w:val="12"/>
          <w:szCs w:val="12"/>
          <w:color w:val="auto"/>
        </w:rPr>
        <w:t xml:space="preserve"> The Company recognized an unrealized loss on its investment in Reneo of $3.6 million for the year ended December 31, 2022. These adjustments were recognized as a component of other (expense)/income in the Company’s Consolidated Statements of Operations.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70" w:right="299" w:bottom="1440" w:gutter="0" w:footer="0" w:header="0"/>
        </w:sectPr>
      </w:pPr>
    </w:p>
    <w:bookmarkStart w:id="93" w:name="page94"/>
    <w:bookmarkEnd w:id="93"/>
    <w:p>
      <w:pPr>
        <w:ind w:left="320"/>
        <w:spacing w:after="0"/>
        <w:rPr>
          <w:sz w:val="20"/>
          <w:szCs w:val="20"/>
          <w:color w:val="auto"/>
        </w:rPr>
      </w:pPr>
      <w:r>
        <w:rPr>
          <w:rFonts w:ascii="Times New Roman" w:cs="Times New Roman" w:eastAsia="Times New Roman" w:hAnsi="Times New Roman"/>
          <w:sz w:val="12"/>
          <w:szCs w:val="12"/>
          <w:color w:val="auto"/>
        </w:rPr>
        <w:t>The Company’s investments consist of the following:</w:t>
      </w:r>
    </w:p>
    <w:p>
      <w:pPr>
        <w:spacing w:after="0" w:line="2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Equity investment with readily determinable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-85725</wp:posOffset>
            </wp:positionV>
            <wp:extent cx="7046595" cy="971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7046595" cy="9715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2"/>
          <w:szCs w:val="12"/>
          <w:color w:val="auto"/>
        </w:rPr>
        <w:t>Reneo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9525</wp:posOffset>
            </wp:positionV>
            <wp:extent cx="7046595" cy="1143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7046595" cy="114300"/>
                    </a:xfrm>
                    <a:prstGeom prst="rect">
                      <a:avLst/>
                    </a:prstGeom>
                    <a:noFill/>
                  </pic:spPr>
                </pic:pic>
              </a:graphicData>
            </a:graphic>
          </wp:anchor>
        </w:drawing>
      </w:r>
    </w:p>
    <w:p>
      <w:pPr>
        <w:spacing w:after="0" w:line="1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Equity investment without readily determinable fair values assessed under the measurement alternative: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17780</wp:posOffset>
            </wp:positionV>
            <wp:extent cx="7046595" cy="971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7046595" cy="97155"/>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Anteris preferred stock</w:t>
      </w:r>
    </w:p>
    <w:p>
      <w:pPr>
        <w:spacing w:after="0" w:line="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Total</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8: Accounts Payable and Accrued Expenses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Accounts payable and accrued expenses consist of the following (in thousands):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4"/>
        </w:trPr>
        <w:tc>
          <w:tcPr>
            <w:tcW w:w="1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0"/>
                <w:szCs w:val="10"/>
                <w:b w:val="1"/>
                <w:bCs w:val="1"/>
                <w:color w:val="auto"/>
              </w:rPr>
              <w:t>December 31, 2022</w:t>
            </w:r>
          </w:p>
        </w:tc>
      </w:tr>
      <w:tr>
        <w:trPr>
          <w:trHeight w:val="294"/>
        </w:trPr>
        <w:tc>
          <w:tcPr>
            <w:tcW w:w="1200" w:type="dxa"/>
            <w:vAlign w:val="bottom"/>
          </w:tcPr>
          <w:p>
            <w:pPr>
              <w:jc w:val="right"/>
              <w:ind w:right="1089"/>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  $</w:t>
            </w:r>
          </w:p>
        </w:tc>
        <w:tc>
          <w:tcPr>
            <w:tcW w:w="1260" w:type="dxa"/>
            <w:vAlign w:val="bottom"/>
          </w:tcPr>
          <w:p>
            <w:pPr>
              <w:jc w:val="right"/>
              <w:ind w:right="6"/>
              <w:spacing w:after="0"/>
              <w:rPr>
                <w:sz w:val="20"/>
                <w:szCs w:val="20"/>
                <w:color w:val="auto"/>
              </w:rPr>
            </w:pPr>
            <w:r>
              <w:rPr>
                <w:rFonts w:ascii="Times New Roman" w:cs="Times New Roman" w:eastAsia="Times New Roman" w:hAnsi="Times New Roman"/>
                <w:sz w:val="12"/>
                <w:szCs w:val="12"/>
                <w:color w:val="auto"/>
              </w:rPr>
              <w:t>1,343</w:t>
            </w:r>
          </w:p>
        </w:tc>
      </w:tr>
    </w:tbl>
    <w:p>
      <w:pPr>
        <w:spacing w:after="0" w:line="3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1"/>
          <w:szCs w:val="11"/>
          <w:color w:val="auto"/>
        </w:rPr>
        <w:t>4,245</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122"/>
        </w:trPr>
        <w:tc>
          <w:tcPr>
            <w:tcW w:w="1020" w:type="dxa"/>
            <w:vAlign w:val="bottom"/>
          </w:tcPr>
          <w:p>
            <w:pPr>
              <w:jc w:val="right"/>
              <w:ind w:right="909"/>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3"/>
          </w:tcPr>
          <w:p>
            <w:pPr>
              <w:ind w:left="260"/>
              <w:spacing w:after="0" w:line="122" w:lineRule="exact"/>
              <w:rPr>
                <w:sz w:val="20"/>
                <w:szCs w:val="20"/>
                <w:color w:val="auto"/>
              </w:rPr>
            </w:pPr>
            <w:r>
              <w:rPr>
                <w:rFonts w:ascii="Times New Roman" w:cs="Times New Roman" w:eastAsia="Times New Roman" w:hAnsi="Times New Roman"/>
                <w:sz w:val="12"/>
                <w:szCs w:val="12"/>
                <w:color w:val="auto"/>
              </w:rPr>
              <w:t>—  $</w:t>
            </w:r>
          </w:p>
        </w:tc>
        <w:tc>
          <w:tcPr>
            <w:tcW w:w="10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2"/>
                <w:szCs w:val="12"/>
                <w:color w:val="auto"/>
              </w:rPr>
              <w:t>5,588</w:t>
            </w:r>
          </w:p>
        </w:tc>
      </w:tr>
      <w:tr>
        <w:trPr>
          <w:trHeight w:val="20"/>
        </w:trPr>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607"/>
        </w:trPr>
        <w:tc>
          <w:tcPr>
            <w:tcW w:w="1020" w:type="dxa"/>
            <w:vAlign w:val="bottom"/>
          </w:tcPr>
          <w:p>
            <w:pPr>
              <w:spacing w:after="0"/>
              <w:rPr>
                <w:sz w:val="24"/>
                <w:szCs w:val="24"/>
                <w:color w:val="auto"/>
              </w:rPr>
            </w:pPr>
          </w:p>
        </w:tc>
        <w:tc>
          <w:tcPr>
            <w:tcW w:w="960" w:type="dxa"/>
            <w:vAlign w:val="bottom"/>
            <w:gridSpan w:val="3"/>
          </w:tcPr>
          <w:p>
            <w:pPr>
              <w:ind w:left="2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020" w:type="dxa"/>
            <w:vAlign w:val="bottom"/>
          </w:tcPr>
          <w:p>
            <w:pPr>
              <w:spacing w:after="0"/>
              <w:rPr>
                <w:sz w:val="24"/>
                <w:szCs w:val="24"/>
                <w:color w:val="auto"/>
              </w:rPr>
            </w:pPr>
          </w:p>
        </w:tc>
      </w:tr>
      <w:tr>
        <w:trPr>
          <w:trHeight w:val="135"/>
        </w:trPr>
        <w:tc>
          <w:tcPr>
            <w:tcW w:w="1020" w:type="dxa"/>
            <w:vAlign w:val="bottom"/>
          </w:tcPr>
          <w:p>
            <w:pPr>
              <w:jc w:val="right"/>
              <w:ind w:right="149"/>
              <w:spacing w:after="0"/>
              <w:rPr>
                <w:sz w:val="20"/>
                <w:szCs w:val="20"/>
                <w:color w:val="auto"/>
              </w:rPr>
            </w:pPr>
            <w:r>
              <w:rPr>
                <w:rFonts w:ascii="Times New Roman" w:cs="Times New Roman" w:eastAsia="Times New Roman" w:hAnsi="Times New Roman"/>
                <w:sz w:val="10"/>
                <w:szCs w:val="10"/>
                <w:b w:val="1"/>
                <w:bCs w:val="1"/>
                <w:color w:val="auto"/>
              </w:rPr>
              <w:t>2023</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right"/>
              <w:ind w:right="586"/>
              <w:spacing w:after="0"/>
              <w:rPr>
                <w:sz w:val="20"/>
                <w:szCs w:val="20"/>
                <w:color w:val="auto"/>
              </w:rPr>
            </w:pPr>
            <w:r>
              <w:rPr>
                <w:rFonts w:ascii="Times New Roman" w:cs="Times New Roman" w:eastAsia="Times New Roman" w:hAnsi="Times New Roman"/>
                <w:sz w:val="10"/>
                <w:szCs w:val="10"/>
                <w:b w:val="1"/>
                <w:bCs w:val="1"/>
                <w:color w:val="auto"/>
              </w:rPr>
              <w:t>2022</w:t>
            </w:r>
          </w:p>
        </w:tc>
      </w:tr>
    </w:tbl>
    <w:p>
      <w:pPr>
        <w:spacing w:after="0" w:line="1" w:lineRule="exact"/>
        <w:rPr>
          <w:sz w:val="20"/>
          <w:szCs w:val="20"/>
          <w:color w:val="auto"/>
        </w:rPr>
      </w:pPr>
    </w:p>
    <w:p>
      <w:pPr>
        <w:sectPr>
          <w:pgSz w:w="11900" w:h="16838" w:orient="portrait"/>
          <w:cols w:equalWidth="0" w:num="2">
            <w:col w:w="7480" w:space="720"/>
            <w:col w:w="3100"/>
          </w:cols>
          <w:pgMar w:left="300" w:top="849" w:right="299" w:bottom="1440" w:gutter="0" w:footer="0" w:header="0"/>
        </w:sectPr>
      </w:pPr>
    </w:p>
    <w:tbl>
      <w:tblPr>
        <w:tblLayout w:type="fixed"/>
        <w:tblInd w:w="100" w:type="dxa"/>
        <w:tblCellMar>
          <w:top w:w="0" w:type="dxa"/>
          <w:left w:w="0" w:type="dxa"/>
          <w:bottom w:w="0" w:type="dxa"/>
          <w:right w:w="0" w:type="dxa"/>
        </w:tblCellMar>
      </w:tblPr>
      <w:tr>
        <w:trPr>
          <w:trHeight w:val="159"/>
        </w:trPr>
        <w:tc>
          <w:tcPr>
            <w:tcW w:w="8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payable</w:t>
            </w:r>
          </w:p>
        </w:tc>
        <w:tc>
          <w:tcPr>
            <w:tcW w:w="580" w:type="dxa"/>
            <w:vAlign w:val="bottom"/>
            <w:tcBorders>
              <w:top w:val="single" w:sz="8" w:color="auto"/>
            </w:tcBorders>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4,075</w:t>
            </w:r>
          </w:p>
        </w:tc>
        <w:tc>
          <w:tcPr>
            <w:tcW w:w="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2,461</w:t>
            </w:r>
          </w:p>
        </w:tc>
      </w:tr>
      <w:tr>
        <w:trPr>
          <w:trHeight w:val="153"/>
        </w:trPr>
        <w:tc>
          <w:tcPr>
            <w:tcW w:w="8100" w:type="dxa"/>
            <w:vAlign w:val="bottom"/>
          </w:tcPr>
          <w:p>
            <w:pPr>
              <w:spacing w:after="0"/>
              <w:rPr>
                <w:sz w:val="20"/>
                <w:szCs w:val="20"/>
                <w:color w:val="auto"/>
              </w:rPr>
            </w:pPr>
            <w:r>
              <w:rPr>
                <w:rFonts w:ascii="Times New Roman" w:cs="Times New Roman" w:eastAsia="Times New Roman" w:hAnsi="Times New Roman"/>
                <w:sz w:val="12"/>
                <w:szCs w:val="12"/>
                <w:color w:val="auto"/>
              </w:rPr>
              <w:t>Accrued development costs</w:t>
            </w:r>
          </w:p>
        </w:tc>
        <w:tc>
          <w:tcPr>
            <w:tcW w:w="5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4,401</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3,572</w:t>
            </w:r>
          </w:p>
        </w:tc>
      </w:tr>
      <w:tr>
        <w:trPr>
          <w:trHeight w:val="153"/>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compensation and related costs</w:t>
            </w:r>
          </w:p>
        </w:tc>
        <w:tc>
          <w:tcPr>
            <w:tcW w:w="5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1,466</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788</w:t>
            </w:r>
          </w:p>
        </w:tc>
      </w:tr>
      <w:tr>
        <w:trPr>
          <w:trHeight w:val="153"/>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Accrued other</w:t>
            </w:r>
          </w:p>
        </w:tc>
        <w:tc>
          <w:tcPr>
            <w:tcW w:w="5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492</w:t>
            </w:r>
          </w:p>
        </w:tc>
      </w:tr>
      <w:tr>
        <w:trPr>
          <w:trHeight w:val="158"/>
        </w:trPr>
        <w:tc>
          <w:tcPr>
            <w:tcW w:w="8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Total</w:t>
            </w:r>
          </w:p>
        </w:tc>
        <w:tc>
          <w:tcPr>
            <w:tcW w:w="580" w:type="dxa"/>
            <w:vAlign w:val="bottom"/>
            <w:tcBorders>
              <w:bottom w:val="single" w:sz="8" w:color="auto"/>
            </w:tcBorders>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10,242</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7,313</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9: Leases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In August 2019, the Company leased office space for its headquarters location under an operating lease. This lease commenced in November 2019 after the completion of certain tenant improvements made by the lessor. The lease includes an option to renew for a five-year term as well as an option to terminate after three years, neither of which have been recognized as part of its related right of use assets or lease liabilities as their election is not considered reasonably certain. In November 2022, the Company entered into a second amendment to the lease, (i) to reduce the square footage and (ii) to extend the lease term, which constituted a modification event under ASC 842 and, the lease classification for the asset remains as an operating lease. As a result of the remeasurement of the associated lease liabilities, the Company recognized additional right of use assets and corresponding lease liabilities of $0.1 million. Further, the second amendment to the lease does not include any material residual value guarantee or restrictive covenants.</w:t>
      </w:r>
    </w:p>
    <w:p>
      <w:pPr>
        <w:spacing w:after="0" w:line="53"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At December 31, 2023 and 2022, the weighted average incremental borrowing rate for operating leases held by the Company was 9.5%. At December 31, 2023 and 2022, the weighted average remaining lease terms for the operating leases held by the Company were 1.9 years and 2.9 years, respectively.</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Maturities of lease liabilities for the Company’s operating leases as of December 31, 2023, were as follows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0" w:type="dxa"/>
            <w:vAlign w:val="bottom"/>
          </w:tcPr>
          <w:p>
            <w:pPr>
              <w:spacing w:after="0"/>
              <w:rPr>
                <w:sz w:val="13"/>
                <w:szCs w:val="13"/>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w:t>
            </w:r>
          </w:p>
        </w:tc>
        <w:tc>
          <w:tcPr>
            <w:tcW w:w="6740" w:type="dxa"/>
            <w:vAlign w:val="bottom"/>
            <w:gridSpan w:val="2"/>
            <w:shd w:val="clear" w:color="auto" w:fill="CCEEFF"/>
          </w:tcPr>
          <w:p>
            <w:pPr>
              <w:jc w:val="right"/>
              <w:ind w:right="526"/>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10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6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10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6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6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6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6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r>
      <w:tr>
        <w:trPr>
          <w:trHeight w:val="142"/>
        </w:trPr>
        <w:tc>
          <w:tcPr>
            <w:tcW w:w="100" w:type="dxa"/>
            <w:vAlign w:val="bottom"/>
          </w:tcPr>
          <w:p>
            <w:pPr>
              <w:spacing w:after="0"/>
              <w:rPr>
                <w:sz w:val="12"/>
                <w:szCs w:val="12"/>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lease payments</w:t>
            </w:r>
          </w:p>
        </w:tc>
        <w:tc>
          <w:tcPr>
            <w:tcW w:w="6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371</w:t>
            </w:r>
          </w:p>
        </w:tc>
        <w:tc>
          <w:tcPr>
            <w:tcW w:w="100" w:type="dxa"/>
            <w:vAlign w:val="bottom"/>
          </w:tcPr>
          <w:p>
            <w:pPr>
              <w:spacing w:after="0"/>
              <w:rPr>
                <w:sz w:val="12"/>
                <w:szCs w:val="12"/>
                <w:color w:val="auto"/>
              </w:rPr>
            </w:pPr>
          </w:p>
        </w:tc>
      </w:tr>
      <w:tr>
        <w:trPr>
          <w:trHeight w:val="153"/>
        </w:trPr>
        <w:tc>
          <w:tcPr>
            <w:tcW w:w="100" w:type="dxa"/>
            <w:vAlign w:val="bottom"/>
          </w:tcPr>
          <w:p>
            <w:pPr>
              <w:spacing w:after="0"/>
              <w:rPr>
                <w:sz w:val="13"/>
                <w:szCs w:val="13"/>
                <w:color w:val="auto"/>
              </w:rPr>
            </w:pPr>
          </w:p>
        </w:tc>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imputed interest</w:t>
            </w:r>
          </w:p>
        </w:tc>
        <w:tc>
          <w:tcPr>
            <w:tcW w:w="6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tcPr>
          <w:p>
            <w:pPr>
              <w:spacing w:after="0"/>
              <w:rPr>
                <w:sz w:val="13"/>
                <w:szCs w:val="13"/>
                <w:color w:val="auto"/>
              </w:rPr>
            </w:pPr>
          </w:p>
        </w:tc>
      </w:tr>
      <w:tr>
        <w:trPr>
          <w:trHeight w:val="169"/>
        </w:trPr>
        <w:tc>
          <w:tcPr>
            <w:tcW w:w="100" w:type="dxa"/>
            <w:vAlign w:val="bottom"/>
          </w:tcPr>
          <w:p>
            <w:pPr>
              <w:spacing w:after="0"/>
              <w:rPr>
                <w:sz w:val="14"/>
                <w:szCs w:val="14"/>
                <w:color w:val="auto"/>
              </w:rPr>
            </w:pPr>
          </w:p>
        </w:tc>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Present value of lease liabilities</w:t>
            </w:r>
          </w:p>
        </w:tc>
        <w:tc>
          <w:tcPr>
            <w:tcW w:w="6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w:t>
            </w:r>
          </w:p>
        </w:tc>
        <w:tc>
          <w:tcPr>
            <w:tcW w:w="100" w:type="dxa"/>
            <w:vAlign w:val="bottom"/>
          </w:tcPr>
          <w:p>
            <w:pPr>
              <w:spacing w:after="0"/>
              <w:rPr>
                <w:sz w:val="14"/>
                <w:szCs w:val="14"/>
                <w:color w:val="auto"/>
              </w:rPr>
            </w:pPr>
          </w:p>
        </w:tc>
      </w:tr>
      <w:tr>
        <w:trPr>
          <w:trHeight w:val="709"/>
        </w:trPr>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100" w:type="dxa"/>
            <w:vAlign w:val="bottom"/>
          </w:tcPr>
          <w:p>
            <w:pPr>
              <w:ind w:left="1900"/>
              <w:spacing w:after="0"/>
              <w:rPr>
                <w:sz w:val="20"/>
                <w:szCs w:val="20"/>
                <w:color w:val="auto"/>
              </w:rPr>
            </w:pPr>
            <w:r>
              <w:rPr>
                <w:rFonts w:ascii="Times New Roman" w:cs="Times New Roman" w:eastAsia="Times New Roman" w:hAnsi="Times New Roman"/>
                <w:sz w:val="12"/>
                <w:szCs w:val="12"/>
                <w:color w:val="auto"/>
              </w:rPr>
              <w:t>F-21</w:t>
            </w:r>
          </w:p>
        </w:tc>
        <w:tc>
          <w:tcPr>
            <w:tcW w:w="6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63"/>
        </w:trPr>
        <w:tc>
          <w:tcPr>
            <w:tcW w:w="100" w:type="dxa"/>
            <w:vAlign w:val="bottom"/>
            <w:tcBorders>
              <w:bottom w:val="single" w:sz="8" w:color="9A9A9A"/>
            </w:tcBorders>
          </w:tcPr>
          <w:p>
            <w:pPr>
              <w:spacing w:after="0"/>
              <w:rPr>
                <w:sz w:val="5"/>
                <w:szCs w:val="5"/>
                <w:color w:val="auto"/>
              </w:rPr>
            </w:pPr>
          </w:p>
        </w:tc>
        <w:tc>
          <w:tcPr>
            <w:tcW w:w="3540" w:type="dxa"/>
            <w:vAlign w:val="bottom"/>
            <w:tcBorders>
              <w:bottom w:val="single" w:sz="8" w:color="9A9A9A"/>
            </w:tcBorders>
          </w:tcPr>
          <w:p>
            <w:pPr>
              <w:spacing w:after="0"/>
              <w:rPr>
                <w:sz w:val="5"/>
                <w:szCs w:val="5"/>
                <w:color w:val="auto"/>
              </w:rPr>
            </w:pPr>
          </w:p>
        </w:tc>
        <w:tc>
          <w:tcPr>
            <w:tcW w:w="61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type w:val="continuous"/>
        </w:sectPr>
      </w:pPr>
    </w:p>
    <w:bookmarkStart w:id="94" w:name="page95"/>
    <w:bookmarkEnd w:id="94"/>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Operating lease cost was $0.2 million for the years ended December 31, 2023, 2022 and 2021, respectively. During the years ended December 31, 2023 and December 31, 2022, cash paid for operating leases was $0.2 million and $0.3 million,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10: Notes Payable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Notes payable consist of the following (in thousands):</w:t>
      </w:r>
    </w:p>
    <w:p>
      <w:pPr>
        <w:spacing w:after="0" w:line="87" w:lineRule="exact"/>
        <w:rPr>
          <w:sz w:val="20"/>
          <w:szCs w:val="20"/>
          <w:color w:val="auto"/>
        </w:rPr>
      </w:pPr>
    </w:p>
    <w:tbl>
      <w:tblPr>
        <w:tblLayout w:type="fixed"/>
        <w:tblInd w:w="100" w:type="dxa"/>
        <w:tblCellMar>
          <w:top w:w="0" w:type="dxa"/>
          <w:left w:w="0" w:type="dxa"/>
          <w:bottom w:w="0" w:type="dxa"/>
          <w:right w:w="0" w:type="dxa"/>
        </w:tblCellMar>
      </w:tblPr>
      <w:tr>
        <w:trPr>
          <w:trHeight w:val="139"/>
        </w:trPr>
        <w:tc>
          <w:tcPr>
            <w:tcW w:w="810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32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0"/>
                <w:szCs w:val="10"/>
                <w:b w:val="1"/>
                <w:bCs w:val="1"/>
                <w:color w:val="auto"/>
              </w:rPr>
              <w:t>December 31, 2022</w:t>
            </w:r>
          </w:p>
        </w:tc>
      </w:tr>
      <w:tr>
        <w:trPr>
          <w:trHeight w:val="147"/>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Short-term financing</w:t>
            </w:r>
          </w:p>
        </w:tc>
        <w:tc>
          <w:tcPr>
            <w:tcW w:w="114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224</w:t>
            </w:r>
          </w:p>
        </w:tc>
      </w:tr>
      <w:tr>
        <w:trPr>
          <w:trHeight w:val="142"/>
        </w:trPr>
        <w:tc>
          <w:tcPr>
            <w:tcW w:w="8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Total notes payable</w:t>
            </w:r>
          </w:p>
        </w:tc>
        <w:tc>
          <w:tcPr>
            <w:tcW w:w="11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224</w:t>
            </w:r>
          </w:p>
        </w:tc>
      </w:tr>
      <w:tr>
        <w:trPr>
          <w:trHeight w:val="153"/>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Current portion</w:t>
            </w:r>
          </w:p>
        </w:tc>
        <w:tc>
          <w:tcPr>
            <w:tcW w:w="114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w:t>
            </w:r>
          </w:p>
        </w:tc>
      </w:tr>
      <w:tr>
        <w:trPr>
          <w:trHeight w:val="142"/>
        </w:trPr>
        <w:tc>
          <w:tcPr>
            <w:tcW w:w="8100" w:type="dxa"/>
            <w:vAlign w:val="bottom"/>
          </w:tcPr>
          <w:p>
            <w:pPr>
              <w:spacing w:after="0"/>
              <w:rPr>
                <w:sz w:val="20"/>
                <w:szCs w:val="20"/>
                <w:color w:val="auto"/>
              </w:rPr>
            </w:pPr>
            <w:r>
              <w:rPr>
                <w:rFonts w:ascii="Times New Roman" w:cs="Times New Roman" w:eastAsia="Times New Roman" w:hAnsi="Times New Roman"/>
                <w:sz w:val="12"/>
                <w:szCs w:val="12"/>
                <w:color w:val="auto"/>
              </w:rPr>
              <w:t>Total notes payable, net of current portion</w:t>
            </w:r>
          </w:p>
        </w:tc>
        <w:tc>
          <w:tcPr>
            <w:tcW w:w="1140" w:type="dxa"/>
            <w:vAlign w:val="bottom"/>
            <w:tcBorders>
              <w:bottom w:val="single" w:sz="8" w:color="auto"/>
            </w:tcBorders>
          </w:tcPr>
          <w:p>
            <w:pPr>
              <w:jc w:val="right"/>
              <w:ind w:right="1029"/>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8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11: Commitments and Contingencies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Legal Matters</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Novo Nordisk</w:t>
      </w:r>
    </w:p>
    <w:p>
      <w:pPr>
        <w:spacing w:after="0" w:line="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 xml:space="preserve">In February 2007, the Company entered into an Agreement (the “Novo License Agreement”) Concerning Glucokinase Activator Project with Novo Nordisk A/S (the “Novo Nordisk”) whereby the Company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This agreement was amended in May 2019 to create milestone payments applicable to certain specific and non-specific areas of therapeutic use. Under the terms of the Novo License Agreement, the Company has additional potential developmental and regulatory milestone payments totaling up to $9.0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 During the year ended December 31, 2021, the Company made a payment of $2.0 million related to the satisfaction of the milestone to complete the Phase 2 trials for </w:t>
      </w:r>
      <w:r>
        <w:rPr>
          <w:rFonts w:ascii="Times New Roman" w:cs="Times New Roman" w:eastAsia="Times New Roman" w:hAnsi="Times New Roman"/>
          <w:sz w:val="12"/>
          <w:szCs w:val="12"/>
          <w:i w:val="1"/>
          <w:iCs w:val="1"/>
          <w:color w:val="auto"/>
        </w:rPr>
        <w:t xml:space="preserve">cadisegliatin </w:t>
      </w:r>
      <w:r>
        <w:rPr>
          <w:rFonts w:ascii="Times New Roman" w:cs="Times New Roman" w:eastAsia="Times New Roman" w:hAnsi="Times New Roman"/>
          <w:sz w:val="12"/>
          <w:szCs w:val="12"/>
          <w:color w:val="auto"/>
        </w:rPr>
        <w:t>under this agreement. No such payments were made during the years ended December 31, 2023 or 2022.</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12: Stockholders’ Equity</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On July 29, 2015, the Company amended and restated its certificate of incorporation to authorize 100,000,000 shares of Class A common stock, 100,000,000 shares of Class B common stock and 50,000,000 shares of preferred stock, par value $0.01 per share.</w:t>
      </w:r>
    </w:p>
    <w:p>
      <w:pPr>
        <w:spacing w:after="0" w:line="3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On May 4, 2021, the Company filed an amendment to its Amended and Restated Certificate of Incorporation to increase the number of shares of Class A common stock that the Company is authorized to issue from 100,000,000 shares of Class A common stock to 200,000,000 shares of Class A common stock, representing an increase of 100,000,000 shares of authorized Class A common stock, with a corresponding increase in the total authorized common stock, which includes Class A common stock and Class B common stock, from 200,000,000 to 300,000,000, and a corresponding increase in the total authorized capital stock, which includes common stock and preferred stock, from 250,000,000 shares to 350,000,000 shares.</w:t>
      </w:r>
    </w:p>
    <w:p>
      <w:pPr>
        <w:spacing w:after="0" w:line="5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On November 20, 2023, the Company filed an amendment to its Amended and Restated Certificate of Incorporation as amended, to effect a reverse stock split at a ratio of 1-for-40 (the "Reverse Stock Split"). Pursuant to the Reverse Stock Split, every 40 shares of the Company’s Class A common stock was combined into one issued and outstanding share of Class A Common Stock and every 40 shares of the Company’s Class B common stock was combined into one issued and outstanding share of Class B Common Stock. The Reverse Stock Split did not reduce the number of authorized shares of Class A and Class B common stock, which remained at 200,000,000 and 100,000,000 respectively and did not change the par value of the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95" w:name="page96"/>
    <w:bookmarkEnd w:id="95"/>
    <w:p>
      <w:pPr>
        <w:jc w:val="both"/>
        <w:spacing w:after="0" w:line="279" w:lineRule="auto"/>
        <w:rPr>
          <w:sz w:val="20"/>
          <w:szCs w:val="20"/>
          <w:color w:val="auto"/>
        </w:rPr>
      </w:pPr>
      <w:r>
        <w:rPr>
          <w:rFonts w:ascii="Times New Roman" w:cs="Times New Roman" w:eastAsia="Times New Roman" w:hAnsi="Times New Roman"/>
          <w:sz w:val="12"/>
          <w:szCs w:val="12"/>
          <w:color w:val="auto"/>
        </w:rPr>
        <w:t>common stock, which remained at $0.01 per share. The Reverse Stock Split did not have any effect on the number of authorized shares of the Company’s preferred stock, par value of $0.01 per share, which would remain at 50,000,000 shares. Currently no shares of preferred stock are outstanding.</w:t>
      </w:r>
    </w:p>
    <w:p>
      <w:pPr>
        <w:spacing w:after="0" w:line="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Holders of Class A common stock and Class B common stock are entitled to one vote for each share held on all matters submitted to stockholders for their vote or approval. The holders of Class A common stock and Class B common stock will vote together as a single class on all matters submitted to stockholders for their vote or approval, except with respect to the amendment of certain provisions of the Company’s amended and restated certificate of incorporation that would alter or change the powers, preferences or special rights of the Class B common stock so as to affect them adversely, which amendments must be approved by a majority of the votes entitled to be cast by the holders of the shares affected by the amendment, voting as a separate class, or as otherwise required by applicable law. The voting power of the outstanding Class B common stock (expressed as a percentage of the total voting power of all common stock) will be equal to the percentage of vTv Units not held by the Company. Holders of Class B common stock are not entitled to receive dividends and will not be entitled to receive any distributions upon the liquidation, dissolution or winding up of the Company.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G42 Investments Transaction</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On May 31, 2022, the Company and G42 Investments entered in to the G42 Purchase Agreement (see Note 3), pursuant to which the Company agreed to sell to G42 Investments 259,657 shares of the Company's Class A common stock at a price per share of approximately $96.40, for an aggregate purchase price of $25.0 million, consisting of (i) $12.5 million in cash at the closing of the transaction and (ii) $12.5 million in the form of a promissory note of G42 Investments to be paid at the one-year anniversary of the execution of the G42 Purchase Agreement (the "G42 Promissory Note"). 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resulting in a loss of $0.3 million and was recognized as a component of other (expense)/income in the Company’s Consolidated Statements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CinPax and CinRx Transaction</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On July 22, 2022 (the “Transaction Date”), the Company entered into the CinRx Purchase Agreement with CinPax, LLC ("CinPax") and CinRx-Pharma, LLC ("CinRx"), pursuant to which the Company agreed to sell to CinPax 103,864 shares of the Company’s Class A common stock at a price per share of approximately $96.40, for an aggregate purchase price of $10.0 million, which was paid (i) $6.0 million in cash at the closing of the transaction and (ii) $4.0 million in the form of a non-interest-bearing promissory note with CinPax and was paid to the Company on November 22, 2022.</w:t>
      </w:r>
    </w:p>
    <w:p>
      <w:pPr>
        <w:spacing w:after="0" w:line="4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Common stock is generally recorded at fair value at the date of issuance. In determining the fair value of the Class A common stock issued to CinPax, the Company considered the closing price of the common stock on the Transaction Date. The Company did not make an adjustment to the fair value for sale restrictions on the stock in accordance with guidance recently adopted in ASU 2022-03. See the “Recently Issued Accounting Guidance” in this 10-K for details of the ASU. Accordingly, the Company determined that cash consideration of $3.0 million should be recorded as fair value of the Class A common stock at the effective date, utilizing the Class A common stock closing price of $28.80 at the effective date.</w:t>
      </w:r>
    </w:p>
    <w:p>
      <w:pPr>
        <w:spacing w:after="0" w:line="50"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The CinRx Purchase Agreement also provides CinRx warrants to purchase up to 30,000 shares of common stock at an initial exercise of price of approximately $28.80 per share (the “CinRx Warrants”). The CinRx Warrants were initially measured at fair value of $0.4 million using the Black-Scholes option model at the time of issuance and will be recorded in Warrant liability related party in the Consolidated Balance Sheets and will be subsequently remeasured at fair value through earnings on a recurring basis. (see Note 19)</w:t>
      </w:r>
    </w:p>
    <w:p>
      <w:pPr>
        <w:spacing w:after="0" w:line="4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 xml:space="preserve">The CinRx Warrants will become exercisable by CinRx only if (i) the Company receives approval from the U.S. Food and Drug Administration to market and distribute the pharmaceutical product containing the Company’s proprietary candidate,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(the “Product”), or (ii) the Company is acquired by a third party, sells all or substantially all of its assets related to the Product to a third party or grants a third party an exclusive license to develop, commercialize and manufacture the Product in the United States. If neither of these events happen within five years of the date of the issuance of the CinRx Warrants, the CinRx Warrants will expire and not be exercisable by CinRx. The exercise price of the CinRx Warrants and the number of shares issuable upon exercise of the CinRx Warrants are subject to adjustments in accordance with the terms of the CinRx Warrants.</w:t>
      </w:r>
    </w:p>
    <w:p>
      <w:pPr>
        <w:spacing w:after="0" w:line="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Additionally, in conjunction with the CinRx Purchase Agreement the Company and CinRx entered into a Master Service Agreement (“CinRx MSA”) whereby CinRx provides the Company with consulting, preclinical and clinical trial services, as enumerated in project proposals negotiated between the Company and CinRx from time to time. (see Note 14)</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96" w:name="page97"/>
    <w:bookmarkEnd w:id="96"/>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Company did not identify any other promises in the CinRx Purchase Agreement (aside from the issuance of common shares and the CinRx Warrants) and determined since there is no value ascribed to the CinRx MSA, the right to appoint a member and observer to the board of directors, that the remaining unallocated amount meets the definition of contributed equity and represents the amount in excess of par. The Company, CinPax and CinRx subsequently amended the CinRx Purchase Agreement on February 27, 2024, in connection with the Private Placement. The CinRx Purchase Agreement provides CinPax the right for two years following the Closing to designate a board observer, which has been subsequently approved by the Company’s board.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Previous ATM Offering</w:t>
      </w:r>
    </w:p>
    <w:p>
      <w:pPr>
        <w:spacing w:after="0" w:line="8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April 2020, the Company entered into the Sales Agreement with Cantor Fitzgerald as the sales agent, pursuant to which the Company may offer and sell, from time to time, through Cantor Fitzgerald, shares of its Class A common stock, par value $0.01 per share, having an aggregate offering price of up to $13.0 million by any method deemed to be an “at the market offering” as defined in Rule 415(a)(4) under the Securities Act (the “Previous ATM Offering”). The shares were offered and sold pursuant to the Company’s shelf registration statement on Form S-3.</w:t>
      </w:r>
    </w:p>
    <w:p>
      <w:pPr>
        <w:spacing w:after="0" w:line="47"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On January 14, 2021 and June 25, 2021, the Company filed a prospectus supplement in connection with the Previous ATM Offering to increase the size of the at-the-market offering pursuant to which the Company may offer and sell, from time to time, through or to Cantor Fitzgerald, as sales agent or principal, shares of the Company’s Class A common stock, by an aggregate offering price of $5.5 million and $50.0 million, respectively.</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Sales Agreement with Cantor Fitzgerald was terminated on February 26, 2024.</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Lincoln Park Capital Transaction</w:t>
      </w:r>
    </w:p>
    <w:p>
      <w:pPr>
        <w:spacing w:after="0" w:line="8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On November 24, 2020, the Company entered into the LPC Purchase Agreement and a registration rights agreement, pursuant to which the Company has the right to sell to Lincoln Park shares of the Company’s Class A common stock from time to time over the 36-month term of the LPC Purchase Agreement. The Company has issued 133,282 shares of its Class A common stock to Lincoln Park under the LPC Purchase Agreement through the date of the filing of this Annual Report on Form 10-K.</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LPC Purchase Agreement expired on November 24, 2023.</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Letter Agreement Warrants</w:t>
      </w:r>
    </w:p>
    <w:p>
      <w:pPr>
        <w:spacing w:after="0" w:line="8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Company had previously entered into the Letter Agreements with MacAndrews. Under the terms of the Letter Agreements, the Company has or had the right to sell to MacAndrews shares of its Class A common stock at a specified price per share, and MacAndrews has or had the right (exercisable up to three times) to require the Company to sell to it shares of Class A common stock at the same price. In addition, in connection with and as a commitment fee for the entrance into certain of these Letter Agreements, the Company also issued MacAndrews warrants (the “Letter Agreement Warrants”) to purchase additional shares of the Company’s Class A common stock. Certain terms of each of these Letter Agreements are set forth in Note 14.</w:t>
      </w:r>
    </w:p>
    <w:p>
      <w:pPr>
        <w:spacing w:after="0" w:line="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Letter Agreement Warrants were recorded as warrant liability, related party within the Company’s Consolidated Balance Sheets based on their fair value. The issuance of the Letter Agreement Warrants was considered to be a cost of equity recorded as a reduction to additional paid-in capital. During the years ended December 31, 2023, 2022 and 2021 the Company recognized income of $0.3 million, $0.9 million, and $1.6 million, respectively, related to the change in fair value of the Letter Agreement Warrants. These amounts were recognized as a component of other income, related party in the Consolidated Statements of Operations.</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Fair value of the Letter Agreement Warrants was calculated as of their issuance date using the methods described in Note 19 using the following assumptions: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0"/>
                <w:szCs w:val="10"/>
                <w:b w:val="1"/>
                <w:bCs w:val="1"/>
                <w:color w:val="auto"/>
              </w:rPr>
              <w:t>December 5, 2017</w:t>
            </w:r>
          </w:p>
        </w:tc>
        <w:tc>
          <w:tcPr>
            <w:tcW w:w="1540" w:type="dxa"/>
            <w:vAlign w:val="bottom"/>
            <w:gridSpan w:val="2"/>
          </w:tcPr>
          <w:p>
            <w:pPr>
              <w:ind w:left="440"/>
              <w:spacing w:after="0"/>
              <w:rPr>
                <w:sz w:val="20"/>
                <w:szCs w:val="20"/>
                <w:color w:val="auto"/>
              </w:rPr>
            </w:pPr>
            <w:r>
              <w:rPr>
                <w:rFonts w:ascii="Times New Roman" w:cs="Times New Roman" w:eastAsia="Times New Roman" w:hAnsi="Times New Roman"/>
                <w:sz w:val="10"/>
                <w:szCs w:val="10"/>
                <w:b w:val="1"/>
                <w:bCs w:val="1"/>
                <w:color w:val="auto"/>
              </w:rPr>
              <w:t>July 30, 2018</w:t>
            </w: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0"/>
                <w:szCs w:val="10"/>
                <w:b w:val="1"/>
                <w:bCs w:val="1"/>
                <w:color w:val="auto"/>
              </w:rPr>
              <w:t>December 11, 2018</w:t>
            </w:r>
          </w:p>
        </w:tc>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0"/>
                <w:szCs w:val="10"/>
                <w:b w:val="1"/>
                <w:bCs w:val="1"/>
                <w:color w:val="auto"/>
              </w:rPr>
              <w:t>September 26, 2019</w:t>
            </w:r>
          </w:p>
        </w:tc>
        <w:tc>
          <w:tcPr>
            <w:tcW w:w="1580" w:type="dxa"/>
            <w:vAlign w:val="bottom"/>
            <w:gridSpan w:val="2"/>
          </w:tcPr>
          <w:p>
            <w:pPr>
              <w:ind w:left="360"/>
              <w:spacing w:after="0"/>
              <w:rPr>
                <w:sz w:val="20"/>
                <w:szCs w:val="20"/>
                <w:color w:val="auto"/>
              </w:rPr>
            </w:pPr>
            <w:r>
              <w:rPr>
                <w:rFonts w:ascii="Times New Roman" w:cs="Times New Roman" w:eastAsia="Times New Roman" w:hAnsi="Times New Roman"/>
                <w:sz w:val="10"/>
                <w:szCs w:val="10"/>
                <w:b w:val="1"/>
                <w:bCs w:val="1"/>
                <w:color w:val="auto"/>
              </w:rPr>
              <w:t>December 23, 2019</w:t>
            </w:r>
          </w:p>
        </w:tc>
      </w:tr>
      <w:tr>
        <w:trPr>
          <w:trHeight w:val="150"/>
        </w:trPr>
        <w:tc>
          <w:tcPr>
            <w:tcW w:w="100" w:type="dxa"/>
            <w:vAlign w:val="bottom"/>
          </w:tcPr>
          <w:p>
            <w:pPr>
              <w:spacing w:after="0"/>
              <w:rPr>
                <w:sz w:val="13"/>
                <w:szCs w:val="13"/>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volatility</w:t>
            </w: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90.00%</w:t>
            </w:r>
          </w:p>
        </w:tc>
        <w:tc>
          <w:tcPr>
            <w:tcW w:w="8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95.29%</w:t>
            </w:r>
          </w:p>
        </w:tc>
        <w:tc>
          <w:tcPr>
            <w:tcW w:w="8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104.46%</w:t>
            </w:r>
          </w:p>
        </w:tc>
        <w:tc>
          <w:tcPr>
            <w:tcW w:w="10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110.35%</w:t>
            </w:r>
          </w:p>
        </w:tc>
        <w:tc>
          <w:tcPr>
            <w:tcW w:w="8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110.41%</w:t>
            </w:r>
          </w:p>
        </w:tc>
        <w:tc>
          <w:tcPr>
            <w:tcW w:w="10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2"/>
                <w:szCs w:val="12"/>
                <w:color w:val="auto"/>
              </w:rPr>
              <w:t>Expected life of option, in years</w:t>
            </w: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7.0</w:t>
            </w: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7.0</w:t>
            </w:r>
          </w:p>
        </w:tc>
        <w:tc>
          <w:tcPr>
            <w:tcW w:w="10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2.80%</w:t>
            </w: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2.94%</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2.77%</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1.65%</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1.84%</w:t>
            </w:r>
          </w:p>
        </w:tc>
        <w:tc>
          <w:tcPr>
            <w:tcW w:w="100" w:type="dxa"/>
            <w:vAlign w:val="bottom"/>
          </w:tcPr>
          <w:p>
            <w:pPr>
              <w:spacing w:after="0"/>
              <w:rPr>
                <w:sz w:val="13"/>
                <w:szCs w:val="13"/>
                <w:color w:val="auto"/>
              </w:rPr>
            </w:pPr>
          </w:p>
        </w:tc>
      </w:tr>
      <w:tr>
        <w:trPr>
          <w:trHeight w:val="155"/>
        </w:trPr>
        <w:tc>
          <w:tcPr>
            <w:tcW w:w="10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2"/>
                <w:szCs w:val="12"/>
                <w:color w:val="auto"/>
              </w:rPr>
              <w:t>Expected dividend yield</w:t>
            </w: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0.00%</w:t>
            </w:r>
          </w:p>
        </w:tc>
        <w:tc>
          <w:tcPr>
            <w:tcW w:w="8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0.00%</w:t>
            </w:r>
          </w:p>
        </w:tc>
        <w:tc>
          <w:tcPr>
            <w:tcW w:w="8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0.00%</w:t>
            </w: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0.00%</w:t>
            </w: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0.00%</w:t>
            </w:r>
          </w:p>
        </w:tc>
        <w:tc>
          <w:tcPr>
            <w:tcW w:w="100" w:type="dxa"/>
            <w:vAlign w:val="bottom"/>
          </w:tcPr>
          <w:p>
            <w:pPr>
              <w:spacing w:after="0"/>
              <w:rPr>
                <w:sz w:val="13"/>
                <w:szCs w:val="13"/>
                <w:color w:val="auto"/>
              </w:rPr>
            </w:pPr>
          </w:p>
        </w:tc>
      </w:tr>
      <w:tr>
        <w:trPr>
          <w:trHeight w:val="709"/>
        </w:trPr>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F-24</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2"/>
        </w:trPr>
        <w:tc>
          <w:tcPr>
            <w:tcW w:w="100" w:type="dxa"/>
            <w:vAlign w:val="bottom"/>
            <w:tcBorders>
              <w:bottom w:val="single" w:sz="8" w:color="9A9A9A"/>
            </w:tcBorders>
          </w:tcPr>
          <w:p>
            <w:pPr>
              <w:spacing w:after="0"/>
              <w:rPr>
                <w:sz w:val="6"/>
                <w:szCs w:val="6"/>
                <w:color w:val="auto"/>
              </w:rPr>
            </w:pPr>
          </w:p>
        </w:tc>
        <w:tc>
          <w:tcPr>
            <w:tcW w:w="348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2"/>
          <w:szCs w:val="12"/>
          <w:i w:val="1"/>
          <w:iCs w:val="1"/>
          <w:color w:val="auto"/>
        </w:rPr>
        <w:t>Loan Agreement Warrants</w:t>
      </w:r>
    </w:p>
    <w:p>
      <w:pPr>
        <w:spacing w:after="0" w:line="8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On October 28, 2016, the Company entered into a Loan Agreement in which the Company issued to the lenders warrants to purchase a total of 3,814 shares of the Company’s Class A common stock at an exercise price of $255.60 per share which expired in October 2023. Additionally, upon funding of the second tranche on March 24, 2017, the Company issued warrants to purchase 950 shares of its Class A common stock at a per share exercise price of $236.80 per share, which aggregate exercise price represents 3.0% of the amount available under the second tranche of the Loan Agreement. The warrants will expire seven years from their date of issuance.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13: Redeemable Noncontrolling Interest</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Company is subject to the Exchange Agreement with respect to the vTv Units representing the outstanding 21.7% noncontrolling interest in vTv LLC (see Note 1).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 day volume weighted average price of the Class A common stock as defined in the Exchange Agreement, subject to customary conversion rate adjustments for stock splits, stock dividends and reclassifications.</w:t>
      </w:r>
    </w:p>
    <w:p>
      <w:pPr>
        <w:spacing w:after="0" w:line="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redeemable noncontrolling interest is recognized at the higher of (1) its initial fair value plus accumulated earnings/losses associated with the noncontrolling interest or (2) the redemption value as of the balance sheet date. At December 31, 2023 and 2022, the redeemable noncontrolling interest was recorded based on the redemption value as of the balance sheet date of $6.1 million and $16.6 million, respectively.</w:t>
      </w:r>
    </w:p>
    <w:p>
      <w:pPr>
        <w:spacing w:after="0" w:line="3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Changes in the Company’s ownership interest in vTv LLC while the Company retains its controlling interest in vTv LLC are accounted for as equity transactions, and the Company is required to adjust noncontrolling interest and equity for such changes. The following is a summary of net income attributable to vTv Therapeutics Inc. and transfers to noncontrolling interest:</w:t>
      </w:r>
    </w:p>
    <w:p>
      <w:pPr>
        <w:spacing w:after="0" w:line="61" w:lineRule="exact"/>
        <w:rPr>
          <w:sz w:val="20"/>
          <w:szCs w:val="20"/>
          <w:color w:val="auto"/>
        </w:rPr>
      </w:pPr>
    </w:p>
    <w:tbl>
      <w:tblPr>
        <w:tblLayout w:type="fixed"/>
        <w:tblInd w:w="100" w:type="dxa"/>
        <w:tblCellMar>
          <w:top w:w="0" w:type="dxa"/>
          <w:left w:w="0" w:type="dxa"/>
          <w:bottom w:w="0" w:type="dxa"/>
          <w:right w:w="0" w:type="dxa"/>
        </w:tblCellMar>
      </w:tblPr>
      <w:tr>
        <w:trPr>
          <w:trHeight w:val="125"/>
        </w:trPr>
        <w:tc>
          <w:tcPr>
            <w:tcW w:w="6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41"/>
        </w:trPr>
        <w:tc>
          <w:tcPr>
            <w:tcW w:w="6560" w:type="dxa"/>
            <w:vAlign w:val="bottom"/>
          </w:tcPr>
          <w:p>
            <w:pPr>
              <w:spacing w:after="0"/>
              <w:rPr>
                <w:sz w:val="12"/>
                <w:szCs w:val="12"/>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2023</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53"/>
        </w:trPr>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Net loss attributable to vTv Therapeutics Inc. common shareholders</w:t>
            </w:r>
          </w:p>
        </w:tc>
        <w:tc>
          <w:tcPr>
            <w:tcW w:w="920" w:type="dxa"/>
            <w:vAlign w:val="bottom"/>
          </w:tcPr>
          <w:p>
            <w:pPr>
              <w:jc w:val="right"/>
              <w:ind w:right="80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(20,250)</w:t>
            </w:r>
          </w:p>
        </w:tc>
        <w:tc>
          <w:tcPr>
            <w:tcW w:w="8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(19,164)</w:t>
            </w:r>
          </w:p>
        </w:tc>
        <w:tc>
          <w:tcPr>
            <w:tcW w:w="8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(12,987)</w:t>
            </w:r>
          </w:p>
        </w:tc>
      </w:tr>
      <w:tr>
        <w:trPr>
          <w:trHeight w:val="15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Decrease/(Increase) in vTv Therapeutics Inc. accumulated deficit for purchase of LLC Units as a result of common stock issuances</w:t>
            </w:r>
          </w:p>
        </w:tc>
        <w:tc>
          <w:tcPr>
            <w:tcW w:w="9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(5,084)</w:t>
            </w:r>
          </w:p>
        </w:tc>
      </w:tr>
      <w:tr>
        <w:trPr>
          <w:trHeight w:val="142"/>
        </w:trPr>
        <w:tc>
          <w:tcPr>
            <w:tcW w:w="6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Change from net loss attributable to vTv Therapeutics Inc. common shareholders and transfers to noncontrolling interest</w:t>
            </w:r>
          </w:p>
        </w:tc>
        <w:tc>
          <w:tcPr>
            <w:tcW w:w="92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(20,250)</w:t>
            </w: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(20,225)</w:t>
            </w: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(18,071)</w:t>
            </w:r>
          </w:p>
        </w:tc>
      </w:tr>
      <w:tr>
        <w:trPr>
          <w:trHeight w:val="20"/>
        </w:trPr>
        <w:tc>
          <w:tcPr>
            <w:tcW w:w="6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14: Related-Party Transactions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MacAndrews &amp; Forbes Incorporated</w:t>
      </w:r>
    </w:p>
    <w:p>
      <w:pPr>
        <w:spacing w:after="0" w:line="82" w:lineRule="exact"/>
        <w:rPr>
          <w:sz w:val="20"/>
          <w:szCs w:val="20"/>
          <w:color w:val="auto"/>
        </w:rPr>
      </w:pPr>
    </w:p>
    <w:p>
      <w:pPr>
        <w:ind w:right="20" w:firstLine="324"/>
        <w:spacing w:after="0" w:line="279" w:lineRule="auto"/>
        <w:rPr>
          <w:sz w:val="20"/>
          <w:szCs w:val="20"/>
          <w:color w:val="auto"/>
        </w:rPr>
      </w:pPr>
      <w:r>
        <w:rPr>
          <w:rFonts w:ascii="Times New Roman" w:cs="Times New Roman" w:eastAsia="Times New Roman" w:hAnsi="Times New Roman"/>
          <w:sz w:val="12"/>
          <w:szCs w:val="12"/>
          <w:color w:val="auto"/>
        </w:rPr>
        <w:t>As of December 31, 2023, MacAndrews directly or indirectly controlled 577,108 shares of Class B common stock and directly or indirectly held 912,982 shares of the Company’s Class A common stock. As a result, as of December 31, 2023 MacAndrews’ holdings represented approximately 56.0% of the combined voting power of the Company’s outstanding common stock.</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 has entered into several agreements with MacAndrews or its affiliates as further detailed below:</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Letter Agreements</w:t>
      </w:r>
    </w:p>
    <w:p>
      <w:pPr>
        <w:spacing w:after="0" w:line="80"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2"/>
          <w:szCs w:val="12"/>
          <w:color w:val="auto"/>
        </w:rPr>
        <w:t>The Company had previously entered into the Letter Agreements with MacAndrews. Under the terms of the Letter Agreements, during the one year commitment period beginning on the date of each Letter Agreement, the Company had the right to sell to MacAndrews shares of its Class A common stock at a specified price per share, and MacAndrews had the right (exercisable up to three times) to require the Company to sell to it shares of Class A</w:t>
      </w:r>
    </w:p>
    <w:p>
      <w:pPr>
        <w:spacing w:after="0" w:line="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common stock at the same price. The commitment period of each of the Letter Agreements has now expired. In addition, in connection with and as a commitment fee for the entrance into certain of these Letter Agreements, the Company also issued the Letter Agreement Warrants to purchase additional shares of the Company’s Class A common stock.</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7" w:right="299" w:bottom="1440" w:gutter="0" w:footer="0" w:header="0"/>
        </w:sectPr>
      </w:pPr>
    </w:p>
    <w:bookmarkStart w:id="98" w:name="page99"/>
    <w:bookmarkEnd w:id="98"/>
    <w:p>
      <w:pPr>
        <w:ind w:left="320"/>
        <w:spacing w:after="0"/>
        <w:rPr>
          <w:sz w:val="20"/>
          <w:szCs w:val="20"/>
          <w:color w:val="auto"/>
        </w:rPr>
      </w:pPr>
      <w:r>
        <w:rPr>
          <w:rFonts w:ascii="Times New Roman" w:cs="Times New Roman" w:eastAsia="Times New Roman" w:hAnsi="Times New Roman"/>
          <w:sz w:val="12"/>
          <w:szCs w:val="12"/>
          <w:color w:val="auto"/>
        </w:rPr>
        <w:t>Certain terms of these Letter Agreements are set forth in the tables below:</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5, 2017 Letter</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July 30 11, 2018 Letter Agreement</w:t>
            </w:r>
          </w:p>
        </w:tc>
        <w:tc>
          <w:tcPr>
            <w:tcW w:w="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11, 2018 Letter</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6"/>
              </w:rPr>
              <w:t>March 18, 2019 Letter Agreement</w:t>
            </w:r>
          </w:p>
        </w:tc>
        <w:tc>
          <w:tcPr>
            <w:tcW w:w="80" w:type="dxa"/>
            <w:vAlign w:val="bottom"/>
            <w:vMerge w:val="restart"/>
          </w:tcPr>
          <w:p>
            <w:pPr>
              <w:spacing w:after="0"/>
              <w:rPr>
                <w:sz w:val="10"/>
                <w:szCs w:val="10"/>
                <w:color w:val="auto"/>
              </w:rPr>
            </w:pPr>
          </w:p>
        </w:tc>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w w:val="94"/>
              </w:rPr>
              <w:t>September 26, 2019 Letter Agreement</w:t>
            </w: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December 23, 2019 Letter</w:t>
            </w:r>
          </w:p>
        </w:tc>
        <w:tc>
          <w:tcPr>
            <w:tcW w:w="0" w:type="dxa"/>
            <w:vAlign w:val="bottom"/>
          </w:tcPr>
          <w:p>
            <w:pPr>
              <w:spacing w:after="0"/>
              <w:rPr>
                <w:sz w:val="1"/>
                <w:szCs w:val="1"/>
                <w:color w:val="auto"/>
              </w:rPr>
            </w:pPr>
          </w:p>
        </w:tc>
      </w:tr>
      <w:tr>
        <w:trPr>
          <w:trHeight w:val="129"/>
        </w:trPr>
        <w:tc>
          <w:tcPr>
            <w:tcW w:w="18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0"/>
                <w:szCs w:val="10"/>
                <w:b w:val="1"/>
                <w:bCs w:val="1"/>
                <w:color w:val="auto"/>
              </w:rPr>
              <w:t>Agreement</w:t>
            </w:r>
          </w:p>
        </w:tc>
        <w:tc>
          <w:tcPr>
            <w:tcW w:w="8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Agreement</w:t>
            </w:r>
          </w:p>
        </w:tc>
        <w:tc>
          <w:tcPr>
            <w:tcW w:w="6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58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Agreement</w:t>
            </w:r>
          </w:p>
        </w:tc>
        <w:tc>
          <w:tcPr>
            <w:tcW w:w="0" w:type="dxa"/>
            <w:vAlign w:val="bottom"/>
          </w:tcPr>
          <w:p>
            <w:pPr>
              <w:spacing w:after="0"/>
              <w:rPr>
                <w:sz w:val="1"/>
                <w:szCs w:val="1"/>
                <w:color w:val="auto"/>
              </w:rPr>
            </w:pPr>
          </w:p>
        </w:tc>
      </w:tr>
      <w:tr>
        <w:trPr>
          <w:trHeight w:val="78"/>
        </w:trPr>
        <w:tc>
          <w:tcPr>
            <w:tcW w:w="1860" w:type="dxa"/>
            <w:vAlign w:val="bottom"/>
            <w:shd w:val="clear" w:color="auto" w:fill="CCEEFF"/>
          </w:tcPr>
          <w:p>
            <w:pPr>
              <w:ind w:left="20"/>
              <w:spacing w:after="0" w:line="78" w:lineRule="exact"/>
              <w:rPr>
                <w:sz w:val="20"/>
                <w:szCs w:val="20"/>
                <w:color w:val="auto"/>
              </w:rPr>
            </w:pPr>
            <w:r>
              <w:rPr>
                <w:rFonts w:ascii="Times New Roman" w:cs="Times New Roman" w:eastAsia="Times New Roman" w:hAnsi="Times New Roman"/>
                <w:sz w:val="8"/>
                <w:szCs w:val="8"/>
                <w:color w:val="auto"/>
              </w:rPr>
              <w:t>Aggregate dollar value to be sold under</w:t>
            </w:r>
          </w:p>
        </w:tc>
        <w:tc>
          <w:tcPr>
            <w:tcW w:w="140" w:type="dxa"/>
            <w:vAlign w:val="bottom"/>
            <w:shd w:val="clear" w:color="auto" w:fill="CCEEFF"/>
          </w:tcPr>
          <w:p>
            <w:pPr>
              <w:spacing w:after="0"/>
              <w:rPr>
                <w:sz w:val="6"/>
                <w:szCs w:val="6"/>
                <w:color w:val="auto"/>
              </w:rPr>
            </w:pPr>
          </w:p>
        </w:tc>
        <w:tc>
          <w:tcPr>
            <w:tcW w:w="14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$10.0 million</w:t>
            </w:r>
          </w:p>
        </w:tc>
        <w:tc>
          <w:tcPr>
            <w:tcW w:w="480" w:type="dxa"/>
            <w:vAlign w:val="bottom"/>
            <w:shd w:val="clear" w:color="auto" w:fill="CCEEFF"/>
          </w:tcPr>
          <w:p>
            <w:pPr>
              <w:spacing w:after="0"/>
              <w:rPr>
                <w:sz w:val="6"/>
                <w:szCs w:val="6"/>
                <w:color w:val="auto"/>
              </w:rPr>
            </w:pPr>
          </w:p>
        </w:tc>
        <w:tc>
          <w:tcPr>
            <w:tcW w:w="10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$10.0 million</w:t>
            </w:r>
          </w:p>
        </w:tc>
        <w:tc>
          <w:tcPr>
            <w:tcW w:w="160" w:type="dxa"/>
            <w:vAlign w:val="bottom"/>
            <w:shd w:val="clear" w:color="auto" w:fill="CCEEFF"/>
          </w:tcPr>
          <w:p>
            <w:pPr>
              <w:spacing w:after="0"/>
              <w:rPr>
                <w:sz w:val="6"/>
                <w:szCs w:val="6"/>
                <w:color w:val="auto"/>
              </w:rPr>
            </w:pPr>
          </w:p>
        </w:tc>
        <w:tc>
          <w:tcPr>
            <w:tcW w:w="1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$10.0 million</w:t>
            </w:r>
          </w:p>
        </w:tc>
        <w:tc>
          <w:tcPr>
            <w:tcW w:w="460" w:type="dxa"/>
            <w:vAlign w:val="bottom"/>
            <w:shd w:val="clear" w:color="auto" w:fill="CCEEFF"/>
          </w:tcPr>
          <w:p>
            <w:pPr>
              <w:spacing w:after="0"/>
              <w:rPr>
                <w:sz w:val="6"/>
                <w:szCs w:val="6"/>
                <w:color w:val="auto"/>
              </w:rPr>
            </w:pPr>
          </w:p>
        </w:tc>
        <w:tc>
          <w:tcPr>
            <w:tcW w:w="10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$9.0 million</w:t>
            </w:r>
          </w:p>
        </w:tc>
        <w:tc>
          <w:tcPr>
            <w:tcW w:w="420" w:type="dxa"/>
            <w:vAlign w:val="bottom"/>
            <w:shd w:val="clear" w:color="auto" w:fill="CCEEFF"/>
          </w:tcPr>
          <w:p>
            <w:pPr>
              <w:spacing w:after="0"/>
              <w:rPr>
                <w:sz w:val="6"/>
                <w:szCs w:val="6"/>
                <w:color w:val="auto"/>
              </w:rPr>
            </w:pPr>
          </w:p>
        </w:tc>
        <w:tc>
          <w:tcPr>
            <w:tcW w:w="1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$10.0 million</w:t>
            </w:r>
          </w:p>
        </w:tc>
        <w:tc>
          <w:tcPr>
            <w:tcW w:w="140" w:type="dxa"/>
            <w:vAlign w:val="bottom"/>
            <w:shd w:val="clear" w:color="auto" w:fill="CCEEFF"/>
          </w:tcPr>
          <w:p>
            <w:pPr>
              <w:spacing w:after="0"/>
              <w:rPr>
                <w:sz w:val="6"/>
                <w:szCs w:val="6"/>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 million</w:t>
            </w:r>
          </w:p>
        </w:tc>
        <w:tc>
          <w:tcPr>
            <w:tcW w:w="0" w:type="dxa"/>
            <w:vAlign w:val="bottom"/>
          </w:tcPr>
          <w:p>
            <w:pPr>
              <w:spacing w:after="0"/>
              <w:rPr>
                <w:sz w:val="1"/>
                <w:szCs w:val="1"/>
                <w:color w:val="auto"/>
              </w:rPr>
            </w:pPr>
          </w:p>
        </w:tc>
      </w:tr>
      <w:tr>
        <w:trPr>
          <w:trHeight w:val="131"/>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agreement</w:t>
            </w:r>
          </w:p>
        </w:tc>
        <w:tc>
          <w:tcPr>
            <w:tcW w:w="140" w:type="dxa"/>
            <w:vAlign w:val="bottom"/>
            <w:shd w:val="clear" w:color="auto" w:fill="CCEEFF"/>
          </w:tcPr>
          <w:p>
            <w:pPr>
              <w:spacing w:after="0"/>
              <w:rPr>
                <w:sz w:val="11"/>
                <w:szCs w:val="11"/>
                <w:color w:val="auto"/>
              </w:rPr>
            </w:pPr>
          </w:p>
        </w:tc>
        <w:tc>
          <w:tcPr>
            <w:tcW w:w="1400" w:type="dxa"/>
            <w:vAlign w:val="bottom"/>
            <w:gridSpan w:val="2"/>
            <w:vMerge w:val="continue"/>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4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8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4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Specified purchase price per share</w:t>
            </w: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175.20</w:t>
            </w:r>
          </w:p>
        </w:tc>
        <w:tc>
          <w:tcPr>
            <w:tcW w:w="80" w:type="dxa"/>
            <w:vAlign w:val="bottom"/>
          </w:tcPr>
          <w:p>
            <w:pPr>
              <w:spacing w:after="0"/>
              <w:rPr>
                <w:sz w:val="11"/>
                <w:szCs w:val="11"/>
                <w:color w:val="auto"/>
              </w:rPr>
            </w:pPr>
          </w:p>
        </w:tc>
        <w:tc>
          <w:tcPr>
            <w:tcW w:w="480" w:type="dxa"/>
            <w:vAlign w:val="bottom"/>
          </w:tcPr>
          <w:p>
            <w:pPr>
              <w:jc w:val="right"/>
              <w:ind w:right="372"/>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53.20</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73.60</w:t>
            </w:r>
          </w:p>
        </w:tc>
        <w:tc>
          <w:tcPr>
            <w:tcW w:w="60" w:type="dxa"/>
            <w:vAlign w:val="bottom"/>
          </w:tcPr>
          <w:p>
            <w:pPr>
              <w:spacing w:after="0"/>
              <w:rPr>
                <w:sz w:val="11"/>
                <w:szCs w:val="11"/>
                <w:color w:val="auto"/>
              </w:rPr>
            </w:pPr>
          </w:p>
        </w:tc>
        <w:tc>
          <w:tcPr>
            <w:tcW w:w="460" w:type="dxa"/>
            <w:vAlign w:val="bottom"/>
          </w:tcPr>
          <w:p>
            <w:pPr>
              <w:jc w:val="right"/>
              <w:ind w:right="35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66.00</w:t>
            </w:r>
          </w:p>
        </w:tc>
        <w:tc>
          <w:tcPr>
            <w:tcW w:w="80" w:type="dxa"/>
            <w:vAlign w:val="bottom"/>
          </w:tcPr>
          <w:p>
            <w:pPr>
              <w:spacing w:after="0"/>
              <w:rPr>
                <w:sz w:val="11"/>
                <w:szCs w:val="11"/>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58.40</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64.00</w:t>
            </w:r>
          </w:p>
        </w:tc>
        <w:tc>
          <w:tcPr>
            <w:tcW w:w="0" w:type="dxa"/>
            <w:vAlign w:val="bottom"/>
          </w:tcPr>
          <w:p>
            <w:pPr>
              <w:spacing w:after="0"/>
              <w:rPr>
                <w:sz w:val="1"/>
                <w:szCs w:val="1"/>
                <w:color w:val="auto"/>
              </w:rPr>
            </w:pPr>
          </w:p>
        </w:tc>
      </w:tr>
      <w:tr>
        <w:trPr>
          <w:trHeight w:val="141"/>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Expiration date of letter agreement</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December 5, 2018</w:t>
            </w:r>
          </w:p>
        </w:tc>
        <w:tc>
          <w:tcPr>
            <w:tcW w:w="4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July 30, 2019</w:t>
            </w: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December 11, 2019</w:t>
            </w:r>
          </w:p>
        </w:tc>
        <w:tc>
          <w:tcPr>
            <w:tcW w:w="4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March 18, 2020</w:t>
            </w:r>
          </w:p>
        </w:tc>
        <w:tc>
          <w:tcPr>
            <w:tcW w:w="4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September 26, 2020</w:t>
            </w: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December 23, 2020</w:t>
            </w:r>
          </w:p>
        </w:tc>
        <w:tc>
          <w:tcPr>
            <w:tcW w:w="0" w:type="dxa"/>
            <w:vAlign w:val="bottom"/>
          </w:tcPr>
          <w:p>
            <w:pPr>
              <w:spacing w:after="0"/>
              <w:rPr>
                <w:sz w:val="1"/>
                <w:szCs w:val="1"/>
                <w:color w:val="auto"/>
              </w:rPr>
            </w:pPr>
          </w:p>
        </w:tc>
      </w:tr>
      <w:tr>
        <w:trPr>
          <w:trHeight w:val="94"/>
        </w:trPr>
        <w:tc>
          <w:tcPr>
            <w:tcW w:w="1860" w:type="dxa"/>
            <w:vAlign w:val="bottom"/>
          </w:tcPr>
          <w:p>
            <w:pPr>
              <w:ind w:left="20"/>
              <w:spacing w:after="0" w:line="94" w:lineRule="exact"/>
              <w:rPr>
                <w:sz w:val="20"/>
                <w:szCs w:val="20"/>
                <w:color w:val="auto"/>
              </w:rPr>
            </w:pPr>
            <w:r>
              <w:rPr>
                <w:rFonts w:ascii="Times New Roman" w:cs="Times New Roman" w:eastAsia="Times New Roman" w:hAnsi="Times New Roman"/>
                <w:sz w:val="10"/>
                <w:szCs w:val="10"/>
                <w:color w:val="auto"/>
              </w:rPr>
              <w:t>Shares available to be issued under related</w:t>
            </w:r>
          </w:p>
        </w:tc>
        <w:tc>
          <w:tcPr>
            <w:tcW w:w="140" w:type="dxa"/>
            <w:vAlign w:val="bottom"/>
          </w:tcPr>
          <w:p>
            <w:pPr>
              <w:spacing w:after="0"/>
              <w:rPr>
                <w:sz w:val="8"/>
                <w:szCs w:val="8"/>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4,956</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12,966</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8,513</w:t>
            </w: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spacing w:after="0"/>
              <w:rPr>
                <w:sz w:val="8"/>
                <w:szCs w:val="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10,024</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9,136</w:t>
            </w:r>
          </w:p>
        </w:tc>
        <w:tc>
          <w:tcPr>
            <w:tcW w:w="0" w:type="dxa"/>
            <w:vAlign w:val="bottom"/>
          </w:tcPr>
          <w:p>
            <w:pPr>
              <w:spacing w:after="0"/>
              <w:rPr>
                <w:sz w:val="1"/>
                <w:szCs w:val="1"/>
                <w:color w:val="auto"/>
              </w:rPr>
            </w:pPr>
          </w:p>
        </w:tc>
      </w:tr>
      <w:tr>
        <w:trPr>
          <w:trHeight w:val="127"/>
        </w:trPr>
        <w:tc>
          <w:tcPr>
            <w:tcW w:w="1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warrants</w:t>
            </w:r>
          </w:p>
        </w:tc>
        <w:tc>
          <w:tcPr>
            <w:tcW w:w="1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Exercise price of related warrants</w:t>
            </w: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201.60</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61.20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84.80</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67.20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73.60</w:t>
            </w:r>
          </w:p>
        </w:tc>
        <w:tc>
          <w:tcPr>
            <w:tcW w:w="0" w:type="dxa"/>
            <w:vAlign w:val="bottom"/>
          </w:tcPr>
          <w:p>
            <w:pPr>
              <w:spacing w:after="0"/>
              <w:rPr>
                <w:sz w:val="1"/>
                <w:szCs w:val="1"/>
                <w:color w:val="auto"/>
              </w:rPr>
            </w:pPr>
          </w:p>
        </w:tc>
      </w:tr>
      <w:tr>
        <w:trPr>
          <w:trHeight w:val="129"/>
        </w:trPr>
        <w:tc>
          <w:tcPr>
            <w:tcW w:w="1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Expiration date of related warrants</w:t>
            </w:r>
          </w:p>
        </w:tc>
        <w:tc>
          <w:tcPr>
            <w:tcW w:w="140" w:type="dxa"/>
            <w:vAlign w:val="bottom"/>
          </w:tcPr>
          <w:p>
            <w:pPr>
              <w:spacing w:after="0"/>
              <w:rPr>
                <w:sz w:val="11"/>
                <w:szCs w:val="11"/>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December 5, 2024</w:t>
            </w:r>
          </w:p>
        </w:tc>
        <w:tc>
          <w:tcPr>
            <w:tcW w:w="480" w:type="dxa"/>
            <w:vAlign w:val="bottom"/>
          </w:tcPr>
          <w:p>
            <w:pPr>
              <w:spacing w:after="0"/>
              <w:rPr>
                <w:sz w:val="11"/>
                <w:szCs w:val="11"/>
                <w:color w:val="auto"/>
              </w:rPr>
            </w:pPr>
          </w:p>
        </w:tc>
        <w:tc>
          <w:tcPr>
            <w:tcW w:w="1040" w:type="dxa"/>
            <w:vAlign w:val="bottom"/>
            <w:gridSpan w:val="2"/>
          </w:tcPr>
          <w:p>
            <w:pPr>
              <w:ind w:left="440"/>
              <w:spacing w:after="0"/>
              <w:rPr>
                <w:sz w:val="20"/>
                <w:szCs w:val="20"/>
                <w:color w:val="auto"/>
              </w:rPr>
            </w:pPr>
            <w:r>
              <w:rPr>
                <w:rFonts w:ascii="Times New Roman" w:cs="Times New Roman" w:eastAsia="Times New Roman" w:hAnsi="Times New Roman"/>
                <w:sz w:val="10"/>
                <w:szCs w:val="10"/>
                <w:color w:val="auto"/>
              </w:rPr>
              <w:t>July 30, 2025</w:t>
            </w:r>
          </w:p>
        </w:tc>
        <w:tc>
          <w:tcPr>
            <w:tcW w:w="160" w:type="dxa"/>
            <w:vAlign w:val="bottom"/>
          </w:tcPr>
          <w:p>
            <w:pPr>
              <w:spacing w:after="0"/>
              <w:rPr>
                <w:sz w:val="11"/>
                <w:szCs w:val="11"/>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December 11, 2025</w:t>
            </w: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September 26, 2026</w:t>
            </w:r>
          </w:p>
        </w:tc>
        <w:tc>
          <w:tcPr>
            <w:tcW w:w="14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December 23, 2026</w:t>
            </w:r>
          </w:p>
        </w:tc>
        <w:tc>
          <w:tcPr>
            <w:tcW w:w="0" w:type="dxa"/>
            <w:vAlign w:val="bottom"/>
          </w:tcPr>
          <w:p>
            <w:pPr>
              <w:spacing w:after="0"/>
              <w:rPr>
                <w:sz w:val="1"/>
                <w:szCs w:val="1"/>
                <w:color w:val="auto"/>
              </w:rPr>
            </w:pPr>
          </w:p>
        </w:tc>
      </w:tr>
      <w:tr>
        <w:trPr>
          <w:trHeight w:val="141"/>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Total shares issued as of December 31, 2023</w:t>
            </w: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57,077</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187,969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135,869</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136,363</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171,232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156,250</w:t>
            </w:r>
          </w:p>
        </w:tc>
        <w:tc>
          <w:tcPr>
            <w:tcW w:w="0" w:type="dxa"/>
            <w:vAlign w:val="bottom"/>
          </w:tcPr>
          <w:p>
            <w:pPr>
              <w:spacing w:after="0"/>
              <w:rPr>
                <w:sz w:val="1"/>
                <w:szCs w:val="1"/>
                <w:color w:val="auto"/>
              </w:rPr>
            </w:pPr>
          </w:p>
        </w:tc>
      </w:tr>
      <w:tr>
        <w:trPr>
          <w:trHeight w:val="94"/>
        </w:trPr>
        <w:tc>
          <w:tcPr>
            <w:tcW w:w="1860" w:type="dxa"/>
            <w:vAlign w:val="bottom"/>
          </w:tcPr>
          <w:p>
            <w:pPr>
              <w:ind w:left="20"/>
              <w:spacing w:after="0" w:line="94" w:lineRule="exact"/>
              <w:rPr>
                <w:sz w:val="20"/>
                <w:szCs w:val="20"/>
                <w:color w:val="auto"/>
              </w:rPr>
            </w:pPr>
            <w:r>
              <w:rPr>
                <w:rFonts w:ascii="Times New Roman" w:cs="Times New Roman" w:eastAsia="Times New Roman" w:hAnsi="Times New Roman"/>
                <w:sz w:val="10"/>
                <w:szCs w:val="10"/>
                <w:color w:val="auto"/>
                <w:w w:val="97"/>
              </w:rPr>
              <w:t>Remaining shares to be issued as of December</w:t>
            </w:r>
          </w:p>
        </w:tc>
        <w:tc>
          <w:tcPr>
            <w:tcW w:w="140" w:type="dxa"/>
            <w:vAlign w:val="bottom"/>
          </w:tcPr>
          <w:p>
            <w:pPr>
              <w:spacing w:after="0"/>
              <w:rPr>
                <w:sz w:val="8"/>
                <w:szCs w:val="8"/>
                <w:color w:val="auto"/>
              </w:rPr>
            </w:pPr>
          </w:p>
        </w:tc>
        <w:tc>
          <w:tcPr>
            <w:tcW w:w="1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8"/>
                <w:szCs w:val="8"/>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8"/>
                <w:szCs w:val="8"/>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8"/>
                <w:szCs w:val="8"/>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spacing w:after="0"/>
              <w:rPr>
                <w:sz w:val="8"/>
                <w:szCs w:val="8"/>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1"/>
        </w:trPr>
        <w:tc>
          <w:tcPr>
            <w:tcW w:w="1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31, 2023</w:t>
            </w: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Each of the December 5, 2017 and July 30, 2018 Letter Agreements resulted in a deemed capital contribution to the Company as the fair value of the financial instrument received by the Company exceeded the fair value of those financial instruments issued to MacAndrews. The December 11, 2018, March 18, 2019, September 26, 2019, and December 23, 2019 Letter Agreements resulted in a deemed distribution to MacAndrews as the fair value of the financial instruments issued to MacAndrews exceeded the fair value of the financial instrument received by the Company.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Exchange Agreement</w:t>
      </w:r>
    </w:p>
    <w:p>
      <w:pPr>
        <w:spacing w:after="0" w:line="8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Pursuant to the terms of the Exchange Agreement, but subject to the Amended and Restated LLC Agreement of vTv Therapeutics LLC, the vTv Units (along with a corresponding number of shares of the Class B common stock) are exchangeable for (i) shares of the Company's Class A common stock on a one-for-one basis or (ii) cash (based on the fair market value of the Company’s Class A common stock as determined pursuant to the Exchange Agreement), at the Company’s option (as the managing member of vTv Therapeutics LLC), subject to customary conversion rate adjustments for stock splits, stock dividends and reclassifications. Any decision to require an exchange for cash rather than shares of Class A common stock will ultimately be determined by the entire Board of Directors. As of December 31, 2023, MacAndrews had not exchanged any shares under the provisions of the Exchange Agreement.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Tax Receivable Agreement</w:t>
      </w:r>
    </w:p>
    <w:p>
      <w:pPr>
        <w:spacing w:after="0" w:line="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The Company and MacAndrews are party to a tax receivable agreement (the "Tax Receivable Agreement"), which provides for the payment by the Company, M&amp;F TTP Holdings Two LLC, as successor in interest to vTv Therapeutics Holdings (“M&amp;F”) and M&amp;F TTP Holdings LLC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 As no shares have been exchanged by MacAndrews pursuant to the Exchange Agreement (discussed above), the Company has not recognized any liability nor has it made any payments pursuant to the Tax Receivable Agreement as of December 31, 2023.</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Investor Rights Agreement</w:t>
      </w:r>
    </w:p>
    <w:p>
      <w:pPr>
        <w:spacing w:after="0" w:line="8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 The Investor Rights Agreement was amended on February 27, 2024 to alter M&amp;F</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99" w:name="page100"/>
    <w:bookmarkEnd w:id="99"/>
    <w:p>
      <w:pPr>
        <w:jc w:val="both"/>
        <w:spacing w:after="0" w:line="265" w:lineRule="auto"/>
        <w:rPr>
          <w:sz w:val="20"/>
          <w:szCs w:val="20"/>
          <w:color w:val="auto"/>
        </w:rPr>
      </w:pPr>
      <w:r>
        <w:rPr>
          <w:rFonts w:ascii="Times New Roman" w:cs="Times New Roman" w:eastAsia="Times New Roman" w:hAnsi="Times New Roman"/>
          <w:sz w:val="12"/>
          <w:szCs w:val="12"/>
          <w:color w:val="auto"/>
        </w:rPr>
        <w:t>governance rights that now entitles M&amp;F the right to designate two members of our Board of Directors, and as part of the Private Placement, the Private Placement Investors have rights to designate three members of our Board of Directors, making it more difficult for a third party to acquire control of our Board. The agreement with the Private Placement Investors also provides that five of our directors must approve certain actions including any acquisition by a third party, which makes it more difficult for our Board of Directors to approve such a transaction.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G42 Investments</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On May 31, 2022, the Company entered into a common stock purchase agreement with to G42 Investments pursuant to which the Company sold to G42 Investments 259,657 shares of the Company’s Class A common stock at a price per share of approximately $96.40, for an aggregate purchase price of $25.0 million, which was paid (i) $12.5 million in cash at the closing and (ii) $12.5 million in the form of a promissory note of G42 Investments to be paid on May 31, 2023. As part of the G42 Purchase Agreement, G42 Investments put forward a director as appointee and the Company’s board of directors appointed the new director to the Company’s board on July 11, 2022. On February 28, 2023, the Company and G42 Investments entered into an amendment of the common stock purchase agreement pursuant to which G42 Investments agreed to accelerate payment of the amount due under the G42 Promissory Note. On February 28, 2023, the Company received $12.0 million from G42 Investments, which represented a 3.75% discount to the full amount due under the G42 Promissory Note, in full and final satisfaction of the promissory note, resulting in a loss of $0.3 million and was recognized as a component of other (expense)/income in the Company’s Consolidated Statements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CinRx Pharma, LLC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Master Services Agreement</w:t>
      </w:r>
    </w:p>
    <w:p>
      <w:pPr>
        <w:spacing w:after="0" w:line="8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On July 22, 2022, the Company entered into the CinRx MSA with CinRx. Under the CinRx MSA, CinRx provides the Company with consulting and clinical trial services, as enumerated in project proposals negotiated between the Company and CinRx from time to time. As of October 10, 2022, the Company agreed to pay CinRx fees of up to $0.2 million per month until approximately December 2024 in respect of ongoing agreed project proposals under the CinRx MSA, plus out-of-pocket expenses incurred by CinRx on the Company’s behalf. Dr. Jonathan Isaacsohn, who was appointed as chair of the Company’s board of directors on August 9, 2022, is the President and Chief Executive Officer of CinRx. CinPax, a subsidiary of CinRx, currently holds 103,864 shares of the Company’s Class A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15: Employee Benefit Plan</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Company has a 401(k)-retirement plan in which all of its full-time employees are eligible to participate. The plan provides for the Company to make discretionary 50% matching contributions up to a maximum of 6% of employees’ eligible compensation. The Company contributed $0.1 million to the plan for each of the years ended December 31, 2023 and 2021.</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 contributed a de minimis amount to the plan for the year ended December 31, 2022.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16: Income Taxes</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Company is subject to U.S. federal income taxes as well as state taxes. The Company did not record an income tax provision for the year ended December 31, 2023. The Company's income tax provision for the year ended December 31, 2022 and 2021 was $0.2 million and $0.1 million, respectively, representing foreign withholding taxes incurred in connection with payments received under license agreements with foreign entities.</w:t>
      </w:r>
    </w:p>
    <w:p>
      <w:pPr>
        <w:spacing w:after="0" w:line="3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2"/>
          <w:szCs w:val="12"/>
          <w:color w:val="auto"/>
        </w:rPr>
        <w:t>Management has evaluated the positive and negative evidence surrounding the realization of its deferred tax assets, including the Company’s history of losses, and under the applicable accounting standards determined that it is more likely than not that the deferred tax assets will not be realized. The difference between the effective tax rate of the Company and the U.S. statutory tax rate of 21% on December 31, 2023 is due to the valuation allowance against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expected net operating losses</w:t>
      </w:r>
      <w:r>
        <w:rPr>
          <w:rFonts w:ascii="Arial" w:cs="Arial" w:eastAsia="Arial" w:hAnsi="Arial"/>
          <w:sz w:val="14"/>
          <w:szCs w:val="14"/>
          <w:color w:val="auto"/>
        </w:rPr>
        <w:t>.</w:t>
      </w:r>
    </w:p>
    <w:p>
      <w:pPr>
        <w:spacing w:after="0" w:line="7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 discussed in Note 14,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December 31, 2023.</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In August 2022, the Inflation Reduction Act (“IRA”) and CHIPS and Science Act (“CHIPS Act”) were both enacted. This new legislation includes the implementation of a new corporate alternative minimum tax, an excise tax 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stock</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100" w:name="page101"/>
    <w:bookmarkEnd w:id="100"/>
    <w:p>
      <w:pPr>
        <w:jc w:val="both"/>
        <w:spacing w:after="0" w:line="279" w:lineRule="auto"/>
        <w:rPr>
          <w:sz w:val="20"/>
          <w:szCs w:val="20"/>
          <w:color w:val="auto"/>
        </w:rPr>
      </w:pPr>
      <w:r>
        <w:rPr>
          <w:rFonts w:ascii="Times New Roman" w:cs="Times New Roman" w:eastAsia="Times New Roman" w:hAnsi="Times New Roman"/>
          <w:sz w:val="12"/>
          <w:szCs w:val="12"/>
          <w:color w:val="auto"/>
        </w:rPr>
        <w:t>buybacks, and tax incentives for energy and climate initiatives, among other provisions. The income tax provisions of the IRA or the CHIPS Act had limited applicability to the Company and did not have a material impact on the Company’s consolidated financial statements.</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 reconciliation of the U.S. statutory income tax rate to the Company’s effective tax rate is as follows (in thousands):</w:t>
      </w:r>
    </w:p>
    <w:p>
      <w:pPr>
        <w:spacing w:after="0" w:line="99" w:lineRule="exact"/>
        <w:rPr>
          <w:sz w:val="20"/>
          <w:szCs w:val="20"/>
          <w:color w:val="auto"/>
        </w:rPr>
      </w:pPr>
    </w:p>
    <w:tbl>
      <w:tblPr>
        <w:tblLayout w:type="fixed"/>
        <w:tblInd w:w="100" w:type="dxa"/>
        <w:tblCellMar>
          <w:top w:w="0" w:type="dxa"/>
          <w:left w:w="0" w:type="dxa"/>
          <w:bottom w:w="0" w:type="dxa"/>
          <w:right w:w="0" w:type="dxa"/>
        </w:tblCellMar>
      </w:tblPr>
      <w:tr>
        <w:trPr>
          <w:trHeight w:val="134"/>
        </w:trPr>
        <w:tc>
          <w:tcPr>
            <w:tcW w:w="634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28"/>
        </w:trPr>
        <w:tc>
          <w:tcPr>
            <w:tcW w:w="634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0"/>
                <w:szCs w:val="10"/>
                <w:b w:val="1"/>
                <w:bCs w:val="1"/>
                <w:color w:val="auto"/>
              </w:rPr>
              <w:t>2023</w:t>
            </w: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0"/>
                <w:szCs w:val="10"/>
                <w:b w:val="1"/>
                <w:bCs w:val="1"/>
                <w:color w:val="auto"/>
              </w:rPr>
              <w:t>2022</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47"/>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U.S. statutory tax benefit</w:t>
            </w:r>
          </w:p>
        </w:tc>
        <w:tc>
          <w:tcPr>
            <w:tcW w:w="96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(5,453)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w w:val="97"/>
              </w:rPr>
              <w:t>(5,223)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(3,699)</w:t>
            </w:r>
          </w:p>
        </w:tc>
      </w:tr>
      <w:tr>
        <w:trPr>
          <w:trHeight w:val="153"/>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auto"/>
              </w:rPr>
              <w:t>Partnership income (federal) not subject to tax to the Company</w:t>
            </w:r>
          </w:p>
        </w:tc>
        <w:tc>
          <w:tcPr>
            <w:tcW w:w="960" w:type="dxa"/>
            <w:vAlign w:val="bottom"/>
          </w:tcPr>
          <w:p>
            <w:pPr>
              <w:spacing w:after="0"/>
              <w:rPr>
                <w:sz w:val="13"/>
                <w:szCs w:val="13"/>
                <w:color w:val="auto"/>
              </w:rPr>
            </w:pP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1,200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1,241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996</w:t>
            </w:r>
          </w:p>
        </w:tc>
      </w:tr>
      <w:tr>
        <w:trPr>
          <w:trHeight w:val="153"/>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withholding tax</w:t>
            </w:r>
          </w:p>
        </w:tc>
        <w:tc>
          <w:tcPr>
            <w:tcW w:w="9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158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91</w:t>
            </w:r>
          </w:p>
        </w:tc>
      </w:tr>
      <w:tr>
        <w:trPr>
          <w:trHeight w:val="153"/>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auto"/>
              </w:rPr>
              <w:t>State taxes (net of federal benefit)</w:t>
            </w:r>
          </w:p>
        </w:tc>
        <w:tc>
          <w:tcPr>
            <w:tcW w:w="960" w:type="dxa"/>
            <w:vAlign w:val="bottom"/>
          </w:tcPr>
          <w:p>
            <w:pPr>
              <w:spacing w:after="0"/>
              <w:rPr>
                <w:sz w:val="13"/>
                <w:szCs w:val="13"/>
                <w:color w:val="auto"/>
              </w:rPr>
            </w:pP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(14)</w:t>
            </w:r>
          </w:p>
        </w:tc>
      </w:tr>
      <w:tr>
        <w:trPr>
          <w:trHeight w:val="153"/>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 tax credit</w:t>
            </w:r>
          </w:p>
        </w:tc>
        <w:tc>
          <w:tcPr>
            <w:tcW w:w="9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(273)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(172)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(173)</w:t>
            </w:r>
          </w:p>
        </w:tc>
      </w:tr>
      <w:tr>
        <w:trPr>
          <w:trHeight w:val="153"/>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960" w:type="dxa"/>
            <w:vAlign w:val="bottom"/>
          </w:tcPr>
          <w:p>
            <w:pPr>
              <w:spacing w:after="0"/>
              <w:rPr>
                <w:sz w:val="13"/>
                <w:szCs w:val="13"/>
                <w:color w:val="auto"/>
              </w:rPr>
            </w:pP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10</w:t>
            </w:r>
          </w:p>
        </w:tc>
      </w:tr>
      <w:tr>
        <w:trPr>
          <w:trHeight w:val="153"/>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valuation allowance</w:t>
            </w:r>
          </w:p>
        </w:tc>
        <w:tc>
          <w:tcPr>
            <w:tcW w:w="9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4,592</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4,128</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2,904</w:t>
            </w:r>
          </w:p>
        </w:tc>
      </w:tr>
      <w:tr>
        <w:trPr>
          <w:trHeight w:val="158"/>
        </w:trPr>
        <w:tc>
          <w:tcPr>
            <w:tcW w:w="63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960" w:type="dxa"/>
            <w:vAlign w:val="bottom"/>
            <w:tcBorders>
              <w:bottom w:val="single" w:sz="8" w:color="auto"/>
            </w:tcBorders>
          </w:tcPr>
          <w:p>
            <w:pPr>
              <w:jc w:val="right"/>
              <w:ind w:right="824"/>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color w:val="auto"/>
              </w:rPr>
              <w:t>200</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2"/>
                <w:szCs w:val="12"/>
                <w:color w:val="auto"/>
              </w:rPr>
              <w:t>115</w:t>
            </w:r>
          </w:p>
        </w:tc>
      </w:tr>
      <w:tr>
        <w:trPr>
          <w:trHeight w:val="153"/>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Effective income tax rate</w:t>
            </w:r>
          </w:p>
        </w:tc>
        <w:tc>
          <w:tcPr>
            <w:tcW w:w="9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0.0 %</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r>
      <w:tr>
        <w:trPr>
          <w:trHeight w:val="279"/>
        </w:trPr>
        <w:tc>
          <w:tcPr>
            <w:tcW w:w="63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Significant components of our net deferred tax assets/(liabilities) are as follows (in thousands):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7"/>
        </w:trPr>
        <w:tc>
          <w:tcPr>
            <w:tcW w:w="6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jc w:val="center"/>
              <w:ind w:left="81"/>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1040" w:type="dxa"/>
            <w:vAlign w:val="bottom"/>
            <w:tcBorders>
              <w:bottom w:val="single" w:sz="8" w:color="auto"/>
            </w:tcBorders>
          </w:tcPr>
          <w:p>
            <w:pPr>
              <w:spacing w:after="0"/>
              <w:rPr>
                <w:sz w:val="18"/>
                <w:szCs w:val="18"/>
                <w:color w:val="auto"/>
              </w:rPr>
            </w:pPr>
          </w:p>
        </w:tc>
      </w:tr>
      <w:tr>
        <w:trPr>
          <w:trHeight w:val="128"/>
        </w:trPr>
        <w:tc>
          <w:tcPr>
            <w:tcW w:w="634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0"/>
                <w:szCs w:val="10"/>
                <w:b w:val="1"/>
                <w:bCs w:val="1"/>
                <w:color w:val="auto"/>
              </w:rPr>
              <w:t>2023</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38"/>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assets:</w:t>
            </w:r>
          </w:p>
        </w:tc>
        <w:tc>
          <w:tcPr>
            <w:tcW w:w="9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53"/>
        </w:trPr>
        <w:tc>
          <w:tcPr>
            <w:tcW w:w="6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operating loss carryforwards</w:t>
            </w: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79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23,718</w:t>
            </w:r>
          </w:p>
        </w:tc>
        <w:tc>
          <w:tcPr>
            <w:tcW w:w="500" w:type="dxa"/>
            <w:vAlign w:val="bottom"/>
            <w:gridSpan w:val="2"/>
          </w:tcPr>
          <w:p>
            <w:pPr>
              <w:jc w:val="right"/>
              <w:ind w:right="306"/>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20,314</w:t>
            </w:r>
          </w:p>
        </w:tc>
      </w:tr>
      <w:tr>
        <w:trPr>
          <w:trHeight w:val="153"/>
        </w:trPr>
        <w:tc>
          <w:tcPr>
            <w:tcW w:w="6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R&amp;D Tax Credit carryforwards</w:t>
            </w:r>
          </w:p>
        </w:tc>
        <w:tc>
          <w:tcPr>
            <w:tcW w:w="9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2,215</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1,931</w:t>
            </w:r>
          </w:p>
        </w:tc>
      </w:tr>
      <w:tr>
        <w:trPr>
          <w:trHeight w:val="153"/>
        </w:trPr>
        <w:tc>
          <w:tcPr>
            <w:tcW w:w="6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Investment in partnerships</w:t>
            </w: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2,726</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2,202</w:t>
            </w:r>
          </w:p>
        </w:tc>
      </w:tr>
      <w:tr>
        <w:trPr>
          <w:trHeight w:val="153"/>
        </w:trPr>
        <w:tc>
          <w:tcPr>
            <w:tcW w:w="6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Charitable contributions</w:t>
            </w:r>
          </w:p>
        </w:tc>
        <w:tc>
          <w:tcPr>
            <w:tcW w:w="9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w:t>
            </w:r>
          </w:p>
        </w:tc>
      </w:tr>
      <w:tr>
        <w:trPr>
          <w:trHeight w:val="153"/>
        </w:trPr>
        <w:tc>
          <w:tcPr>
            <w:tcW w:w="63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Capital loss carryforward</w:t>
            </w:r>
          </w:p>
        </w:tc>
        <w:tc>
          <w:tcPr>
            <w:tcW w:w="96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380</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6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Total deferred tax assets</w:t>
            </w:r>
          </w:p>
        </w:tc>
        <w:tc>
          <w:tcPr>
            <w:tcW w:w="9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29,042</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24,450</w:t>
            </w:r>
          </w:p>
        </w:tc>
      </w:tr>
      <w:tr>
        <w:trPr>
          <w:trHeight w:val="153"/>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Valuation allowance</w:t>
            </w:r>
          </w:p>
        </w:tc>
        <w:tc>
          <w:tcPr>
            <w:tcW w:w="96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(29,042)</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(24,450)</w:t>
            </w:r>
          </w:p>
        </w:tc>
      </w:tr>
      <w:tr>
        <w:trPr>
          <w:trHeight w:val="158"/>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deferred tax assets</w:t>
            </w:r>
          </w:p>
        </w:tc>
        <w:tc>
          <w:tcPr>
            <w:tcW w:w="9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bl>
    <w:p>
      <w:pPr>
        <w:spacing w:after="0" w:line="11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Company assesses the available positive evidence and negative evidence to estimate whether sufficient future taxable income will be generated to permit use of existing deferred tax assets. A significant piece of objective negative evidence evaluated was the Company’s recent operating losses. Such objective evidence limits the ability to consider other subjective evidence, such as forecasts of profitability. Based on the weight of objective evidence, including cumulative pre-tax losses in recent years, the Company concluded that its deferred tax assets were not realizable on a more-likely-than-not basis and recorded a full valuation allowance. During the year ended December 31, 2023, the Company’s valuation allowance increased by $4.6 million.</w:t>
      </w:r>
    </w:p>
    <w:p>
      <w:pPr>
        <w:spacing w:after="0" w:line="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has federal net operating loss carryforwards of $109.5 million that will be available to offset future taxable income. Approximately, $38.8 million of these carryforwards expire in varying amounts starting in 2035 to 2037, if not utilized and are available to offset 100% of future taxable income. The remaining $70.7 million may be carried forward indefinitely but are only available to offset 80% of future taxable income. The Company has federal research and development tax credits of $2.2 million which expire in varying amounts starting in 2035 to 2043. The Company has federal capital loss carryforwards of $1.8 million which expire in 2028.</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applies applicable authoritative guidance which prescribes a comprehensive model for the manner in which a company should recognize, measure, present and disclose in its consolidated financial statements all material uncertain tax positions that the Company has taken or expects to take on a tax return. As of December 31, 2023, the Company had no uncertain tax positions. There are no uncertain tax positions for which it is reasonably possible that the total amount of unrecognized tax benefits will significantly increase or decrease within twelve months of December 31, 2023.</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 files U.S. federal, New York, North Carolina and Virginia tax returns. The earliest open tax years that are still subject to examination by the IRS and the aforementioned state tax authorities are 2019 to 2023.</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2"/>
          <w:szCs w:val="12"/>
          <w:b w:val="1"/>
          <w:bCs w:val="1"/>
          <w:color w:val="auto"/>
        </w:rPr>
        <w:t>Note 17: Restructuring</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In October 2021 the Company entered into a retirement and consulting agreement with its former CEO Stephen Holcombe where he will transition to the role of Strategic Advisor to the CEO until December 31, 2022. As of December 31, 2022, the Company completed its cash payment obligations under the retirement and consulting agreement for Mr. Holcombe. The Company made cash payments under the retirement and consulting agreement of $0.6 million and $0.1 million during the year ended December 31, 2022 and 2021, respectively. In addition, the Company recorded $0.5 million and $0.2 million in severance and consulting fees respectively during the year ended December 31, 2021, on the Company’s Consolidated Statements of Operations.</w:t>
      </w:r>
    </w:p>
    <w:p>
      <w:pPr>
        <w:spacing w:after="0" w:line="4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2"/>
          <w:szCs w:val="12"/>
          <w:color w:val="auto"/>
        </w:rPr>
        <w:t xml:space="preserve">In December 2021, the Company announced a strategic decision to prioritize the development of its lead program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a novel, oral, liver-selective glucokinase activator. This decision included a reduction in the Company’s workforce affecting approximately 65% of its employees, and as a result the Company recognized severance and benefits costs of $1.6 million on the Consolidated Statement of Operations during the year ended December 31, 2021. The related expense of $0.7 million and $0.9 million has been recognized as a component of research and development and general and administrative expense respectively, within the Consolidated Statements of Operations during the year ended December 31, 2021, based on the responsibilities of the impacted employees. The Company completed its cash payment obligations and made cash payments for severance and benefits costs of $1.5 million and $0.1 million during the year ended December 31, 2022 and 2021,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18: Net Loss per Share</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Basic loss per share is computed by dividing net loss attributable to vTv Therapeutics Inc. by the weighted 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 reconciliation of the numerator and denominator used in the calculation of basic and diluted net loss per share of Class A common stock is as follows (amounts in thousands, except per share amounts):</w:t>
      </w:r>
    </w:p>
    <w:p>
      <w:pPr>
        <w:spacing w:after="0" w:line="99" w:lineRule="exact"/>
        <w:rPr>
          <w:sz w:val="20"/>
          <w:szCs w:val="20"/>
          <w:color w:val="auto"/>
        </w:rPr>
      </w:pPr>
    </w:p>
    <w:tbl>
      <w:tblPr>
        <w:tblLayout w:type="fixed"/>
        <w:tblInd w:w="100" w:type="dxa"/>
        <w:tblCellMar>
          <w:top w:w="0" w:type="dxa"/>
          <w:left w:w="0" w:type="dxa"/>
          <w:bottom w:w="0" w:type="dxa"/>
          <w:right w:w="0" w:type="dxa"/>
        </w:tblCellMar>
      </w:tblPr>
      <w:tr>
        <w:trPr>
          <w:trHeight w:val="134"/>
        </w:trPr>
        <w:tc>
          <w:tcPr>
            <w:tcW w:w="65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128"/>
        </w:trPr>
        <w:tc>
          <w:tcPr>
            <w:tcW w:w="656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2023</w:t>
            </w: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38"/>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Numerator:</w:t>
            </w:r>
          </w:p>
        </w:tc>
        <w:tc>
          <w:tcPr>
            <w:tcW w:w="9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53"/>
        </w:trPr>
        <w:tc>
          <w:tcPr>
            <w:tcW w:w="6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Net loss</w:t>
            </w:r>
          </w:p>
        </w:tc>
        <w:tc>
          <w:tcPr>
            <w:tcW w:w="900" w:type="dxa"/>
            <w:vAlign w:val="bottom"/>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(25,966)</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(25,073)</w:t>
            </w:r>
          </w:p>
        </w:tc>
        <w:tc>
          <w:tcPr>
            <w:tcW w:w="8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(17,731)</w:t>
            </w:r>
          </w:p>
        </w:tc>
      </w:tr>
      <w:tr>
        <w:trPr>
          <w:trHeight w:val="153"/>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Less: Net loss attributable to noncontrolling interests</w:t>
            </w:r>
          </w:p>
        </w:tc>
        <w:tc>
          <w:tcPr>
            <w:tcW w:w="9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(5,716)</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(5,909)</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(4,744)</w:t>
            </w:r>
          </w:p>
        </w:tc>
      </w:tr>
      <w:tr>
        <w:trPr>
          <w:trHeight w:val="142"/>
        </w:trPr>
        <w:tc>
          <w:tcPr>
            <w:tcW w:w="65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Net loss attributable to vTv Therapeutics Inc.</w:t>
            </w:r>
          </w:p>
        </w:tc>
        <w:tc>
          <w:tcPr>
            <w:tcW w:w="9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(20,250)</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(19,164)</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(12,987)</w:t>
            </w:r>
          </w:p>
        </w:tc>
      </w:tr>
      <w:tr>
        <w:trPr>
          <w:trHeight w:val="142"/>
        </w:trPr>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Net loss attributable to common shareholders of vTv Therapeutics Inc., basic and diluted</w:t>
            </w:r>
          </w:p>
        </w:tc>
        <w:tc>
          <w:tcPr>
            <w:tcW w:w="90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(20,250)</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(19,164)</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(12,987)</w:t>
            </w:r>
          </w:p>
        </w:tc>
      </w:tr>
      <w:tr>
        <w:trPr>
          <w:trHeight w:val="133"/>
        </w:trPr>
        <w:tc>
          <w:tcPr>
            <w:tcW w:w="6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Denominator:</w:t>
            </w: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53"/>
        </w:trPr>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Weighted average vTv Therapeutics Inc. Class A common stock, basic and diluted (*)</w:t>
            </w:r>
          </w:p>
        </w:tc>
        <w:tc>
          <w:tcPr>
            <w:tcW w:w="9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2,084,973</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1,919,788</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1,566,204</w:t>
            </w:r>
          </w:p>
        </w:tc>
      </w:tr>
      <w:tr>
        <w:trPr>
          <w:trHeight w:val="158"/>
        </w:trPr>
        <w:tc>
          <w:tcPr>
            <w:tcW w:w="65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Net loss per share of vTv Therapeutics Inc. Class A common stock, basic and diluted (*)</w:t>
            </w:r>
          </w:p>
        </w:tc>
        <w:tc>
          <w:tcPr>
            <w:tcW w:w="90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(9.71)</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(9.98)</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(8.29)</w:t>
            </w:r>
          </w:p>
        </w:tc>
      </w:tr>
      <w:tr>
        <w:trPr>
          <w:trHeight w:val="135"/>
        </w:trPr>
        <w:tc>
          <w:tcPr>
            <w:tcW w:w="6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 Adjusted retroactively for reverse stock split, see Note 1</w:t>
            </w:r>
          </w:p>
        </w:tc>
        <w:tc>
          <w:tcPr>
            <w:tcW w:w="9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bl>
    <w:p>
      <w:pPr>
        <w:spacing w:after="0" w:line="124" w:lineRule="exact"/>
        <w:rPr>
          <w:sz w:val="20"/>
          <w:szCs w:val="20"/>
          <w:color w:val="auto"/>
        </w:rPr>
      </w:pPr>
    </w:p>
    <w:p>
      <w:pPr>
        <w:sectPr>
          <w:pgSz w:w="11900" w:h="16838" w:orient="portrait"/>
          <w:cols w:equalWidth="0" w:num="1">
            <w:col w:w="11300"/>
          </w:cols>
          <w:pgMar w:left="300" w:top="935" w:right="299" w:bottom="1440" w:gutter="0" w:footer="0" w:header="0"/>
        </w:sectPr>
      </w:pPr>
    </w:p>
    <w:p>
      <w:pPr>
        <w:ind w:left="320"/>
        <w:spacing w:after="0"/>
        <w:rPr>
          <w:sz w:val="20"/>
          <w:szCs w:val="20"/>
          <w:color w:val="auto"/>
        </w:rPr>
      </w:pPr>
      <w:r>
        <w:rPr>
          <w:rFonts w:ascii="Times New Roman" w:cs="Times New Roman" w:eastAsia="Times New Roman" w:hAnsi="Times New Roman"/>
          <w:sz w:val="11"/>
          <w:szCs w:val="11"/>
          <w:color w:val="auto"/>
        </w:rPr>
        <w:t>Potentially dilutive securities not included in the calculation of dilutive net loss per share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252095</wp:posOffset>
            </wp:positionV>
            <wp:extent cx="7046595" cy="1028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7046595" cy="102870"/>
                    </a:xfrm>
                    <a:prstGeom prst="rect">
                      <a:avLst/>
                    </a:prstGeom>
                    <a:noFill/>
                  </pic:spPr>
                </pic:pic>
              </a:graphicData>
            </a:graphic>
          </wp:anchor>
        </w:drawing>
      </w:r>
    </w:p>
    <w:p>
      <w:pPr>
        <w:spacing w:after="0" w:line="3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 xml:space="preserve">Class B common stock </w:t>
      </w:r>
      <w:r>
        <w:rPr>
          <w:rFonts w:ascii="Times New Roman" w:cs="Times New Roman" w:eastAsia="Times New Roman" w:hAnsi="Times New Roman"/>
          <w:sz w:val="15"/>
          <w:szCs w:val="15"/>
          <w:color w:val="auto"/>
          <w:vertAlign w:val="superscript"/>
        </w:rPr>
        <w:t>(1) (*)</w:t>
      </w:r>
    </w:p>
    <w:p>
      <w:pPr>
        <w:ind w:left="100"/>
        <w:spacing w:after="0"/>
        <w:rPr>
          <w:sz w:val="20"/>
          <w:szCs w:val="20"/>
          <w:color w:val="auto"/>
        </w:rPr>
      </w:pPr>
      <w:r>
        <w:rPr>
          <w:rFonts w:ascii="Times New Roman" w:cs="Times New Roman" w:eastAsia="Times New Roman" w:hAnsi="Times New Roman"/>
          <w:sz w:val="12"/>
          <w:szCs w:val="12"/>
          <w:color w:val="auto"/>
        </w:rPr>
        <w:t>Common stock options granted under the Plan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3175</wp:posOffset>
            </wp:positionV>
            <wp:extent cx="7046595" cy="971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7046595" cy="971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2"/>
          <w:szCs w:val="12"/>
          <w:color w:val="auto"/>
        </w:rPr>
        <w:t>Common stock warrants (*)</w:t>
      </w:r>
    </w:p>
    <w:p>
      <w:pPr>
        <w:spacing w:after="0" w:line="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Total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10795</wp:posOffset>
            </wp:positionV>
            <wp:extent cx="7046595" cy="971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7046595" cy="97155"/>
                    </a:xfrm>
                    <a:prstGeom prst="rect">
                      <a:avLst/>
                    </a:prstGeom>
                    <a:noFill/>
                  </pic:spPr>
                </pic:pic>
              </a:graphicData>
            </a:graphic>
          </wp:anchor>
        </w:drawing>
      </w:r>
    </w:p>
    <w:p>
      <w:pPr>
        <w:ind w:left="280" w:hanging="173"/>
        <w:spacing w:after="0"/>
        <w:tabs>
          <w:tab w:leader="none" w:pos="28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retroactively for reverse stock split, see Note 1</w:t>
      </w:r>
    </w:p>
    <w:p>
      <w:pPr>
        <w:spacing w:after="0" w:line="130"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________________________________________________</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0"/>
          <w:szCs w:val="10"/>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92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2023</w:t>
            </w:r>
          </w:p>
        </w:tc>
        <w:tc>
          <w:tcPr>
            <w:tcW w:w="154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2022</w:t>
            </w: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45"/>
        </w:trPr>
        <w:tc>
          <w:tcPr>
            <w:tcW w:w="9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577,349</w:t>
            </w: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577,349</w:t>
            </w:r>
          </w:p>
        </w:tc>
        <w:tc>
          <w:tcPr>
            <w:tcW w:w="80" w:type="dxa"/>
            <w:vAlign w:val="bottom"/>
          </w:tcPr>
          <w:p>
            <w:pPr>
              <w:spacing w:after="0"/>
              <w:rPr>
                <w:sz w:val="12"/>
                <w:szCs w:val="12"/>
                <w:color w:val="auto"/>
              </w:rPr>
            </w:pPr>
          </w:p>
        </w:tc>
        <w:tc>
          <w:tcPr>
            <w:tcW w:w="14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577,349</w:t>
            </w:r>
          </w:p>
        </w:tc>
      </w:tr>
      <w:tr>
        <w:trPr>
          <w:trHeight w:val="153"/>
        </w:trPr>
        <w:tc>
          <w:tcPr>
            <w:tcW w:w="920" w:type="dxa"/>
            <w:vAlign w:val="bottom"/>
          </w:tcPr>
          <w:p>
            <w:pPr>
              <w:spacing w:after="0"/>
              <w:rPr>
                <w:sz w:val="13"/>
                <w:szCs w:val="13"/>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249,247</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208,586</w:t>
            </w:r>
          </w:p>
        </w:tc>
        <w:tc>
          <w:tcPr>
            <w:tcW w:w="80" w:type="dxa"/>
            <w:vAlign w:val="bottom"/>
          </w:tcPr>
          <w:p>
            <w:pPr>
              <w:spacing w:after="0"/>
              <w:rPr>
                <w:sz w:val="13"/>
                <w:szCs w:val="13"/>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176,375</w:t>
            </w:r>
          </w:p>
        </w:tc>
      </w:tr>
      <w:tr>
        <w:trPr>
          <w:trHeight w:val="155"/>
        </w:trPr>
        <w:tc>
          <w:tcPr>
            <w:tcW w:w="9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76,545</w:t>
            </w:r>
          </w:p>
        </w:tc>
        <w:tc>
          <w:tcPr>
            <w:tcW w:w="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80,359</w:t>
            </w:r>
          </w:p>
        </w:tc>
        <w:tc>
          <w:tcPr>
            <w:tcW w:w="80" w:type="dxa"/>
            <w:vAlign w:val="bottom"/>
          </w:tcPr>
          <w:p>
            <w:pPr>
              <w:spacing w:after="0"/>
              <w:rPr>
                <w:sz w:val="13"/>
                <w:szCs w:val="13"/>
                <w:color w:val="auto"/>
              </w:rPr>
            </w:pPr>
          </w:p>
        </w:tc>
        <w:tc>
          <w:tcPr>
            <w:tcW w:w="14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50,359</w:t>
            </w:r>
          </w:p>
        </w:tc>
      </w:tr>
      <w:tr>
        <w:trPr>
          <w:trHeight w:val="142"/>
        </w:trPr>
        <w:tc>
          <w:tcPr>
            <w:tcW w:w="9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903,141</w:t>
            </w:r>
          </w:p>
        </w:tc>
        <w:tc>
          <w:tcPr>
            <w:tcW w:w="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866,294</w:t>
            </w:r>
          </w:p>
        </w:tc>
        <w:tc>
          <w:tcPr>
            <w:tcW w:w="80" w:type="dxa"/>
            <w:vAlign w:val="bottom"/>
          </w:tcPr>
          <w:p>
            <w:pPr>
              <w:spacing w:after="0"/>
              <w:rPr>
                <w:sz w:val="12"/>
                <w:szCs w:val="12"/>
                <w:color w:val="auto"/>
              </w:rPr>
            </w:pPr>
          </w:p>
        </w:tc>
        <w:tc>
          <w:tcPr>
            <w:tcW w:w="14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804,083</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588" w:lineRule="exact"/>
        <w:rPr>
          <w:sz w:val="20"/>
          <w:szCs w:val="20"/>
          <w:color w:val="auto"/>
        </w:rPr>
      </w:pPr>
    </w:p>
    <w:p>
      <w:pPr>
        <w:sectPr>
          <w:pgSz w:w="11900" w:h="16838" w:orient="portrait"/>
          <w:cols w:equalWidth="0" w:num="2">
            <w:col w:w="5940" w:space="720"/>
            <w:col w:w="4640"/>
          </w:cols>
          <w:pgMar w:left="300" w:top="935" w:right="299" w:bottom="1440" w:gutter="0" w:footer="0" w:header="0"/>
          <w:type w:val="continuous"/>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35" w:right="299" w:bottom="1440" w:gutter="0" w:footer="0" w:header="0"/>
          <w:type w:val="continuous"/>
        </w:sectPr>
      </w:pPr>
    </w:p>
    <w:bookmarkStart w:id="102" w:name="page103"/>
    <w:bookmarkEnd w:id="102"/>
    <w:p>
      <w:pPr>
        <w:ind w:left="640" w:hanging="324"/>
        <w:spacing w:after="0" w:line="279" w:lineRule="auto"/>
        <w:tabs>
          <w:tab w:leader="none" w:pos="636"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19: Fair Value of Financial Instruments</w:t>
      </w:r>
    </w:p>
    <w:p>
      <w:pPr>
        <w:spacing w:after="0" w:line="82"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The carrying amount of certain of the Company’s financial instruments, including cash and cash equivalents, net accounts receivable, note receivable, accounts payable and other accrued liabilities approximate fair value due to their short-term nature.</w:t>
      </w:r>
    </w:p>
    <w:p>
      <w:pPr>
        <w:spacing w:after="0" w:line="39" w:lineRule="exact"/>
        <w:rPr>
          <w:sz w:val="20"/>
          <w:szCs w:val="20"/>
          <w:color w:val="auto"/>
        </w:rPr>
      </w:pPr>
    </w:p>
    <w:p>
      <w:pPr>
        <w:ind w:right="20" w:firstLine="324"/>
        <w:spacing w:after="0" w:line="279" w:lineRule="auto"/>
        <w:rPr>
          <w:sz w:val="20"/>
          <w:szCs w:val="20"/>
          <w:color w:val="auto"/>
        </w:rPr>
      </w:pPr>
      <w:r>
        <w:rPr>
          <w:rFonts w:ascii="Times New Roman" w:cs="Times New Roman" w:eastAsia="Times New Roman" w:hAnsi="Times New Roman"/>
          <w:sz w:val="12"/>
          <w:szCs w:val="12"/>
          <w:color w:val="auto"/>
        </w:rPr>
        <w:t>The Company measures the value of its equity investments without readily determinable fair values at cost minus impairment, if any, plus or minus changes resulting from observable price changes in orderly transactions for the identical or similar investment.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Assets and Liabilities Measured at Fair Value on a Recurring Basis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 evaluates its financial assets and liabilities subject to fair value measurements on a recurring basis to determine the appropriate level in which to classify them for each reporting period. This determination requires</w:t>
      </w:r>
    </w:p>
    <w:p>
      <w:pPr>
        <w:spacing w:after="0" w:line="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2"/>
          <w:szCs w:val="12"/>
          <w:color w:val="auto"/>
        </w:rPr>
        <w:t>significant judgments. The Company determined that the G42 Promissory Note receivable was level 2 and the fair value measurement was based on the market yield curves</w:t>
      </w:r>
      <w:r>
        <w:rPr>
          <w:rFonts w:ascii="Arial" w:cs="Arial" w:eastAsia="Arial" w:hAnsi="Arial"/>
          <w:sz w:val="14"/>
          <w:szCs w:val="14"/>
          <w:color w:val="auto"/>
        </w:rPr>
        <w:t>.</w:t>
      </w:r>
      <w:r>
        <w:rPr>
          <w:rFonts w:ascii="Times New Roman" w:cs="Times New Roman" w:eastAsia="Times New Roman" w:hAnsi="Times New Roman"/>
          <w:sz w:val="12"/>
          <w:szCs w:val="12"/>
          <w:color w:val="auto"/>
        </w:rPr>
        <w:t xml:space="preserve"> The following table summarizes the conclusions reached regarding fair value measurements as of December 31, 2023, 2022 and 2021 (in thousands):</w:t>
      </w:r>
    </w:p>
    <w:p>
      <w:pPr>
        <w:spacing w:after="0" w:line="49" w:lineRule="exact"/>
        <w:rPr>
          <w:sz w:val="20"/>
          <w:szCs w:val="20"/>
          <w:color w:val="auto"/>
        </w:rPr>
      </w:pPr>
    </w:p>
    <w:tbl>
      <w:tblPr>
        <w:tblLayout w:type="fixed"/>
        <w:tblInd w:w="100" w:type="dxa"/>
        <w:tblCellMar>
          <w:top w:w="0" w:type="dxa"/>
          <w:left w:w="0" w:type="dxa"/>
          <w:bottom w:w="0" w:type="dxa"/>
          <w:right w:w="0" w:type="dxa"/>
        </w:tblCellMar>
      </w:tblPr>
      <w:tr>
        <w:trPr>
          <w:trHeight w:val="115"/>
        </w:trPr>
        <w:tc>
          <w:tcPr>
            <w:tcW w:w="5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Quoted Prices in Active</w:t>
            </w:r>
          </w:p>
        </w:tc>
        <w:tc>
          <w:tcPr>
            <w:tcW w:w="80" w:type="dxa"/>
            <w:vAlign w:val="bottom"/>
          </w:tcPr>
          <w:p>
            <w:pPr>
              <w:spacing w:after="0"/>
              <w:rPr>
                <w:sz w:val="10"/>
                <w:szCs w:val="10"/>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Significant Other Observable</w:t>
            </w:r>
          </w:p>
        </w:tc>
        <w:tc>
          <w:tcPr>
            <w:tcW w:w="140" w:type="dxa"/>
            <w:vAlign w:val="bottom"/>
          </w:tcPr>
          <w:p>
            <w:pPr>
              <w:spacing w:after="0"/>
              <w:rPr>
                <w:sz w:val="10"/>
                <w:szCs w:val="10"/>
                <w:color w:val="auto"/>
              </w:rPr>
            </w:pPr>
          </w:p>
        </w:tc>
        <w:tc>
          <w:tcPr>
            <w:tcW w:w="1340" w:type="dxa"/>
            <w:vAlign w:val="bottom"/>
          </w:tcPr>
          <w:p>
            <w:pPr>
              <w:jc w:val="center"/>
              <w:ind w:right="107"/>
              <w:spacing w:after="0"/>
              <w:rPr>
                <w:sz w:val="20"/>
                <w:szCs w:val="20"/>
                <w:color w:val="auto"/>
              </w:rPr>
            </w:pPr>
            <w:r>
              <w:rPr>
                <w:rFonts w:ascii="Times New Roman" w:cs="Times New Roman" w:eastAsia="Times New Roman" w:hAnsi="Times New Roman"/>
                <w:sz w:val="10"/>
                <w:szCs w:val="10"/>
                <w:b w:val="1"/>
                <w:bCs w:val="1"/>
                <w:color w:val="auto"/>
                <w:w w:val="94"/>
              </w:rPr>
              <w:t>Significant Unobservable</w:t>
            </w:r>
          </w:p>
        </w:tc>
        <w:tc>
          <w:tcPr>
            <w:tcW w:w="0" w:type="dxa"/>
            <w:vAlign w:val="bottom"/>
          </w:tcPr>
          <w:p>
            <w:pPr>
              <w:spacing w:after="0"/>
              <w:rPr>
                <w:sz w:val="1"/>
                <w:szCs w:val="1"/>
                <w:color w:val="auto"/>
              </w:rPr>
            </w:pPr>
          </w:p>
        </w:tc>
      </w:tr>
      <w:tr>
        <w:trPr>
          <w:trHeight w:val="99"/>
        </w:trPr>
        <w:tc>
          <w:tcPr>
            <w:tcW w:w="5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at December 31, 2023</w:t>
            </w:r>
          </w:p>
        </w:tc>
        <w:tc>
          <w:tcPr>
            <w:tcW w:w="100" w:type="dxa"/>
            <w:vAlign w:val="bottom"/>
          </w:tcPr>
          <w:p>
            <w:pPr>
              <w:spacing w:after="0"/>
              <w:rPr>
                <w:sz w:val="8"/>
                <w:szCs w:val="8"/>
                <w:color w:val="auto"/>
              </w:rPr>
            </w:pPr>
          </w:p>
        </w:tc>
        <w:tc>
          <w:tcPr>
            <w:tcW w:w="144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5"/>
              </w:rPr>
              <w:t>Markets for Identical Assets</w:t>
            </w:r>
          </w:p>
        </w:tc>
        <w:tc>
          <w:tcPr>
            <w:tcW w:w="80" w:type="dxa"/>
            <w:vAlign w:val="bottom"/>
          </w:tcPr>
          <w:p>
            <w:pPr>
              <w:spacing w:after="0"/>
              <w:rPr>
                <w:sz w:val="8"/>
                <w:szCs w:val="8"/>
                <w:color w:val="auto"/>
              </w:rPr>
            </w:pPr>
          </w:p>
        </w:tc>
        <w:tc>
          <w:tcPr>
            <w:tcW w:w="144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140" w:type="dxa"/>
            <w:vAlign w:val="bottom"/>
          </w:tcPr>
          <w:p>
            <w:pPr>
              <w:spacing w:after="0"/>
              <w:rPr>
                <w:sz w:val="8"/>
                <w:szCs w:val="8"/>
                <w:color w:val="auto"/>
              </w:rPr>
            </w:pPr>
          </w:p>
        </w:tc>
        <w:tc>
          <w:tcPr>
            <w:tcW w:w="1340" w:type="dxa"/>
            <w:vAlign w:val="bottom"/>
          </w:tcPr>
          <w:p>
            <w:pPr>
              <w:jc w:val="center"/>
              <w:ind w:right="87"/>
              <w:spacing w:after="0" w:line="99" w:lineRule="exact"/>
              <w:rPr>
                <w:sz w:val="20"/>
                <w:szCs w:val="20"/>
                <w:color w:val="auto"/>
              </w:rPr>
            </w:pPr>
            <w:r>
              <w:rPr>
                <w:rFonts w:ascii="Times New Roman" w:cs="Times New Roman" w:eastAsia="Times New Roman" w:hAnsi="Times New Roman"/>
                <w:sz w:val="10"/>
                <w:szCs w:val="10"/>
                <w:b w:val="1"/>
                <w:bCs w:val="1"/>
                <w:color w:val="auto"/>
              </w:rPr>
              <w:t>Inputs</w:t>
            </w:r>
          </w:p>
        </w:tc>
        <w:tc>
          <w:tcPr>
            <w:tcW w:w="0" w:type="dxa"/>
            <w:vAlign w:val="bottom"/>
          </w:tcPr>
          <w:p>
            <w:pPr>
              <w:spacing w:after="0"/>
              <w:rPr>
                <w:sz w:val="1"/>
                <w:szCs w:val="1"/>
                <w:color w:val="auto"/>
              </w:rPr>
            </w:pPr>
          </w:p>
        </w:tc>
      </w:tr>
      <w:tr>
        <w:trPr>
          <w:trHeight w:val="129"/>
        </w:trPr>
        <w:tc>
          <w:tcPr>
            <w:tcW w:w="5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(Level 1)</w:t>
            </w:r>
          </w:p>
        </w:tc>
        <w:tc>
          <w:tcPr>
            <w:tcW w:w="80" w:type="dxa"/>
            <w:vAlign w:val="bottom"/>
          </w:tcPr>
          <w:p>
            <w:pPr>
              <w:spacing w:after="0"/>
              <w:rPr>
                <w:sz w:val="11"/>
                <w:szCs w:val="11"/>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(Level 2)</w:t>
            </w:r>
          </w:p>
        </w:tc>
        <w:tc>
          <w:tcPr>
            <w:tcW w:w="140" w:type="dxa"/>
            <w:vAlign w:val="bottom"/>
          </w:tcPr>
          <w:p>
            <w:pPr>
              <w:spacing w:after="0"/>
              <w:rPr>
                <w:sz w:val="11"/>
                <w:szCs w:val="11"/>
                <w:color w:val="auto"/>
              </w:rPr>
            </w:pPr>
          </w:p>
        </w:tc>
        <w:tc>
          <w:tcPr>
            <w:tcW w:w="1340" w:type="dxa"/>
            <w:vAlign w:val="bottom"/>
          </w:tcPr>
          <w:p>
            <w:pPr>
              <w:jc w:val="center"/>
              <w:ind w:right="87"/>
              <w:spacing w:after="0"/>
              <w:rPr>
                <w:sz w:val="20"/>
                <w:szCs w:val="20"/>
                <w:color w:val="auto"/>
              </w:rPr>
            </w:pPr>
            <w:r>
              <w:rPr>
                <w:rFonts w:ascii="Times New Roman" w:cs="Times New Roman" w:eastAsia="Times New Roman" w:hAnsi="Times New Roman"/>
                <w:sz w:val="10"/>
                <w:szCs w:val="10"/>
                <w:b w:val="1"/>
                <w:bCs w:val="1"/>
                <w:color w:val="auto"/>
                <w:w w:val="95"/>
              </w:rPr>
              <w:t>(Level 3)</w:t>
            </w:r>
          </w:p>
        </w:tc>
        <w:tc>
          <w:tcPr>
            <w:tcW w:w="0" w:type="dxa"/>
            <w:vAlign w:val="bottom"/>
          </w:tcPr>
          <w:p>
            <w:pPr>
              <w:spacing w:after="0"/>
              <w:rPr>
                <w:sz w:val="1"/>
                <w:szCs w:val="1"/>
                <w:color w:val="auto"/>
              </w:rPr>
            </w:pPr>
          </w:p>
        </w:tc>
      </w:tr>
      <w:tr>
        <w:trPr>
          <w:trHeight w:val="137"/>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80" w:type="dxa"/>
            <w:vAlign w:val="bottom"/>
            <w:tcBorders>
              <w:top w:val="single" w:sz="8" w:color="auto"/>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20" w:type="dxa"/>
            <w:vAlign w:val="bottom"/>
          </w:tcPr>
          <w:p>
            <w:pPr>
              <w:ind w:left="160"/>
              <w:spacing w:after="0" w:line="153" w:lineRule="exact"/>
              <w:rPr>
                <w:sz w:val="20"/>
                <w:szCs w:val="20"/>
                <w:color w:val="auto"/>
              </w:rPr>
            </w:pPr>
            <w:r>
              <w:rPr>
                <w:rFonts w:ascii="Times New Roman" w:cs="Times New Roman" w:eastAsia="Times New Roman" w:hAnsi="Times New Roman"/>
                <w:sz w:val="12"/>
                <w:szCs w:val="12"/>
                <w:color w:val="auto"/>
              </w:rPr>
              <w:t xml:space="preserve">Warrant liability, related party </w:t>
            </w:r>
            <w:r>
              <w:rPr>
                <w:rFonts w:ascii="Times New Roman" w:cs="Times New Roman" w:eastAsia="Times New Roman" w:hAnsi="Times New Roman"/>
                <w:sz w:val="15"/>
                <w:szCs w:val="15"/>
                <w:color w:val="auto"/>
                <w:vertAlign w:val="superscript"/>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110</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ind w:left="1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ind w:right="7"/>
              <w:spacing w:after="0"/>
              <w:rPr>
                <w:sz w:val="20"/>
                <w:szCs w:val="20"/>
                <w:color w:val="auto"/>
              </w:rPr>
            </w:pPr>
            <w:r>
              <w:rPr>
                <w:rFonts w:ascii="Times New Roman" w:cs="Times New Roman" w:eastAsia="Times New Roman" w:hAnsi="Times New Roman"/>
                <w:sz w:val="12"/>
                <w:szCs w:val="12"/>
                <w:color w:val="auto"/>
              </w:rPr>
              <w:t>110</w:t>
            </w:r>
          </w:p>
        </w:tc>
        <w:tc>
          <w:tcPr>
            <w:tcW w:w="0" w:type="dxa"/>
            <w:vAlign w:val="bottom"/>
          </w:tcPr>
          <w:p>
            <w:pPr>
              <w:spacing w:after="0"/>
              <w:rPr>
                <w:sz w:val="1"/>
                <w:szCs w:val="1"/>
                <w:color w:val="auto"/>
              </w:rPr>
            </w:pPr>
          </w:p>
        </w:tc>
      </w:tr>
      <w:tr>
        <w:trPr>
          <w:trHeight w:val="158"/>
        </w:trPr>
        <w:tc>
          <w:tcPr>
            <w:tcW w:w="50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110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2"/>
                <w:szCs w:val="12"/>
                <w:color w:val="auto"/>
              </w:rPr>
              <w:t>110</w:t>
            </w:r>
          </w:p>
        </w:tc>
        <w:tc>
          <w:tcPr>
            <w:tcW w:w="0" w:type="dxa"/>
            <w:vAlign w:val="bottom"/>
          </w:tcPr>
          <w:p>
            <w:pPr>
              <w:spacing w:after="0"/>
              <w:rPr>
                <w:sz w:val="1"/>
                <w:szCs w:val="1"/>
                <w:color w:val="auto"/>
              </w:rPr>
            </w:pPr>
          </w:p>
        </w:tc>
      </w:tr>
      <w:tr>
        <w:trPr>
          <w:trHeight w:val="245"/>
        </w:trPr>
        <w:tc>
          <w:tcPr>
            <w:tcW w:w="5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Quoted Prices in Active</w:t>
            </w:r>
          </w:p>
        </w:tc>
        <w:tc>
          <w:tcPr>
            <w:tcW w:w="80" w:type="dxa"/>
            <w:vAlign w:val="bottom"/>
          </w:tcPr>
          <w:p>
            <w:pPr>
              <w:spacing w:after="0"/>
              <w:rPr>
                <w:sz w:val="21"/>
                <w:szCs w:val="21"/>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Significant Other Observable</w:t>
            </w:r>
          </w:p>
        </w:tc>
        <w:tc>
          <w:tcPr>
            <w:tcW w:w="140" w:type="dxa"/>
            <w:vAlign w:val="bottom"/>
          </w:tcPr>
          <w:p>
            <w:pPr>
              <w:spacing w:after="0"/>
              <w:rPr>
                <w:sz w:val="21"/>
                <w:szCs w:val="21"/>
                <w:color w:val="auto"/>
              </w:rPr>
            </w:pPr>
          </w:p>
        </w:tc>
        <w:tc>
          <w:tcPr>
            <w:tcW w:w="1340" w:type="dxa"/>
            <w:vAlign w:val="bottom"/>
          </w:tcPr>
          <w:p>
            <w:pPr>
              <w:jc w:val="center"/>
              <w:ind w:right="107"/>
              <w:spacing w:after="0"/>
              <w:rPr>
                <w:sz w:val="20"/>
                <w:szCs w:val="20"/>
                <w:color w:val="auto"/>
              </w:rPr>
            </w:pPr>
            <w:r>
              <w:rPr>
                <w:rFonts w:ascii="Times New Roman" w:cs="Times New Roman" w:eastAsia="Times New Roman" w:hAnsi="Times New Roman"/>
                <w:sz w:val="10"/>
                <w:szCs w:val="10"/>
                <w:b w:val="1"/>
                <w:bCs w:val="1"/>
                <w:color w:val="auto"/>
                <w:w w:val="94"/>
              </w:rPr>
              <w:t>Significant Unobservable</w:t>
            </w:r>
          </w:p>
        </w:tc>
        <w:tc>
          <w:tcPr>
            <w:tcW w:w="0" w:type="dxa"/>
            <w:vAlign w:val="bottom"/>
          </w:tcPr>
          <w:p>
            <w:pPr>
              <w:spacing w:after="0"/>
              <w:rPr>
                <w:sz w:val="1"/>
                <w:szCs w:val="1"/>
                <w:color w:val="auto"/>
              </w:rPr>
            </w:pPr>
          </w:p>
        </w:tc>
      </w:tr>
      <w:tr>
        <w:trPr>
          <w:trHeight w:val="97"/>
        </w:trPr>
        <w:tc>
          <w:tcPr>
            <w:tcW w:w="5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at December 31, 2022</w:t>
            </w:r>
          </w:p>
        </w:tc>
        <w:tc>
          <w:tcPr>
            <w:tcW w:w="100" w:type="dxa"/>
            <w:vAlign w:val="bottom"/>
          </w:tcPr>
          <w:p>
            <w:pPr>
              <w:spacing w:after="0"/>
              <w:rPr>
                <w:sz w:val="8"/>
                <w:szCs w:val="8"/>
                <w:color w:val="auto"/>
              </w:rPr>
            </w:pPr>
          </w:p>
        </w:tc>
        <w:tc>
          <w:tcPr>
            <w:tcW w:w="1440" w:type="dxa"/>
            <w:vAlign w:val="bottom"/>
            <w:gridSpan w:val="2"/>
          </w:tcPr>
          <w:p>
            <w:pPr>
              <w:jc w:val="center"/>
              <w:ind w:right="200"/>
              <w:spacing w:after="0" w:line="98" w:lineRule="exact"/>
              <w:rPr>
                <w:sz w:val="20"/>
                <w:szCs w:val="20"/>
                <w:color w:val="auto"/>
              </w:rPr>
            </w:pPr>
            <w:r>
              <w:rPr>
                <w:rFonts w:ascii="Times New Roman" w:cs="Times New Roman" w:eastAsia="Times New Roman" w:hAnsi="Times New Roman"/>
                <w:sz w:val="10"/>
                <w:szCs w:val="10"/>
                <w:b w:val="1"/>
                <w:bCs w:val="1"/>
                <w:color w:val="auto"/>
                <w:w w:val="95"/>
              </w:rPr>
              <w:t>Markets for Identical Assets</w:t>
            </w:r>
          </w:p>
        </w:tc>
        <w:tc>
          <w:tcPr>
            <w:tcW w:w="80" w:type="dxa"/>
            <w:vAlign w:val="bottom"/>
          </w:tcPr>
          <w:p>
            <w:pPr>
              <w:spacing w:after="0"/>
              <w:rPr>
                <w:sz w:val="8"/>
                <w:szCs w:val="8"/>
                <w:color w:val="auto"/>
              </w:rPr>
            </w:pPr>
          </w:p>
        </w:tc>
        <w:tc>
          <w:tcPr>
            <w:tcW w:w="1440" w:type="dxa"/>
            <w:vAlign w:val="bottom"/>
            <w:gridSpan w:val="2"/>
          </w:tcPr>
          <w:p>
            <w:pPr>
              <w:jc w:val="center"/>
              <w:ind w:right="180"/>
              <w:spacing w:after="0" w:line="98"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140" w:type="dxa"/>
            <w:vAlign w:val="bottom"/>
          </w:tcPr>
          <w:p>
            <w:pPr>
              <w:spacing w:after="0"/>
              <w:rPr>
                <w:sz w:val="8"/>
                <w:szCs w:val="8"/>
                <w:color w:val="auto"/>
              </w:rPr>
            </w:pPr>
          </w:p>
        </w:tc>
        <w:tc>
          <w:tcPr>
            <w:tcW w:w="1340" w:type="dxa"/>
            <w:vAlign w:val="bottom"/>
          </w:tcPr>
          <w:p>
            <w:pPr>
              <w:jc w:val="center"/>
              <w:ind w:right="87"/>
              <w:spacing w:after="0" w:line="98" w:lineRule="exact"/>
              <w:rPr>
                <w:sz w:val="20"/>
                <w:szCs w:val="20"/>
                <w:color w:val="auto"/>
              </w:rPr>
            </w:pPr>
            <w:r>
              <w:rPr>
                <w:rFonts w:ascii="Times New Roman" w:cs="Times New Roman" w:eastAsia="Times New Roman" w:hAnsi="Times New Roman"/>
                <w:sz w:val="10"/>
                <w:szCs w:val="10"/>
                <w:b w:val="1"/>
                <w:bCs w:val="1"/>
                <w:color w:val="auto"/>
              </w:rPr>
              <w:t>Inputs</w:t>
            </w:r>
          </w:p>
        </w:tc>
        <w:tc>
          <w:tcPr>
            <w:tcW w:w="0" w:type="dxa"/>
            <w:vAlign w:val="bottom"/>
          </w:tcPr>
          <w:p>
            <w:pPr>
              <w:spacing w:after="0"/>
              <w:rPr>
                <w:sz w:val="1"/>
                <w:szCs w:val="1"/>
                <w:color w:val="auto"/>
              </w:rPr>
            </w:pPr>
          </w:p>
        </w:tc>
      </w:tr>
      <w:tr>
        <w:trPr>
          <w:trHeight w:val="125"/>
        </w:trPr>
        <w:tc>
          <w:tcPr>
            <w:tcW w:w="5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(Level 1)</w:t>
            </w:r>
          </w:p>
        </w:tc>
        <w:tc>
          <w:tcPr>
            <w:tcW w:w="80" w:type="dxa"/>
            <w:vAlign w:val="bottom"/>
          </w:tcPr>
          <w:p>
            <w:pPr>
              <w:spacing w:after="0"/>
              <w:rPr>
                <w:sz w:val="10"/>
                <w:szCs w:val="10"/>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(Level 2)</w:t>
            </w:r>
          </w:p>
        </w:tc>
        <w:tc>
          <w:tcPr>
            <w:tcW w:w="140" w:type="dxa"/>
            <w:vAlign w:val="bottom"/>
          </w:tcPr>
          <w:p>
            <w:pPr>
              <w:spacing w:after="0"/>
              <w:rPr>
                <w:sz w:val="10"/>
                <w:szCs w:val="10"/>
                <w:color w:val="auto"/>
              </w:rPr>
            </w:pPr>
          </w:p>
        </w:tc>
        <w:tc>
          <w:tcPr>
            <w:tcW w:w="1340" w:type="dxa"/>
            <w:vAlign w:val="bottom"/>
          </w:tcPr>
          <w:p>
            <w:pPr>
              <w:jc w:val="center"/>
              <w:ind w:right="87"/>
              <w:spacing w:after="0"/>
              <w:rPr>
                <w:sz w:val="20"/>
                <w:szCs w:val="20"/>
                <w:color w:val="auto"/>
              </w:rPr>
            </w:pPr>
            <w:r>
              <w:rPr>
                <w:rFonts w:ascii="Times New Roman" w:cs="Times New Roman" w:eastAsia="Times New Roman" w:hAnsi="Times New Roman"/>
                <w:sz w:val="10"/>
                <w:szCs w:val="10"/>
                <w:b w:val="1"/>
                <w:bCs w:val="1"/>
                <w:color w:val="auto"/>
                <w:w w:val="95"/>
              </w:rPr>
              <w:t>(Level 3)</w:t>
            </w:r>
          </w:p>
        </w:tc>
        <w:tc>
          <w:tcPr>
            <w:tcW w:w="0" w:type="dxa"/>
            <w:vAlign w:val="bottom"/>
          </w:tcPr>
          <w:p>
            <w:pPr>
              <w:spacing w:after="0"/>
              <w:rPr>
                <w:sz w:val="1"/>
                <w:szCs w:val="1"/>
                <w:color w:val="auto"/>
              </w:rPr>
            </w:pPr>
          </w:p>
        </w:tc>
      </w:tr>
      <w:tr>
        <w:trPr>
          <w:trHeight w:val="152"/>
        </w:trPr>
        <w:tc>
          <w:tcPr>
            <w:tcW w:w="5020" w:type="dxa"/>
            <w:vAlign w:val="bottom"/>
            <w:tcBorders>
              <w:bottom w:val="single" w:sz="8" w:color="CCEEFF"/>
            </w:tcBorders>
          </w:tcPr>
          <w:p>
            <w:pPr>
              <w:ind w:left="160"/>
              <w:spacing w:after="0" w:line="151" w:lineRule="exact"/>
              <w:rPr>
                <w:sz w:val="20"/>
                <w:szCs w:val="20"/>
                <w:color w:val="auto"/>
              </w:rPr>
            </w:pPr>
            <w:r>
              <w:rPr>
                <w:rFonts w:ascii="Times New Roman" w:cs="Times New Roman" w:eastAsia="Times New Roman" w:hAnsi="Times New Roman"/>
                <w:sz w:val="12"/>
                <w:szCs w:val="12"/>
                <w:color w:val="auto"/>
              </w:rPr>
              <w:t xml:space="preserve">Warrant liability, related party </w:t>
            </w:r>
            <w:r>
              <w:rPr>
                <w:rFonts w:ascii="Times New Roman" w:cs="Times New Roman" w:eastAsia="Times New Roman" w:hAnsi="Times New Roman"/>
                <w:sz w:val="15"/>
                <w:szCs w:val="15"/>
                <w:color w:val="auto"/>
                <w:vertAlign w:val="superscript"/>
              </w:rPr>
              <w:t>(1)</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684</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ind w:left="1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2"/>
                <w:szCs w:val="12"/>
                <w:color w:val="auto"/>
              </w:rPr>
              <w:t>684</w:t>
            </w:r>
          </w:p>
        </w:tc>
        <w:tc>
          <w:tcPr>
            <w:tcW w:w="0" w:type="dxa"/>
            <w:vAlign w:val="bottom"/>
          </w:tcPr>
          <w:p>
            <w:pPr>
              <w:spacing w:after="0"/>
              <w:rPr>
                <w:sz w:val="1"/>
                <w:szCs w:val="1"/>
                <w:color w:val="auto"/>
              </w:rPr>
            </w:pPr>
          </w:p>
        </w:tc>
      </w:tr>
      <w:tr>
        <w:trPr>
          <w:trHeight w:val="158"/>
        </w:trPr>
        <w:tc>
          <w:tcPr>
            <w:tcW w:w="5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684</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2"/>
                <w:szCs w:val="12"/>
                <w:color w:val="auto"/>
              </w:rPr>
              <w:t>684</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w:t>
      </w:r>
    </w:p>
    <w:p>
      <w:pPr>
        <w:spacing w:after="0" w:line="80" w:lineRule="exact"/>
        <w:rPr>
          <w:sz w:val="20"/>
          <w:szCs w:val="20"/>
          <w:color w:val="auto"/>
        </w:rPr>
      </w:pPr>
    </w:p>
    <w:p>
      <w:pPr>
        <w:ind w:left="540" w:right="20" w:hanging="332"/>
        <w:spacing w:after="0" w:line="279" w:lineRule="auto"/>
        <w:tabs>
          <w:tab w:leader="none" w:pos="535" w:val="left"/>
        </w:tabs>
        <w:numPr>
          <w:ilvl w:val="0"/>
          <w:numId w:val="55"/>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Fair value determined using the Black-Scholes option pricing model. Expected volatility is based on the historical volatility of the Company's common stock over the most recent period. The risk-free rate is based on the U.S. Treasury yield curve in effect at the time of valuation.</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103" w:name="page104"/>
    <w:bookmarkEnd w:id="103"/>
    <w:tbl>
      <w:tblPr>
        <w:tblLayout w:type="fixed"/>
        <w:tblInd w:w="100" w:type="dxa"/>
        <w:tblCellMar>
          <w:top w:w="0" w:type="dxa"/>
          <w:left w:w="0" w:type="dxa"/>
          <w:bottom w:w="0" w:type="dxa"/>
          <w:right w:w="0" w:type="dxa"/>
        </w:tblCellMar>
      </w:tblPr>
      <w:tr>
        <w:trPr>
          <w:trHeight w:val="134"/>
        </w:trPr>
        <w:tc>
          <w:tcPr>
            <w:tcW w:w="34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4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Changes in Level 3 Instruments for the years ended December 31, 2023, 2022 and 2021</w:t>
            </w: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gridSpan w:val="2"/>
          </w:tcPr>
          <w:p>
            <w:pPr>
              <w:jc w:val="center"/>
              <w:ind w:right="260"/>
              <w:spacing w:after="0" w:line="89" w:lineRule="exact"/>
              <w:rPr>
                <w:sz w:val="20"/>
                <w:szCs w:val="20"/>
                <w:color w:val="auto"/>
              </w:rPr>
            </w:pPr>
            <w:r>
              <w:rPr>
                <w:rFonts w:ascii="Times New Roman" w:cs="Times New Roman" w:eastAsia="Times New Roman" w:hAnsi="Times New Roman"/>
                <w:sz w:val="10"/>
                <w:szCs w:val="10"/>
                <w:b w:val="1"/>
                <w:bCs w:val="1"/>
                <w:color w:val="auto"/>
                <w:w w:val="98"/>
              </w:rPr>
              <w:t>Net Change in</w:t>
            </w:r>
          </w:p>
        </w:tc>
        <w:tc>
          <w:tcPr>
            <w:tcW w:w="280" w:type="dxa"/>
            <w:vAlign w:val="bottom"/>
          </w:tcPr>
          <w:p>
            <w:pPr>
              <w:spacing w:after="0"/>
              <w:rPr>
                <w:sz w:val="7"/>
                <w:szCs w:val="7"/>
                <w:color w:val="auto"/>
              </w:rPr>
            </w:pP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4"/>
              </w:rPr>
              <w:t>Purchases /</w:t>
            </w:r>
          </w:p>
        </w:tc>
        <w:tc>
          <w:tcPr>
            <w:tcW w:w="260" w:type="dxa"/>
            <w:vAlign w:val="bottom"/>
          </w:tcPr>
          <w:p>
            <w:pPr>
              <w:spacing w:after="0"/>
              <w:rPr>
                <w:sz w:val="7"/>
                <w:szCs w:val="7"/>
                <w:color w:val="auto"/>
              </w:rPr>
            </w:pPr>
          </w:p>
        </w:tc>
        <w:tc>
          <w:tcPr>
            <w:tcW w:w="12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Sales /</w:t>
            </w:r>
          </w:p>
        </w:tc>
        <w:tc>
          <w:tcPr>
            <w:tcW w:w="1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3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Balance at January 1</w:t>
            </w:r>
          </w:p>
        </w:tc>
        <w:tc>
          <w:tcPr>
            <w:tcW w:w="160" w:type="dxa"/>
            <w:vAlign w:val="bottom"/>
          </w:tcPr>
          <w:p>
            <w:pPr>
              <w:spacing w:after="0"/>
              <w:rPr>
                <w:sz w:val="8"/>
                <w:szCs w:val="8"/>
                <w:color w:val="auto"/>
              </w:rPr>
            </w:pPr>
          </w:p>
        </w:tc>
        <w:tc>
          <w:tcPr>
            <w:tcW w:w="1380" w:type="dxa"/>
            <w:vAlign w:val="bottom"/>
            <w:gridSpan w:val="2"/>
          </w:tcPr>
          <w:p>
            <w:pPr>
              <w:jc w:val="center"/>
              <w:ind w:right="300"/>
              <w:spacing w:after="0" w:line="98" w:lineRule="exact"/>
              <w:rPr>
                <w:sz w:val="20"/>
                <w:szCs w:val="20"/>
                <w:color w:val="auto"/>
              </w:rPr>
            </w:pPr>
            <w:r>
              <w:rPr>
                <w:rFonts w:ascii="Times New Roman" w:cs="Times New Roman" w:eastAsia="Times New Roman" w:hAnsi="Times New Roman"/>
                <w:sz w:val="10"/>
                <w:szCs w:val="10"/>
                <w:b w:val="1"/>
                <w:bCs w:val="1"/>
                <w:color w:val="auto"/>
                <w:w w:val="96"/>
              </w:rPr>
              <w:t>fair value included in</w:t>
            </w: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vMerge w:val="restart"/>
          </w:tcPr>
          <w:p>
            <w:pPr>
              <w:jc w:val="right"/>
              <w:ind w:right="182"/>
              <w:spacing w:after="0"/>
              <w:rPr>
                <w:sz w:val="20"/>
                <w:szCs w:val="20"/>
                <w:color w:val="auto"/>
              </w:rPr>
            </w:pPr>
            <w:r>
              <w:rPr>
                <w:rFonts w:ascii="Times New Roman" w:cs="Times New Roman" w:eastAsia="Times New Roman" w:hAnsi="Times New Roman"/>
                <w:sz w:val="10"/>
                <w:szCs w:val="10"/>
                <w:b w:val="1"/>
                <w:bCs w:val="1"/>
                <w:color w:val="auto"/>
              </w:rPr>
              <w:t>Balance at December 31,</w:t>
            </w:r>
          </w:p>
        </w:tc>
        <w:tc>
          <w:tcPr>
            <w:tcW w:w="0" w:type="dxa"/>
            <w:vAlign w:val="bottom"/>
          </w:tcPr>
          <w:p>
            <w:pPr>
              <w:spacing w:after="0"/>
              <w:rPr>
                <w:sz w:val="1"/>
                <w:szCs w:val="1"/>
                <w:color w:val="auto"/>
              </w:rPr>
            </w:pPr>
          </w:p>
        </w:tc>
      </w:tr>
      <w:tr>
        <w:trPr>
          <w:trHeight w:val="131"/>
        </w:trPr>
        <w:tc>
          <w:tcPr>
            <w:tcW w:w="3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earnings</w:t>
            </w:r>
          </w:p>
        </w:tc>
        <w:tc>
          <w:tcPr>
            <w:tcW w:w="280" w:type="dxa"/>
            <w:vAlign w:val="bottom"/>
          </w:tcPr>
          <w:p>
            <w:pPr>
              <w:spacing w:after="0"/>
              <w:rPr>
                <w:sz w:val="11"/>
                <w:szCs w:val="11"/>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8"/>
              </w:rPr>
              <w:t>Issuance</w:t>
            </w:r>
          </w:p>
        </w:tc>
        <w:tc>
          <w:tcPr>
            <w:tcW w:w="260" w:type="dxa"/>
            <w:vAlign w:val="bottom"/>
          </w:tcPr>
          <w:p>
            <w:pPr>
              <w:spacing w:after="0"/>
              <w:rPr>
                <w:sz w:val="11"/>
                <w:szCs w:val="11"/>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Repurchases</w:t>
            </w:r>
          </w:p>
        </w:tc>
        <w:tc>
          <w:tcPr>
            <w:tcW w:w="16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480" w:type="dxa"/>
            <w:vAlign w:val="bottom"/>
            <w:tcBorders>
              <w:top w:val="single" w:sz="8" w:color="CCEEFF"/>
            </w:tcBorders>
            <w:shd w:val="clear" w:color="auto" w:fill="CCEEFF"/>
          </w:tcPr>
          <w:p>
            <w:pPr>
              <w:jc w:val="right"/>
              <w:ind w:right="3180"/>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1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80" w:type="dxa"/>
            <w:vAlign w:val="bottom"/>
          </w:tcPr>
          <w:p>
            <w:pPr>
              <w:jc w:val="right"/>
              <w:ind w:right="1800"/>
              <w:spacing w:after="0"/>
              <w:rPr>
                <w:sz w:val="20"/>
                <w:szCs w:val="20"/>
                <w:color w:val="auto"/>
              </w:rPr>
            </w:pPr>
            <w:r>
              <w:rPr>
                <w:rFonts w:ascii="Times New Roman" w:cs="Times New Roman" w:eastAsia="Times New Roman" w:hAnsi="Times New Roman"/>
                <w:sz w:val="12"/>
                <w:szCs w:val="12"/>
                <w:color w:val="auto"/>
              </w:rPr>
              <w:t>Warrant liability, related party</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684</w:t>
            </w:r>
          </w:p>
        </w:tc>
        <w:tc>
          <w:tcPr>
            <w:tcW w:w="80" w:type="dxa"/>
            <w:vAlign w:val="bottom"/>
          </w:tcPr>
          <w:p>
            <w:pPr>
              <w:spacing w:after="0"/>
              <w:rPr>
                <w:sz w:val="13"/>
                <w:szCs w:val="13"/>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(574)</w:t>
            </w:r>
          </w:p>
        </w:tc>
        <w:tc>
          <w:tcPr>
            <w:tcW w:w="8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110</w:t>
            </w:r>
          </w:p>
        </w:tc>
        <w:tc>
          <w:tcPr>
            <w:tcW w:w="0" w:type="dxa"/>
            <w:vAlign w:val="bottom"/>
          </w:tcPr>
          <w:p>
            <w:pPr>
              <w:spacing w:after="0"/>
              <w:rPr>
                <w:sz w:val="1"/>
                <w:szCs w:val="1"/>
                <w:color w:val="auto"/>
              </w:rPr>
            </w:pPr>
          </w:p>
        </w:tc>
      </w:tr>
      <w:tr>
        <w:trPr>
          <w:trHeight w:val="158"/>
        </w:trPr>
        <w:tc>
          <w:tcPr>
            <w:tcW w:w="3480" w:type="dxa"/>
            <w:vAlign w:val="bottom"/>
            <w:tcBorders>
              <w:top w:val="single" w:sz="8" w:color="CCEEFF"/>
              <w:bottom w:val="single" w:sz="8" w:color="CCEEFF"/>
            </w:tcBorders>
            <w:shd w:val="clear" w:color="auto" w:fill="CCEEFF"/>
          </w:tcPr>
          <w:p>
            <w:pPr>
              <w:jc w:val="right"/>
              <w:ind w:right="28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684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110</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480" w:type="dxa"/>
            <w:vAlign w:val="bottom"/>
            <w:shd w:val="clear" w:color="auto" w:fill="CCEEFF"/>
          </w:tcPr>
          <w:p>
            <w:pPr>
              <w:jc w:val="right"/>
              <w:ind w:right="3180"/>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80" w:type="dxa"/>
            <w:vAlign w:val="bottom"/>
          </w:tcPr>
          <w:p>
            <w:pPr>
              <w:jc w:val="right"/>
              <w:ind w:right="1800"/>
              <w:spacing w:after="0"/>
              <w:rPr>
                <w:sz w:val="20"/>
                <w:szCs w:val="20"/>
                <w:color w:val="auto"/>
              </w:rPr>
            </w:pPr>
            <w:r>
              <w:rPr>
                <w:rFonts w:ascii="Times New Roman" w:cs="Times New Roman" w:eastAsia="Times New Roman" w:hAnsi="Times New Roman"/>
                <w:sz w:val="12"/>
                <w:szCs w:val="12"/>
                <w:color w:val="auto"/>
              </w:rPr>
              <w:t>Warrant liability, related party</w:t>
            </w:r>
          </w:p>
        </w:tc>
        <w:tc>
          <w:tcPr>
            <w:tcW w:w="180" w:type="dxa"/>
            <w:vAlign w:val="bottom"/>
          </w:tcPr>
          <w:p>
            <w:pPr>
              <w:spacing w:after="0"/>
              <w:rPr>
                <w:sz w:val="13"/>
                <w:szCs w:val="13"/>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1,262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684</w:t>
            </w:r>
          </w:p>
        </w:tc>
        <w:tc>
          <w:tcPr>
            <w:tcW w:w="0" w:type="dxa"/>
            <w:vAlign w:val="bottom"/>
          </w:tcPr>
          <w:p>
            <w:pPr>
              <w:spacing w:after="0"/>
              <w:rPr>
                <w:sz w:val="1"/>
                <w:szCs w:val="1"/>
                <w:color w:val="auto"/>
              </w:rPr>
            </w:pPr>
          </w:p>
        </w:tc>
      </w:tr>
      <w:tr>
        <w:trPr>
          <w:trHeight w:val="158"/>
        </w:trPr>
        <w:tc>
          <w:tcPr>
            <w:tcW w:w="3480" w:type="dxa"/>
            <w:vAlign w:val="bottom"/>
            <w:tcBorders>
              <w:top w:val="single" w:sz="8" w:color="CCEEFF"/>
              <w:bottom w:val="single" w:sz="8" w:color="CCEEFF"/>
            </w:tcBorders>
            <w:shd w:val="clear" w:color="auto" w:fill="CCEEFF"/>
          </w:tcPr>
          <w:p>
            <w:pPr>
              <w:jc w:val="right"/>
              <w:ind w:right="28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1,262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684</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480" w:type="dxa"/>
            <w:vAlign w:val="bottom"/>
            <w:shd w:val="clear" w:color="auto" w:fill="CCEEFF"/>
          </w:tcPr>
          <w:p>
            <w:pPr>
              <w:jc w:val="right"/>
              <w:ind w:right="3180"/>
              <w:spacing w:after="0"/>
              <w:rPr>
                <w:sz w:val="20"/>
                <w:szCs w:val="20"/>
                <w:color w:val="auto"/>
              </w:rPr>
            </w:pPr>
            <w:r>
              <w:rPr>
                <w:rFonts w:ascii="Times New Roman" w:cs="Times New Roman" w:eastAsia="Times New Roman" w:hAnsi="Times New Roman"/>
                <w:sz w:val="12"/>
                <w:szCs w:val="12"/>
                <w:b w:val="1"/>
                <w:bCs w:val="1"/>
                <w:color w:val="auto"/>
                <w:w w:val="91"/>
              </w:rPr>
              <w:t>2021</w:t>
            </w: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80" w:type="dxa"/>
            <w:vAlign w:val="bottom"/>
          </w:tcPr>
          <w:p>
            <w:pPr>
              <w:jc w:val="right"/>
              <w:ind w:right="1800"/>
              <w:spacing w:after="0"/>
              <w:rPr>
                <w:sz w:val="20"/>
                <w:szCs w:val="20"/>
                <w:color w:val="auto"/>
              </w:rPr>
            </w:pPr>
            <w:r>
              <w:rPr>
                <w:rFonts w:ascii="Times New Roman" w:cs="Times New Roman" w:eastAsia="Times New Roman" w:hAnsi="Times New Roman"/>
                <w:sz w:val="12"/>
                <w:szCs w:val="12"/>
                <w:color w:val="auto"/>
              </w:rPr>
              <w:t>Warrant liability, related party</w:t>
            </w:r>
          </w:p>
        </w:tc>
        <w:tc>
          <w:tcPr>
            <w:tcW w:w="180" w:type="dxa"/>
            <w:vAlign w:val="bottom"/>
          </w:tcPr>
          <w:p>
            <w:pPr>
              <w:spacing w:after="0"/>
              <w:rPr>
                <w:sz w:val="13"/>
                <w:szCs w:val="13"/>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2,871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1,262</w:t>
            </w:r>
          </w:p>
        </w:tc>
        <w:tc>
          <w:tcPr>
            <w:tcW w:w="0" w:type="dxa"/>
            <w:vAlign w:val="bottom"/>
          </w:tcPr>
          <w:p>
            <w:pPr>
              <w:spacing w:after="0"/>
              <w:rPr>
                <w:sz w:val="1"/>
                <w:szCs w:val="1"/>
                <w:color w:val="auto"/>
              </w:rPr>
            </w:pPr>
          </w:p>
        </w:tc>
      </w:tr>
      <w:tr>
        <w:trPr>
          <w:trHeight w:val="158"/>
        </w:trPr>
        <w:tc>
          <w:tcPr>
            <w:tcW w:w="3480" w:type="dxa"/>
            <w:vAlign w:val="bottom"/>
            <w:tcBorders>
              <w:top w:val="single" w:sz="8" w:color="CCEEFF"/>
              <w:bottom w:val="single" w:sz="8" w:color="CCEEFF"/>
            </w:tcBorders>
            <w:shd w:val="clear" w:color="auto" w:fill="CCEEFF"/>
          </w:tcPr>
          <w:p>
            <w:pPr>
              <w:jc w:val="right"/>
              <w:ind w:right="28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2,871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1,262</w:t>
            </w:r>
          </w:p>
        </w:tc>
        <w:tc>
          <w:tcPr>
            <w:tcW w:w="0" w:type="dxa"/>
            <w:vAlign w:val="bottom"/>
          </w:tcPr>
          <w:p>
            <w:pPr>
              <w:spacing w:after="0"/>
              <w:rPr>
                <w:sz w:val="1"/>
                <w:szCs w:val="1"/>
                <w:color w:val="auto"/>
              </w:rPr>
            </w:pPr>
          </w:p>
        </w:tc>
      </w:tr>
    </w:tbl>
    <w:p>
      <w:pPr>
        <w:spacing w:after="0" w:line="124"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There were no transfers into or out of level 3 instruments and/or between level 1 and level 2 instruments during the years ended December 31, 2023, 2022 and 2021. Gains and losses recognized due to the change in fair value of the warrant liability, related party are recognized as a component of other (expense) income, related party in the Consolidated Statements of Operations</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fair value of the Letter Agreement Warrants was determined using the Black-Scholes option pricing model or option pricing models based on the Company’s current capitalization. Expected volatility is based on the historical volatility of the Company's common stock over the most recent period. The risk-free rate is based on the U.S. Treasury yield curve in effect at the time of valuation. Significant inputs utilized in the valuation of the Letter Agreement Warrants were:</w:t>
      </w:r>
    </w:p>
    <w:p>
      <w:pPr>
        <w:spacing w:after="0" w:line="68" w:lineRule="exact"/>
        <w:rPr>
          <w:sz w:val="20"/>
          <w:szCs w:val="20"/>
          <w:color w:val="auto"/>
        </w:rPr>
      </w:pPr>
    </w:p>
    <w:tbl>
      <w:tblPr>
        <w:tblLayout w:type="fixed"/>
        <w:tblInd w:w="380" w:type="dxa"/>
        <w:tblCellMar>
          <w:top w:w="0" w:type="dxa"/>
          <w:left w:w="0" w:type="dxa"/>
          <w:bottom w:w="0" w:type="dxa"/>
          <w:right w:w="0" w:type="dxa"/>
        </w:tblCellMar>
      </w:tblPr>
      <w:tr>
        <w:trPr>
          <w:trHeight w:val="134"/>
        </w:trPr>
        <w:tc>
          <w:tcPr>
            <w:tcW w:w="350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12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220" w:type="dxa"/>
            <w:vAlign w:val="bottom"/>
            <w:tcBorders>
              <w:bottom w:val="single" w:sz="8" w:color="auto"/>
            </w:tcBorders>
          </w:tcPr>
          <w:p>
            <w:pPr>
              <w:spacing w:after="0"/>
              <w:rPr>
                <w:sz w:val="11"/>
                <w:szCs w:val="11"/>
                <w:color w:val="auto"/>
              </w:rPr>
            </w:pPr>
          </w:p>
        </w:tc>
      </w:tr>
      <w:tr>
        <w:trPr>
          <w:trHeight w:val="128"/>
        </w:trPr>
        <w:tc>
          <w:tcPr>
            <w:tcW w:w="3500" w:type="dxa"/>
            <w:vAlign w:val="bottom"/>
            <w:tcBorders>
              <w:bottom w:val="single" w:sz="8" w:color="CCEEFF"/>
            </w:tcBorders>
          </w:tcPr>
          <w:p>
            <w:pPr>
              <w:spacing w:after="0"/>
              <w:rPr>
                <w:sz w:val="11"/>
                <w:szCs w:val="11"/>
                <w:color w:val="auto"/>
              </w:rPr>
            </w:pPr>
          </w:p>
        </w:tc>
        <w:tc>
          <w:tcPr>
            <w:tcW w:w="226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0"/>
                <w:szCs w:val="10"/>
                <w:b w:val="1"/>
                <w:bCs w:val="1"/>
                <w:color w:val="auto"/>
              </w:rPr>
              <w:t>Range</w:t>
            </w: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0"/>
                <w:szCs w:val="10"/>
                <w:b w:val="1"/>
                <w:bCs w:val="1"/>
                <w:color w:val="auto"/>
              </w:rPr>
              <w:t>Weighted Average</w:t>
            </w:r>
          </w:p>
        </w:tc>
        <w:tc>
          <w:tcPr>
            <w:tcW w:w="80" w:type="dxa"/>
            <w:vAlign w:val="bottom"/>
            <w:tcBorders>
              <w:bottom w:val="single" w:sz="8" w:color="CCEEFF"/>
            </w:tcBorders>
          </w:tcPr>
          <w:p>
            <w:pPr>
              <w:spacing w:after="0"/>
              <w:rPr>
                <w:sz w:val="11"/>
                <w:szCs w:val="11"/>
                <w:color w:val="auto"/>
              </w:rPr>
            </w:pPr>
          </w:p>
        </w:tc>
        <w:tc>
          <w:tcPr>
            <w:tcW w:w="224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0"/>
                <w:szCs w:val="10"/>
                <w:b w:val="1"/>
                <w:bCs w:val="1"/>
                <w:color w:val="auto"/>
              </w:rPr>
              <w:t>Range</w:t>
            </w: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0"/>
                <w:szCs w:val="10"/>
                <w:b w:val="1"/>
                <w:bCs w:val="1"/>
                <w:color w:val="auto"/>
              </w:rPr>
              <w:t>Weighted Average</w:t>
            </w:r>
          </w:p>
        </w:tc>
      </w:tr>
      <w:tr>
        <w:trPr>
          <w:trHeight w:val="14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Expected volatility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79.96%</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- 89.61%</w:t>
            </w:r>
          </w:p>
        </w:tc>
        <w:tc>
          <w:tcPr>
            <w:tcW w:w="1220" w:type="dxa"/>
            <w:vAlign w:val="bottom"/>
            <w:shd w:val="clear" w:color="auto" w:fill="CCEEFF"/>
          </w:tcPr>
          <w:p>
            <w:pPr>
              <w:jc w:val="right"/>
              <w:ind w:right="484"/>
              <w:spacing w:after="0"/>
              <w:rPr>
                <w:sz w:val="20"/>
                <w:szCs w:val="20"/>
                <w:color w:val="auto"/>
              </w:rPr>
            </w:pPr>
            <w:r>
              <w:rPr>
                <w:rFonts w:ascii="Times New Roman" w:cs="Times New Roman" w:eastAsia="Times New Roman" w:hAnsi="Times New Roman"/>
                <w:sz w:val="12"/>
                <w:szCs w:val="12"/>
                <w:color w:val="auto"/>
              </w:rPr>
              <w:t>81.55%</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76.94%</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- 85.88%</w:t>
            </w:r>
          </w:p>
        </w:tc>
        <w:tc>
          <w:tcPr>
            <w:tcW w:w="1220" w:type="dxa"/>
            <w:vAlign w:val="bottom"/>
            <w:shd w:val="clear" w:color="auto" w:fill="CCEEFF"/>
          </w:tcPr>
          <w:p>
            <w:pPr>
              <w:jc w:val="right"/>
              <w:ind w:right="484"/>
              <w:spacing w:after="0"/>
              <w:rPr>
                <w:sz w:val="20"/>
                <w:szCs w:val="20"/>
                <w:color w:val="auto"/>
              </w:rPr>
            </w:pPr>
            <w:r>
              <w:rPr>
                <w:rFonts w:ascii="Times New Roman" w:cs="Times New Roman" w:eastAsia="Times New Roman" w:hAnsi="Times New Roman"/>
                <w:sz w:val="12"/>
                <w:szCs w:val="12"/>
                <w:color w:val="auto"/>
              </w:rPr>
              <w:t>82.17%</w:t>
            </w:r>
          </w:p>
        </w:tc>
      </w:tr>
      <w:tr>
        <w:trPr>
          <w:trHeight w:val="155"/>
        </w:trPr>
        <w:tc>
          <w:tcPr>
            <w:tcW w:w="3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Risk-free interest rate</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w:t>
            </w:r>
          </w:p>
        </w:tc>
        <w:tc>
          <w:tcPr>
            <w:tcW w:w="1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- 4.87%</w:t>
            </w:r>
          </w:p>
        </w:tc>
        <w:tc>
          <w:tcPr>
            <w:tcW w:w="1220" w:type="dxa"/>
            <w:vAlign w:val="bottom"/>
          </w:tcPr>
          <w:p>
            <w:pPr>
              <w:jc w:val="right"/>
              <w:ind w:right="524"/>
              <w:spacing w:after="0"/>
              <w:rPr>
                <w:sz w:val="20"/>
                <w:szCs w:val="20"/>
                <w:color w:val="auto"/>
              </w:rPr>
            </w:pPr>
            <w:r>
              <w:rPr>
                <w:rFonts w:ascii="Times New Roman" w:cs="Times New Roman" w:eastAsia="Times New Roman" w:hAnsi="Times New Roman"/>
                <w:sz w:val="12"/>
                <w:szCs w:val="12"/>
                <w:color w:val="auto"/>
              </w:rPr>
              <w:t>4.15%</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4.11%</w:t>
            </w:r>
          </w:p>
        </w:tc>
        <w:tc>
          <w:tcPr>
            <w:tcW w:w="1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- 4.43%</w:t>
            </w:r>
          </w:p>
        </w:tc>
        <w:tc>
          <w:tcPr>
            <w:tcW w:w="1220" w:type="dxa"/>
            <w:vAlign w:val="bottom"/>
          </w:tcPr>
          <w:p>
            <w:pPr>
              <w:jc w:val="right"/>
              <w:ind w:right="524"/>
              <w:spacing w:after="0"/>
              <w:rPr>
                <w:sz w:val="20"/>
                <w:szCs w:val="20"/>
                <w:color w:val="auto"/>
              </w:rPr>
            </w:pPr>
            <w:r>
              <w:rPr>
                <w:rFonts w:ascii="Times New Roman" w:cs="Times New Roman" w:eastAsia="Times New Roman" w:hAnsi="Times New Roman"/>
                <w:sz w:val="12"/>
                <w:szCs w:val="12"/>
                <w:color w:val="auto"/>
              </w:rPr>
              <w:t>4.19%</w:t>
            </w:r>
          </w:p>
        </w:tc>
      </w:tr>
    </w:tbl>
    <w:p>
      <w:pPr>
        <w:spacing w:after="0" w:line="113"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The fair value of the CinRx Warrants was determined using the Black-Scholes option pricing model. Expected volatility is based on the historical volatility of the Company’s common stock over the most recent period. The risk-free rate is based on the U.S. Treasury yield curve in effect at the time of valuation. Significant inputs utilized in the valuation of the CinRx Warrants as of December 31, 2023, were: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volatility</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82.1 %</w:t>
            </w:r>
          </w:p>
        </w:tc>
      </w:tr>
      <w:tr>
        <w:trPr>
          <w:trHeight w:val="153"/>
        </w:trPr>
        <w:tc>
          <w:tcPr>
            <w:tcW w:w="6160" w:type="dxa"/>
            <w:vAlign w:val="bottom"/>
          </w:tcPr>
          <w:p>
            <w:pPr>
              <w:spacing w:after="0"/>
              <w:rPr>
                <w:sz w:val="20"/>
                <w:szCs w:val="20"/>
                <w:color w:val="auto"/>
              </w:rPr>
            </w:pPr>
            <w:r>
              <w:rPr>
                <w:rFonts w:ascii="Times New Roman" w:cs="Times New Roman" w:eastAsia="Times New Roman" w:hAnsi="Times New Roman"/>
                <w:sz w:val="12"/>
                <w:szCs w:val="12"/>
                <w:color w:val="auto"/>
              </w:rPr>
              <w:t>Expected life of options in years</w:t>
            </w:r>
          </w:p>
        </w:tc>
        <w:tc>
          <w:tcPr>
            <w:tcW w:w="4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15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4.0 %</w:t>
            </w:r>
          </w:p>
        </w:tc>
      </w:tr>
      <w:tr>
        <w:trPr>
          <w:trHeight w:val="155"/>
        </w:trPr>
        <w:tc>
          <w:tcPr>
            <w:tcW w:w="6160" w:type="dxa"/>
            <w:vAlign w:val="bottom"/>
          </w:tcPr>
          <w:p>
            <w:pPr>
              <w:spacing w:after="0"/>
              <w:rPr>
                <w:sz w:val="20"/>
                <w:szCs w:val="20"/>
                <w:color w:val="auto"/>
              </w:rPr>
            </w:pPr>
            <w:r>
              <w:rPr>
                <w:rFonts w:ascii="Times New Roman" w:cs="Times New Roman" w:eastAsia="Times New Roman" w:hAnsi="Times New Roman"/>
                <w:sz w:val="12"/>
                <w:szCs w:val="12"/>
                <w:color w:val="auto"/>
              </w:rPr>
              <w:t>Expected dividend yield</w:t>
            </w:r>
          </w:p>
        </w:tc>
        <w:tc>
          <w:tcPr>
            <w:tcW w:w="4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r>
    </w:tbl>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weighted average expected volatility and risk-free interest rate was based on the relative fair values of the warrants.</w:t>
      </w:r>
    </w:p>
    <w:p>
      <w:pPr>
        <w:spacing w:after="0" w:line="78"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Changes in the unobservable inputs noted above would impact the amount of the liability for the Letter Agreement Warrants and CinRx Warrants. Increases (decreases) in the estimates of the Company’s annual volatility would increase (decrease) the liability and an increase (decrease) in the annual risk-free rate would increase (decrease) the liability.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20: Subsequent Events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Private Placement of Class A Common Shares and Pre-Funded Warrants</w:t>
      </w:r>
    </w:p>
    <w:p>
      <w:pPr>
        <w:spacing w:after="0" w:line="80"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On February 27, 2024, we entered into a securities purchase agreement with certain institutional accredited investors, pursuant to which we agreed to issue and sell to the Private Placement Investors in a private placement (the “Private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70" w:right="299" w:bottom="1440" w:gutter="0" w:footer="0" w:header="0"/>
        </w:sectPr>
      </w:pPr>
    </w:p>
    <w:bookmarkStart w:id="104" w:name="page105"/>
    <w:bookmarkEnd w:id="104"/>
    <w:p>
      <w:pPr>
        <w:jc w:val="both"/>
        <w:spacing w:after="0" w:line="260" w:lineRule="auto"/>
        <w:rPr>
          <w:sz w:val="20"/>
          <w:szCs w:val="20"/>
          <w:color w:val="auto"/>
        </w:rPr>
      </w:pPr>
      <w:r>
        <w:rPr>
          <w:rFonts w:ascii="Times New Roman" w:cs="Times New Roman" w:eastAsia="Times New Roman" w:hAnsi="Times New Roman"/>
          <w:sz w:val="12"/>
          <w:szCs w:val="12"/>
          <w:color w:val="auto"/>
        </w:rPr>
        <w:t>Placement”) (i) an aggregate of 464,377 shares of our Class A common stock, at a purchase price of $11.81 per share, and (ii) pre-funded warrants to purchase up to an aggregate of 3,853,997 shares of our Class A common stock at a purchase price of $11.80 per Private Placement Pre-Funded Warrant (representing the $11.81 per Private Placement Share purchase price less the exercise price of $0.01 per Private Placement Warrant Share). We received aggregate gross proceeds from the Private Placement of approximately $51.0 million, before deducting offering expenses payable by us. The Private Placement Pre-Funded Warrants are exercisable at any time after their original issuance and will not expire.</w:t>
      </w:r>
    </w:p>
    <w:p>
      <w:pPr>
        <w:spacing w:after="0" w:line="50"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On March 5, 2024, the Company entered into a letter agreement with the Private Placement Investors pursuant to which the Private Placement Investors agreed to exchange an aggregate of 116,493 Private Placement Shares for an aggregate of 116,590 Private Placement Pre-Funded Warrants.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TD Cowen ATM</w:t>
      </w:r>
    </w:p>
    <w:p>
      <w:pPr>
        <w:spacing w:after="0" w:line="8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(the “TD Cowen ATM Offering”). Pursuant to General Instruction I.B.6 of Form S-3, in no event will we sell securities registered on the registration statement relating to the TD Cowen ATM Offering with a value exceeding more than one-third of our public float in any 12-month period so long as our public float remains below $75.0 million. Under the terms of the TD Cowen Sales Agreement, we will pay TD Cowen a commission of 3.0% of the aggregate proceeds from the sale of shares and reimburse certain legal fees or other disbursements.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F-32</w:t>
      </w:r>
    </w:p>
    <w:p>
      <w:pPr>
        <w:sectPr>
          <w:pgSz w:w="11900" w:h="16838" w:orient="portrait"/>
          <w:cols w:equalWidth="0" w:num="1">
            <w:col w:w="11300"/>
          </w:cols>
          <w:pgMar w:left="300" w:top="849" w:right="299" w:bottom="1440"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3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076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8161020</wp:posOffset>
            </wp:positionV>
            <wp:extent cx="6036310" cy="18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6036310"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4">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8263890</wp:posOffset>
            </wp:positionV>
            <wp:extent cx="6036310" cy="18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6036310"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7">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8">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9">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3" w:name="page134"/>
    <w:bookmarkEnd w:id="133"/>
    <w:p>
      <w:pPr>
        <w:ind w:left="4740"/>
        <w:spacing w:after="0"/>
        <w:rPr>
          <w:sz w:val="20"/>
          <w:szCs w:val="20"/>
          <w:color w:val="auto"/>
        </w:rPr>
      </w:pPr>
      <w:r>
        <w:rPr>
          <w:rFonts w:ascii="Times New Roman" w:cs="Times New Roman" w:eastAsia="Times New Roman" w:hAnsi="Times New Roman"/>
          <w:sz w:val="12"/>
          <w:szCs w:val="12"/>
          <w:b w:val="1"/>
          <w:bCs w:val="1"/>
          <w:color w:val="auto"/>
        </w:rPr>
        <w:t>Exhibit 4.6</w:t>
      </w:r>
    </w:p>
    <w:p>
      <w:pPr>
        <w:ind w:left="4480"/>
        <w:spacing w:after="0"/>
        <w:rPr>
          <w:sz w:val="20"/>
          <w:szCs w:val="20"/>
          <w:color w:val="auto"/>
        </w:rPr>
      </w:pPr>
      <w:r>
        <w:rPr>
          <w:rFonts w:ascii="Times New Roman" w:cs="Times New Roman" w:eastAsia="Times New Roman" w:hAnsi="Times New Roman"/>
          <w:sz w:val="12"/>
          <w:szCs w:val="12"/>
          <w:b w:val="1"/>
          <w:bCs w:val="1"/>
          <w:color w:val="auto"/>
        </w:rPr>
        <w:t>DESCRIPTION OF THE CAPITAL STOCK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Capital Stock</w:t>
      </w:r>
    </w:p>
    <w:p>
      <w:pPr>
        <w:spacing w:after="0" w:line="136" w:lineRule="exact"/>
        <w:rPr>
          <w:sz w:val="20"/>
          <w:szCs w:val="20"/>
          <w:color w:val="auto"/>
        </w:rPr>
      </w:pPr>
    </w:p>
    <w:p>
      <w:pPr>
        <w:jc w:val="both"/>
        <w:ind w:firstLine="324"/>
        <w:spacing w:after="0" w:line="215" w:lineRule="auto"/>
        <w:rPr>
          <w:sz w:val="20"/>
          <w:szCs w:val="20"/>
          <w:color w:val="auto"/>
        </w:rPr>
      </w:pPr>
      <w:r>
        <w:rPr>
          <w:rFonts w:ascii="Times New Roman" w:cs="Times New Roman" w:eastAsia="Times New Roman" w:hAnsi="Times New Roman"/>
          <w:sz w:val="12"/>
          <w:szCs w:val="12"/>
          <w:color w:val="auto"/>
        </w:rPr>
        <w:t>Our authorized capital stock consists of 200,000,000 shares of Class A common stock, par value $0.01 per share, 100,000,000 shares of Class B common stock, par value $0.01 per share, and 50,000,000 shares of preferred stock, par value $0.01 per share. As of March 13, 2024, we have approximately 2,432,857 shares of our Class A common stock outstanding, 577,349 shares of our Class B common stock outstanding and no shares of preferred stock outstanding. As of March 13, 2024, there were approximately 40 holders of record of our Class A common stock and 6 holders of record of our Class B common stock. Because almost all of the shares of our Class A common stock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held by brokers, nominees and other institutions on behalf of shareholders, we are unable to estimate the total number of shareholders represented by these record 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Common Stock</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u w:val="single" w:color="auto"/>
          <w:color w:val="auto"/>
        </w:rPr>
        <w:t>Voting</w:t>
      </w:r>
      <w:r>
        <w:rPr>
          <w:rFonts w:ascii="Times New Roman" w:cs="Times New Roman" w:eastAsia="Times New Roman" w:hAnsi="Times New Roman"/>
          <w:sz w:val="12"/>
          <w:szCs w:val="12"/>
          <w:color w:val="auto"/>
        </w:rPr>
        <w:t>. Holders of our Class A common stock and Class B common stock are entitled to one vote for each share held on all matters submitted to stockholders for their vote or approval. The holders of our Class A common stock</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and Class B common stock vote together as a single class on all matters submitted to stockholders for their vote or approval, except with respect to the amendment of certain provisions of our amended and restated certificate of incorporation that would alter or change the powers, preferences or special rights of the Class B common stock so as to affect them adversely, which amendments must be approved by a majority of the votes entitled to be cast by the holders of the shares affected by the amendment, voting as a separate class, or as otherwise required by applicable law.</w:t>
      </w:r>
    </w:p>
    <w:p>
      <w:pPr>
        <w:spacing w:after="0" w:line="116" w:lineRule="exact"/>
        <w:rPr>
          <w:sz w:val="20"/>
          <w:szCs w:val="20"/>
          <w:color w:val="auto"/>
        </w:rPr>
      </w:pPr>
    </w:p>
    <w:p>
      <w:pPr>
        <w:jc w:val="both"/>
        <w:ind w:firstLine="324"/>
        <w:spacing w:after="0" w:line="215" w:lineRule="auto"/>
        <w:rPr>
          <w:sz w:val="20"/>
          <w:szCs w:val="20"/>
          <w:color w:val="auto"/>
        </w:rPr>
      </w:pPr>
      <w:r>
        <w:rPr>
          <w:rFonts w:ascii="Times New Roman" w:cs="Times New Roman" w:eastAsia="Times New Roman" w:hAnsi="Times New Roman"/>
          <w:sz w:val="12"/>
          <w:szCs w:val="12"/>
          <w:color w:val="auto"/>
        </w:rPr>
        <w:t>As of December 31, 2023, subsidiaries and affiliates of MacAndrews &amp; Forbes Incorporated (collectively “MacAndrews”) held 577,108 shares of our Class B common stock and 912,982 shares of our Class A common stock and therefore control approximately 56.0% of the combined voting power of our outstanding common stock. As a result, MacAndrews is able to control our business policies and affairs and any action requiring the general approval of our stockholders, including the adoption of amendments to our certificate of incorporation and bylaws, the approval of mergers or sales of substantially all of our assets and the removal of members of our Board of Directors with or without</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cause. On February 27, 2024, the Investor Rights Agreement was amended to alter MacAndrews governance rights that now entitles MacAndrews the right to designate two members of our Board of Directors. The concentration of ownership and voting power of MacAndrews may also delay, defer or even prevent an acquisition by a third party or other change of control of our company and may make some transactions more difficult or impossible without the support of MacAndrews, even if such events are in the best interests of minority stockholders.</w:t>
      </w:r>
    </w:p>
    <w:p>
      <w:pPr>
        <w:spacing w:after="0" w:line="114"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2"/>
          <w:szCs w:val="12"/>
          <w:i w:val="1"/>
          <w:iCs w:val="1"/>
          <w:u w:val="single" w:color="auto"/>
          <w:color w:val="auto"/>
        </w:rPr>
        <w:t>Dividends</w:t>
      </w:r>
      <w:r>
        <w:rPr>
          <w:rFonts w:ascii="Times New Roman" w:cs="Times New Roman" w:eastAsia="Times New Roman" w:hAnsi="Times New Roman"/>
          <w:sz w:val="12"/>
          <w:szCs w:val="12"/>
          <w:color w:val="auto"/>
        </w:rPr>
        <w:t>. The holders of Class A common stock are entitled to receive dividends when, as, and if declared by our Board of Directors out of legally available funds. The holders of our Class B common stock do not have 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right to receive dividends other than dividends consisting of shares of our Class B common stock paid proportionally with respect to each outstanding share of our Class B common stock.</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u w:val="single" w:color="auto"/>
          <w:color w:val="auto"/>
        </w:rPr>
        <w:t>Liquidation or Dissolution</w:t>
      </w:r>
      <w:r>
        <w:rPr>
          <w:rFonts w:ascii="Times New Roman" w:cs="Times New Roman" w:eastAsia="Times New Roman" w:hAnsi="Times New Roman"/>
          <w:sz w:val="12"/>
          <w:szCs w:val="12"/>
          <w:color w:val="auto"/>
        </w:rPr>
        <w:t>. Upon our liquidation or dissolution, the holders of our Class A common stock are entitled to share ratably in those of our assets that are legally available for distribution to stockholders after payment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2"/>
          <w:szCs w:val="12"/>
          <w:color w:val="auto"/>
        </w:rPr>
        <w:t>of liabilities and subject to the prior rights of any holders of preferred stock then outstanding. Other than their par value, the holders of our Class B common stock do not have any right to receive a distribution upon a liquidation or dissolution of our company.</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u w:val="single" w:color="auto"/>
          <w:color w:val="auto"/>
        </w:rPr>
        <w:t>Transferability and Exchange</w:t>
      </w:r>
      <w:r>
        <w:rPr>
          <w:rFonts w:ascii="Times New Roman" w:cs="Times New Roman" w:eastAsia="Times New Roman" w:hAnsi="Times New Roman"/>
          <w:sz w:val="12"/>
          <w:szCs w:val="12"/>
          <w:color w:val="auto"/>
        </w:rPr>
        <w:t>. Subject to the terms of an exchange agreement and the operating agreement of vTv Therapeutics LLC (“vTv LLC”), our principal operating subsidiary, units of vTv LLC (along with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corresponding number of shares of our Class B common stock) are exchangeable for (i) shares of our Class A common stock or (ii) cash (based on the market price of the shares of Class A common stock), at our option (as the managing member of vTv LLC). Any decision to require an exchange for cash rather than shares of Class A common stock will ultimately be determined by our entire Board of Directors. Each such exchange will be on a one-for-one equivalent basis, subject to customary conversion rate adjustments for stock splits, stock dividends and reclassifications. Shares of Class B common stock may not be transferred except in connection with an exchange or transfer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units of vTv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218680" cy="114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7218680" cy="11430"/>
                    </a:xfrm>
                    <a:prstGeom prst="rect">
                      <a:avLst/>
                    </a:prstGeom>
                    <a:noFill/>
                  </pic:spPr>
                </pic:pic>
              </a:graphicData>
            </a:graphic>
          </wp:anchor>
        </w:drawing>
      </w:r>
    </w:p>
    <w:p>
      <w:pPr>
        <w:spacing w:after="0" w:line="17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2"/>
          <w:szCs w:val="12"/>
          <w:color w:val="auto"/>
        </w:rPr>
        <w:t>Upon exchange, each share of our Class B common stock will be cancelled.</w:t>
      </w:r>
    </w:p>
    <w:p>
      <w:pPr>
        <w:sectPr>
          <w:pgSz w:w="11900" w:h="16838" w:orient="portrait"/>
          <w:cols w:equalWidth="0" w:num="1">
            <w:col w:w="11300"/>
          </w:cols>
          <w:pgMar w:left="300" w:top="1074" w:right="2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2"/>
          <w:szCs w:val="12"/>
          <w:b w:val="1"/>
          <w:bCs w:val="1"/>
          <w:i w:val="1"/>
          <w:iCs w:val="1"/>
          <w:color w:val="auto"/>
        </w:rPr>
        <w:t>Preferred Stock</w:t>
      </w:r>
    </w:p>
    <w:p>
      <w:pPr>
        <w:spacing w:after="0" w:line="127" w:lineRule="exact"/>
        <w:rPr>
          <w:sz w:val="20"/>
          <w:szCs w:val="20"/>
          <w:color w:val="auto"/>
        </w:rPr>
      </w:pPr>
    </w:p>
    <w:p>
      <w:pPr>
        <w:jc w:val="both"/>
        <w:ind w:firstLine="324"/>
        <w:spacing w:after="0" w:line="221" w:lineRule="auto"/>
        <w:rPr>
          <w:sz w:val="20"/>
          <w:szCs w:val="20"/>
          <w:color w:val="auto"/>
        </w:rPr>
      </w:pPr>
      <w:r>
        <w:rPr>
          <w:rFonts w:ascii="Times New Roman" w:cs="Times New Roman" w:eastAsia="Times New Roman" w:hAnsi="Times New Roman"/>
          <w:sz w:val="12"/>
          <w:szCs w:val="12"/>
          <w:color w:val="auto"/>
        </w:rPr>
        <w:t>We have been authorized to issue up to 50,000,000 shares of preferred stock. Our board of directors has authorized, subject to limitations prescribed by Delaware law and our amended and restated certificate of incorporation, to determine the terms and conditions of the preferred stock, including whether the shares of preferred stock will be issued in one or more series, the number of shares to be included in each series and the powers, designations, preferences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and rights of the shares. Our Board of Directors has also been authorized to designate any qualifications, limitations or restrictions on the shares without any further vote or action by the stockholders. The issuance of preferred stock may have the effect of delaying, deferring or preventing a change in control of our company and may adversely affect the voting and other rights of the holders of our Class A common stock and Class B common stock, which could have an adverse impact on the market price of our Class A common stock. We have no current plan to issue any shares of preferred stock.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Corporate Opportunities</w:t>
      </w:r>
    </w:p>
    <w:p>
      <w:pPr>
        <w:spacing w:after="0" w:line="127" w:lineRule="exact"/>
        <w:rPr>
          <w:sz w:val="20"/>
          <w:szCs w:val="20"/>
          <w:color w:val="auto"/>
        </w:rPr>
      </w:pPr>
    </w:p>
    <w:p>
      <w:pPr>
        <w:jc w:val="both"/>
        <w:ind w:firstLine="324"/>
        <w:spacing w:after="0" w:line="221" w:lineRule="auto"/>
        <w:rPr>
          <w:sz w:val="20"/>
          <w:szCs w:val="20"/>
          <w:color w:val="auto"/>
        </w:rPr>
      </w:pPr>
      <w:r>
        <w:rPr>
          <w:rFonts w:ascii="Times New Roman" w:cs="Times New Roman" w:eastAsia="Times New Roman" w:hAnsi="Times New Roman"/>
          <w:sz w:val="12"/>
          <w:szCs w:val="12"/>
          <w:color w:val="auto"/>
        </w:rPr>
        <w:t>Our amended and restated certificate of incorporation provides that, to the fullest extent permitted by law, the doctrine of “corporate opportunity” will not apply to MacAndrews, any of our non-employee directors who are employees, affiliates or consultants of MacAndrews or its affiliates (other than us or our subsidiaries) or any of their respective affiliates in a manner that would prohibit them from investing in competing businesses or doing business</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2"/>
          <w:szCs w:val="12"/>
          <w:color w:val="auto"/>
        </w:rPr>
        <w:t>with our clients or customers. See “Risk Factors—Risks Relating to this Offering and Ownership of Our Class A Common Stock—MacAndrews has substantial influence over our business, and their interests may differ from our interests or those of our other stockholders” in our Annual Report on Form 10-K for the year ended December 31, 2021, which is incorporated herein by reference.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Anti-Takeover Effects of our Certificate of Incorporation and Bylaws</w:t>
      </w:r>
    </w:p>
    <w:p>
      <w:pPr>
        <w:spacing w:after="0" w:line="136" w:lineRule="exact"/>
        <w:rPr>
          <w:sz w:val="20"/>
          <w:szCs w:val="20"/>
          <w:color w:val="auto"/>
        </w:rPr>
      </w:pPr>
    </w:p>
    <w:p>
      <w:pPr>
        <w:jc w:val="both"/>
        <w:ind w:right="20" w:firstLine="564"/>
        <w:spacing w:after="0" w:line="236" w:lineRule="auto"/>
        <w:rPr>
          <w:sz w:val="20"/>
          <w:szCs w:val="20"/>
          <w:color w:val="auto"/>
        </w:rPr>
      </w:pPr>
      <w:r>
        <w:rPr>
          <w:rFonts w:ascii="Times New Roman" w:cs="Times New Roman" w:eastAsia="Times New Roman" w:hAnsi="Times New Roman"/>
          <w:sz w:val="12"/>
          <w:szCs w:val="12"/>
          <w:color w:val="auto"/>
        </w:rPr>
        <w:t>Our amended and restated certificate of incorporation and bylaws contain certain provisions that are intended to enhance the likelihood of continuity and stability in the composition of the Board of Directors and which may have the effect of delaying, deferring or preventing a future takeover or change in control of us unless such takeover or change in control is approved by our Board of Directors.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These provisions include:</w:t>
      </w:r>
    </w:p>
    <w:p>
      <w:pPr>
        <w:spacing w:after="0" w:line="130"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2"/>
          <w:szCs w:val="12"/>
          <w:i w:val="1"/>
          <w:iCs w:val="1"/>
          <w:u w:val="single" w:color="auto"/>
          <w:color w:val="auto"/>
        </w:rPr>
        <w:t>Action by Written Consent; Special Meetings of Stockholders</w:t>
      </w:r>
      <w:r>
        <w:rPr>
          <w:rFonts w:ascii="Times New Roman" w:cs="Times New Roman" w:eastAsia="Times New Roman" w:hAnsi="Times New Roman"/>
          <w:sz w:val="12"/>
          <w:szCs w:val="12"/>
          <w:color w:val="auto"/>
        </w:rPr>
        <w:t>. Our amended and restated certificate of incorporation provides that, following the date on which MacAndrews ceases to beneficially own more than 50% of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common stock (the “Triggering Event”), stockholder action can be taken only at an annual or special meeting of stockholders and cannot be taken by written consent in lieu of a meeting. Our amended and restated certificate of incorporation and bylaws also provide that, except as otherwise required by law, special meetings of the stockholders can only be called by the chairman or vice-chairman of the board, the chief executive officer, or pursuant to a</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2"/>
          <w:szCs w:val="12"/>
          <w:color w:val="auto"/>
        </w:rPr>
        <w:t>resolution adopted by a majority of the Board of Directors or, until the Triggering Event, at the request of holders of 50% or more of our outstanding shares of common stock. Except as described above, stockholders will not be permitted to call a special meeting or to require the Board of Directors to call a special meeting.</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u w:val="single" w:color="auto"/>
          <w:color w:val="auto"/>
        </w:rPr>
        <w:t>Advance Notice Procedures</w:t>
      </w:r>
      <w:r>
        <w:rPr>
          <w:rFonts w:ascii="Times New Roman" w:cs="Times New Roman" w:eastAsia="Times New Roman" w:hAnsi="Times New Roman"/>
          <w:sz w:val="12"/>
          <w:szCs w:val="12"/>
          <w:color w:val="auto"/>
        </w:rPr>
        <w:t>. Our bylaws establish an advance notice procedure for stockholder proposals to be brought before an annual meeting of our stockholders, including proposed nominations of persons for election to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Board of Directors. Stockholders at an annual meeting will only be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bylaws do not give the Board of Directors the power to approve or disapprove stockholder nominations of candidates or proposals regarding other business to be conducted at a special or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2"/>
          <w:szCs w:val="12"/>
          <w:color w:val="auto"/>
        </w:rPr>
        <w:t>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10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2"/>
          <w:szCs w:val="12"/>
          <w:i w:val="1"/>
          <w:iCs w:val="1"/>
          <w:u w:val="single" w:color="auto"/>
          <w:color w:val="auto"/>
        </w:rPr>
        <w:t>Vacancies and Newly-Created Directorships on the Board of Directors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Our bylaws provide that the Board of Directors can fill vacancies on the Board of Directors. In addition, the Board of Directors will be permitted to increase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number of directors and fill the vacant positions. These provisions could make it more difficult for shareholders to affect the composition of our Board of Directors.</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u w:val="single" w:color="auto"/>
          <w:color w:val="auto"/>
        </w:rPr>
        <w:t>Authorized but Unissued Shares</w:t>
      </w:r>
      <w:r>
        <w:rPr>
          <w:rFonts w:ascii="Times New Roman" w:cs="Times New Roman" w:eastAsia="Times New Roman" w:hAnsi="Times New Roman"/>
          <w:sz w:val="12"/>
          <w:szCs w:val="12"/>
          <w:color w:val="auto"/>
        </w:rPr>
        <w:t>. Our authorized but unissued shares of common stock and preferred stock will be available for future issuance without stockholder approval. These additional shares may be utilized for a</w:t>
      </w:r>
    </w:p>
    <w:p>
      <w:pPr>
        <w:sectPr>
          <w:pgSz w:w="11900" w:h="16838" w:orient="portrait"/>
          <w:cols w:equalWidth="0" w:num="1">
            <w:col w:w="11300"/>
          </w:cols>
          <w:pgMar w:left="300" w:top="1079" w:right="299" w:bottom="1440" w:gutter="0" w:footer="0" w:header="0"/>
        </w:sectPr>
      </w:pPr>
    </w:p>
    <w:bookmarkStart w:id="135" w:name="page136"/>
    <w:bookmarkEnd w:id="135"/>
    <w:p>
      <w:pPr>
        <w:jc w:val="both"/>
        <w:ind w:right="20"/>
        <w:spacing w:after="0" w:line="236" w:lineRule="auto"/>
        <w:rPr>
          <w:sz w:val="20"/>
          <w:szCs w:val="20"/>
          <w:color w:val="auto"/>
        </w:rPr>
      </w:pPr>
      <w:r>
        <w:rPr>
          <w:rFonts w:ascii="Times New Roman" w:cs="Times New Roman" w:eastAsia="Times New Roman" w:hAnsi="Times New Roman"/>
          <w:sz w:val="12"/>
          <w:szCs w:val="12"/>
          <w:color w:val="auto"/>
        </w:rPr>
        <w:t>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u w:val="single" w:color="auto"/>
          <w:color w:val="auto"/>
        </w:rPr>
        <w:t>Business Combinations with Interested Stockholders</w:t>
      </w:r>
      <w:r>
        <w:rPr>
          <w:rFonts w:ascii="Times New Roman" w:cs="Times New Roman" w:eastAsia="Times New Roman" w:hAnsi="Times New Roman"/>
          <w:sz w:val="12"/>
          <w:szCs w:val="12"/>
          <w:color w:val="auto"/>
        </w:rPr>
        <w:t>. We have elected in our amended and restated certificate of incorporation not to be subject to Section 203 of the Delaware General Corporation Law, an antitakeover law.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general, Section 203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will not be subject to any anti-takeover effects of Section 203. Nevertheless, our amended and restated certificate of incorporation contains provisions that have the same effect as Section 203, except that they provide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2"/>
          <w:szCs w:val="12"/>
          <w:color w:val="auto"/>
        </w:rPr>
        <w:t>that MacAndrews and its various affiliates, successors and transferees will not be deemed to be “interested stockholders,” regardless of the percentage of our voting stock owned by them, and accordingly will not be subject to such restrictions.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Choice of Forum</w:t>
      </w:r>
    </w:p>
    <w:p>
      <w:pPr>
        <w:spacing w:after="0" w:line="136" w:lineRule="exact"/>
        <w:rPr>
          <w:sz w:val="20"/>
          <w:szCs w:val="20"/>
          <w:color w:val="auto"/>
        </w:rPr>
      </w:pPr>
    </w:p>
    <w:p>
      <w:pPr>
        <w:jc w:val="both"/>
        <w:ind w:firstLine="324"/>
        <w:spacing w:after="0" w:line="215" w:lineRule="auto"/>
        <w:rPr>
          <w:sz w:val="20"/>
          <w:szCs w:val="20"/>
          <w:color w:val="auto"/>
        </w:rPr>
      </w:pPr>
      <w:r>
        <w:rPr>
          <w:rFonts w:ascii="Times New Roman" w:cs="Times New Roman" w:eastAsia="Times New Roman" w:hAnsi="Times New Roman"/>
          <w:sz w:val="12"/>
          <w:szCs w:val="12"/>
          <w:color w:val="auto"/>
        </w:rPr>
        <w:t>Our amended and restated certificate of incorporation provides that the Court of Chancery in the State of Delaware will be the sole and exclusive forum for (i) any derivative action or proceeding brought on our behalf, (ii) any action asserting a claim of breach of a fiduciary duty owed to us or our stockholders by our directors, officers or other employees, (iii) any action asserting a claim arising under the Delaware General Corporation Law, our amended and restated certificate of incorporation and amended and restated by-laws or (iv) any action asserting a claim that is governed by the internal affairs doctrine. It is possible that a court could rule that this provision is not applicable or is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2"/>
          <w:szCs w:val="12"/>
          <w:color w:val="auto"/>
        </w:rPr>
        <w:t>unenforceable. We may consent in writing to alternative forums. Stockholders will be deemed to have consented to the personal jurisdiction of the state and federal courts located within the State of Delaware and having service of process made on such stockholder’s counsel as agent for such stockholder.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Directors’ Liability; Indemnification of Directors and Officers</w:t>
      </w:r>
    </w:p>
    <w:p>
      <w:pPr>
        <w:spacing w:after="0" w:line="136" w:lineRule="exact"/>
        <w:rPr>
          <w:sz w:val="20"/>
          <w:szCs w:val="20"/>
          <w:color w:val="auto"/>
        </w:rPr>
      </w:pPr>
    </w:p>
    <w:p>
      <w:pPr>
        <w:jc w:val="both"/>
        <w:ind w:firstLine="324"/>
        <w:spacing w:after="0" w:line="225" w:lineRule="auto"/>
        <w:rPr>
          <w:sz w:val="20"/>
          <w:szCs w:val="20"/>
          <w:color w:val="auto"/>
        </w:rPr>
      </w:pPr>
      <w:r>
        <w:rPr>
          <w:rFonts w:ascii="Times New Roman" w:cs="Times New Roman" w:eastAsia="Times New Roman" w:hAnsi="Times New Roman"/>
          <w:sz w:val="12"/>
          <w:szCs w:val="12"/>
          <w:color w:val="auto"/>
        </w:rPr>
        <w:t>Our amended and restated certificate of incorporation limits the liability of our directors to the fullest extent permitted by the Delaware General Corporation Law and provides that we will provide them with customary indemnification. We expect to enter into customary indemnification agreements with each of our executive officers and directors that provide them, in general, with customary indemnification in connection with their service to us or on our behalf.</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Transfer Agent and Registrar</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transfer agent and registrar for our Class A common stock is Equiniti Trust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Securities Exchange</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shares of Class A common stock are listed on The NASDAQ Capital Market under the symbol “VTVT”.</w:t>
      </w:r>
    </w:p>
    <w:p>
      <w:pPr>
        <w:sectPr>
          <w:pgSz w:w="11900" w:h="16838" w:orient="portrait"/>
          <w:cols w:equalWidth="0" w:num="1">
            <w:col w:w="11300"/>
          </w:cols>
          <w:pgMar w:left="300" w:top="1083" w:right="299" w:bottom="1440"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8171815</wp:posOffset>
            </wp:positionV>
            <wp:extent cx="6036310" cy="18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4">
                      <a:extLst>
                        <a:ext uri="{28A0092B-C50C-407E-A947-70E740481C1C}"/>
                      </a:extLst>
                    </a:blip>
                    <a:srcRect/>
                    <a:stretch>
                      <a:fillRect/>
                    </a:stretch>
                  </pic:blipFill>
                  <pic:spPr bwMode="auto">
                    <a:xfrm>
                      <a:off x="0" y="0"/>
                      <a:ext cx="6036310"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9">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2"/>
          <w:szCs w:val="12"/>
          <w:b w:val="1"/>
          <w:bCs w:val="1"/>
          <w:color w:val="auto"/>
        </w:rPr>
        <w:t>Exhibit 21.1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40" w:type="dxa"/>
            <w:vAlign w:val="bottom"/>
          </w:tcPr>
          <w:p>
            <w:pPr>
              <w:spacing w:after="0"/>
              <w:rPr>
                <w:sz w:val="12"/>
                <w:szCs w:val="12"/>
                <w:color w:val="auto"/>
              </w:rPr>
            </w:pPr>
          </w:p>
        </w:tc>
        <w:tc>
          <w:tcPr>
            <w:tcW w:w="8460" w:type="dxa"/>
            <w:vAlign w:val="bottom"/>
            <w:gridSpan w:val="3"/>
          </w:tcPr>
          <w:p>
            <w:pPr>
              <w:ind w:left="2080"/>
              <w:spacing w:after="0"/>
              <w:rPr>
                <w:sz w:val="20"/>
                <w:szCs w:val="20"/>
                <w:color w:val="auto"/>
              </w:rPr>
            </w:pPr>
            <w:r>
              <w:rPr>
                <w:rFonts w:ascii="Times New Roman" w:cs="Times New Roman" w:eastAsia="Times New Roman" w:hAnsi="Times New Roman"/>
                <w:sz w:val="12"/>
                <w:szCs w:val="12"/>
                <w:color w:val="auto"/>
              </w:rPr>
              <w:t>vTv Therapeutics Inc.</w:t>
            </w:r>
          </w:p>
        </w:tc>
      </w:tr>
      <w:tr>
        <w:trPr>
          <w:trHeight w:val="155"/>
        </w:trPr>
        <w:tc>
          <w:tcPr>
            <w:tcW w:w="2840" w:type="dxa"/>
            <w:vAlign w:val="bottom"/>
          </w:tcPr>
          <w:p>
            <w:pPr>
              <w:spacing w:after="0"/>
              <w:rPr>
                <w:sz w:val="13"/>
                <w:szCs w:val="13"/>
                <w:color w:val="auto"/>
              </w:rPr>
            </w:pPr>
          </w:p>
        </w:tc>
        <w:tc>
          <w:tcPr>
            <w:tcW w:w="8460" w:type="dxa"/>
            <w:vAlign w:val="bottom"/>
            <w:gridSpan w:val="3"/>
          </w:tcPr>
          <w:p>
            <w:pPr>
              <w:ind w:left="1720"/>
              <w:spacing w:after="0"/>
              <w:rPr>
                <w:sz w:val="20"/>
                <w:szCs w:val="20"/>
                <w:color w:val="auto"/>
              </w:rPr>
            </w:pPr>
            <w:r>
              <w:rPr>
                <w:rFonts w:ascii="Times New Roman" w:cs="Times New Roman" w:eastAsia="Times New Roman" w:hAnsi="Times New Roman"/>
                <w:sz w:val="12"/>
                <w:szCs w:val="12"/>
                <w:color w:val="auto"/>
              </w:rPr>
              <w:t>Corporate Subsidiaries as of March 13, 2024</w:t>
            </w:r>
          </w:p>
        </w:tc>
      </w:tr>
      <w:tr>
        <w:trPr>
          <w:trHeight w:val="333"/>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Subsidiary</w:t>
            </w:r>
          </w:p>
        </w:tc>
        <w:tc>
          <w:tcPr>
            <w:tcW w:w="27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48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2"/>
                <w:szCs w:val="12"/>
                <w:b w:val="1"/>
                <w:bCs w:val="1"/>
                <w:color w:val="auto"/>
              </w:rPr>
              <w:t>Jurisdiction of Incorporation</w:t>
            </w:r>
          </w:p>
        </w:tc>
      </w:tr>
      <w:tr>
        <w:trPr>
          <w:trHeight w:val="268"/>
        </w:trPr>
        <w:tc>
          <w:tcPr>
            <w:tcW w:w="2840" w:type="dxa"/>
            <w:vAlign w:val="bottom"/>
          </w:tcPr>
          <w:p>
            <w:pPr>
              <w:spacing w:after="0"/>
              <w:rPr>
                <w:sz w:val="20"/>
                <w:szCs w:val="20"/>
                <w:color w:val="auto"/>
              </w:rPr>
            </w:pPr>
            <w:r>
              <w:rPr>
                <w:rFonts w:ascii="Times New Roman" w:cs="Times New Roman" w:eastAsia="Times New Roman" w:hAnsi="Times New Roman"/>
                <w:sz w:val="12"/>
                <w:szCs w:val="12"/>
                <w:color w:val="auto"/>
              </w:rPr>
              <w:t>vTv Therapeutics LLC</w:t>
            </w:r>
          </w:p>
        </w:tc>
        <w:tc>
          <w:tcPr>
            <w:tcW w:w="2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Delaware</w:t>
            </w:r>
          </w:p>
        </w:tc>
      </w:tr>
    </w:tbl>
    <w:p>
      <w:pPr>
        <w:sectPr>
          <w:pgSz w:w="11900" w:h="16838" w:orient="portrait"/>
          <w:cols w:equalWidth="0" w:num="1">
            <w:col w:w="11300"/>
          </w:cols>
          <w:pgMar w:left="300" w:top="989" w:right="29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2"/>
          <w:szCs w:val="12"/>
          <w:b w:val="1"/>
          <w:bCs w:val="1"/>
          <w:color w:val="auto"/>
        </w:rPr>
        <w:t>Exhibit 23.1</w:t>
      </w:r>
    </w:p>
    <w:p>
      <w:pPr>
        <w:spacing w:after="0" w:line="24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333333"/>
        </w:rPr>
        <w:t>Consent of Independent Registered Public Accounting Firm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We consent to the incorporation by reference in the following Registration Statements:</w:t>
      </w:r>
    </w:p>
    <w:p>
      <w:pPr>
        <w:spacing w:after="0" w:line="78" w:lineRule="exact"/>
        <w:rPr>
          <w:sz w:val="20"/>
          <w:szCs w:val="20"/>
          <w:color w:val="auto"/>
        </w:rPr>
      </w:pPr>
    </w:p>
    <w:p>
      <w:pPr>
        <w:ind w:left="420" w:hanging="212"/>
        <w:spacing w:after="0"/>
        <w:tabs>
          <w:tab w:leader="none" w:pos="4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Registration Statement (Form S-8 No. 333-206335) pertaining to the vTv Therapeutics Inc. 2015 Omnibus Equity Incentive Plan,</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Registration Statement (Form S-3 No. 333-232571) of vTv Therapeutics Inc.;</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Registration Statement (Form S-8 No. 333-240304) of vTv Therapeutics Inc.;</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Registration Statement (Form S-1 No. 333-250934) of vTv Therapeutics Inc.;</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Registration Statement (Form S-3 No. 333-254445) of vTv Therapeutics Inc.; and</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Registration Statement (Form S-3 No. 333-256755) of vTv Therapeutics Inc.</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 xml:space="preserve">of our report dated </w:t>
      </w:r>
      <w:r>
        <w:rPr>
          <w:rFonts w:ascii="Times New Roman" w:cs="Times New Roman" w:eastAsia="Times New Roman" w:hAnsi="Times New Roman"/>
          <w:sz w:val="13"/>
          <w:szCs w:val="13"/>
          <w:color w:val="000000"/>
        </w:rPr>
        <w:t>March 13, 2024</w:t>
      </w:r>
      <w:r>
        <w:rPr>
          <w:rFonts w:ascii="Times New Roman" w:cs="Times New Roman" w:eastAsia="Times New Roman" w:hAnsi="Times New Roman"/>
          <w:sz w:val="12"/>
          <w:szCs w:val="12"/>
          <w:color w:val="333333"/>
        </w:rPr>
        <w:t xml:space="preserve">, with respect to the consolidated financial statements of vTv Therapeutics Inc. included in this Annual Report (Form 10-K) of vTv Therapeutics Inc. for the year ended </w:t>
      </w:r>
      <w:r>
        <w:rPr>
          <w:rFonts w:ascii="Times New Roman" w:cs="Times New Roman" w:eastAsia="Times New Roman" w:hAnsi="Times New Roman"/>
          <w:sz w:val="13"/>
          <w:szCs w:val="13"/>
          <w:color w:val="000000"/>
        </w:rPr>
        <w:t>December 31, 2023</w:t>
      </w:r>
      <w:r>
        <w:rPr>
          <w:rFonts w:ascii="Times New Roman" w:cs="Times New Roman" w:eastAsia="Times New Roman" w:hAnsi="Times New Roman"/>
          <w:sz w:val="12"/>
          <w:szCs w:val="12"/>
          <w:color w:val="333333"/>
        </w:rPr>
        <w:t>.</w:t>
      </w:r>
    </w:p>
    <w:p>
      <w:pPr>
        <w:spacing w:after="0" w:line="34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2"/>
          <w:szCs w:val="12"/>
          <w:color w:val="333333"/>
        </w:rPr>
        <w:t>/s/ Ernst &amp; Young LLP</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Raleigh, North Carolina</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13, 2024</w:t>
      </w:r>
    </w:p>
    <w:p>
      <w:pPr>
        <w:sectPr>
          <w:pgSz w:w="11900" w:h="16838" w:orient="portrait"/>
          <w:cols w:equalWidth="0" w:num="1">
            <w:col w:w="11140"/>
          </w:cols>
          <w:pgMar w:left="300" w:top="863" w:right="45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2"/>
          <w:szCs w:val="12"/>
          <w:color w:val="auto"/>
        </w:rPr>
        <w:t>EXHIBIT 31.1</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SECTION 302 CERTIFICATION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Paul J. Sekhri, certify that:</w:t>
      </w:r>
    </w:p>
    <w:p>
      <w:pPr>
        <w:spacing w:after="0" w:line="78" w:lineRule="exact"/>
        <w:rPr>
          <w:sz w:val="20"/>
          <w:szCs w:val="20"/>
          <w:color w:val="auto"/>
        </w:rPr>
      </w:pPr>
    </w:p>
    <w:p>
      <w:pPr>
        <w:ind w:left="1280" w:hanging="640"/>
        <w:spacing w:after="0"/>
        <w:tabs>
          <w:tab w:leader="none" w:pos="12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vTv Therapeutics Inc. (the “registrant”);</w:t>
      </w:r>
    </w:p>
    <w:p>
      <w:pPr>
        <w:spacing w:after="0" w:line="78" w:lineRule="exact"/>
        <w:rPr>
          <w:rFonts w:ascii="Times New Roman" w:cs="Times New Roman" w:eastAsia="Times New Roman" w:hAnsi="Times New Roman"/>
          <w:sz w:val="12"/>
          <w:szCs w:val="12"/>
          <w:color w:val="auto"/>
        </w:rPr>
      </w:pPr>
    </w:p>
    <w:p>
      <w:pPr>
        <w:ind w:left="1280" w:hanging="640"/>
        <w:spacing w:after="0" w:line="279" w:lineRule="auto"/>
        <w:tabs>
          <w:tab w:leader="none" w:pos="12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2"/>
          <w:szCs w:val="12"/>
          <w:color w:val="auto"/>
        </w:rPr>
      </w:pPr>
    </w:p>
    <w:p>
      <w:pPr>
        <w:ind w:left="1280" w:right="20" w:hanging="640"/>
        <w:spacing w:after="0" w:line="279" w:lineRule="auto"/>
        <w:tabs>
          <w:tab w:leader="none" w:pos="12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2"/>
          <w:szCs w:val="12"/>
          <w:color w:val="auto"/>
        </w:rPr>
      </w:pPr>
    </w:p>
    <w:p>
      <w:pPr>
        <w:ind w:left="1280" w:hanging="640"/>
        <w:spacing w:after="0" w:line="279" w:lineRule="auto"/>
        <w:tabs>
          <w:tab w:leader="none" w:pos="12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39" w:lineRule="exact"/>
        <w:rPr>
          <w:rFonts w:ascii="Times New Roman" w:cs="Times New Roman" w:eastAsia="Times New Roman" w:hAnsi="Times New Roman"/>
          <w:sz w:val="12"/>
          <w:szCs w:val="12"/>
          <w:color w:val="auto"/>
        </w:rPr>
      </w:pPr>
    </w:p>
    <w:p>
      <w:pPr>
        <w:ind w:left="1940" w:hanging="652"/>
        <w:spacing w:after="0" w:line="279" w:lineRule="auto"/>
        <w:tabs>
          <w:tab w:leader="none" w:pos="1938"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2"/>
          <w:szCs w:val="12"/>
          <w:color w:val="auto"/>
        </w:rPr>
      </w:pPr>
    </w:p>
    <w:p>
      <w:pPr>
        <w:ind w:left="1940" w:right="20" w:hanging="652"/>
        <w:spacing w:after="0" w:line="279" w:lineRule="auto"/>
        <w:tabs>
          <w:tab w:leader="none" w:pos="1936"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2"/>
          <w:szCs w:val="12"/>
          <w:color w:val="auto"/>
        </w:rPr>
      </w:pPr>
    </w:p>
    <w:p>
      <w:pPr>
        <w:ind w:left="1940" w:hanging="652"/>
        <w:spacing w:after="0" w:line="279" w:lineRule="auto"/>
        <w:tabs>
          <w:tab w:leader="none" w:pos="1938"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2"/>
          <w:szCs w:val="12"/>
          <w:color w:val="auto"/>
        </w:rPr>
      </w:pPr>
    </w:p>
    <w:p>
      <w:pPr>
        <w:ind w:left="1940" w:hanging="652"/>
        <w:spacing w:after="0" w:line="279" w:lineRule="auto"/>
        <w:tabs>
          <w:tab w:leader="none" w:pos="1936"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2"/>
          <w:szCs w:val="12"/>
          <w:color w:val="auto"/>
        </w:rPr>
      </w:pPr>
    </w:p>
    <w:p>
      <w:pPr>
        <w:ind w:left="1280" w:right="20" w:hanging="640"/>
        <w:spacing w:after="0" w:line="279" w:lineRule="auto"/>
        <w:tabs>
          <w:tab w:leader="none" w:pos="12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2"/>
          <w:szCs w:val="12"/>
          <w:color w:val="auto"/>
        </w:rPr>
      </w:pPr>
    </w:p>
    <w:p>
      <w:pPr>
        <w:ind w:left="1940" w:hanging="652"/>
        <w:spacing w:after="0" w:line="279" w:lineRule="auto"/>
        <w:tabs>
          <w:tab w:leader="none" w:pos="1938"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2"/>
          <w:szCs w:val="12"/>
          <w:color w:val="auto"/>
        </w:rPr>
      </w:pPr>
    </w:p>
    <w:p>
      <w:pPr>
        <w:ind w:left="1940" w:hanging="652"/>
        <w:spacing w:after="0"/>
        <w:tabs>
          <w:tab w:leader="none" w:pos="1940"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13, 2024</w:t>
      </w:r>
    </w:p>
    <w:p>
      <w:pPr>
        <w:spacing w:after="0" w:line="105" w:lineRule="exact"/>
        <w:rPr>
          <w:sz w:val="20"/>
          <w:szCs w:val="20"/>
          <w:color w:val="auto"/>
        </w:rPr>
      </w:pPr>
    </w:p>
    <w:p>
      <w:pPr>
        <w:ind w:left="5480"/>
        <w:spacing w:after="0"/>
        <w:tabs>
          <w:tab w:leader="none" w:pos="602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Paul J. Sekhri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10795</wp:posOffset>
            </wp:positionV>
            <wp:extent cx="334327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3343275" cy="5715"/>
                    </a:xfrm>
                    <a:prstGeom prst="rect">
                      <a:avLst/>
                    </a:prstGeom>
                    <a:noFill/>
                  </pic:spPr>
                </pic:pic>
              </a:graphicData>
            </a:graphic>
          </wp:anchor>
        </w:drawing>
      </w:r>
    </w:p>
    <w:p>
      <w:pPr>
        <w:spacing w:after="0" w:line="8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Paul J. Sekhri</w:t>
      </w:r>
    </w:p>
    <w:p>
      <w:pPr>
        <w:spacing w:after="0" w:line="3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Chief Executive Officer</w:t>
      </w:r>
    </w:p>
    <w:p>
      <w:pPr>
        <w:sectPr>
          <w:pgSz w:w="11900" w:h="16838" w:orient="portrait"/>
          <w:cols w:equalWidth="0" w:num="1">
            <w:col w:w="11300"/>
          </w:cols>
          <w:pgMar w:left="300" w:top="813" w:right="29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2"/>
          <w:szCs w:val="12"/>
          <w:color w:val="auto"/>
        </w:rPr>
        <w:t>EXHIBIT 31.2</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SECTION 302 CERTIFICATION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Steven Tuch, certify that:</w:t>
      </w:r>
    </w:p>
    <w:p>
      <w:pPr>
        <w:spacing w:after="0" w:line="78" w:lineRule="exact"/>
        <w:rPr>
          <w:sz w:val="20"/>
          <w:szCs w:val="20"/>
          <w:color w:val="auto"/>
        </w:rPr>
      </w:pPr>
    </w:p>
    <w:p>
      <w:pPr>
        <w:ind w:left="1280" w:hanging="640"/>
        <w:spacing w:after="0"/>
        <w:tabs>
          <w:tab w:leader="none" w:pos="128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vTv Therapeutics Inc. (the “registrant”);</w:t>
      </w:r>
    </w:p>
    <w:p>
      <w:pPr>
        <w:spacing w:after="0" w:line="78" w:lineRule="exact"/>
        <w:rPr>
          <w:rFonts w:ascii="Times New Roman" w:cs="Times New Roman" w:eastAsia="Times New Roman" w:hAnsi="Times New Roman"/>
          <w:sz w:val="12"/>
          <w:szCs w:val="12"/>
          <w:color w:val="auto"/>
        </w:rPr>
      </w:pPr>
    </w:p>
    <w:p>
      <w:pPr>
        <w:ind w:left="1280" w:hanging="640"/>
        <w:spacing w:after="0" w:line="279" w:lineRule="auto"/>
        <w:tabs>
          <w:tab w:leader="none" w:pos="128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2"/>
          <w:szCs w:val="12"/>
          <w:color w:val="auto"/>
        </w:rPr>
      </w:pPr>
    </w:p>
    <w:p>
      <w:pPr>
        <w:ind w:left="1280" w:right="20" w:hanging="640"/>
        <w:spacing w:after="0" w:line="279" w:lineRule="auto"/>
        <w:tabs>
          <w:tab w:leader="none" w:pos="128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2"/>
          <w:szCs w:val="12"/>
          <w:color w:val="auto"/>
        </w:rPr>
      </w:pPr>
    </w:p>
    <w:p>
      <w:pPr>
        <w:ind w:left="1280" w:hanging="640"/>
        <w:spacing w:after="0" w:line="279" w:lineRule="auto"/>
        <w:tabs>
          <w:tab w:leader="none" w:pos="128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39" w:lineRule="exact"/>
        <w:rPr>
          <w:rFonts w:ascii="Times New Roman" w:cs="Times New Roman" w:eastAsia="Times New Roman" w:hAnsi="Times New Roman"/>
          <w:sz w:val="12"/>
          <w:szCs w:val="12"/>
          <w:color w:val="auto"/>
        </w:rPr>
      </w:pPr>
    </w:p>
    <w:p>
      <w:pPr>
        <w:ind w:left="1940" w:hanging="652"/>
        <w:spacing w:after="0" w:line="279" w:lineRule="auto"/>
        <w:tabs>
          <w:tab w:leader="none" w:pos="1938"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2"/>
          <w:szCs w:val="12"/>
          <w:color w:val="auto"/>
        </w:rPr>
      </w:pPr>
    </w:p>
    <w:p>
      <w:pPr>
        <w:ind w:left="1940" w:right="20" w:hanging="652"/>
        <w:spacing w:after="0" w:line="279" w:lineRule="auto"/>
        <w:tabs>
          <w:tab w:leader="none" w:pos="1936"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2"/>
          <w:szCs w:val="12"/>
          <w:color w:val="auto"/>
        </w:rPr>
      </w:pPr>
    </w:p>
    <w:p>
      <w:pPr>
        <w:ind w:left="1940" w:hanging="652"/>
        <w:spacing w:after="0" w:line="279" w:lineRule="auto"/>
        <w:tabs>
          <w:tab w:leader="none" w:pos="1938"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2"/>
          <w:szCs w:val="12"/>
          <w:color w:val="auto"/>
        </w:rPr>
      </w:pPr>
    </w:p>
    <w:p>
      <w:pPr>
        <w:ind w:left="1940" w:right="20" w:hanging="652"/>
        <w:spacing w:after="0" w:line="279" w:lineRule="auto"/>
        <w:tabs>
          <w:tab w:leader="none" w:pos="1936"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2"/>
          <w:szCs w:val="12"/>
          <w:color w:val="auto"/>
        </w:rPr>
      </w:pPr>
    </w:p>
    <w:p>
      <w:pPr>
        <w:ind w:left="1280" w:right="20" w:hanging="640"/>
        <w:spacing w:after="0" w:line="279" w:lineRule="auto"/>
        <w:tabs>
          <w:tab w:leader="none" w:pos="128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2"/>
          <w:szCs w:val="12"/>
          <w:color w:val="auto"/>
        </w:rPr>
      </w:pPr>
    </w:p>
    <w:p>
      <w:pPr>
        <w:ind w:left="1940" w:hanging="652"/>
        <w:spacing w:after="0" w:line="279" w:lineRule="auto"/>
        <w:tabs>
          <w:tab w:leader="none" w:pos="1938"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2"/>
          <w:szCs w:val="12"/>
          <w:color w:val="auto"/>
        </w:rPr>
      </w:pPr>
    </w:p>
    <w:p>
      <w:pPr>
        <w:ind w:left="1940" w:hanging="652"/>
        <w:spacing w:after="0"/>
        <w:tabs>
          <w:tab w:leader="none" w:pos="1940"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13, 2024</w:t>
      </w:r>
    </w:p>
    <w:p>
      <w:pPr>
        <w:spacing w:after="0" w:line="105" w:lineRule="exact"/>
        <w:rPr>
          <w:sz w:val="20"/>
          <w:szCs w:val="20"/>
          <w:color w:val="auto"/>
        </w:rPr>
      </w:pPr>
    </w:p>
    <w:tbl>
      <w:tblPr>
        <w:tblLayout w:type="fixed"/>
        <w:tblInd w:w="548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Steven Tuch</w:t>
            </w:r>
          </w:p>
        </w:tc>
      </w:tr>
      <w:tr>
        <w:trPr>
          <w:trHeight w:val="140"/>
        </w:trPr>
        <w:tc>
          <w:tcPr>
            <w:tcW w:w="560" w:type="dxa"/>
            <w:vAlign w:val="bottom"/>
          </w:tcPr>
          <w:p>
            <w:pPr>
              <w:spacing w:after="0"/>
              <w:rPr>
                <w:sz w:val="12"/>
                <w:szCs w:val="12"/>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2"/>
                <w:szCs w:val="12"/>
                <w:color w:val="auto"/>
              </w:rPr>
              <w:t>Steven Tuch</w:t>
            </w:r>
          </w:p>
        </w:tc>
      </w:tr>
      <w:tr>
        <w:trPr>
          <w:trHeight w:val="155"/>
        </w:trPr>
        <w:tc>
          <w:tcPr>
            <w:tcW w:w="560" w:type="dxa"/>
            <w:vAlign w:val="bottom"/>
          </w:tcPr>
          <w:p>
            <w:pPr>
              <w:spacing w:after="0"/>
              <w:rPr>
                <w:sz w:val="13"/>
                <w:szCs w:val="13"/>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300"/>
          </w:cols>
          <w:pgMar w:left="300" w:top="813" w:right="29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2"/>
          <w:szCs w:val="12"/>
          <w:color w:val="auto"/>
        </w:rPr>
        <w:t>EXHIBIT 32.1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SECTION 906 OF THE SARBANES-OXLEY ACT OF 2002</w:t>
      </w:r>
    </w:p>
    <w:p>
      <w:pPr>
        <w:spacing w:after="0" w:line="139" w:lineRule="exact"/>
        <w:rPr>
          <w:sz w:val="20"/>
          <w:szCs w:val="20"/>
          <w:color w:val="auto"/>
        </w:rPr>
      </w:pPr>
    </w:p>
    <w:p>
      <w:pPr>
        <w:ind w:right="20" w:firstLine="648"/>
        <w:spacing w:after="0" w:line="279" w:lineRule="auto"/>
        <w:rPr>
          <w:sz w:val="20"/>
          <w:szCs w:val="20"/>
          <w:color w:val="auto"/>
        </w:rPr>
      </w:pPr>
      <w:r>
        <w:rPr>
          <w:rFonts w:ascii="Times New Roman" w:cs="Times New Roman" w:eastAsia="Times New Roman" w:hAnsi="Times New Roman"/>
          <w:sz w:val="12"/>
          <w:szCs w:val="12"/>
          <w:color w:val="auto"/>
        </w:rPr>
        <w:t>In connection with the Annual Report of vTv Therapeutics Inc. (the “Company”) on Form 10-K for the period ended December 31, 2023 as filed with the Securities and Exchange Commission on the date hereof (the “Report”), I, Paul J. Sekhri, certify, pursuant to 18 U.S.C. Section 1350, as adopted pursuant to Section 906 of the Sarbanes-Oxley Act of 2002, in my capacity as an officer of the Company that, to my knowledge:</w:t>
      </w:r>
    </w:p>
    <w:p>
      <w:pPr>
        <w:spacing w:after="0" w:line="39" w:lineRule="exact"/>
        <w:rPr>
          <w:sz w:val="20"/>
          <w:szCs w:val="20"/>
          <w:color w:val="auto"/>
        </w:rPr>
      </w:pPr>
    </w:p>
    <w:p>
      <w:pPr>
        <w:ind w:left="1280" w:hanging="640"/>
        <w:spacing w:after="0"/>
        <w:tabs>
          <w:tab w:leader="none" w:pos="12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as applicable, of the Securities Exchange Act of 1934; and</w:t>
      </w:r>
    </w:p>
    <w:p>
      <w:pPr>
        <w:spacing w:after="0" w:line="78" w:lineRule="exact"/>
        <w:rPr>
          <w:rFonts w:ascii="Times New Roman" w:cs="Times New Roman" w:eastAsia="Times New Roman" w:hAnsi="Times New Roman"/>
          <w:sz w:val="12"/>
          <w:szCs w:val="12"/>
          <w:color w:val="auto"/>
        </w:rPr>
      </w:pPr>
    </w:p>
    <w:p>
      <w:pPr>
        <w:ind w:left="1280" w:hanging="640"/>
        <w:spacing w:after="0"/>
        <w:tabs>
          <w:tab w:leader="none" w:pos="12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13, 2024</w:t>
      </w:r>
    </w:p>
    <w:p>
      <w:pPr>
        <w:spacing w:after="0" w:line="186" w:lineRule="exact"/>
        <w:rPr>
          <w:sz w:val="20"/>
          <w:szCs w:val="20"/>
          <w:color w:val="auto"/>
        </w:rPr>
      </w:pPr>
    </w:p>
    <w:p>
      <w:pPr>
        <w:ind w:left="5480"/>
        <w:spacing w:after="0"/>
        <w:tabs>
          <w:tab w:leader="none" w:pos="602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Paul J. Sekhri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22225</wp:posOffset>
            </wp:positionV>
            <wp:extent cx="334327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2">
                      <a:extLst>
                        <a:ext uri="{28A0092B-C50C-407E-A947-70E740481C1C}"/>
                      </a:extLst>
                    </a:blip>
                    <a:srcRect/>
                    <a:stretch>
                      <a:fillRect/>
                    </a:stretch>
                  </pic:blipFill>
                  <pic:spPr bwMode="auto">
                    <a:xfrm>
                      <a:off x="0" y="0"/>
                      <a:ext cx="3343275" cy="5715"/>
                    </a:xfrm>
                    <a:prstGeom prst="rect">
                      <a:avLst/>
                    </a:prstGeom>
                    <a:noFill/>
                  </pic:spPr>
                </pic:pic>
              </a:graphicData>
            </a:graphic>
          </wp:anchor>
        </w:drawing>
      </w:r>
    </w:p>
    <w:p>
      <w:pPr>
        <w:spacing w:after="0" w:line="10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Paul J. Sekhri</w:t>
      </w:r>
    </w:p>
    <w:p>
      <w:pPr>
        <w:spacing w:after="0" w:line="4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Chief Executive Officer</w:t>
      </w:r>
    </w:p>
    <w:p>
      <w:pPr>
        <w:sectPr>
          <w:pgSz w:w="11900" w:h="16838" w:orient="portrait"/>
          <w:cols w:equalWidth="0" w:num="1">
            <w:col w:w="11300"/>
          </w:cols>
          <w:pgMar w:left="300" w:top="813" w:right="29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2"/>
          <w:szCs w:val="12"/>
          <w:color w:val="auto"/>
        </w:rPr>
        <w:t>EXHIBIT 32.2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SECTION 906 OF THE SARBANES-OXLEY ACT OF 2002</w:t>
      </w:r>
    </w:p>
    <w:p>
      <w:pPr>
        <w:spacing w:after="0" w:line="139" w:lineRule="exact"/>
        <w:rPr>
          <w:sz w:val="20"/>
          <w:szCs w:val="20"/>
          <w:color w:val="auto"/>
        </w:rPr>
      </w:pPr>
    </w:p>
    <w:p>
      <w:pPr>
        <w:ind w:right="20" w:firstLine="648"/>
        <w:spacing w:after="0" w:line="279" w:lineRule="auto"/>
        <w:rPr>
          <w:sz w:val="20"/>
          <w:szCs w:val="20"/>
          <w:color w:val="auto"/>
        </w:rPr>
      </w:pPr>
      <w:r>
        <w:rPr>
          <w:rFonts w:ascii="Times New Roman" w:cs="Times New Roman" w:eastAsia="Times New Roman" w:hAnsi="Times New Roman"/>
          <w:sz w:val="12"/>
          <w:szCs w:val="12"/>
          <w:color w:val="auto"/>
        </w:rPr>
        <w:t>In connection with the Annual Report of vTv Therapeutics Inc. (the “Company”) on Form 10-K for the period ended December 31, 2023 as filed with the Securities and Exchange Commission on the date hereof (the “Report”), I, Steven Tuch, certify, pursuant to 18 U.S.C. Section 1350, as adopted pursuant to Section 906 of the Sarbanes-Oxley Act of 2002, in my capacity as an officer of the Company that, to my knowledge:</w:t>
      </w:r>
    </w:p>
    <w:p>
      <w:pPr>
        <w:spacing w:after="0" w:line="39" w:lineRule="exact"/>
        <w:rPr>
          <w:sz w:val="20"/>
          <w:szCs w:val="20"/>
          <w:color w:val="auto"/>
        </w:rPr>
      </w:pPr>
    </w:p>
    <w:p>
      <w:pPr>
        <w:ind w:left="1280" w:hanging="640"/>
        <w:spacing w:after="0"/>
        <w:tabs>
          <w:tab w:leader="none" w:pos="12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78" w:lineRule="exact"/>
        <w:rPr>
          <w:rFonts w:ascii="Times New Roman" w:cs="Times New Roman" w:eastAsia="Times New Roman" w:hAnsi="Times New Roman"/>
          <w:sz w:val="12"/>
          <w:szCs w:val="12"/>
          <w:color w:val="auto"/>
        </w:rPr>
      </w:pPr>
    </w:p>
    <w:p>
      <w:pPr>
        <w:ind w:left="1280" w:hanging="640"/>
        <w:spacing w:after="0"/>
        <w:tabs>
          <w:tab w:leader="none" w:pos="12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13, 2024</w:t>
      </w:r>
    </w:p>
    <w:p>
      <w:pPr>
        <w:spacing w:after="0" w:line="177" w:lineRule="exact"/>
        <w:rPr>
          <w:sz w:val="20"/>
          <w:szCs w:val="20"/>
          <w:color w:val="auto"/>
        </w:rPr>
      </w:pPr>
    </w:p>
    <w:tbl>
      <w:tblPr>
        <w:tblLayout w:type="fixed"/>
        <w:tblInd w:w="548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Steven Tuch</w:t>
            </w:r>
          </w:p>
        </w:tc>
      </w:tr>
      <w:tr>
        <w:trPr>
          <w:trHeight w:val="140"/>
        </w:trPr>
        <w:tc>
          <w:tcPr>
            <w:tcW w:w="560" w:type="dxa"/>
            <w:vAlign w:val="bottom"/>
          </w:tcPr>
          <w:p>
            <w:pPr>
              <w:spacing w:after="0"/>
              <w:rPr>
                <w:sz w:val="12"/>
                <w:szCs w:val="12"/>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2"/>
                <w:szCs w:val="12"/>
                <w:color w:val="auto"/>
              </w:rPr>
              <w:t>Steven Tuch</w:t>
            </w:r>
          </w:p>
        </w:tc>
      </w:tr>
      <w:tr>
        <w:trPr>
          <w:trHeight w:val="155"/>
        </w:trPr>
        <w:tc>
          <w:tcPr>
            <w:tcW w:w="560" w:type="dxa"/>
            <w:vAlign w:val="bottom"/>
          </w:tcPr>
          <w:p>
            <w:pPr>
              <w:spacing w:after="0"/>
              <w:rPr>
                <w:sz w:val="13"/>
                <w:szCs w:val="13"/>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300"/>
          </w:cols>
          <w:pgMar w:left="300" w:top="813" w:right="29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3"/>
          <w:szCs w:val="13"/>
          <w:b w:val="1"/>
          <w:bCs w:val="1"/>
          <w:color w:val="auto"/>
        </w:rPr>
        <w:t>VTV THERAPEUTICS INC.</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CLAWBACK POLICY</w:t>
      </w:r>
    </w:p>
    <w:p>
      <w:pPr>
        <w:spacing w:after="0" w:line="12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vTv Therapeutics Inc. (the “</w:t>
      </w:r>
      <w:r>
        <w:rPr>
          <w:rFonts w:ascii="Times New Roman" w:cs="Times New Roman" w:eastAsia="Times New Roman" w:hAnsi="Times New Roman"/>
          <w:sz w:val="13"/>
          <w:szCs w:val="13"/>
          <w:b w:val="1"/>
          <w:bCs w:val="1"/>
          <w:u w:val="single" w:color="auto"/>
          <w:color w:val="auto"/>
        </w:rPr>
        <w:t>Company</w:t>
      </w:r>
      <w:r>
        <w:rPr>
          <w:rFonts w:ascii="Times New Roman" w:cs="Times New Roman" w:eastAsia="Times New Roman" w:hAnsi="Times New Roman"/>
          <w:sz w:val="13"/>
          <w:szCs w:val="13"/>
          <w:color w:val="auto"/>
        </w:rPr>
        <w:t>”) has adopted this clawback policy (“</w:t>
      </w:r>
      <w:r>
        <w:rPr>
          <w:rFonts w:ascii="Times New Roman" w:cs="Times New Roman" w:eastAsia="Times New Roman" w:hAnsi="Times New Roman"/>
          <w:sz w:val="13"/>
          <w:szCs w:val="13"/>
          <w:b w:val="1"/>
          <w:bCs w:val="1"/>
          <w:u w:val="single" w:color="auto"/>
          <w:color w:val="auto"/>
        </w:rPr>
        <w:t>Policy</w:t>
      </w:r>
      <w:r>
        <w:rPr>
          <w:rFonts w:ascii="Times New Roman" w:cs="Times New Roman" w:eastAsia="Times New Roman" w:hAnsi="Times New Roman"/>
          <w:sz w:val="13"/>
          <w:szCs w:val="13"/>
          <w:color w:val="auto"/>
        </w:rPr>
        <w:t>”) in accordance with Nasdaq listing requirements.</w:t>
      </w:r>
    </w:p>
    <w:p>
      <w:pPr>
        <w:spacing w:after="0" w:line="130" w:lineRule="exact"/>
        <w:rPr>
          <w:sz w:val="20"/>
          <w:szCs w:val="20"/>
          <w:color w:val="auto"/>
        </w:rPr>
      </w:pPr>
    </w:p>
    <w:p>
      <w:pPr>
        <w:ind w:left="840" w:hanging="416"/>
        <w:spacing w:after="0"/>
        <w:tabs>
          <w:tab w:leader="none" w:pos="840" w:val="left"/>
        </w:tabs>
        <w:numPr>
          <w:ilvl w:val="0"/>
          <w:numId w:val="6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Application of Policy</w:t>
      </w:r>
    </w:p>
    <w:p>
      <w:pPr>
        <w:spacing w:after="0" w:line="130" w:lineRule="exact"/>
        <w:rPr>
          <w:sz w:val="20"/>
          <w:szCs w:val="20"/>
          <w:color w:val="auto"/>
        </w:rPr>
      </w:pPr>
    </w:p>
    <w:p>
      <w:pPr>
        <w:ind w:firstLine="864"/>
        <w:spacing w:after="0" w:line="222" w:lineRule="auto"/>
        <w:rPr>
          <w:sz w:val="20"/>
          <w:szCs w:val="20"/>
          <w:color w:val="auto"/>
        </w:rPr>
      </w:pPr>
      <w:r>
        <w:rPr>
          <w:rFonts w:ascii="Times New Roman" w:cs="Times New Roman" w:eastAsia="Times New Roman" w:hAnsi="Times New Roman"/>
          <w:sz w:val="13"/>
          <w:szCs w:val="13"/>
          <w:color w:val="auto"/>
        </w:rPr>
        <w:t xml:space="preserve">This Policy applies in the event of </w:t>
      </w:r>
      <w:r>
        <w:rPr>
          <w:rFonts w:ascii="Times New Roman" w:cs="Times New Roman" w:eastAsia="Times New Roman" w:hAnsi="Times New Roman"/>
          <w:sz w:val="13"/>
          <w:szCs w:val="13"/>
          <w:u w:val="single" w:color="auto"/>
          <w:color w:val="auto"/>
        </w:rPr>
        <w:t>any</w:t>
      </w:r>
      <w:r>
        <w:rPr>
          <w:rFonts w:ascii="Times New Roman" w:cs="Times New Roman" w:eastAsia="Times New Roman" w:hAnsi="Times New Roman"/>
          <w:sz w:val="13"/>
          <w:szCs w:val="13"/>
          <w:color w:val="auto"/>
        </w:rPr>
        <w:t xml:space="preserve"> accounting restatement (“</w:t>
      </w:r>
      <w:r>
        <w:rPr>
          <w:rFonts w:ascii="Times New Roman" w:cs="Times New Roman" w:eastAsia="Times New Roman" w:hAnsi="Times New Roman"/>
          <w:sz w:val="13"/>
          <w:szCs w:val="13"/>
          <w:b w:val="1"/>
          <w:bCs w:val="1"/>
          <w:u w:val="single" w:color="auto"/>
          <w:color w:val="auto"/>
        </w:rPr>
        <w:t>Restatement</w:t>
      </w:r>
      <w:r>
        <w:rPr>
          <w:rFonts w:ascii="Times New Roman" w:cs="Times New Roman" w:eastAsia="Times New Roman" w:hAnsi="Times New Roman"/>
          <w:sz w:val="13"/>
          <w:szCs w:val="13"/>
          <w:color w:val="auto"/>
        </w:rPr>
        <w:t>”) due to the Company’s material non-compliance with financial reporting requirements under applicable securities laws, in accordance with Rule 10D-1 of the Securities Exchange Act of 1934 (“</w:t>
      </w:r>
      <w:r>
        <w:rPr>
          <w:rFonts w:ascii="Times New Roman" w:cs="Times New Roman" w:eastAsia="Times New Roman" w:hAnsi="Times New Roman"/>
          <w:sz w:val="13"/>
          <w:szCs w:val="13"/>
          <w:b w:val="1"/>
          <w:bCs w:val="1"/>
          <w:u w:val="single" w:color="auto"/>
          <w:color w:val="auto"/>
        </w:rPr>
        <w:t>Rule 10D</w:t>
      </w:r>
      <w:r>
        <w:rPr>
          <w:rFonts w:ascii="Times New Roman" w:cs="Times New Roman" w:eastAsia="Times New Roman" w:hAnsi="Times New Roman"/>
          <w:sz w:val="13"/>
          <w:szCs w:val="13"/>
          <w:color w:val="auto"/>
        </w:rPr>
        <w:t>”). This Policy shall apply to Incentive-Based Compensation (as defined below) received on or after October 2, 2023 (the</w:t>
      </w: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Effective Date</w:t>
      </w:r>
      <w:r>
        <w:rPr>
          <w:rFonts w:ascii="Times New Roman" w:cs="Times New Roman" w:eastAsia="Times New Roman" w:hAnsi="Times New Roman"/>
          <w:sz w:val="13"/>
          <w:szCs w:val="13"/>
          <w:color w:val="auto"/>
        </w:rPr>
        <w:t>”).</w:t>
      </w:r>
    </w:p>
    <w:p>
      <w:pPr>
        <w:spacing w:after="0" w:line="114" w:lineRule="exact"/>
        <w:rPr>
          <w:sz w:val="20"/>
          <w:szCs w:val="20"/>
          <w:color w:val="auto"/>
        </w:rPr>
      </w:pPr>
    </w:p>
    <w:p>
      <w:pPr>
        <w:ind w:left="860" w:hanging="436"/>
        <w:spacing w:after="0"/>
        <w:tabs>
          <w:tab w:leader="none" w:pos="86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Executive Officers Subject to the Policy</w:t>
      </w:r>
    </w:p>
    <w:p>
      <w:pPr>
        <w:spacing w:after="0" w:line="121" w:lineRule="exact"/>
        <w:rPr>
          <w:sz w:val="20"/>
          <w:szCs w:val="20"/>
          <w:color w:val="auto"/>
        </w:rPr>
      </w:pPr>
    </w:p>
    <w:p>
      <w:pPr>
        <w:jc w:val="both"/>
        <w:ind w:firstLine="864"/>
        <w:spacing w:after="0" w:line="220" w:lineRule="auto"/>
        <w:rPr>
          <w:sz w:val="20"/>
          <w:szCs w:val="20"/>
          <w:color w:val="auto"/>
        </w:rPr>
      </w:pPr>
      <w:r>
        <w:rPr>
          <w:rFonts w:ascii="Times New Roman" w:cs="Times New Roman" w:eastAsia="Times New Roman" w:hAnsi="Times New Roman"/>
          <w:sz w:val="13"/>
          <w:szCs w:val="13"/>
          <w:color w:val="auto"/>
        </w:rPr>
        <w:t>The executives of the Company who serve or served as an “executive officer” (as defined under Rule 10D) of the Company (the “</w:t>
      </w:r>
      <w:r>
        <w:rPr>
          <w:rFonts w:ascii="Times New Roman" w:cs="Times New Roman" w:eastAsia="Times New Roman" w:hAnsi="Times New Roman"/>
          <w:sz w:val="13"/>
          <w:szCs w:val="13"/>
          <w:b w:val="1"/>
          <w:bCs w:val="1"/>
          <w:u w:val="single" w:color="auto"/>
          <w:color w:val="auto"/>
        </w:rPr>
        <w:t>Executive Officers</w:t>
      </w:r>
      <w:r>
        <w:rPr>
          <w:rFonts w:ascii="Times New Roman" w:cs="Times New Roman" w:eastAsia="Times New Roman" w:hAnsi="Times New Roman"/>
          <w:sz w:val="13"/>
          <w:szCs w:val="13"/>
          <w:color w:val="auto"/>
        </w:rPr>
        <w:t>”) are covered by this Policy. This includes the Company’s current or former principal executive officer, president, principal financial officer, chief accounting officer or controller, any vice-president of the Company in charge of a principal business unit, division or function, and any other current or former officer or person who performs a significant policy-making function for the Company, including executive officers of Company subsidiaries or the Company’s parent.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All of these Executive Officers are subject to this Policy, even if an Executive Officer had no responsibility for the financial statement errors which required restatement.</w:t>
      </w:r>
    </w:p>
    <w:p>
      <w:pPr>
        <w:spacing w:after="0" w:line="114" w:lineRule="exact"/>
        <w:rPr>
          <w:sz w:val="20"/>
          <w:szCs w:val="20"/>
          <w:color w:val="auto"/>
        </w:rPr>
      </w:pPr>
    </w:p>
    <w:p>
      <w:pPr>
        <w:ind w:left="840" w:hanging="416"/>
        <w:spacing w:after="0"/>
        <w:tabs>
          <w:tab w:leader="none" w:pos="840" w:val="left"/>
        </w:tabs>
        <w:numPr>
          <w:ilvl w:val="0"/>
          <w:numId w:val="6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Compensation Subject to and Clawback Period of the Policy</w:t>
      </w:r>
    </w:p>
    <w:p>
      <w:pPr>
        <w:spacing w:after="0" w:line="132" w:lineRule="exact"/>
        <w:rPr>
          <w:sz w:val="20"/>
          <w:szCs w:val="20"/>
          <w:color w:val="auto"/>
        </w:rPr>
      </w:pPr>
    </w:p>
    <w:p>
      <w:pPr>
        <w:ind w:firstLine="864"/>
        <w:spacing w:after="0" w:line="220" w:lineRule="auto"/>
        <w:rPr>
          <w:sz w:val="20"/>
          <w:szCs w:val="20"/>
          <w:color w:val="auto"/>
        </w:rPr>
      </w:pPr>
      <w:r>
        <w:rPr>
          <w:rFonts w:ascii="Times New Roman" w:cs="Times New Roman" w:eastAsia="Times New Roman" w:hAnsi="Times New Roman"/>
          <w:sz w:val="13"/>
          <w:szCs w:val="13"/>
          <w:color w:val="auto"/>
        </w:rPr>
        <w:t>This Policy covers all incentive-based compensation (including any cash or equity compensation) that is granted, earned or vested based wholly or in part upon the attainment of any “financial reporting measure” (“</w:t>
      </w:r>
      <w:r>
        <w:rPr>
          <w:rFonts w:ascii="Times New Roman" w:cs="Times New Roman" w:eastAsia="Times New Roman" w:hAnsi="Times New Roman"/>
          <w:sz w:val="13"/>
          <w:szCs w:val="13"/>
          <w:b w:val="1"/>
          <w:bCs w:val="1"/>
          <w:u w:val="single" w:color="auto"/>
          <w:color w:val="auto"/>
        </w:rPr>
        <w:t>Incentive-Based Compensation</w:t>
      </w:r>
      <w:r>
        <w:rPr>
          <w:rFonts w:ascii="Times New Roman" w:cs="Times New Roman" w:eastAsia="Times New Roman" w:hAnsi="Times New Roman"/>
          <w:sz w:val="13"/>
          <w:szCs w:val="13"/>
          <w:color w:val="auto"/>
        </w:rPr>
        <w:t>”). This Policy applies to any Incentive-Based Compensation “received” by an Executive Officer during the period (the “</w:t>
      </w:r>
      <w:r>
        <w:rPr>
          <w:rFonts w:ascii="Times New Roman" w:cs="Times New Roman" w:eastAsia="Times New Roman" w:hAnsi="Times New Roman"/>
          <w:sz w:val="13"/>
          <w:szCs w:val="13"/>
          <w:b w:val="1"/>
          <w:bCs w:val="1"/>
          <w:u w:val="single" w:color="auto"/>
          <w:color w:val="auto"/>
        </w:rPr>
        <w:t>Clawback Period</w:t>
      </w:r>
      <w:r>
        <w:rPr>
          <w:rFonts w:ascii="Times New Roman" w:cs="Times New Roman" w:eastAsia="Times New Roman" w:hAnsi="Times New Roman"/>
          <w:sz w:val="13"/>
          <w:szCs w:val="13"/>
          <w:color w:val="auto"/>
        </w:rPr>
        <w:t>”) consisting of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of the three fiscal completed years immediately preceding:</w:t>
      </w:r>
    </w:p>
    <w:p>
      <w:pPr>
        <w:spacing w:after="0" w:line="114" w:lineRule="exact"/>
        <w:rPr>
          <w:sz w:val="20"/>
          <w:szCs w:val="20"/>
          <w:color w:val="auto"/>
        </w:rPr>
      </w:pPr>
    </w:p>
    <w:p>
      <w:pPr>
        <w:ind w:left="840" w:hanging="200"/>
        <w:spacing w:after="0"/>
        <w:tabs>
          <w:tab w:leader="none" w:pos="8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that the Company’s Board of Directors (the “</w:t>
      </w:r>
      <w:r>
        <w:rPr>
          <w:rFonts w:ascii="Times New Roman" w:cs="Times New Roman" w:eastAsia="Times New Roman" w:hAnsi="Times New Roman"/>
          <w:sz w:val="13"/>
          <w:szCs w:val="13"/>
          <w:b w:val="1"/>
          <w:bCs w:val="1"/>
          <w:u w:val="single" w:color="auto"/>
          <w:color w:val="auto"/>
        </w:rPr>
        <w:t>Board</w:t>
      </w:r>
      <w:r>
        <w:rPr>
          <w:rFonts w:ascii="Times New Roman" w:cs="Times New Roman" w:eastAsia="Times New Roman" w:hAnsi="Times New Roman"/>
          <w:sz w:val="13"/>
          <w:szCs w:val="13"/>
          <w:color w:val="auto"/>
        </w:rPr>
        <w:t>”) (or Audit Committee) concludes, or reasonably should have concluded, that the Company is required to prepare a Restatement, or</w:t>
      </w:r>
    </w:p>
    <w:p>
      <w:pPr>
        <w:spacing w:after="0" w:line="122" w:lineRule="exact"/>
        <w:rPr>
          <w:rFonts w:ascii="Times New Roman" w:cs="Times New Roman" w:eastAsia="Times New Roman" w:hAnsi="Times New Roman"/>
          <w:sz w:val="13"/>
          <w:szCs w:val="13"/>
          <w:color w:val="auto"/>
        </w:rPr>
      </w:pPr>
    </w:p>
    <w:p>
      <w:pPr>
        <w:ind w:left="840" w:hanging="200"/>
        <w:spacing w:after="0"/>
        <w:tabs>
          <w:tab w:leader="none" w:pos="8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that a court, regulator, or other legally authorized body directs the Company to prepare a Restatement.</w:t>
      </w:r>
    </w:p>
    <w:p>
      <w:pPr>
        <w:spacing w:after="0" w:line="130" w:lineRule="exact"/>
        <w:rPr>
          <w:sz w:val="20"/>
          <w:szCs w:val="20"/>
          <w:color w:val="auto"/>
        </w:rPr>
      </w:pPr>
    </w:p>
    <w:p>
      <w:pPr>
        <w:jc w:val="both"/>
        <w:ind w:firstLine="864"/>
        <w:spacing w:after="0" w:line="220" w:lineRule="auto"/>
        <w:rPr>
          <w:sz w:val="20"/>
          <w:szCs w:val="20"/>
          <w:color w:val="auto"/>
        </w:rPr>
      </w:pPr>
      <w:r>
        <w:rPr>
          <w:rFonts w:ascii="Times New Roman" w:cs="Times New Roman" w:eastAsia="Times New Roman" w:hAnsi="Times New Roman"/>
          <w:sz w:val="13"/>
          <w:szCs w:val="13"/>
          <w:color w:val="auto"/>
        </w:rPr>
        <w:t>Financial reporting measures are those that are determined and presented in accordance with the accounting principles used in preparing the Company’s financial statements and any measures derived wholly or in part from such financial information (including non-GAAP measures, stock price and total shareholder return). For purposes of this Policy, Incentive-Based Compensation is deemed “received”</w:t>
      </w:r>
    </w:p>
    <w:p>
      <w:pPr>
        <w:spacing w:after="0" w:line="218" w:lineRule="auto"/>
        <w:rPr>
          <w:sz w:val="20"/>
          <w:szCs w:val="20"/>
          <w:color w:val="auto"/>
        </w:rPr>
      </w:pPr>
      <w:r>
        <w:rPr>
          <w:rFonts w:ascii="Times New Roman" w:cs="Times New Roman" w:eastAsia="Times New Roman" w:hAnsi="Times New Roman"/>
          <w:sz w:val="13"/>
          <w:szCs w:val="13"/>
          <w:color w:val="auto"/>
        </w:rPr>
        <w:t>in the fiscal period during which the applicable financial reporting measure (as specified in the terms of the award) is attained (the “</w:t>
      </w:r>
      <w:r>
        <w:rPr>
          <w:rFonts w:ascii="Times New Roman" w:cs="Times New Roman" w:eastAsia="Times New Roman" w:hAnsi="Times New Roman"/>
          <w:sz w:val="13"/>
          <w:szCs w:val="13"/>
          <w:b w:val="1"/>
          <w:bCs w:val="1"/>
          <w:u w:val="single" w:color="auto"/>
          <w:color w:val="auto"/>
        </w:rPr>
        <w:t>Performance Period</w:t>
      </w:r>
      <w:r>
        <w:rPr>
          <w:rFonts w:ascii="Times New Roman" w:cs="Times New Roman" w:eastAsia="Times New Roman" w:hAnsi="Times New Roman"/>
          <w:sz w:val="13"/>
          <w:szCs w:val="13"/>
          <w:color w:val="auto"/>
        </w:rPr>
        <w:t>”), even if the payment or grant occurs after the end of that</w:t>
      </w:r>
    </w:p>
    <w:p>
      <w:pPr>
        <w:spacing w:after="0" w:line="209" w:lineRule="auto"/>
        <w:rPr>
          <w:sz w:val="20"/>
          <w:szCs w:val="20"/>
          <w:color w:val="auto"/>
        </w:rPr>
      </w:pPr>
      <w:r>
        <w:rPr>
          <w:rFonts w:ascii="Times New Roman" w:cs="Times New Roman" w:eastAsia="Times New Roman" w:hAnsi="Times New Roman"/>
          <w:sz w:val="13"/>
          <w:szCs w:val="13"/>
          <w:color w:val="auto"/>
        </w:rPr>
        <w:t>fiscal period. For the avoidance of doubt, the Clawback Period with respect to an Executive Officer applies to Incentive-Based Compensation received by the Executive Officer (a) after beginning services as an Executive Officer (including compensation derived from an award authorized before the individual is newly hired as an Executive Officer, e.g. inducement grants) and (b) if that person served as an Executive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Officer at any time during the Performance Period for such Incentive-Based Compensation.</w:t>
      </w:r>
    </w:p>
    <w:p>
      <w:pPr>
        <w:spacing w:after="0" w:line="1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For the avoidance of doubt, Incentive-Based Compensation does not include (i) base annual salary, (ii) compensation which is awarded based solely on service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980" w:type="dxa"/>
            <w:vAlign w:val="bottom"/>
          </w:tcPr>
          <w:p>
            <w:pPr>
              <w:spacing w:after="0"/>
              <w:rPr>
                <w:sz w:val="20"/>
                <w:szCs w:val="20"/>
                <w:color w:val="auto"/>
              </w:rPr>
            </w:pPr>
            <w:r>
              <w:rPr>
                <w:rFonts w:ascii="Times New Roman" w:cs="Times New Roman" w:eastAsia="Times New Roman" w:hAnsi="Times New Roman"/>
                <w:sz w:val="8"/>
                <w:szCs w:val="8"/>
                <w:color w:val="auto"/>
              </w:rPr>
              <w:t>Doc#: US1:18270312v2</w:t>
            </w:r>
          </w:p>
        </w:tc>
        <w:tc>
          <w:tcPr>
            <w:tcW w:w="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w:t>
            </w:r>
          </w:p>
        </w:tc>
      </w:tr>
    </w:tbl>
    <w:p>
      <w:pPr>
        <w:sectPr>
          <w:pgSz w:w="11900" w:h="16838" w:orient="portrait"/>
          <w:cols w:equalWidth="0" w:num="1">
            <w:col w:w="11300"/>
          </w:cols>
          <w:pgMar w:left="300" w:top="978" w:right="299" w:bottom="1440" w:gutter="0" w:footer="0" w:header="0"/>
        </w:sectPr>
      </w:pPr>
    </w:p>
    <w:bookmarkStart w:id="151" w:name="page152"/>
    <w:bookmarkEnd w:id="151"/>
    <w:p>
      <w:pPr>
        <w:spacing w:after="0" w:line="252" w:lineRule="auto"/>
        <w:rPr>
          <w:sz w:val="20"/>
          <w:szCs w:val="20"/>
          <w:color w:val="auto"/>
        </w:rPr>
      </w:pPr>
      <w:r>
        <w:rPr>
          <w:rFonts w:ascii="Times New Roman" w:cs="Times New Roman" w:eastAsia="Times New Roman" w:hAnsi="Times New Roman"/>
          <w:sz w:val="13"/>
          <w:szCs w:val="13"/>
          <w:color w:val="auto"/>
        </w:rPr>
        <w:t>(e.g. a time-vested award, including time-vesting stock options or restricted share units), or (iii) compensation which is awarded based solely on subjective standards, strategic measures (e.g. completion of a merger) or operational measures (e.g. attainment of a certain market share).</w:t>
      </w:r>
    </w:p>
    <w:p>
      <w:pPr>
        <w:spacing w:after="0" w:line="89" w:lineRule="exact"/>
        <w:rPr>
          <w:sz w:val="20"/>
          <w:szCs w:val="20"/>
          <w:color w:val="auto"/>
        </w:rPr>
      </w:pPr>
    </w:p>
    <w:p>
      <w:pPr>
        <w:ind w:left="840" w:hanging="416"/>
        <w:spacing w:after="0"/>
        <w:tabs>
          <w:tab w:leader="none" w:pos="840" w:val="left"/>
        </w:tabs>
        <w:numPr>
          <w:ilvl w:val="0"/>
          <w:numId w:val="6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Amount Required to be Repaid Pursuant to this Policy</w:t>
      </w:r>
    </w:p>
    <w:p>
      <w:pPr>
        <w:spacing w:after="0" w:line="1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The amount of Incentive-Based Compensation that must be repaid (subject to the few limitations discussed below) is the amount of Incentive-Based Compensation received by the Executive Officer</w:t>
      </w:r>
    </w:p>
    <w:p>
      <w:pPr>
        <w:spacing w:after="0" w:line="209" w:lineRule="auto"/>
        <w:rPr>
          <w:sz w:val="20"/>
          <w:szCs w:val="20"/>
          <w:color w:val="auto"/>
        </w:rPr>
      </w:pPr>
      <w:r>
        <w:rPr>
          <w:rFonts w:ascii="Times New Roman" w:cs="Times New Roman" w:eastAsia="Times New Roman" w:hAnsi="Times New Roman"/>
          <w:sz w:val="13"/>
          <w:szCs w:val="13"/>
          <w:color w:val="auto"/>
        </w:rPr>
        <w:t>that exceeds the amount of Incentive-Based Compensation that otherwise would have been received had it been determined based on the Restatement (the “</w:t>
      </w:r>
      <w:r>
        <w:rPr>
          <w:rFonts w:ascii="Times New Roman" w:cs="Times New Roman" w:eastAsia="Times New Roman" w:hAnsi="Times New Roman"/>
          <w:sz w:val="13"/>
          <w:szCs w:val="13"/>
          <w:b w:val="1"/>
          <w:bCs w:val="1"/>
          <w:u w:val="single" w:color="auto"/>
          <w:color w:val="auto"/>
        </w:rPr>
        <w:t>Recoverable Amount</w:t>
      </w:r>
      <w:r>
        <w:rPr>
          <w:rFonts w:ascii="Times New Roman" w:cs="Times New Roman" w:eastAsia="Times New Roman" w:hAnsi="Times New Roman"/>
          <w:sz w:val="13"/>
          <w:szCs w:val="13"/>
          <w:color w:val="auto"/>
        </w:rPr>
        <w:t>”). Applying this definition, after a Restatement, the Company will recalculate the applicable financial reporting measure and the Recoverable Amount in accordance with SEC and exchange rules. The Company will determine whether, based on that</w:t>
      </w:r>
    </w:p>
    <w:p>
      <w:pPr>
        <w:spacing w:after="0" w:line="217" w:lineRule="auto"/>
        <w:rPr>
          <w:sz w:val="20"/>
          <w:szCs w:val="20"/>
          <w:color w:val="auto"/>
        </w:rPr>
      </w:pPr>
      <w:r>
        <w:rPr>
          <w:rFonts w:ascii="Times New Roman" w:cs="Times New Roman" w:eastAsia="Times New Roman" w:hAnsi="Times New Roman"/>
          <w:sz w:val="13"/>
          <w:szCs w:val="13"/>
          <w:color w:val="auto"/>
        </w:rPr>
        <w:t>financial reporting measure as calculated relying on the original financial statements, an Executive Officer received a greater amount of Incentive-Based Compensation than would have been received applying the</w:t>
      </w:r>
    </w:p>
    <w:p>
      <w:pPr>
        <w:spacing w:after="0" w:line="209" w:lineRule="auto"/>
        <w:rPr>
          <w:sz w:val="20"/>
          <w:szCs w:val="20"/>
          <w:color w:val="auto"/>
        </w:rPr>
      </w:pPr>
      <w:r>
        <w:rPr>
          <w:rFonts w:ascii="Times New Roman" w:cs="Times New Roman" w:eastAsia="Times New Roman" w:hAnsi="Times New Roman"/>
          <w:sz w:val="13"/>
          <w:szCs w:val="13"/>
          <w:color w:val="auto"/>
        </w:rPr>
        <w:t>recalculated financial measure. Where Incentive-Based Compensation is based only in part on the achievement of a financial reporting measure performance goal, the Company will determine the portion of the original Incentive-Based Compensation based on or derived from the financial reporting measure which was restated and will recalculate the affected portion based on the financial reporting measure as restated to</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3"/>
          <w:szCs w:val="13"/>
          <w:color w:val="auto"/>
        </w:rPr>
        <w:t>determine the difference between the greater amount based on the original financial statements and the lesser amount that would have been received based on the Restatement. The Recoverable Amounts will be calculated on a pre-tax basis to ensure that the Company recovers the full amount of Incentive-Based Compensation that was erroneously awarded.</w:t>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In no event shall the Company be required to award Executive Officers an additional payment if the restated or accurate financial results would have resulted in a higher incentive compensation</w:t>
      </w:r>
    </w:p>
    <w:p>
      <w:pPr>
        <w:spacing w:after="0"/>
        <w:rPr>
          <w:sz w:val="20"/>
          <w:szCs w:val="20"/>
          <w:color w:val="auto"/>
        </w:rPr>
      </w:pPr>
      <w:r>
        <w:rPr>
          <w:rFonts w:ascii="Times New Roman" w:cs="Times New Roman" w:eastAsia="Times New Roman" w:hAnsi="Times New Roman"/>
          <w:sz w:val="13"/>
          <w:szCs w:val="13"/>
          <w:color w:val="auto"/>
        </w:rPr>
        <w:t>payment.</w:t>
      </w:r>
    </w:p>
    <w:p>
      <w:pPr>
        <w:spacing w:after="0" w:line="116" w:lineRule="exact"/>
        <w:rPr>
          <w:sz w:val="20"/>
          <w:szCs w:val="20"/>
          <w:color w:val="auto"/>
        </w:rPr>
      </w:pPr>
    </w:p>
    <w:p>
      <w:pPr>
        <w:ind w:right="20" w:firstLine="864"/>
        <w:spacing w:after="0" w:line="220" w:lineRule="auto"/>
        <w:rPr>
          <w:sz w:val="20"/>
          <w:szCs w:val="20"/>
          <w:color w:val="auto"/>
        </w:rPr>
      </w:pPr>
      <w:r>
        <w:rPr>
          <w:rFonts w:ascii="Times New Roman" w:cs="Times New Roman" w:eastAsia="Times New Roman" w:hAnsi="Times New Roman"/>
          <w:sz w:val="13"/>
          <w:szCs w:val="13"/>
          <w:color w:val="auto"/>
        </w:rPr>
        <w:t>If equity compensation is recoverable due to being granted to the Executive Officer (when the accounting results were the reason the equity compensation was granted) or vested by the Executive Officer (when the accounting results were the reason the equity compensation was vested), in each case in the Clawback Period, the Company will recover the excess portion of the equity award that would not have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been granted or vested based on the Restatement, as follows:</w:t>
      </w:r>
    </w:p>
    <w:p>
      <w:pPr>
        <w:spacing w:after="0" w:line="116" w:lineRule="exact"/>
        <w:rPr>
          <w:sz w:val="20"/>
          <w:szCs w:val="20"/>
          <w:color w:val="auto"/>
        </w:rPr>
      </w:pPr>
    </w:p>
    <w:p>
      <w:pPr>
        <w:ind w:left="840" w:hanging="200"/>
        <w:spacing w:after="0"/>
        <w:tabs>
          <w:tab w:leader="none" w:pos="8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w:t>
      </w:r>
      <w:r>
        <w:rPr>
          <w:rFonts w:ascii="Times New Roman" w:cs="Times New Roman" w:eastAsia="Times New Roman" w:hAnsi="Times New Roman"/>
          <w:sz w:val="13"/>
          <w:szCs w:val="13"/>
          <w:u w:val="single" w:color="auto"/>
          <w:color w:val="auto"/>
        </w:rPr>
        <w:t>equity award is still outstanding</w:t>
      </w:r>
      <w:r>
        <w:rPr>
          <w:rFonts w:ascii="Times New Roman" w:cs="Times New Roman" w:eastAsia="Times New Roman" w:hAnsi="Times New Roman"/>
          <w:sz w:val="13"/>
          <w:szCs w:val="13"/>
          <w:color w:val="auto"/>
        </w:rPr>
        <w:t>, the Executive Officer will forfeit the excess portion of the award;</w:t>
      </w:r>
    </w:p>
    <w:p>
      <w:pPr>
        <w:spacing w:after="0" w:line="118" w:lineRule="exact"/>
        <w:rPr>
          <w:rFonts w:ascii="Times New Roman" w:cs="Times New Roman" w:eastAsia="Times New Roman" w:hAnsi="Times New Roman"/>
          <w:sz w:val="13"/>
          <w:szCs w:val="13"/>
          <w:color w:val="auto"/>
        </w:rPr>
      </w:pPr>
    </w:p>
    <w:p>
      <w:pPr>
        <w:ind w:left="860" w:right="440" w:hanging="220"/>
        <w:spacing w:after="0" w:line="255" w:lineRule="auto"/>
        <w:tabs>
          <w:tab w:leader="none" w:pos="852"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w:t>
      </w:r>
      <w:r>
        <w:rPr>
          <w:rFonts w:ascii="Times New Roman" w:cs="Times New Roman" w:eastAsia="Times New Roman" w:hAnsi="Times New Roman"/>
          <w:sz w:val="13"/>
          <w:szCs w:val="13"/>
          <w:u w:val="single" w:color="auto"/>
          <w:color w:val="auto"/>
        </w:rPr>
        <w:t>equity award has been exercised or settled into shares</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u w:val="single" w:color="auto"/>
          <w:color w:val="auto"/>
        </w:rPr>
        <w:t>Underlying Shares</w:t>
      </w:r>
      <w:r>
        <w:rPr>
          <w:rFonts w:ascii="Times New Roman" w:cs="Times New Roman" w:eastAsia="Times New Roman" w:hAnsi="Times New Roman"/>
          <w:sz w:val="13"/>
          <w:szCs w:val="13"/>
          <w:color w:val="auto"/>
        </w:rPr>
        <w:t>”), and the Executive Officer still holds the Underlying Shares, the Company will recover the number of Underlying Shares relating to the excess portion of the award (less any exercise price paid for the Underlying Shares); and</w:t>
      </w:r>
    </w:p>
    <w:p>
      <w:pPr>
        <w:spacing w:after="0" w:line="89" w:lineRule="exact"/>
        <w:rPr>
          <w:rFonts w:ascii="Times New Roman" w:cs="Times New Roman" w:eastAsia="Times New Roman" w:hAnsi="Times New Roman"/>
          <w:sz w:val="13"/>
          <w:szCs w:val="13"/>
          <w:color w:val="auto"/>
        </w:rPr>
      </w:pPr>
    </w:p>
    <w:p>
      <w:pPr>
        <w:ind w:left="860" w:right="220" w:hanging="220"/>
        <w:spacing w:after="0" w:line="252" w:lineRule="auto"/>
        <w:tabs>
          <w:tab w:leader="none" w:pos="852"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w:t>
      </w:r>
      <w:r>
        <w:rPr>
          <w:rFonts w:ascii="Times New Roman" w:cs="Times New Roman" w:eastAsia="Times New Roman" w:hAnsi="Times New Roman"/>
          <w:sz w:val="13"/>
          <w:szCs w:val="13"/>
          <w:u w:val="single" w:color="auto"/>
          <w:color w:val="auto"/>
        </w:rPr>
        <w:t>Underlying Shares have been sold by the Executive Officer</w:t>
      </w:r>
      <w:r>
        <w:rPr>
          <w:rFonts w:ascii="Times New Roman" w:cs="Times New Roman" w:eastAsia="Times New Roman" w:hAnsi="Times New Roman"/>
          <w:sz w:val="13"/>
          <w:szCs w:val="13"/>
          <w:color w:val="auto"/>
        </w:rPr>
        <w:t>, the Company will recover the proceeds received by the Executive Officer from the sale of the Underlying Shares relating to the excess portion of the award (less any exercise price paid for the Underlying Shares).</w:t>
      </w:r>
    </w:p>
    <w:p>
      <w:pPr>
        <w:spacing w:after="0" w:line="100" w:lineRule="exact"/>
        <w:rPr>
          <w:sz w:val="20"/>
          <w:szCs w:val="20"/>
          <w:color w:val="auto"/>
        </w:rPr>
      </w:pPr>
    </w:p>
    <w:p>
      <w:pPr>
        <w:ind w:firstLine="864"/>
        <w:spacing w:after="0" w:line="220" w:lineRule="auto"/>
        <w:rPr>
          <w:sz w:val="20"/>
          <w:szCs w:val="20"/>
          <w:color w:val="auto"/>
        </w:rPr>
      </w:pPr>
      <w:r>
        <w:rPr>
          <w:rFonts w:ascii="Times New Roman" w:cs="Times New Roman" w:eastAsia="Times New Roman" w:hAnsi="Times New Roman"/>
          <w:sz w:val="13"/>
          <w:szCs w:val="13"/>
          <w:color w:val="auto"/>
        </w:rPr>
        <w:t>The Board (or its applicable committee) will take such action as it deems appropriate, in its sole and absolute discretion, reasonably promptly to recover the Recoverable Amount, unless a majority of the independent members of the Board (or, if composed of independent directors, the Compensation Committee of the Board) determines that it would be impracticable to recover such amount because (1) the</w:t>
      </w:r>
    </w:p>
    <w:p>
      <w:pPr>
        <w:spacing w:after="0" w:line="1"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3"/>
          <w:szCs w:val="13"/>
          <w:color w:val="auto"/>
        </w:rPr>
        <w:t>Company has made a reasonable and documented attempt to recover the Recoverable Amount and has determined that the direct costs of enforcing recovery would exceed the Recoverable Amount, or (2) recovery would, based on an opinion of counsel, likely cause an otherwise tax-qualified retirement plan, under which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8"/>
          <w:szCs w:val="8"/>
          <w:color w:val="auto"/>
        </w:rPr>
        <w:t>2</w:t>
      </w:r>
    </w:p>
    <w:p>
      <w:pPr>
        <w:sectPr>
          <w:pgSz w:w="11900" w:h="16838" w:orient="portrait"/>
          <w:cols w:equalWidth="0" w:num="1">
            <w:col w:w="11300"/>
          </w:cols>
          <w:pgMar w:left="300" w:top="980" w:right="2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3"/>
          <w:szCs w:val="13"/>
          <w:color w:val="auto"/>
        </w:rPr>
        <w:t>are broadly available to employees of the Company, to fail to meet the requirements of 26 U.S.C. 401(a)(13) or 26 U.S.C. 411(a) and regulations thereunder.</w:t>
      </w:r>
    </w:p>
    <w:p>
      <w:pPr>
        <w:spacing w:after="0" w:line="128" w:lineRule="exact"/>
        <w:rPr>
          <w:sz w:val="20"/>
          <w:szCs w:val="20"/>
          <w:color w:val="auto"/>
        </w:rPr>
      </w:pPr>
    </w:p>
    <w:p>
      <w:pPr>
        <w:ind w:left="860" w:hanging="436"/>
        <w:spacing w:after="0"/>
        <w:tabs>
          <w:tab w:leader="none" w:pos="860" w:val="left"/>
        </w:tabs>
        <w:numPr>
          <w:ilvl w:val="0"/>
          <w:numId w:val="6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Additional Clawback Required by Section 304 of the Sarbanes-Oxley Act of 2002</w:t>
      </w:r>
    </w:p>
    <w:p>
      <w:pPr>
        <w:spacing w:after="0" w:line="123"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13"/>
          <w:szCs w:val="13"/>
          <w:color w:val="0D212A"/>
        </w:rPr>
        <w:t>In addition to the provisions described above, if the Company is required to prepare an accounting restatement due to the material noncompliance of the Company, as a result of misconduct, with any financial reporting requirement under the securities laws, then, in accordance with Section 304 of the Sarbanes-Oxley Act of 2002, the Chief Executive Officer and Chief Financial Officer (at the time the financial document embodying such financial reporting requirement was originally issued) shall reimburse the Company for:</w:t>
      </w:r>
    </w:p>
    <w:p>
      <w:pPr>
        <w:spacing w:after="0" w:line="99" w:lineRule="exact"/>
        <w:rPr>
          <w:sz w:val="20"/>
          <w:szCs w:val="20"/>
          <w:color w:val="auto"/>
        </w:rPr>
      </w:pPr>
    </w:p>
    <w:p>
      <w:pPr>
        <w:ind w:left="860" w:right="540" w:hanging="220"/>
        <w:spacing w:after="0" w:line="252" w:lineRule="auto"/>
        <w:tabs>
          <w:tab w:leader="none" w:pos="852" w:val="left"/>
        </w:tabs>
        <w:numPr>
          <w:ilvl w:val="1"/>
          <w:numId w:val="68"/>
        </w:numPr>
        <w:rPr>
          <w:rFonts w:ascii="Times New Roman" w:cs="Times New Roman" w:eastAsia="Times New Roman" w:hAnsi="Times New Roman"/>
          <w:sz w:val="13"/>
          <w:szCs w:val="13"/>
          <w:color w:val="0D212A"/>
        </w:rPr>
      </w:pPr>
      <w:r>
        <w:rPr>
          <w:rFonts w:ascii="Times New Roman" w:cs="Times New Roman" w:eastAsia="Times New Roman" w:hAnsi="Times New Roman"/>
          <w:sz w:val="13"/>
          <w:szCs w:val="13"/>
          <w:color w:val="0D212A"/>
        </w:rPr>
        <w:t>any bonus or other incentive-based or equity-based compensation received from the Company during the 12-month period following the first public issuance or filing with the Commission (whichever first occurs) of such financial document; and</w:t>
      </w:r>
    </w:p>
    <w:p>
      <w:pPr>
        <w:spacing w:after="0" w:line="100" w:lineRule="exact"/>
        <w:rPr>
          <w:rFonts w:ascii="Times New Roman" w:cs="Times New Roman" w:eastAsia="Times New Roman" w:hAnsi="Times New Roman"/>
          <w:sz w:val="13"/>
          <w:szCs w:val="13"/>
          <w:color w:val="0D212A"/>
        </w:rPr>
      </w:pPr>
    </w:p>
    <w:p>
      <w:pPr>
        <w:ind w:left="840" w:hanging="200"/>
        <w:spacing w:after="0"/>
        <w:tabs>
          <w:tab w:leader="none" w:pos="840" w:val="left"/>
        </w:tabs>
        <w:numPr>
          <w:ilvl w:val="1"/>
          <w:numId w:val="68"/>
        </w:numPr>
        <w:rPr>
          <w:rFonts w:ascii="Times New Roman" w:cs="Times New Roman" w:eastAsia="Times New Roman" w:hAnsi="Times New Roman"/>
          <w:sz w:val="13"/>
          <w:szCs w:val="13"/>
          <w:color w:val="0D212A"/>
        </w:rPr>
      </w:pPr>
      <w:r>
        <w:rPr>
          <w:rFonts w:ascii="Times New Roman" w:cs="Times New Roman" w:eastAsia="Times New Roman" w:hAnsi="Times New Roman"/>
          <w:sz w:val="13"/>
          <w:szCs w:val="13"/>
          <w:color w:val="0D212A"/>
        </w:rPr>
        <w:t>any profits realized from the sale of securities of the Company during that 12-month period.</w:t>
      </w:r>
    </w:p>
    <w:p>
      <w:pPr>
        <w:spacing w:after="0" w:line="118" w:lineRule="exact"/>
        <w:rPr>
          <w:rFonts w:ascii="Times New Roman" w:cs="Times New Roman" w:eastAsia="Times New Roman" w:hAnsi="Times New Roman"/>
          <w:sz w:val="13"/>
          <w:szCs w:val="13"/>
          <w:color w:val="0D212A"/>
        </w:rPr>
      </w:pPr>
    </w:p>
    <w:p>
      <w:pPr>
        <w:ind w:left="420"/>
        <w:spacing w:after="0"/>
        <w:rPr>
          <w:rFonts w:ascii="Times New Roman" w:cs="Times New Roman" w:eastAsia="Times New Roman" w:hAnsi="Times New Roman"/>
          <w:sz w:val="13"/>
          <w:szCs w:val="13"/>
          <w:color w:val="0D212A"/>
        </w:rPr>
      </w:pPr>
      <w:r>
        <w:rPr>
          <w:rFonts w:ascii="Times New Roman" w:cs="Times New Roman" w:eastAsia="Times New Roman" w:hAnsi="Times New Roman"/>
          <w:sz w:val="13"/>
          <w:szCs w:val="13"/>
          <w:b w:val="1"/>
          <w:bCs w:val="1"/>
          <w:color w:val="auto"/>
        </w:rPr>
        <w:t>F.Crediting of Recovery Amounts</w:t>
      </w:r>
    </w:p>
    <w:p>
      <w:pPr>
        <w:spacing w:after="0" w:line="13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To the extent that subsections A, B, C and D of this Policy (the “</w:t>
      </w:r>
      <w:r>
        <w:rPr>
          <w:rFonts w:ascii="Times New Roman" w:cs="Times New Roman" w:eastAsia="Times New Roman" w:hAnsi="Times New Roman"/>
          <w:sz w:val="13"/>
          <w:szCs w:val="13"/>
          <w:b w:val="1"/>
          <w:bCs w:val="1"/>
          <w:u w:val="single" w:color="auto"/>
          <w:color w:val="auto"/>
        </w:rPr>
        <w:t>Rule 10D-1 Clawback Requirements</w:t>
      </w:r>
      <w:r>
        <w:rPr>
          <w:rFonts w:ascii="Times New Roman" w:cs="Times New Roman" w:eastAsia="Times New Roman" w:hAnsi="Times New Roman"/>
          <w:sz w:val="13"/>
          <w:szCs w:val="13"/>
          <w:color w:val="auto"/>
        </w:rPr>
        <w:t>”) would provide for recovery of Incentive-Based Compensation recoverable by the Company</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3"/>
          <w:szCs w:val="13"/>
          <w:color w:val="auto"/>
        </w:rPr>
        <w:t>pursuant to Section 304 of the Sarbanes-Oxley Act, in accordance with subsection E of this Policy (the “</w:t>
      </w:r>
      <w:r>
        <w:rPr>
          <w:rFonts w:ascii="Times New Roman" w:cs="Times New Roman" w:eastAsia="Times New Roman" w:hAnsi="Times New Roman"/>
          <w:sz w:val="13"/>
          <w:szCs w:val="13"/>
          <w:b w:val="1"/>
          <w:bCs w:val="1"/>
          <w:u w:val="single" w:color="auto"/>
          <w:color w:val="auto"/>
        </w:rPr>
        <w:t>Sarbanes-Oxley Clawback Requirements</w:t>
      </w:r>
      <w:r>
        <w:rPr>
          <w:rFonts w:ascii="Times New Roman" w:cs="Times New Roman" w:eastAsia="Times New Roman" w:hAnsi="Times New Roman"/>
          <w:sz w:val="13"/>
          <w:szCs w:val="13"/>
          <w:color w:val="auto"/>
        </w:rPr>
        <w:t>”), and/or any other recovery obligations (including pursuant to employment agreements, or plan awards), the amount such Executive Officer has already reimbursed the Company shall be credited to the required recovery under the Rule 10D-1 Clawback Requirements.</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3"/>
          <w:szCs w:val="13"/>
          <w:color w:val="auto"/>
        </w:rPr>
        <w:t>Recovery pursuant to the Rule 10D-1 Clawback Requirements does not preclude recovery under the Sarbanes-Oxley Clawback Requirements, to the extent any applicable amounts have not been reimbursed to the Company.</w:t>
      </w:r>
    </w:p>
    <w:p>
      <w:pPr>
        <w:spacing w:after="0" w:line="260" w:lineRule="exact"/>
        <w:rPr>
          <w:sz w:val="20"/>
          <w:szCs w:val="20"/>
          <w:color w:val="auto"/>
        </w:rPr>
      </w:pPr>
    </w:p>
    <w:p>
      <w:pPr>
        <w:ind w:left="840" w:hanging="416"/>
        <w:spacing w:after="0"/>
        <w:tabs>
          <w:tab w:leader="none" w:pos="840" w:val="left"/>
        </w:tabs>
        <w:numPr>
          <w:ilvl w:val="0"/>
          <w:numId w:val="6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General Provisions</w:t>
      </w:r>
    </w:p>
    <w:p>
      <w:pPr>
        <w:spacing w:after="0" w:line="131" w:lineRule="exact"/>
        <w:rPr>
          <w:rFonts w:ascii="Times New Roman" w:cs="Times New Roman" w:eastAsia="Times New Roman" w:hAnsi="Times New Roman"/>
          <w:sz w:val="13"/>
          <w:szCs w:val="13"/>
          <w:b w:val="1"/>
          <w:bCs w:val="1"/>
          <w:color w:val="auto"/>
        </w:rPr>
      </w:pPr>
    </w:p>
    <w:p>
      <w:pPr>
        <w:ind w:left="860" w:right="1060"/>
        <w:spacing w:after="0" w:line="440"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This Policy may be amended by the Board or its applicable committee from time to time. Changes to this Policy will be communicated to all persons to whom this Policy applies. The Company will not indemnify or provide insurance to cover any repayment of Incentive-Based Compensation in accordance with this Policy.</w:t>
      </w:r>
    </w:p>
    <w:p>
      <w:pPr>
        <w:ind w:left="860"/>
        <w:spacing w:after="0"/>
        <w:rPr>
          <w:sz w:val="20"/>
          <w:szCs w:val="20"/>
          <w:color w:val="auto"/>
        </w:rPr>
      </w:pPr>
      <w:r>
        <w:rPr>
          <w:rFonts w:ascii="Times New Roman" w:cs="Times New Roman" w:eastAsia="Times New Roman" w:hAnsi="Times New Roman"/>
          <w:sz w:val="13"/>
          <w:szCs w:val="13"/>
          <w:color w:val="auto"/>
        </w:rPr>
        <w:t>The provisions of this Policy apply to the fullest extent of the law; provided however, to the extent that any provisions of this Policy are found to be unenforceable or invalid under any applicable</w:t>
      </w:r>
    </w:p>
    <w:p>
      <w:pPr>
        <w:spacing w:after="0" w:line="227" w:lineRule="auto"/>
        <w:rPr>
          <w:sz w:val="20"/>
          <w:szCs w:val="20"/>
          <w:color w:val="auto"/>
        </w:rPr>
      </w:pPr>
      <w:r>
        <w:rPr>
          <w:rFonts w:ascii="Times New Roman" w:cs="Times New Roman" w:eastAsia="Times New Roman" w:hAnsi="Times New Roman"/>
          <w:sz w:val="13"/>
          <w:szCs w:val="13"/>
          <w:color w:val="auto"/>
        </w:rPr>
        <w:t>law, such provision will be applied to the maximum extent permitted, and shall automatically be deemed amended in a manner consistent with its objectives to the extent necessary to conform to any limitations required under applicable law.</w:t>
      </w:r>
    </w:p>
    <w:p>
      <w:pPr>
        <w:spacing w:after="0" w:line="10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This Policy is in addition to (and not in lieu of) any right of repayment, forfeiture or right of offset against any Executive Officer that is required pursuant to any other statutory repayment</w:t>
      </w:r>
    </w:p>
    <w:p>
      <w:pPr>
        <w:spacing w:after="0" w:line="227" w:lineRule="auto"/>
        <w:rPr>
          <w:sz w:val="20"/>
          <w:szCs w:val="20"/>
          <w:color w:val="auto"/>
        </w:rPr>
      </w:pPr>
      <w:r>
        <w:rPr>
          <w:rFonts w:ascii="Times New Roman" w:cs="Times New Roman" w:eastAsia="Times New Roman" w:hAnsi="Times New Roman"/>
          <w:sz w:val="13"/>
          <w:szCs w:val="13"/>
          <w:color w:val="auto"/>
        </w:rPr>
        <w:t>requirement (regardless of whether implemented at any time prior to or following the adoption of this Policy). Nothing in this Policy in any way detracts from or limits any obligation that those subject to it have in law or pursuant to a management, employment, consulting, equity award or other plan or agreement with the Company or any of its subsidiaries.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All determinations and decisions made by the Board (or any committee thereof) pursuant to the provisions of this Policy shall be final, conclusive and binding on the Company, its subsidiaries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8"/>
          <w:szCs w:val="8"/>
          <w:color w:val="auto"/>
        </w:rPr>
        <w:t>3</w:t>
      </w:r>
    </w:p>
    <w:p>
      <w:pPr>
        <w:sectPr>
          <w:pgSz w:w="11900" w:h="16838" w:orient="portrait"/>
          <w:cols w:equalWidth="0" w:num="1">
            <w:col w:w="11300"/>
          </w:cols>
          <w:pgMar w:left="300" w:top="980" w:right="299" w:bottom="1440" w:gutter="0" w:footer="0" w:header="0"/>
        </w:sectPr>
      </w:pPr>
    </w:p>
    <w:bookmarkStart w:id="153" w:name="page154"/>
    <w:bookmarkEnd w:id="153"/>
    <w:p>
      <w:pPr>
        <w:spacing w:after="0" w:line="252" w:lineRule="auto"/>
        <w:rPr>
          <w:sz w:val="20"/>
          <w:szCs w:val="20"/>
          <w:color w:val="auto"/>
        </w:rPr>
      </w:pPr>
      <w:r>
        <w:rPr>
          <w:rFonts w:ascii="Times New Roman" w:cs="Times New Roman" w:eastAsia="Times New Roman" w:hAnsi="Times New Roman"/>
          <w:sz w:val="13"/>
          <w:szCs w:val="13"/>
          <w:color w:val="auto"/>
        </w:rPr>
        <w:t xml:space="preserve">and the persons to whom this Policy applies. Executive Officers (as defined above) are required to acknowledge that they have read this Policy annually. If you have questions about the interpretation of this Policy, please contact the Company’s general counsel, currently Elizabeth M. Keiley at </w:t>
      </w:r>
      <w:r>
        <w:rPr>
          <w:rFonts w:ascii="Times New Roman" w:cs="Times New Roman" w:eastAsia="Times New Roman" w:hAnsi="Times New Roman"/>
          <w:sz w:val="13"/>
          <w:szCs w:val="13"/>
          <w:u w:val="single" w:color="auto"/>
          <w:color w:val="0563C1"/>
        </w:rPr>
        <w:t>ekeiley@vtvtherapeutics.com</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8"/>
          <w:szCs w:val="8"/>
          <w:color w:val="auto"/>
        </w:rPr>
        <w:t>4</w:t>
      </w:r>
    </w:p>
    <w:sectPr>
      <w:pgSz w:w="11900" w:h="16838" w:orient="portrait"/>
      <w:cols w:equalWidth="0" w:num="1">
        <w:col w:w="11300"/>
      </w:cols>
      <w:pgMar w:left="300" w:top="9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x"/>
      <w:numFmt w:val="bullet"/>
      <w:start w:val="1"/>
    </w:lvl>
  </w:abstractNum>
  <w:abstractNum w:abstractNumId="1">
    <w:nsid w:val="440BADFC"/>
    <w:multiLevelType w:val="hybridMultilevel"/>
    <w:lvl w:ilvl="0">
      <w:lvlJc w:val="left"/>
      <w:lvlText w:val="o"/>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1)"/>
      <w:numFmt w:val="decimal"/>
      <w:start w:val="1"/>
    </w:lvl>
  </w:abstractNum>
  <w:abstractNum w:abstractNumId="51">
    <w:nsid w:val="D34B6A8"/>
    <w:multiLevelType w:val="hybridMultilevel"/>
    <w:lvl w:ilvl="0">
      <w:lvlJc w:val="left"/>
      <w:lvlText w:val="\emdash "/>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1)"/>
      <w:numFmt w:val="decimal"/>
      <w:start w:val="1"/>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1."/>
      <w:numFmt w:val="decimal"/>
      <w:start w:val="1"/>
    </w:lvl>
    <w:lvl w:ilvl="1">
      <w:lvlJc w:val="left"/>
      <w:lvlText w:val="(%2)"/>
      <w:numFmt w:val="lowerLetter"/>
      <w:start w:val="1"/>
    </w:lvl>
  </w:abstractNum>
  <w:abstractNum w:abstractNumId="57">
    <w:nsid w:val="579BE4F1"/>
    <w:multiLevelType w:val="hybridMultilevel"/>
    <w:lvl w:ilvl="0">
      <w:lvlJc w:val="left"/>
      <w:lvlText w:val="%1."/>
      <w:numFmt w:val="decimal"/>
      <w:start w:val="1"/>
    </w:lvl>
    <w:lvl w:ilvl="1">
      <w:lvlJc w:val="left"/>
      <w:lvlText w:val="(%2)"/>
      <w:numFmt w:val="lowerLetter"/>
      <w:start w:val="1"/>
    </w:lvl>
  </w:abstractNum>
  <w:abstractNum w:abstractNumId="58">
    <w:nsid w:val="310C50B3"/>
    <w:multiLevelType w:val="hybridMultilevel"/>
    <w:lvl w:ilvl="0">
      <w:lvlJc w:val="left"/>
      <w:lvlText w:val="%1."/>
      <w:numFmt w:val="decimal"/>
      <w:start w:val="1"/>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1."/>
      <w:numFmt w:val="upperLetter"/>
      <w:start w:val="1"/>
    </w:lvl>
  </w:abstractNum>
  <w:abstractNum w:abstractNumId="61">
    <w:nsid w:val="25A70BF7"/>
    <w:multiLevelType w:val="hybridMultilevel"/>
    <w:lvl w:ilvl="0">
      <w:lvlJc w:val="left"/>
      <w:lvlText w:val="%1."/>
      <w:numFmt w:val="upperLetter"/>
      <w:start w:val="2"/>
    </w:lvl>
  </w:abstractNum>
  <w:abstractNum w:abstractNumId="62">
    <w:nsid w:val="1DBABF00"/>
    <w:multiLevelType w:val="hybridMultilevel"/>
    <w:lvl w:ilvl="0">
      <w:lvlJc w:val="left"/>
      <w:lvlText w:val="%1."/>
      <w:numFmt w:val="upperLetter"/>
      <w:start w:val="3"/>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1."/>
      <w:numFmt w:val="upperLetter"/>
      <w:start w:val="4"/>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1."/>
      <w:numFmt w:val="upperLetter"/>
      <w:start w:val="5"/>
    </w:lvl>
  </w:abstractNum>
  <w:abstractNum w:abstractNumId="67">
    <w:nsid w:val="100F8FCA"/>
    <w:multiLevelType w:val="hybridMultilevel"/>
    <w:lvl w:ilvl="0">
      <w:lvlJc w:val="left"/>
      <w:lvlText w:val="%1"/>
      <w:numFmt w:val="upperLetter"/>
      <w:start w:val="1"/>
    </w:lvl>
    <w:lvl w:ilvl="1">
      <w:lvlJc w:val="left"/>
      <w:lvlText w:val="•"/>
      <w:numFmt w:val="bullet"/>
      <w:start w:val="1"/>
    </w:lvl>
  </w:abstractNum>
  <w:abstractNum w:abstractNumId="68">
    <w:nsid w:val="6590700B"/>
    <w:multiLevelType w:val="hybridMultilevel"/>
    <w:lvl w:ilvl="0">
      <w:lvlJc w:val="left"/>
      <w:lvlText w:val="%1."/>
      <w:numFmt w:val="upp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114" Type="http://schemas.openxmlformats.org/officeDocument/2006/relationships/image" Target="media/image78.png"/><Relationship Id="rId115" Type="http://schemas.openxmlformats.org/officeDocument/2006/relationships/image" Target="media/image79.png"/><Relationship Id="rId124" Type="http://schemas.openxmlformats.org/officeDocument/2006/relationships/image" Target="media/image80.png"/><Relationship Id="rId125" Type="http://schemas.openxmlformats.org/officeDocument/2006/relationships/image" Target="media/image81.png"/><Relationship Id="rId126" Type="http://schemas.openxmlformats.org/officeDocument/2006/relationships/image" Target="media/image82.png"/><Relationship Id="rId127" Type="http://schemas.openxmlformats.org/officeDocument/2006/relationships/image" Target="media/image83.png"/><Relationship Id="rId128" Type="http://schemas.openxmlformats.org/officeDocument/2006/relationships/image" Target="media/image84.png"/><Relationship Id="rId129" Type="http://schemas.openxmlformats.org/officeDocument/2006/relationships/image" Target="media/image85.png"/><Relationship Id="rId130" Type="http://schemas.openxmlformats.org/officeDocument/2006/relationships/image" Target="media/image86.png"/><Relationship Id="rId131" Type="http://schemas.openxmlformats.org/officeDocument/2006/relationships/image" Target="media/image87.png"/><Relationship Id="rId132" Type="http://schemas.openxmlformats.org/officeDocument/2006/relationships/image" Target="media/image88.png"/><Relationship Id="rId133" Type="http://schemas.openxmlformats.org/officeDocument/2006/relationships/image" Target="media/image89.png"/><Relationship Id="rId134" Type="http://schemas.openxmlformats.org/officeDocument/2006/relationships/image" Target="media/image90.png"/><Relationship Id="rId135" Type="http://schemas.openxmlformats.org/officeDocument/2006/relationships/image" Target="media/image91.png"/><Relationship Id="rId136" Type="http://schemas.openxmlformats.org/officeDocument/2006/relationships/image" Target="media/image92.png"/><Relationship Id="rId137"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180"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83" Type="http://schemas.openxmlformats.org/officeDocument/2006/relationships/image" Target="media/image139.png"/><Relationship Id="rId184" Type="http://schemas.openxmlformats.org/officeDocument/2006/relationships/image" Target="media/image140.png"/><Relationship Id="rId185" Type="http://schemas.openxmlformats.org/officeDocument/2006/relationships/image" Target="media/image141.png"/><Relationship Id="rId186" Type="http://schemas.openxmlformats.org/officeDocument/2006/relationships/image" Target="media/image142.png"/><Relationship Id="rId187" Type="http://schemas.openxmlformats.org/officeDocument/2006/relationships/image" Target="media/image143.png"/><Relationship Id="rId188" Type="http://schemas.openxmlformats.org/officeDocument/2006/relationships/image" Target="media/image144.png"/><Relationship Id="rId189" Type="http://schemas.openxmlformats.org/officeDocument/2006/relationships/image" Target="media/image145.png"/><Relationship Id="rId190" Type="http://schemas.openxmlformats.org/officeDocument/2006/relationships/image" Target="media/image146.png"/><Relationship Id="rId191" Type="http://schemas.openxmlformats.org/officeDocument/2006/relationships/image" Target="media/image147.png"/><Relationship Id="rId192" Type="http://schemas.openxmlformats.org/officeDocument/2006/relationships/image" Target="media/image148.png"/><Relationship Id="rId193" Type="http://schemas.openxmlformats.org/officeDocument/2006/relationships/image" Target="media/image149.jpeg"/><Relationship Id="rId194" Type="http://schemas.openxmlformats.org/officeDocument/2006/relationships/image" Target="media/image150.png"/><Relationship Id="rId195" Type="http://schemas.openxmlformats.org/officeDocument/2006/relationships/image" Target="media/image151.png"/><Relationship Id="rId196" Type="http://schemas.openxmlformats.org/officeDocument/2006/relationships/image" Target="media/image152.png"/><Relationship Id="rId197" Type="http://schemas.openxmlformats.org/officeDocument/2006/relationships/image" Target="media/image153.png"/><Relationship Id="rId198" Type="http://schemas.openxmlformats.org/officeDocument/2006/relationships/image" Target="media/image154.png"/><Relationship Id="rId199" Type="http://schemas.openxmlformats.org/officeDocument/2006/relationships/image" Target="media/image155.png"/><Relationship Id="rId200" Type="http://schemas.openxmlformats.org/officeDocument/2006/relationships/image" Target="media/image156.png"/><Relationship Id="rId201" Type="http://schemas.openxmlformats.org/officeDocument/2006/relationships/image" Target="media/image157.png"/><Relationship Id="rId202" Type="http://schemas.openxmlformats.org/officeDocument/2006/relationships/image" Target="media/image158.png"/><Relationship Id="rId83" Type="http://schemas.openxmlformats.org/officeDocument/2006/relationships/hyperlink" Target="http://www.sec.gov/Archives/edgar/data/1641489/000156761915001036/s000995x1_ex3-1.htm" TargetMode="External"/><Relationship Id="rId84" Type="http://schemas.openxmlformats.org/officeDocument/2006/relationships/hyperlink" Target="http://www.sec.gov/Archives/edgar/data/0001641489/000156459021024143/vtvt-ex31_8.htm" TargetMode="External"/><Relationship Id="rId85" Type="http://schemas.openxmlformats.org/officeDocument/2006/relationships/hyperlink" Target="https://www.sec.gov/ix?doc=/Archives/edgar/data/0001641489/000095014222000881/eh220231317_8k.htm" TargetMode="External"/><Relationship Id="rId86" Type="http://schemas.openxmlformats.org/officeDocument/2006/relationships/hyperlink" Target="http://www.sec.gov/Archives/edgar/data/1641489/000156459017002317/vtvt-ex41_480.htm" TargetMode="External"/><Relationship Id="rId87" Type="http://schemas.openxmlformats.org/officeDocument/2006/relationships/hyperlink" Target="http://www.sec.gov/Archives/edgar/data/1641489/000156459018003515/vtvt-ex42_694.htm" TargetMode="External"/><Relationship Id="rId88" Type="http://schemas.openxmlformats.org/officeDocument/2006/relationships/hyperlink" Target="https://www.sec.gov/Archives/edgar/data/1641489/000119312522200426/d387388dex41.htm" TargetMode="External"/><Relationship Id="rId89" Type="http://schemas.openxmlformats.org/officeDocument/2006/relationships/hyperlink" Target="https://www.sec.gov/Archives/edgar/data/1641489/000119312524049260/d754681dex41.htm" TargetMode="External"/><Relationship Id="rId90" Type="http://schemas.openxmlformats.org/officeDocument/2006/relationships/hyperlink" Target="http://www.sec.gov/Archives/edgar/data/1641489/000156761915001036/s000995x1_ex10-1.htm" TargetMode="External"/><Relationship Id="rId91" Type="http://schemas.openxmlformats.org/officeDocument/2006/relationships/hyperlink" Target="http://www.sec.gov/Archives/edgar/data/1641489/000156761915001036/s000995x1_ex10-2.htm" TargetMode="External"/><Relationship Id="rId92" Type="http://schemas.openxmlformats.org/officeDocument/2006/relationships/hyperlink" Target="http://www.sec.gov/Archives/edgar/data/1641489/000156761915001036/s000995x1_ex10-3.htm" TargetMode="External"/><Relationship Id="rId95" Type="http://schemas.openxmlformats.org/officeDocument/2006/relationships/hyperlink" Target="http://www.sec.gov/Archives/edgar/data/1641489/000156761915001036/s000995x1_ex10-4.htm" TargetMode="External"/><Relationship Id="rId96" Type="http://schemas.openxmlformats.org/officeDocument/2006/relationships/hyperlink" Target="http://www.sec.gov/Archives/edgar/data/1641489/000156761915001036/s000995x1_ex10-5.htm" TargetMode="External"/><Relationship Id="rId97" Type="http://schemas.openxmlformats.org/officeDocument/2006/relationships/hyperlink" Target="http://www.sec.gov/Archives/edgar/data/1641489/000156761915000982/s000971x7_ex10-7.htm" TargetMode="External"/><Relationship Id="rId98" Type="http://schemas.openxmlformats.org/officeDocument/2006/relationships/hyperlink" Target="http://www.sec.gov/Archives/edgar/data/1641489/000156761915001036/s000995x1_ex10-6.htm" TargetMode="External"/><Relationship Id="rId99" Type="http://schemas.openxmlformats.org/officeDocument/2006/relationships/hyperlink" Target="http://www.sec.gov/Archives/edgar/data/1641489/000156761915001036/s000995x1_ex10-7.htm" TargetMode="External"/><Relationship Id="rId100" Type="http://schemas.openxmlformats.org/officeDocument/2006/relationships/hyperlink" Target="http://www.sec.gov/Archives/edgar/data/1641489/000156761915000855/s000893x4_ex10-8.htm" TargetMode="External"/><Relationship Id="rId101" Type="http://schemas.openxmlformats.org/officeDocument/2006/relationships/hyperlink" Target="http://www.sec.gov/Archives/edgar/data/1641489/000156459018003515/vtvt-ex1019_691.htm" TargetMode="External"/><Relationship Id="rId102" Type="http://schemas.openxmlformats.org/officeDocument/2006/relationships/hyperlink" Target="http://www.sec.gov/Archives/edgar/data/1641489/000156459018003515/vtvt-ex1020_690.htm" TargetMode="External"/><Relationship Id="rId103" Type="http://schemas.openxmlformats.org/officeDocument/2006/relationships/hyperlink" Target="http://www.sec.gov/Archives/edgar/data/1641489/000156459018019035/vtvt-ex101_258.htm" TargetMode="External"/><Relationship Id="rId104" Type="http://schemas.openxmlformats.org/officeDocument/2006/relationships/hyperlink" Target="https://www.sec.gov/Archives/edgar/data/1641489/000156459020018558/vtvt-ex11_29.htm" TargetMode="External"/><Relationship Id="rId105" Type="http://schemas.openxmlformats.org/officeDocument/2006/relationships/hyperlink" Target="http://www.sec.gov/Archives/edgar/data/1641489/000156459020035552/vtvt-ex35_21.htm" TargetMode="External"/><Relationship Id="rId106" Type="http://schemas.openxmlformats.org/officeDocument/2006/relationships/hyperlink" Target="http://www.sec.gov/Archives/edgar/data/1641489/000156459021008149/vtvt-ex1035_391.htm" TargetMode="External"/><Relationship Id="rId107" Type="http://schemas.openxmlformats.org/officeDocument/2006/relationships/hyperlink" Target="http://www.sec.gov/Archives/edgar/data/1641489/000156459021008149/vtvt-ex1036_390.htm" TargetMode="External"/><Relationship Id="rId108" Type="http://schemas.openxmlformats.org/officeDocument/2006/relationships/hyperlink" Target="https://www.sec.gov/Archives/edgar/data/1641489/000156459022019652/vtvt-ex102_531.htm" TargetMode="External"/><Relationship Id="rId109" Type="http://schemas.openxmlformats.org/officeDocument/2006/relationships/hyperlink" Target="https://www.sec.gov/Archives/edgar/data/1641489/000095014222001796/eh220257384_ex0101.htm" TargetMode="External"/><Relationship Id="rId110" Type="http://schemas.openxmlformats.org/officeDocument/2006/relationships/hyperlink" Target="https://www.sec.gov/Archives/edgar/data/1641489/000119312522200426/d387388dex101.htm" TargetMode="External"/><Relationship Id="rId111" Type="http://schemas.openxmlformats.org/officeDocument/2006/relationships/hyperlink" Target="https://www.sec.gov/Archives/edgar/data/1641489/000095014222002314/eh220274048_ex1001.htm" TargetMode="External"/><Relationship Id="rId112" Type="http://schemas.openxmlformats.org/officeDocument/2006/relationships/hyperlink" Target="https://www.sec.gov/Archives/edgar/data/1641489/000095014222002314/eh220274048_ex1002.htm" TargetMode="External"/><Relationship Id="rId113" Type="http://schemas.openxmlformats.org/officeDocument/2006/relationships/hyperlink" Target="https://www.sec.gov/Archives/edgar/data/1641489/000095014222003344/eh220309936_ex1001.htm" TargetMode="External"/><Relationship Id="rId116" Type="http://schemas.openxmlformats.org/officeDocument/2006/relationships/hyperlink" Target="https://www.sec.gov/Archives/edgar/data/1641489/000164148922000008/projectg-collaborationandl.htm" TargetMode="External"/><Relationship Id="rId117" Type="http://schemas.openxmlformats.org/officeDocument/2006/relationships/hyperlink" Target="https://www.sec.gov/Archives/edgar/data/1641489/000164148923000008/vtvt-20221231xexx1036g42_d.htm" TargetMode="External"/><Relationship Id="rId118" Type="http://schemas.openxmlformats.org/officeDocument/2006/relationships/hyperlink" Target="https://www.sec.gov/Archives/edgar/data/1641489/000164148923000008/vtvt-20221231xexx1037varia.htm" TargetMode="External"/><Relationship Id="rId119" Type="http://schemas.openxmlformats.org/officeDocument/2006/relationships/hyperlink" Target="https://www.sec.gov/Archives/edgar/data/1641489/000119312524049260/d754681dex101.htm" TargetMode="External"/><Relationship Id="rId120" Type="http://schemas.openxmlformats.org/officeDocument/2006/relationships/hyperlink" Target="https://www.sec.gov/Archives/edgar/data/1641489/000119312524049260/d754681dex102.htm" TargetMode="External"/><Relationship Id="rId121" Type="http://schemas.openxmlformats.org/officeDocument/2006/relationships/hyperlink" Target="https://www.sec.gov/Archives/edgar/data/1641489/000119312524049260/d754681dex103.htm" TargetMode="External"/><Relationship Id="rId122" Type="http://schemas.openxmlformats.org/officeDocument/2006/relationships/hyperlink" Target="https://www.sec.gov/Archives/edgar/data/1641489/000119312524049260/d754681dex104.htm" TargetMode="External"/><Relationship Id="rId123" Type="http://schemas.openxmlformats.org/officeDocument/2006/relationships/hyperlink" Target="https://www.sec.gov/Archives/edgar/data/1641489/000119312524049260/d754681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2024-03-13T07:13:38Z</dcterms:created>
  <dcterms:modified xsi:type="dcterms:W3CDTF">2024-03-13T07:13:38Z</dcterms:modified>
</cp:coreProperties>
</file>