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600" w:hanging="3652"/>
        <w:spacing w:after="0" w:line="344" w:lineRule="auto"/>
        <w:tabs>
          <w:tab w:leader="none" w:pos="51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-358140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7"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-97790</wp:posOffset>
            </wp:positionV>
            <wp:extent cx="95250" cy="96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80" w:lineRule="exact"/>
        <w:rPr>
          <w:sz w:val="24"/>
          <w:szCs w:val="24"/>
          <w:color w:val="auto"/>
        </w:rPr>
      </w:pPr>
    </w:p>
    <w:p>
      <w:pPr>
        <w:ind w:left="34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vTv Therapeutics Inc.</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9"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080" w:type="dxa"/>
            <w:vAlign w:val="bottom"/>
          </w:tcPr>
          <w:p>
            <w:pPr>
              <w:jc w:val="right"/>
              <w:ind w:right="60"/>
              <w:spacing w:after="0"/>
              <w:rPr>
                <w:sz w:val="20"/>
                <w:szCs w:val="20"/>
                <w:color w:val="auto"/>
              </w:rPr>
            </w:pPr>
            <w:r>
              <w:rPr>
                <w:rFonts w:ascii="Arial" w:cs="Arial" w:eastAsia="Arial" w:hAnsi="Arial"/>
                <w:sz w:val="18"/>
                <w:szCs w:val="18"/>
                <w:b w:val="1"/>
                <w:bCs w:val="1"/>
                <w:color w:val="auto"/>
              </w:rPr>
              <w:t>47-3916571</w:t>
            </w:r>
          </w:p>
        </w:tc>
      </w:tr>
      <w:tr>
        <w:trPr>
          <w:trHeight w:val="148"/>
        </w:trPr>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080" w:type="dxa"/>
            <w:vAlign w:val="bottom"/>
          </w:tcPr>
          <w:p>
            <w:pPr>
              <w:jc w:val="center"/>
              <w:ind w:left="38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080" w:type="dxa"/>
            <w:vAlign w:val="bottom"/>
          </w:tcPr>
          <w:p>
            <w:pPr>
              <w:jc w:val="center"/>
              <w:ind w:left="3860"/>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3980 Premier Dr, Suite 310</w:t>
            </w:r>
          </w:p>
        </w:tc>
        <w:tc>
          <w:tcPr>
            <w:tcW w:w="5080" w:type="dxa"/>
            <w:vAlign w:val="bottom"/>
          </w:tcPr>
          <w:p>
            <w:pPr>
              <w:spacing w:after="0"/>
              <w:rPr>
                <w:sz w:val="24"/>
                <w:szCs w:val="24"/>
                <w:color w:val="auto"/>
              </w:rPr>
            </w:pPr>
          </w:p>
        </w:tc>
      </w:tr>
      <w:tr>
        <w:trPr>
          <w:trHeight w:val="212"/>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5"/>
              </w:rPr>
              <w:t>High Point, NC</w:t>
            </w:r>
          </w:p>
        </w:tc>
        <w:tc>
          <w:tcPr>
            <w:tcW w:w="5080" w:type="dxa"/>
            <w:vAlign w:val="bottom"/>
          </w:tcPr>
          <w:p>
            <w:pPr>
              <w:jc w:val="right"/>
              <w:ind w:right="260"/>
              <w:spacing w:after="0"/>
              <w:rPr>
                <w:sz w:val="20"/>
                <w:szCs w:val="20"/>
                <w:color w:val="auto"/>
              </w:rPr>
            </w:pPr>
            <w:r>
              <w:rPr>
                <w:rFonts w:ascii="Arial" w:cs="Arial" w:eastAsia="Arial" w:hAnsi="Arial"/>
                <w:sz w:val="18"/>
                <w:szCs w:val="18"/>
                <w:b w:val="1"/>
                <w:bCs w:val="1"/>
                <w:color w:val="auto"/>
              </w:rPr>
              <w:t>27265</w:t>
            </w:r>
          </w:p>
        </w:tc>
      </w:tr>
      <w:tr>
        <w:trPr>
          <w:trHeight w:val="186"/>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080" w:type="dxa"/>
            <w:vAlign w:val="bottom"/>
          </w:tcPr>
          <w:p>
            <w:pPr>
              <w:jc w:val="center"/>
              <w:ind w:left="3860"/>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2400" w:type="dxa"/>
            <w:vAlign w:val="bottom"/>
          </w:tcPr>
          <w:p>
            <w:pPr>
              <w:spacing w:after="0"/>
              <w:rPr>
                <w:sz w:val="22"/>
                <w:szCs w:val="22"/>
                <w:color w:val="auto"/>
              </w:rPr>
            </w:pPr>
          </w:p>
        </w:tc>
        <w:tc>
          <w:tcPr>
            <w:tcW w:w="5080" w:type="dxa"/>
            <w:vAlign w:val="bottom"/>
          </w:tcPr>
          <w:p>
            <w:pPr>
              <w:jc w:val="right"/>
              <w:ind w:right="2800"/>
              <w:spacing w:after="0"/>
              <w:rPr>
                <w:sz w:val="20"/>
                <w:szCs w:val="20"/>
                <w:color w:val="auto"/>
              </w:rPr>
            </w:pPr>
            <w:r>
              <w:rPr>
                <w:rFonts w:ascii="Arial" w:cs="Arial" w:eastAsia="Arial" w:hAnsi="Arial"/>
                <w:sz w:val="18"/>
                <w:szCs w:val="18"/>
                <w:b w:val="1"/>
                <w:bCs w:val="1"/>
                <w:color w:val="auto"/>
              </w:rPr>
              <w:t>(336) 841-0300</w:t>
            </w:r>
          </w:p>
        </w:tc>
      </w:tr>
      <w:tr>
        <w:trPr>
          <w:trHeight w:val="186"/>
        </w:trPr>
        <w:tc>
          <w:tcPr>
            <w:tcW w:w="2400" w:type="dxa"/>
            <w:vAlign w:val="bottom"/>
          </w:tcPr>
          <w:p>
            <w:pPr>
              <w:spacing w:after="0"/>
              <w:rPr>
                <w:sz w:val="16"/>
                <w:szCs w:val="16"/>
                <w:color w:val="auto"/>
              </w:rPr>
            </w:pPr>
          </w:p>
        </w:tc>
        <w:tc>
          <w:tcPr>
            <w:tcW w:w="5080" w:type="dxa"/>
            <w:vAlign w:val="bottom"/>
          </w:tcPr>
          <w:p>
            <w:pPr>
              <w:jc w:val="center"/>
              <w:ind w:right="1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390" w:type="dxa"/>
        <w:tblCellMar>
          <w:top w:w="0" w:type="dxa"/>
          <w:left w:w="0" w:type="dxa"/>
          <w:bottom w:w="0" w:type="dxa"/>
          <w:right w:w="0" w:type="dxa"/>
        </w:tblCellMar>
      </w:tblPr>
      <w:tr>
        <w:trPr>
          <w:trHeight w:val="210"/>
        </w:trPr>
        <w:tc>
          <w:tcPr>
            <w:tcW w:w="4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19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2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09"/>
        </w:trPr>
        <w:tc>
          <w:tcPr>
            <w:tcW w:w="4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Class A common stock, par value $0.01 per share</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VTVT</w:t>
            </w:r>
          </w:p>
        </w:tc>
        <w:tc>
          <w:tcPr>
            <w:tcW w:w="4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NASDAQ Capital Market</w:t>
            </w:r>
          </w:p>
        </w:tc>
      </w:tr>
    </w:tbl>
    <w:p>
      <w:pPr>
        <w:spacing w:after="0" w:line="67" w:lineRule="exact"/>
        <w:rPr>
          <w:sz w:val="24"/>
          <w:szCs w:val="24"/>
          <w:color w:val="auto"/>
        </w:rPr>
      </w:pPr>
    </w:p>
    <w:p>
      <w:pPr>
        <w:ind w:right="8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60"/>
              <w:spacing w:after="0"/>
              <w:rPr>
                <w:sz w:val="20"/>
                <w:szCs w:val="20"/>
                <w:color w:val="auto"/>
              </w:rPr>
            </w:pPr>
            <w:r>
              <w:rPr>
                <w:rFonts w:ascii="Arial" w:cs="Arial" w:eastAsia="Arial" w:hAnsi="Arial"/>
                <w:sz w:val="18"/>
                <w:szCs w:val="18"/>
                <w:color w:val="auto"/>
                <w:w w:val="97"/>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74" w:lineRule="exact"/>
        <w:rPr>
          <w:sz w:val="24"/>
          <w:szCs w:val="24"/>
          <w:color w:val="auto"/>
        </w:rPr>
      </w:pPr>
    </w:p>
    <w:p>
      <w:pPr>
        <w:ind w:right="240" w:firstLine="59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00"/>
        <w:spacing w:after="0" w:line="207" w:lineRule="exact"/>
        <w:tabs>
          <w:tab w:leader="none" w:pos="8940" w:val="left"/>
          <w:tab w:leader="none" w:pos="96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200" w:type="dxa"/>
            <w:vAlign w:val="bottom"/>
            <w:gridSpan w:val="3"/>
          </w:tcPr>
          <w:p>
            <w:pPr>
              <w:ind w:left="1680"/>
              <w:spacing w:after="0"/>
              <w:rPr>
                <w:sz w:val="20"/>
                <w:szCs w:val="20"/>
                <w:color w:val="auto"/>
              </w:rPr>
            </w:pPr>
            <w:r>
              <w:rPr>
                <w:rFonts w:ascii="Arial" w:cs="Arial" w:eastAsia="Arial" w:hAnsi="Arial"/>
                <w:sz w:val="14"/>
                <w:szCs w:val="14"/>
                <w:b w:val="1"/>
                <w:bCs w:val="1"/>
                <w:color w:val="auto"/>
              </w:rPr>
              <w:t>Class of Stock</w:t>
            </w:r>
          </w:p>
        </w:tc>
        <w:tc>
          <w:tcPr>
            <w:tcW w:w="3260" w:type="dxa"/>
            <w:vAlign w:val="bottom"/>
          </w:tcPr>
          <w:p>
            <w:pPr>
              <w:jc w:val="right"/>
              <w:ind w:right="216"/>
              <w:spacing w:after="0"/>
              <w:rPr>
                <w:sz w:val="20"/>
                <w:szCs w:val="20"/>
                <w:color w:val="auto"/>
              </w:rPr>
            </w:pPr>
            <w:r>
              <w:rPr>
                <w:rFonts w:ascii="Arial" w:cs="Arial" w:eastAsia="Arial" w:hAnsi="Arial"/>
                <w:sz w:val="14"/>
                <w:szCs w:val="14"/>
                <w:b w:val="1"/>
                <w:bCs w:val="1"/>
                <w:color w:val="auto"/>
              </w:rPr>
              <w:t>Shares Outstanding as of November 5, 2020</w:t>
            </w: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680" w:type="dxa"/>
            <w:vAlign w:val="bottom"/>
          </w:tcPr>
          <w:p>
            <w:pPr>
              <w:spacing w:after="0"/>
              <w:rPr>
                <w:sz w:val="18"/>
                <w:szCs w:val="18"/>
                <w:color w:val="auto"/>
              </w:rPr>
            </w:pPr>
          </w:p>
        </w:tc>
        <w:tc>
          <w:tcPr>
            <w:tcW w:w="4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$0.01 per share</w:t>
            </w:r>
          </w:p>
        </w:tc>
        <w:tc>
          <w:tcPr>
            <w:tcW w:w="100" w:type="dxa"/>
            <w:vAlign w:val="bottom"/>
          </w:tcPr>
          <w:p>
            <w:pPr>
              <w:spacing w:after="0"/>
              <w:rPr>
                <w:sz w:val="18"/>
                <w:szCs w:val="18"/>
                <w:color w:val="auto"/>
              </w:rPr>
            </w:pPr>
          </w:p>
        </w:tc>
        <w:tc>
          <w:tcPr>
            <w:tcW w:w="3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50,786,130</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200" w:type="dxa"/>
            <w:vAlign w:val="bottom"/>
            <w:gridSpan w:val="3"/>
          </w:tcPr>
          <w:p>
            <w:pPr>
              <w:ind w:left="1680"/>
              <w:spacing w:after="0"/>
              <w:rPr>
                <w:sz w:val="20"/>
                <w:szCs w:val="20"/>
                <w:color w:val="auto"/>
              </w:rPr>
            </w:pPr>
            <w:r>
              <w:rPr>
                <w:rFonts w:ascii="Arial" w:cs="Arial" w:eastAsia="Arial" w:hAnsi="Arial"/>
                <w:sz w:val="18"/>
                <w:szCs w:val="18"/>
                <w:color w:val="auto"/>
              </w:rPr>
              <w:t>Class B common stock, par value $0.01 per share</w:t>
            </w:r>
          </w:p>
        </w:tc>
        <w:tc>
          <w:tcPr>
            <w:tcW w:w="3260" w:type="dxa"/>
            <w:vAlign w:val="bottom"/>
          </w:tcPr>
          <w:p>
            <w:pPr>
              <w:jc w:val="right"/>
              <w:spacing w:after="0"/>
              <w:rPr>
                <w:sz w:val="20"/>
                <w:szCs w:val="20"/>
                <w:color w:val="auto"/>
              </w:rPr>
            </w:pPr>
            <w:r>
              <w:rPr>
                <w:rFonts w:ascii="Arial" w:cs="Arial" w:eastAsia="Arial" w:hAnsi="Arial"/>
                <w:sz w:val="18"/>
                <w:szCs w:val="18"/>
                <w:color w:val="auto"/>
              </w:rPr>
              <w:t>23,094,221</w:t>
            </w: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22"/>
        </w:trPr>
        <w:tc>
          <w:tcPr>
            <w:tcW w:w="168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6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vTv THERAPEUTICS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SEPTEMBER 30,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PAGE</w:t>
            </w:r>
          </w:p>
        </w:tc>
      </w:tr>
      <w:tr>
        <w:trPr>
          <w:trHeight w:val="167"/>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NUMBER</w:t>
            </w:r>
          </w:p>
        </w:tc>
      </w:tr>
      <w:tr>
        <w:trPr>
          <w:trHeight w:val="331"/>
        </w:trPr>
        <w:tc>
          <w:tcPr>
            <w:tcW w:w="1038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 FINANCIAL INFORMATION</w:t>
              </w:r>
            </w:hyperlink>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September 30, 2020 (Unaudited) and December 31, 2019</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338"/>
        </w:trPr>
        <w:tc>
          <w:tcPr>
            <w:tcW w:w="88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u w:val="single" w:color="auto"/>
                <w:color w:val="0000EE"/>
                <w:w w:val="91"/>
              </w:rPr>
            </w:pPr>
            <w:hyperlink w:anchor="page5">
              <w:r>
                <w:rPr>
                  <w:rFonts w:ascii="Arial" w:cs="Arial" w:eastAsia="Arial" w:hAnsi="Arial"/>
                  <w:sz w:val="18"/>
                  <w:szCs w:val="18"/>
                  <w:u w:val="single" w:color="auto"/>
                  <w:color w:val="0000EE"/>
                  <w:w w:val="91"/>
                </w:rPr>
                <w:t>Unaudited Condensed Consolidated Statements of Operations for the three and nine months ended September 30, 2020 and 2019</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97"/>
        </w:trPr>
        <w:tc>
          <w:tcPr>
            <w:tcW w:w="88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Unaudited Condensed Consolidated Statement of Changes in Redeemable Noncontrolling Interest and Stockholders’ Deficit for</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the three and nine months ended September 30, 2020 and 2019</w:t>
              </w:r>
            </w:hyperlink>
          </w:p>
        </w:tc>
        <w:tc>
          <w:tcPr>
            <w:tcW w:w="300" w:type="dxa"/>
            <w:vAlign w:val="bottom"/>
          </w:tcPr>
          <w:p>
            <w:pPr>
              <w:spacing w:after="0"/>
              <w:rPr>
                <w:sz w:val="17"/>
                <w:szCs w:val="17"/>
                <w:color w:val="auto"/>
              </w:rPr>
            </w:pPr>
          </w:p>
        </w:tc>
        <w:tc>
          <w:tcPr>
            <w:tcW w:w="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20" w:type="dxa"/>
            <w:vAlign w:val="bottom"/>
            <w:shd w:val="clear" w:color="auto" w:fill="0000EE"/>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u w:val="single" w:color="auto"/>
                <w:color w:val="0000EE"/>
                <w:w w:val="98"/>
              </w:rPr>
            </w:pPr>
            <w:hyperlink w:anchor="page8">
              <w:r>
                <w:rPr>
                  <w:rFonts w:ascii="Arial" w:cs="Arial" w:eastAsia="Arial" w:hAnsi="Arial"/>
                  <w:sz w:val="18"/>
                  <w:szCs w:val="18"/>
                  <w:u w:val="single" w:color="auto"/>
                  <w:color w:val="0000EE"/>
                  <w:w w:val="98"/>
                </w:rPr>
                <w:t>Unaudited Condensed Consolidated Statements of Cash Flows for the nine months ended September 30, 2020 and 2019</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338"/>
        </w:trPr>
        <w:tc>
          <w:tcPr>
            <w:tcW w:w="88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Consolidated Financial Statements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4"/>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500" w:type="dxa"/>
            <w:vAlign w:val="bottom"/>
            <w:gridSpan w:val="4"/>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Quantitative and Qualitative Disclosures About Market Risk</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4"/>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Controls and Procedures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38"/>
        </w:trPr>
        <w:tc>
          <w:tcPr>
            <w:tcW w:w="10380" w:type="dxa"/>
            <w:vAlign w:val="bottom"/>
            <w:gridSpan w:val="5"/>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PART II – OTHER INFORMATION</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4"/>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Legal Proceedings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500" w:type="dxa"/>
            <w:vAlign w:val="bottom"/>
            <w:gridSpan w:val="4"/>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Unregistered Sales of Equity Securities and Use of Proceeds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50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Defaults Upon Senior Securities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Mine Safety Disclosures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337"/>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950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Other Information</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50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Exhibits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338"/>
        </w:trPr>
        <w:tc>
          <w:tcPr>
            <w:tcW w:w="88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Signatures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837"/>
        </w:trPr>
        <w:tc>
          <w:tcPr>
            <w:tcW w:w="880" w:type="dxa"/>
            <w:vAlign w:val="bottom"/>
          </w:tcPr>
          <w:p>
            <w:pPr>
              <w:spacing w:after="0"/>
              <w:rPr>
                <w:sz w:val="24"/>
                <w:szCs w:val="24"/>
                <w:color w:val="auto"/>
              </w:rPr>
            </w:pPr>
          </w:p>
        </w:tc>
        <w:tc>
          <w:tcPr>
            <w:tcW w:w="9200" w:type="dxa"/>
            <w:vAlign w:val="bottom"/>
            <w:gridSpan w:val="3"/>
          </w:tcPr>
          <w:p>
            <w:pPr>
              <w:ind w:left="47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21" w:lineRule="exact"/>
        <w:rPr>
          <w:sz w:val="20"/>
          <w:szCs w:val="20"/>
          <w:color w:val="auto"/>
        </w:rPr>
      </w:pPr>
    </w:p>
    <w:p>
      <w:pPr>
        <w:ind w:right="640" w:firstLine="510"/>
        <w:spacing w:after="0" w:line="274" w:lineRule="auto"/>
        <w:rPr>
          <w:sz w:val="20"/>
          <w:szCs w:val="20"/>
          <w:color w:val="auto"/>
        </w:rPr>
      </w:pPr>
      <w:r>
        <w:rPr>
          <w:rFonts w:ascii="Arial" w:cs="Arial" w:eastAsia="Arial" w:hAnsi="Arial"/>
          <w:sz w:val="17"/>
          <w:szCs w:val="17"/>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w:t>
      </w:r>
    </w:p>
    <w:p>
      <w:pPr>
        <w:spacing w:after="0" w:line="260" w:lineRule="auto"/>
        <w:rPr>
          <w:sz w:val="20"/>
          <w:szCs w:val="20"/>
          <w:color w:val="auto"/>
        </w:rPr>
      </w:pPr>
      <w:r>
        <w:rPr>
          <w:rFonts w:ascii="Arial" w:cs="Arial" w:eastAsia="Arial" w:hAnsi="Arial"/>
          <w:sz w:val="18"/>
          <w:szCs w:val="18"/>
          <w:color w:val="auto"/>
        </w:rPr>
        <w:t>Registrant. Unless the context suggests otherwise, references in this Quarterly Report on Form 10-Q to the “Company”, “we”, “us” and “our” refer to vTv Therapeutics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12"/>
              <w:spacing w:after="0" w:line="155"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deposits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Restricted cash and cash equivalents, long-term</w:t>
            </w:r>
          </w:p>
        </w:tc>
        <w:tc>
          <w:tcPr>
            <w:tcW w:w="20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Long-term deposits</w:t>
            </w:r>
          </w:p>
        </w:tc>
        <w:tc>
          <w:tcPr>
            <w:tcW w:w="20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Deficit</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5,747</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Current portion of contract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payable</w:t>
            </w: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8,296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 net of current portion</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 related party</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Redeemable noncontrolling interest</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45,591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Stockholders’ deficit:</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$0.01 par value; 100,000,000 shares authorized, 49,152,594</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40,918,522 shares outstanding as of September 30, 2020 and December 31, 2019,</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Class B Common Stock, $0.01 par value; 100,000,000 shares authorized, and 23,094,221</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40"/>
              <w:spacing w:after="0"/>
              <w:rPr>
                <w:sz w:val="20"/>
                <w:szCs w:val="20"/>
                <w:color w:val="auto"/>
              </w:rPr>
            </w:pPr>
            <w:r>
              <w:rPr>
                <w:rFonts w:ascii="Arial" w:cs="Arial" w:eastAsia="Arial" w:hAnsi="Arial"/>
                <w:sz w:val="18"/>
                <w:szCs w:val="18"/>
                <w:color w:val="auto"/>
              </w:rPr>
              <w:t>outstanding as of September 30, 2020 and December 31, 2019</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201,243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(253,339)</w:t>
            </w: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(233,522)</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deficit attributable to vTv Therapeutics Inc.</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(51,372)</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liabilities, redeemable noncontrolling interest and stockholders’ deficit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7,046</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4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5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340" w:type="dxa"/>
            <w:vAlign w:val="bottom"/>
            <w:tcBorders>
              <w:bottom w:val="single" w:sz="8" w:color="CFF0FC"/>
            </w:tcBorders>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5,433</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13,697</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Operating loss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(5,425)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(13,682)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Other (expense) income – related party</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 and noncontrolling interest</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(14,409)</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Income tax provision</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before noncontrolling interest</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(14,409)</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(720)</w:t>
            </w:r>
          </w:p>
        </w:tc>
        <w:tc>
          <w:tcPr>
            <w:tcW w:w="3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(2,352)</w:t>
            </w: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(4,784)</w:t>
            </w: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(6,411)</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w w:val="98"/>
              </w:rPr>
              <w:t>Net loss attributable to vTv Therapeutics Inc. common shareholders</w:t>
            </w:r>
          </w:p>
        </w:tc>
        <w:tc>
          <w:tcPr>
            <w:tcW w:w="6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vMerge w:val="continue"/>
          </w:tcPr>
          <w:p>
            <w:pPr>
              <w:spacing w:after="0"/>
              <w:rPr>
                <w:sz w:val="21"/>
                <w:szCs w:val="21"/>
                <w:color w:val="auto"/>
              </w:rPr>
            </w:pPr>
          </w:p>
        </w:tc>
        <w:tc>
          <w:tcPr>
            <w:tcW w:w="4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24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(9,625)</w:t>
            </w:r>
          </w:p>
        </w:tc>
        <w:tc>
          <w:tcPr>
            <w:tcW w:w="26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4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Net loss per share of vTv Therapeutics Inc. Class A Common</w:t>
            </w: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basic and diluted</w:t>
            </w:r>
          </w:p>
        </w:tc>
        <w:tc>
          <w:tcPr>
            <w:tcW w:w="6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(0.03)</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(0.21)</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Weighted-average number of vTv Therapeutics Inc. Class A</w:t>
            </w:r>
          </w:p>
        </w:tc>
        <w:tc>
          <w:tcPr>
            <w:tcW w:w="4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Common Stock, basic and diluted</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48,238,285</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32,126,130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45,796,298</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27,709,486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For the three months ended September 30,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5"/>
          </w:tcPr>
          <w:p>
            <w:pPr>
              <w:ind w:left="260"/>
              <w:spacing w:after="0" w:line="142"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tcBorders>
              <w:top w:val="single" w:sz="8" w:color="auto"/>
            </w:tcBorders>
            <w:gridSpan w:val="5"/>
          </w:tcPr>
          <w:p>
            <w:pPr>
              <w:jc w:val="right"/>
              <w:ind w:right="217"/>
              <w:spacing w:after="0" w:line="142"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top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June 30, 2020</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63,378</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47,943,495</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479</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198,634</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(268,873)</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(69,528)</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(720)</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(1,533)</w:t>
            </w:r>
          </w:p>
        </w:tc>
        <w:tc>
          <w:tcPr>
            <w:tcW w:w="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(1,533)</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under ATM offering</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1,209,099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w:t>
            </w:r>
          </w:p>
        </w:tc>
        <w:tc>
          <w:tcPr>
            <w:tcW w:w="24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2,438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(17,067)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17,067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17,067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line="142" w:lineRule="exact"/>
              <w:rPr>
                <w:sz w:val="20"/>
                <w:szCs w:val="20"/>
                <w:color w:val="auto"/>
              </w:rPr>
            </w:pPr>
            <w:r>
              <w:rPr>
                <w:rFonts w:ascii="Arial" w:cs="Arial" w:eastAsia="Arial" w:hAnsi="Arial"/>
                <w:sz w:val="13"/>
                <w:szCs w:val="13"/>
                <w:b w:val="1"/>
                <w:bCs w:val="1"/>
                <w:color w:val="auto"/>
              </w:rPr>
              <w:t>Balances at September 30, 2020</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45,591</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49,152,594</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492</w:t>
            </w: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201,243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(253,339)</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(51,372)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ind w:left="460"/>
              <w:spacing w:after="0"/>
              <w:rPr>
                <w:sz w:val="20"/>
                <w:szCs w:val="20"/>
                <w:color w:val="auto"/>
              </w:rPr>
            </w:pPr>
            <w:r>
              <w:rPr>
                <w:rFonts w:ascii="Arial" w:cs="Arial" w:eastAsia="Arial" w:hAnsi="Arial"/>
                <w:sz w:val="13"/>
                <w:szCs w:val="13"/>
                <w:b w:val="1"/>
                <w:bCs w:val="1"/>
                <w:color w:val="auto"/>
                <w:w w:val="86"/>
              </w:rPr>
              <w:t>For the three months ended September 30, 2019</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Pr>
          <w:p>
            <w:pPr>
              <w:spacing w:after="0"/>
              <w:rPr>
                <w:sz w:val="12"/>
                <w:szCs w:val="12"/>
                <w:color w:val="auto"/>
              </w:rPr>
            </w:pPr>
          </w:p>
        </w:tc>
        <w:tc>
          <w:tcPr>
            <w:tcW w:w="2040" w:type="dxa"/>
            <w:vAlign w:val="bottom"/>
            <w:gridSpan w:val="5"/>
          </w:tcPr>
          <w:p>
            <w:pPr>
              <w:ind w:left="260"/>
              <w:spacing w:after="0" w:line="142"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gridSpan w:val="5"/>
          </w:tcPr>
          <w:p>
            <w:pPr>
              <w:jc w:val="right"/>
              <w:ind w:right="217"/>
              <w:spacing w:after="0" w:line="142"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June 30, 2019</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37,060</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29,826,782</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298</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167,125</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(217,557)</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(49,902)</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(2,352)</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(3,608)</w:t>
            </w:r>
          </w:p>
        </w:tc>
        <w:tc>
          <w:tcPr>
            <w:tcW w:w="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(3,608)</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413</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340"/>
              <w:spacing w:after="0" w:line="135" w:lineRule="exact"/>
              <w:rPr>
                <w:sz w:val="20"/>
                <w:szCs w:val="20"/>
                <w:color w:val="auto"/>
              </w:rPr>
            </w:pPr>
            <w:r>
              <w:rPr>
                <w:rFonts w:ascii="Arial" w:cs="Arial" w:eastAsia="Arial" w:hAnsi="Arial"/>
                <w:sz w:val="13"/>
                <w:szCs w:val="13"/>
                <w:color w:val="auto"/>
              </w:rPr>
              <w:t>to a related party under the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Letter Agreements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5,612,288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w:t>
            </w:r>
          </w:p>
        </w:tc>
        <w:tc>
          <w:tcPr>
            <w:tcW w:w="24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8,944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Letter Agreement and</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warrants to purchase Class A</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Common stock - related party</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(492)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2,560</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(2,560)</w:t>
            </w:r>
          </w:p>
        </w:tc>
        <w:tc>
          <w:tcPr>
            <w:tcW w:w="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(2,560)</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September 30, 2019</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37,268</w:t>
            </w:r>
          </w:p>
        </w:tc>
        <w:tc>
          <w:tcPr>
            <w:tcW w:w="12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35,439,070</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354</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175,990</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(223,725)</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(47,149)</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Changes in Redeemable Noncontrolling Interest and Stockholders’ Deficit -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20" w:lineRule="exact"/>
        <w:rPr>
          <w:sz w:val="20"/>
          <w:szCs w:val="20"/>
          <w:color w:val="auto"/>
        </w:rPr>
      </w:pPr>
    </w:p>
    <w:p>
      <w:pPr>
        <w:jc w:val="center"/>
        <w:ind w:left="2740"/>
        <w:spacing w:after="0"/>
        <w:rPr>
          <w:sz w:val="20"/>
          <w:szCs w:val="20"/>
          <w:color w:val="auto"/>
        </w:rPr>
      </w:pPr>
      <w:r>
        <w:rPr>
          <w:rFonts w:ascii="Arial" w:cs="Arial" w:eastAsia="Arial" w:hAnsi="Arial"/>
          <w:sz w:val="13"/>
          <w:szCs w:val="13"/>
          <w:b w:val="1"/>
          <w:bCs w:val="1"/>
          <w:color w:val="auto"/>
        </w:rPr>
        <w:t>For the 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560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6019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Balances at December 31, 2019</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Net loss</w:t>
      </w:r>
    </w:p>
    <w:p>
      <w:pPr>
        <w:ind w:left="260"/>
        <w:spacing w:after="0"/>
        <w:rPr>
          <w:sz w:val="20"/>
          <w:szCs w:val="20"/>
          <w:color w:val="auto"/>
        </w:rPr>
      </w:pPr>
      <w:r>
        <w:rPr>
          <w:rFonts w:ascii="Arial" w:cs="Arial" w:eastAsia="Arial" w:hAnsi="Arial"/>
          <w:sz w:val="13"/>
          <w:szCs w:val="13"/>
          <w:color w:val="auto"/>
        </w:rPr>
        <w:t>Share-based compensation</w:t>
      </w:r>
    </w:p>
    <w:p>
      <w:pPr>
        <w:ind w:left="340" w:hanging="93"/>
        <w:spacing w:after="0" w:line="227" w:lineRule="auto"/>
        <w:rPr>
          <w:sz w:val="20"/>
          <w:szCs w:val="20"/>
          <w:color w:val="auto"/>
        </w:rPr>
      </w:pPr>
      <w:r>
        <w:rPr>
          <w:rFonts w:ascii="Arial" w:cs="Arial" w:eastAsia="Arial" w:hAnsi="Arial"/>
          <w:sz w:val="13"/>
          <w:szCs w:val="13"/>
          <w:color w:val="auto"/>
        </w:rPr>
        <w:t>Issuance of Class A Common Stock under ATM offering</w:t>
      </w:r>
    </w:p>
    <w:p>
      <w:pPr>
        <w:jc w:val="right"/>
        <w:spacing w:after="0" w:line="217" w:lineRule="auto"/>
        <w:rPr>
          <w:sz w:val="20"/>
          <w:szCs w:val="20"/>
          <w:color w:val="auto"/>
        </w:rPr>
      </w:pPr>
      <w:r>
        <w:rPr>
          <w:rFonts w:ascii="Arial" w:cs="Arial" w:eastAsia="Arial" w:hAnsi="Arial"/>
          <w:sz w:val="13"/>
          <w:szCs w:val="13"/>
          <w:color w:val="auto"/>
        </w:rPr>
        <w:t>Issuance of Class A Common Stock</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0"/>
          <w:szCs w:val="10"/>
          <w:color w:val="auto"/>
        </w:rPr>
        <w:t>to a related party under the Letter</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Agreements</w:t>
      </w:r>
    </w:p>
    <w:p>
      <w:pPr>
        <w:ind w:left="260"/>
        <w:spacing w:after="0"/>
        <w:rPr>
          <w:sz w:val="20"/>
          <w:szCs w:val="20"/>
          <w:color w:val="auto"/>
        </w:rPr>
      </w:pPr>
      <w:r>
        <w:rPr>
          <w:rFonts w:ascii="Arial" w:cs="Arial" w:eastAsia="Arial" w:hAnsi="Arial"/>
          <w:sz w:val="13"/>
          <w:szCs w:val="13"/>
          <w:color w:val="auto"/>
        </w:rPr>
        <w:t>Vesting of restricted stock units</w:t>
      </w:r>
    </w:p>
    <w:p>
      <w:pPr>
        <w:ind w:left="340" w:right="260" w:hanging="93"/>
        <w:spacing w:after="0" w:line="248" w:lineRule="auto"/>
        <w:rPr>
          <w:sz w:val="20"/>
          <w:szCs w:val="20"/>
          <w:color w:val="auto"/>
        </w:rPr>
      </w:pPr>
      <w:r>
        <w:rPr>
          <w:rFonts w:ascii="Arial" w:cs="Arial" w:eastAsia="Arial" w:hAnsi="Arial"/>
          <w:sz w:val="12"/>
          <w:szCs w:val="12"/>
          <w:color w:val="auto"/>
        </w:rPr>
        <w:t>Change in redemption value of noncontrolling interest</w:t>
      </w:r>
    </w:p>
    <w:p>
      <w:pPr>
        <w:spacing w:after="0"/>
        <w:rPr>
          <w:sz w:val="20"/>
          <w:szCs w:val="20"/>
          <w:color w:val="auto"/>
        </w:rPr>
      </w:pPr>
      <w:r>
        <w:rPr>
          <w:rFonts w:ascii="Arial" w:cs="Arial" w:eastAsia="Arial" w:hAnsi="Arial"/>
          <w:sz w:val="13"/>
          <w:szCs w:val="13"/>
          <w:b w:val="1"/>
          <w:bCs w:val="1"/>
          <w:color w:val="auto"/>
        </w:rPr>
        <w:t>Balances at September 30, 2020</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Redeemable</w:t>
      </w:r>
    </w:p>
    <w:p>
      <w:pPr>
        <w:jc w:val="center"/>
        <w:ind w:right="60"/>
        <w:spacing w:after="0" w:line="216" w:lineRule="auto"/>
        <w:rPr>
          <w:sz w:val="20"/>
          <w:szCs w:val="20"/>
          <w:color w:val="auto"/>
        </w:rPr>
      </w:pPr>
      <w:r>
        <w:rPr>
          <w:rFonts w:ascii="Arial" w:cs="Arial" w:eastAsia="Arial" w:hAnsi="Arial"/>
          <w:sz w:val="13"/>
          <w:szCs w:val="13"/>
          <w:b w:val="1"/>
          <w:bCs w:val="1"/>
          <w:color w:val="auto"/>
        </w:rPr>
        <w:t>Noncontrolling</w:t>
      </w:r>
    </w:p>
    <w:p>
      <w:pPr>
        <w:jc w:val="center"/>
        <w:ind w:right="60"/>
        <w:spacing w:after="0"/>
        <w:rPr>
          <w:sz w:val="20"/>
          <w:szCs w:val="20"/>
          <w:color w:val="auto"/>
        </w:rPr>
      </w:pPr>
      <w:r>
        <w:rPr>
          <w:rFonts w:ascii="Arial" w:cs="Arial" w:eastAsia="Arial" w:hAnsi="Arial"/>
          <w:sz w:val="13"/>
          <w:szCs w:val="13"/>
          <w:b w:val="1"/>
          <w:bCs w:val="1"/>
          <w:color w:val="auto"/>
        </w:rPr>
        <w:t>Interest</w:t>
      </w:r>
    </w:p>
    <w:p>
      <w:pPr>
        <w:ind w:left="640" w:hanging="634"/>
        <w:spacing w:after="0"/>
        <w:tabs>
          <w:tab w:leader="none" w:pos="64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40,183</w:t>
      </w:r>
    </w:p>
    <w:p>
      <w:pPr>
        <w:ind w:left="660"/>
        <w:spacing w:after="0"/>
        <w:rPr>
          <w:rFonts w:ascii="Arial" w:cs="Arial" w:eastAsia="Arial" w:hAnsi="Arial"/>
          <w:sz w:val="13"/>
          <w:szCs w:val="13"/>
          <w:b w:val="1"/>
          <w:bCs w:val="1"/>
          <w:color w:val="auto"/>
        </w:rPr>
      </w:pPr>
      <w:r>
        <w:rPr>
          <w:rFonts w:ascii="Arial" w:cs="Arial" w:eastAsia="Arial" w:hAnsi="Arial"/>
          <w:sz w:val="10"/>
          <w:szCs w:val="10"/>
          <w:color w:val="auto"/>
        </w:rPr>
        <w:t>(4,784)</w:t>
      </w:r>
    </w:p>
    <w:p>
      <w:pPr>
        <w:spacing w:after="0" w:line="33" w:lineRule="exact"/>
        <w:rPr>
          <w:rFonts w:ascii="Arial" w:cs="Arial" w:eastAsia="Arial" w:hAnsi="Arial"/>
          <w:sz w:val="13"/>
          <w:szCs w:val="13"/>
          <w:b w:val="1"/>
          <w:bCs w:val="1"/>
          <w:color w:val="auto"/>
        </w:rPr>
      </w:pPr>
    </w:p>
    <w:p>
      <w:pPr>
        <w:ind w:left="860"/>
        <w:spacing w:after="0"/>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p>
    <w:p>
      <w:pPr>
        <w:spacing w:after="0" w:line="26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10,192</w:t>
      </w:r>
    </w:p>
    <w:p>
      <w:pPr>
        <w:spacing w:after="0" w:line="11" w:lineRule="exact"/>
        <w:rPr>
          <w:sz w:val="20"/>
          <w:szCs w:val="20"/>
          <w:color w:val="auto"/>
        </w:rPr>
      </w:pPr>
    </w:p>
    <w:p>
      <w:pPr>
        <w:ind w:left="640" w:hanging="634"/>
        <w:spacing w:after="0"/>
        <w:tabs>
          <w:tab w:leader="none" w:pos="64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45,591</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040" w:type="dxa"/>
            <w:vAlign w:val="bottom"/>
            <w:gridSpan w:val="5"/>
          </w:tcPr>
          <w:p>
            <w:pPr>
              <w:ind w:left="260"/>
              <w:spacing w:after="0"/>
              <w:rPr>
                <w:sz w:val="20"/>
                <w:szCs w:val="20"/>
                <w:color w:val="auto"/>
              </w:rPr>
            </w:pPr>
            <w:r>
              <w:rPr>
                <w:rFonts w:ascii="Arial" w:cs="Arial" w:eastAsia="Arial" w:hAnsi="Arial"/>
                <w:sz w:val="13"/>
                <w:szCs w:val="13"/>
                <w:b w:val="1"/>
                <w:bCs w:val="1"/>
                <w:color w:val="auto"/>
              </w:rPr>
              <w:t>Class A Common Stock</w:t>
            </w:r>
          </w:p>
        </w:tc>
        <w:tc>
          <w:tcPr>
            <w:tcW w:w="182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Class B Common 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4"/>
              </w:rPr>
              <w:t>Additional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4"/>
        </w:trPr>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48"/>
        </w:trPr>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4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57"/>
              <w:spacing w:after="0"/>
              <w:rPr>
                <w:sz w:val="20"/>
                <w:szCs w:val="20"/>
                <w:color w:val="auto"/>
              </w:rPr>
            </w:pPr>
            <w:r>
              <w:rPr>
                <w:rFonts w:ascii="Arial" w:cs="Arial" w:eastAsia="Arial" w:hAnsi="Arial"/>
                <w:sz w:val="13"/>
                <w:szCs w:val="13"/>
                <w:b w:val="1"/>
                <w:bCs w:val="1"/>
                <w:color w:val="auto"/>
              </w:rPr>
              <w:t>Capital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53"/>
        </w:trPr>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40,918,522</w:t>
            </w: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409</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23,094,221</w:t>
            </w: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232</w:t>
            </w: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183,858</w:t>
            </w: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(233,522)</w:t>
            </w:r>
          </w:p>
        </w:tc>
        <w:tc>
          <w:tcPr>
            <w:tcW w:w="80" w:type="dxa"/>
            <w:vAlign w:val="bottom"/>
            <w:gridSpan w:val="2"/>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rPr>
              <w:t>(49,023)</w:t>
            </w:r>
          </w:p>
        </w:tc>
        <w:tc>
          <w:tcPr>
            <w:tcW w:w="0" w:type="dxa"/>
            <w:vAlign w:val="bottom"/>
          </w:tcPr>
          <w:p>
            <w:pPr>
              <w:spacing w:after="0"/>
              <w:rPr>
                <w:sz w:val="1"/>
                <w:szCs w:val="1"/>
                <w:color w:val="auto"/>
              </w:rPr>
            </w:pPr>
          </w:p>
        </w:tc>
      </w:tr>
      <w:tr>
        <w:trPr>
          <w:trHeight w:val="148"/>
        </w:trPr>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(9,625)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(9,625)</w:t>
            </w:r>
          </w:p>
        </w:tc>
        <w:tc>
          <w:tcPr>
            <w:tcW w:w="0" w:type="dxa"/>
            <w:vAlign w:val="bottom"/>
          </w:tcPr>
          <w:p>
            <w:pPr>
              <w:spacing w:after="0"/>
              <w:rPr>
                <w:sz w:val="1"/>
                <w:szCs w:val="1"/>
                <w:color w:val="auto"/>
              </w:rPr>
            </w:pPr>
          </w:p>
        </w:tc>
      </w:tr>
      <w:tr>
        <w:trPr>
          <w:trHeight w:val="160"/>
        </w:trPr>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737</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737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820" w:type="dxa"/>
            <w:vAlign w:val="bottom"/>
          </w:tcPr>
          <w:p>
            <w:pPr>
              <w:jc w:val="right"/>
              <w:spacing w:after="0"/>
              <w:rPr>
                <w:sz w:val="20"/>
                <w:szCs w:val="20"/>
                <w:color w:val="auto"/>
              </w:rPr>
            </w:pPr>
            <w:r>
              <w:rPr>
                <w:rFonts w:ascii="Arial" w:cs="Arial" w:eastAsia="Arial" w:hAnsi="Arial"/>
                <w:sz w:val="13"/>
                <w:szCs w:val="13"/>
                <w:color w:val="auto"/>
              </w:rPr>
              <w:t>3,847,405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9,692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9,731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20" w:type="dxa"/>
            <w:vAlign w:val="bottom"/>
          </w:tcPr>
          <w:p>
            <w:pPr>
              <w:jc w:val="right"/>
              <w:spacing w:after="0"/>
              <w:rPr>
                <w:sz w:val="20"/>
                <w:szCs w:val="20"/>
                <w:color w:val="auto"/>
              </w:rPr>
            </w:pPr>
            <w:r>
              <w:rPr>
                <w:rFonts w:ascii="Arial" w:cs="Arial" w:eastAsia="Arial" w:hAnsi="Arial"/>
                <w:sz w:val="13"/>
                <w:szCs w:val="13"/>
                <w:color w:val="auto"/>
              </w:rPr>
              <w:t>4,375,000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6,956</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20" w:type="dxa"/>
            <w:vAlign w:val="bottom"/>
          </w:tcPr>
          <w:p>
            <w:pPr>
              <w:jc w:val="right"/>
              <w:spacing w:after="0"/>
              <w:rPr>
                <w:sz w:val="20"/>
                <w:szCs w:val="20"/>
                <w:color w:val="auto"/>
              </w:rPr>
            </w:pPr>
            <w:r>
              <w:rPr>
                <w:rFonts w:ascii="Arial" w:cs="Arial" w:eastAsia="Arial" w:hAnsi="Arial"/>
                <w:sz w:val="13"/>
                <w:szCs w:val="13"/>
                <w:color w:val="auto"/>
              </w:rPr>
              <w:t>11,667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3"/>
        </w:trPr>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(10,192)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(10,192)</w:t>
            </w:r>
          </w:p>
        </w:tc>
        <w:tc>
          <w:tcPr>
            <w:tcW w:w="0" w:type="dxa"/>
            <w:vAlign w:val="bottom"/>
          </w:tcPr>
          <w:p>
            <w:pPr>
              <w:spacing w:after="0"/>
              <w:rPr>
                <w:sz w:val="1"/>
                <w:szCs w:val="1"/>
                <w:color w:val="auto"/>
              </w:rPr>
            </w:pPr>
          </w:p>
        </w:tc>
      </w:tr>
      <w:tr>
        <w:trPr>
          <w:trHeight w:val="142"/>
        </w:trPr>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49,152,594</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492</w:t>
            </w: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201,243</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(253,339)</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(51,372)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2080" w:space="500"/>
            <w:col w:w="1040" w:space="200"/>
            <w:col w:w="7420"/>
          </w:cols>
          <w:pgMar w:left="320" w:top="337"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For the nine months ended September 30, 2019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5"/>
          </w:tcPr>
          <w:p>
            <w:pPr>
              <w:ind w:left="260"/>
              <w:spacing w:after="0" w:line="142"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tcBorders>
              <w:top w:val="single" w:sz="8" w:color="auto"/>
            </w:tcBorders>
            <w:gridSpan w:val="4"/>
          </w:tcPr>
          <w:p>
            <w:pPr>
              <w:jc w:val="right"/>
              <w:ind w:right="217"/>
              <w:spacing w:after="0" w:line="142"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top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4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2018</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62,482</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20,347,065</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203</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150,595</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(233,883)</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(82,853)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(6,411)</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(8,645)</w:t>
            </w:r>
          </w:p>
        </w:tc>
        <w:tc>
          <w:tcPr>
            <w:tcW w:w="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(8,645)</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under registered direct offering</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3,636,364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to a related party under the</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Letter Agreements</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11,443,975</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19,386</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Letter Agreement and</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340"/>
              <w:spacing w:after="0" w:line="135" w:lineRule="exact"/>
              <w:rPr>
                <w:sz w:val="20"/>
                <w:szCs w:val="20"/>
                <w:color w:val="auto"/>
              </w:rPr>
            </w:pPr>
            <w:r>
              <w:rPr>
                <w:rFonts w:ascii="Arial" w:cs="Arial" w:eastAsia="Arial" w:hAnsi="Arial"/>
                <w:sz w:val="13"/>
                <w:szCs w:val="13"/>
                <w:color w:val="auto"/>
              </w:rPr>
              <w:t>warrants to purchase Class A</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Common Stock - related party</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(492)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Vesting of restricted stock units</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11,666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(18,803)</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18,803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18,803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September 30, 2019</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37,268</w:t>
            </w:r>
          </w:p>
        </w:tc>
        <w:tc>
          <w:tcPr>
            <w:tcW w:w="12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35,439,070</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354</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175,990</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(223,725)</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(47,149)</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Net loss before noncontrolling interest</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(14,409)</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(15,056)</w:t>
            </w:r>
          </w:p>
        </w:tc>
        <w:tc>
          <w:tcPr>
            <w:tcW w:w="0" w:type="dxa"/>
            <w:vAlign w:val="bottom"/>
          </w:tcPr>
          <w:p>
            <w:pPr>
              <w:spacing w:after="0"/>
              <w:rPr>
                <w:sz w:val="1"/>
                <w:szCs w:val="1"/>
                <w:color w:val="auto"/>
              </w:rPr>
            </w:pPr>
          </w:p>
        </w:tc>
      </w:tr>
      <w:tr>
        <w:trPr>
          <w:trHeight w:val="143"/>
        </w:trPr>
        <w:tc>
          <w:tcPr>
            <w:tcW w:w="7720" w:type="dxa"/>
            <w:vAlign w:val="bottom"/>
          </w:tcPr>
          <w:p>
            <w:pPr>
              <w:spacing w:after="0" w:line="143" w:lineRule="exact"/>
              <w:rPr>
                <w:sz w:val="20"/>
                <w:szCs w:val="20"/>
                <w:color w:val="auto"/>
              </w:rPr>
            </w:pPr>
            <w:r>
              <w:rPr>
                <w:rFonts w:ascii="Arial" w:cs="Arial" w:eastAsia="Arial" w:hAnsi="Arial"/>
                <w:sz w:val="14"/>
                <w:szCs w:val="14"/>
                <w:color w:val="auto"/>
              </w:rPr>
              <w:t>Adjustments to reconcile net loss before noncontrolling interest to net cash used in operating</w:t>
            </w: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tcPr>
          <w:p>
            <w:pPr>
              <w:ind w:left="120"/>
              <w:spacing w:after="0"/>
              <w:rPr>
                <w:sz w:val="20"/>
                <w:szCs w:val="20"/>
                <w:color w:val="auto"/>
              </w:rPr>
            </w:pPr>
            <w:r>
              <w:rPr>
                <w:rFonts w:ascii="Arial" w:cs="Arial" w:eastAsia="Arial" w:hAnsi="Arial"/>
                <w:sz w:val="14"/>
                <w:szCs w:val="14"/>
                <w:color w:val="auto"/>
              </w:rPr>
              <w:t>activities:</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Loss (gain) on disposal of property and equipment, net</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Depreciation expense</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72</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Share-based compensation expense</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737</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Change in fair value of warrants, related party</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114</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debt discount</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Changes in assets and liabilities:</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Prepaid expenses and other assets</w:t>
            </w:r>
          </w:p>
        </w:tc>
        <w:tc>
          <w:tcPr>
            <w:tcW w:w="10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(781)</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deposits</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Accounts payable and accrued expenses</w:t>
            </w:r>
          </w:p>
        </w:tc>
        <w:tc>
          <w:tcPr>
            <w:tcW w:w="10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(1,352)</w:t>
            </w:r>
          </w:p>
        </w:tc>
        <w:tc>
          <w:tcPr>
            <w:tcW w:w="10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Accreted interest on debt</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(750)</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Contract liabilities</w:t>
            </w:r>
          </w:p>
        </w:tc>
        <w:tc>
          <w:tcPr>
            <w:tcW w:w="10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(16)</w:t>
            </w:r>
          </w:p>
        </w:tc>
        <w:tc>
          <w:tcPr>
            <w:tcW w:w="10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(1,748)</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liabilities</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(178)</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10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(15,788)</w:t>
            </w:r>
          </w:p>
        </w:tc>
        <w:tc>
          <w:tcPr>
            <w:tcW w:w="2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(17,142)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Proceeds from sale of assets</w:t>
            </w:r>
          </w:p>
        </w:tc>
        <w:tc>
          <w:tcPr>
            <w:tcW w:w="10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investing activities</w:t>
            </w:r>
          </w:p>
        </w:tc>
        <w:tc>
          <w:tcPr>
            <w:tcW w:w="10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Proceeds from issuance of Class A Common Stock to a related party under the Letter</w:t>
            </w: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Agreements</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7,000</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Proceeds from issuance of Class A Common Stock, net of offering costs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9,731</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debt issuance</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Repayment of notes payable</w:t>
            </w:r>
          </w:p>
        </w:tc>
        <w:tc>
          <w:tcPr>
            <w:tcW w:w="10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(3,893)</w:t>
            </w:r>
          </w:p>
        </w:tc>
        <w:tc>
          <w:tcPr>
            <w:tcW w:w="10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(7,858)</w:t>
            </w:r>
          </w:p>
        </w:tc>
        <w:tc>
          <w:tcPr>
            <w:tcW w:w="0" w:type="dxa"/>
            <w:vAlign w:val="bottom"/>
          </w:tcPr>
          <w:p>
            <w:pPr>
              <w:spacing w:after="0"/>
              <w:rPr>
                <w:sz w:val="1"/>
                <w:szCs w:val="1"/>
                <w:color w:val="auto"/>
              </w:rPr>
            </w:pPr>
          </w:p>
        </w:tc>
      </w:tr>
      <w:tr>
        <w:trPr>
          <w:trHeight w:val="155"/>
        </w:trPr>
        <w:tc>
          <w:tcPr>
            <w:tcW w:w="7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0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13,338</w:t>
            </w:r>
          </w:p>
        </w:tc>
        <w:tc>
          <w:tcPr>
            <w:tcW w:w="28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17,585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Net (decrease) increase in cash, cash equivalents and restricted cash and cash equivalents</w:t>
            </w:r>
          </w:p>
        </w:tc>
        <w:tc>
          <w:tcPr>
            <w:tcW w:w="10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(2,450)</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cash, cash equivalents and restricted cash and cash equivalents, beginning of period</w:t>
            </w:r>
          </w:p>
        </w:tc>
        <w:tc>
          <w:tcPr>
            <w:tcW w:w="102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4,277</w:t>
            </w:r>
          </w:p>
        </w:tc>
        <w:tc>
          <w:tcPr>
            <w:tcW w:w="28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4,183</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Total cash, cash equivalents and restricted cash and cash equivalents, end of period</w:t>
            </w:r>
          </w:p>
        </w:tc>
        <w:tc>
          <w:tcPr>
            <w:tcW w:w="1020" w:type="dxa"/>
            <w:vAlign w:val="bottom"/>
            <w:tcBorders>
              <w:bottom w:val="single" w:sz="8" w:color="auto"/>
            </w:tcBorders>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1,827</w:t>
            </w:r>
          </w:p>
        </w:tc>
        <w:tc>
          <w:tcPr>
            <w:tcW w:w="28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4,936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Non-cash activities:</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redemption value of noncontrolling interest</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10,192</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(18,803)</w:t>
            </w:r>
          </w:p>
        </w:tc>
        <w:tc>
          <w:tcPr>
            <w:tcW w:w="0" w:type="dxa"/>
            <w:vAlign w:val="bottom"/>
          </w:tcPr>
          <w:p>
            <w:pPr>
              <w:spacing w:after="0"/>
              <w:rPr>
                <w:sz w:val="1"/>
                <w:szCs w:val="1"/>
                <w:color w:val="auto"/>
              </w:rPr>
            </w:pPr>
          </w:p>
        </w:tc>
      </w:tr>
      <w:tr>
        <w:trPr>
          <w:trHeight w:val="143"/>
        </w:trPr>
        <w:tc>
          <w:tcPr>
            <w:tcW w:w="7720" w:type="dxa"/>
            <w:vAlign w:val="bottom"/>
          </w:tcPr>
          <w:p>
            <w:pPr>
              <w:ind w:left="260"/>
              <w:spacing w:after="0" w:line="143" w:lineRule="exact"/>
              <w:rPr>
                <w:sz w:val="20"/>
                <w:szCs w:val="20"/>
                <w:color w:val="auto"/>
              </w:rPr>
            </w:pPr>
            <w:r>
              <w:rPr>
                <w:rFonts w:ascii="Arial" w:cs="Arial" w:eastAsia="Arial" w:hAnsi="Arial"/>
                <w:sz w:val="14"/>
                <w:szCs w:val="14"/>
                <w:color w:val="auto"/>
              </w:rPr>
              <w:t>Issuance of Letter Agreements and warrants to purchase vTv Therapeutics Inc. Class A</w:t>
            </w: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720" w:type="dxa"/>
            <w:vAlign w:val="bottom"/>
          </w:tcPr>
          <w:p>
            <w:pPr>
              <w:ind w:left="400"/>
              <w:spacing w:after="0"/>
              <w:rPr>
                <w:sz w:val="20"/>
                <w:szCs w:val="20"/>
                <w:color w:val="auto"/>
              </w:rPr>
            </w:pPr>
            <w:r>
              <w:rPr>
                <w:rFonts w:ascii="Arial" w:cs="Arial" w:eastAsia="Arial" w:hAnsi="Arial"/>
                <w:sz w:val="14"/>
                <w:szCs w:val="14"/>
                <w:color w:val="auto"/>
              </w:rPr>
              <w:t>Common Stock to a related party</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vTv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are in thousands, unless otherwise noted)</w:t>
      </w:r>
    </w:p>
    <w:p>
      <w:pPr>
        <w:spacing w:after="0" w:line="252" w:lineRule="exact"/>
        <w:rPr>
          <w:sz w:val="20"/>
          <w:szCs w:val="20"/>
          <w:color w:val="auto"/>
        </w:rPr>
      </w:pPr>
    </w:p>
    <w:p>
      <w:pPr>
        <w:ind w:right="5580"/>
        <w:spacing w:after="0" w:line="377" w:lineRule="auto"/>
        <w:rPr>
          <w:sz w:val="20"/>
          <w:szCs w:val="20"/>
          <w:color w:val="auto"/>
        </w:rPr>
      </w:pPr>
      <w:r>
        <w:rPr>
          <w:rFonts w:ascii="Arial" w:cs="Arial" w:eastAsia="Arial" w:hAnsi="Arial"/>
          <w:sz w:val="18"/>
          <w:szCs w:val="18"/>
          <w:b w:val="1"/>
          <w:bCs w:val="1"/>
          <w:color w:val="auto"/>
        </w:rPr>
        <w:t xml:space="preserve">Note 1:Description of Business, Basis of Presentation and Going Concern </w:t>
      </w:r>
      <w:r>
        <w:rPr>
          <w:rFonts w:ascii="Arial" w:cs="Arial" w:eastAsia="Arial" w:hAnsi="Arial"/>
          <w:sz w:val="18"/>
          <w:szCs w:val="18"/>
          <w:b w:val="1"/>
          <w:bCs w:val="1"/>
          <w:i w:val="1"/>
          <w:iCs w:val="1"/>
          <w:color w:val="auto"/>
        </w:rPr>
        <w:t>Description of Business</w:t>
      </w:r>
    </w:p>
    <w:p>
      <w:pPr>
        <w:spacing w:after="0" w:line="2"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vTv Therapeutics Inc. (the “Company,” the “Registrant,” “we” or “us”) was incorporated in the state of Delaware in April 2015. The Company is a clinical-stage pharmaceutical company focused on treating metabolic diseases to minimize their long-term complications through end-organ protection.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Company’s principal operating subsidiary, which is a clinical-stage pharmaceutical company focused on treating metabolic diseases to minimize their long-term complications through end-organ protection.</w:t>
      </w:r>
    </w:p>
    <w:p>
      <w:pPr>
        <w:spacing w:after="0" w:line="76"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As of September 30, 2020, various holders own non-voting interests in vTv LLC, representing a 32.0% economic interest in vTv LLC, effectively restricting vTv Therapeutics Inc.’s interest to 68.0% of vTv LLC’s economic results, subject to increase in the future, should vTv Therapeutics Inc. purchase additional non-voting common units (“vTv Units”) of vTv LLC, or should the holders of vTv Units decide to exchange such units (together with shares of Class B Common Stock) for shares of Class A Common Stock (or cash) pursuant to the Exchange Agreement (as defined in Note 10). vTv Therapeutics Inc. has provided financial and other support to vTv LLC in the form of its purchase of vTv Units with the net proceeds of the Company’s initial public offering (“IPO”) in 2015 and its registered direct offering in March 2019, its agreeing to be a co-borrower under the Venture Loan and Security Agreement (the “Loan Agreement”) with Horizon Technology Finance Corporation and Silicon Valley Bank (together, the “Lenders”) which was entered into in 2016, and its entrance into the letter agreements, dated as of December 5, 2017, July 30, 2018, December 11, 2018, March 18, 2019, September 26, 2019 and December 23, 2019 with MacAndrews and Forbes Group LLC (the “Letter Agreements”). vTv Therapeutics Inc. will not be required to provide financial or other support for vTv LLC outside of its obligations pertaining to the Loan Agreement as a co-borrower. However, vTv Therapeutics Inc. will control its business and other activities through its managing member interest in vTv LLC, and its management is the management of vTv LLC. The creditors of vTv LLC do not have any recourse to the general credit of vTv Therapeutics Inc. except as allowed under the provisions of the Loan Agreement. Nevertheless, because vTv Therapeutics Inc. will have no material assets other than its interests in vTv LLC, any financial difficulties at vTv LLC could result in vTv Therapeutics Inc. recognizing a loss.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225"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To date, the Company has not generated any product revenue and has not achieved profitable operations. The continuing development of our drug candidates will require additional financing. From its inception through September 30, 2020,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September 30, 2020, the Company had an accumulated deficit of $253.3 million and has generated net losses in each year of its existence.</w:t>
      </w:r>
    </w:p>
    <w:p>
      <w:pPr>
        <w:spacing w:after="0" w:line="68"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As of September 30, 2020, the Company’s liquidity sources included cash and cash equivalents of $1.8 million and $3.0 million of remaining funds available under the Letter Agreements. Further, we had remaining availability of $2.8 million under our Controlled Equity Offering</w:t>
      </w:r>
      <w:r>
        <w:rPr>
          <w:rFonts w:ascii="Arial" w:cs="Arial" w:eastAsia="Arial" w:hAnsi="Arial"/>
          <w:sz w:val="14"/>
          <w:szCs w:val="14"/>
          <w:color w:val="auto"/>
        </w:rPr>
        <w:t>SM</w:t>
      </w:r>
      <w:r>
        <w:rPr>
          <w:rFonts w:ascii="Arial" w:cs="Arial" w:eastAsia="Arial" w:hAnsi="Arial"/>
          <w:sz w:val="17"/>
          <w:szCs w:val="17"/>
          <w:color w:val="auto"/>
        </w:rPr>
        <w:t xml:space="preserve"> Sales Agreement (the “Sales Agreement”) with Cantor Fitzgerald &amp; Co. (“Cantor Fitzgerald”) pursuant to which the Company may offer and sell, from time to time shares of the Company’s Class A Common Stock (the “ATM Offering”). See Note 9 for further details. Based on the Company’s current operating plan, management believes that its current cash and cash equivalents, the remaining funds available under the Letter Agreements, and the funds received under the ATM Offering, the remaining balance of which was sold subsequent to September 30, 2020, will allow the Company to meet its liquidity requirements through December 2020, which is less than twelve months from the issuance of these Condensed Consolidated Financial Statements. These conditions raise substantial doubt about the Company’s ability to continue as a going concern. The Company is evaluating several financing strategies to provide continued funding which may include additional direct equity investments or future public</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 w:name="page10"/>
    <w:bookmarkEnd w:id="9"/>
    <w:p>
      <w:pPr>
        <w:ind w:right="220"/>
        <w:spacing w:after="0" w:line="263" w:lineRule="auto"/>
        <w:rPr>
          <w:sz w:val="20"/>
          <w:szCs w:val="20"/>
          <w:color w:val="auto"/>
        </w:rPr>
      </w:pPr>
      <w:r>
        <w:rPr>
          <w:rFonts w:ascii="Arial" w:cs="Arial" w:eastAsia="Arial" w:hAnsi="Arial"/>
          <w:sz w:val="18"/>
          <w:szCs w:val="18"/>
          <w:color w:val="auto"/>
        </w:rPr>
        <w:t>offerings of our common stock. The timing and availability of such financing is not yet known and we cannot be certain that additional financing will be available on acceptable terms, or at all. Even if we are able to obtain additional debt or equity financing, it may contain restrictions on our operations or cause substantial dilution to our stockholders.</w:t>
      </w:r>
    </w:p>
    <w:p>
      <w:pPr>
        <w:spacing w:after="0" w:line="7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79"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full extent to which the COVID-19 outbreak / pandemic will directly or indirectly impact our business, results of operations and financial condition, including licensing revenues,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contain or treat COVID-19, as well as the economic impact on local, regional, national and international suppliers and markets.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 (“GAAP”). The accompanying Condensed Consolidated Balance Sheet as of September 30, 2020, Condensed Consolidated Statements of Operations for the three and nine months ended September 30, 2020 and 2019, Condensed Consolidated Statement of Changes in Redeemable Noncontrolling Interest and Stockholders’ Deficit for the three and nine months ended September 30, 2020 and 2019 and Condensed Consolidated Statements of Cash Flows for the nine months ended September 30, 2020 and 2019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2019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September 30, 2020, the results of operations for the three and nine months ended September 30, 2020 and 2019 and cash flows for the nine months ended September 30, 2020 and 2019. The December 31, 2019 Condensed Consolidated Balance Sheet included herein was derived from the audited financial statements but does not include all disclosures or notes required by GAAP for complete financial statements.</w:t>
      </w:r>
    </w:p>
    <w:p>
      <w:pPr>
        <w:spacing w:after="0" w:line="66" w:lineRule="exact"/>
        <w:rPr>
          <w:sz w:val="20"/>
          <w:szCs w:val="20"/>
          <w:color w:val="auto"/>
        </w:rPr>
      </w:pPr>
    </w:p>
    <w:p>
      <w:pPr>
        <w:ind w:right="1040" w:firstLine="510"/>
        <w:spacing w:after="0" w:line="308" w:lineRule="auto"/>
        <w:rPr>
          <w:sz w:val="20"/>
          <w:szCs w:val="20"/>
          <w:color w:val="auto"/>
        </w:rPr>
      </w:pPr>
      <w:r>
        <w:rPr>
          <w:rFonts w:ascii="Arial" w:cs="Arial" w:eastAsia="Arial" w:hAnsi="Arial"/>
          <w:sz w:val="17"/>
          <w:szCs w:val="17"/>
          <w:color w:val="auto"/>
        </w:rPr>
        <w:t>The financial data and other information disclosed in these notes to the financial statements related to the three and nine months ended September 30, 2020 and 2019 are unaudited. Interim results are not necessarily indicative of results for an entire year.</w:t>
      </w:r>
    </w:p>
    <w:p>
      <w:pPr>
        <w:spacing w:after="0" w:line="38"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On an ongoing basis, the Company evaluates its estimates, including those related to the grant date fair value of equity awards, the fair value of warrants to purchase shares of its Class A Common Stock, the fair value of the Class B Common Stock, the useful lives of property and equipment, the fair value of derivative liabilities,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multiple financial institutions. The balances of these cash accounts frequently exceed insured limits.</w:t>
      </w:r>
    </w:p>
    <w:p>
      <w:pPr>
        <w:spacing w:after="0" w:line="62" w:lineRule="exact"/>
        <w:rPr>
          <w:sz w:val="20"/>
          <w:szCs w:val="20"/>
          <w:color w:val="auto"/>
        </w:rPr>
      </w:pPr>
    </w:p>
    <w:p>
      <w:pPr>
        <w:ind w:right="1580" w:firstLine="510"/>
        <w:spacing w:after="0" w:line="277" w:lineRule="auto"/>
        <w:rPr>
          <w:sz w:val="20"/>
          <w:szCs w:val="20"/>
          <w:color w:val="auto"/>
        </w:rPr>
      </w:pPr>
      <w:r>
        <w:rPr>
          <w:rFonts w:ascii="Arial" w:cs="Arial" w:eastAsia="Arial" w:hAnsi="Arial"/>
          <w:sz w:val="18"/>
          <w:szCs w:val="18"/>
          <w:color w:val="auto"/>
        </w:rPr>
        <w:t>One and three customers represented 100% of the revenue earned during the three and nine months ended September 30, 2019, respectively. Revenue for the three and nine months ended September 30, 2020 was insignificant.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considers any highly liquid investments with an original maturity of three months or less to be cash and cash equivalents.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Restricted cash and cash equivalents as of December 31, 2019 was $2.5 million. This amount relates to the minimum balance that the Company was required to maintain in a deposit account that was pledged to secure the Loan Agreement and was subject to an account control agreement pursuant to the Loan Agreement. There were no restricted cash and cash equivalents as of September 30, 2020, as the Loan Agreement was amended to remove the minimum cash balance requirements (See Note 5 for further details).</w:t>
      </w:r>
    </w:p>
    <w:p>
      <w:pPr>
        <w:spacing w:after="0" w:line="79"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and cash equivalents reported within the Condensed Consolidated Balance Sheets as of September 30, 2020 and December 31, 2019 that sum to the total of the same such amounts shown in the Condensed Consolidated Statements of Cash Flows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September 30, 2020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and cash equivalents, long-term</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Borders>
              <w:bottom w:val="single" w:sz="8" w:color="CFF0FC"/>
            </w:tcBorders>
          </w:tcPr>
          <w:p>
            <w:pPr>
              <w:spacing w:after="0"/>
              <w:rPr>
                <w:sz w:val="19"/>
                <w:szCs w:val="19"/>
                <w:color w:val="auto"/>
              </w:rPr>
            </w:pPr>
          </w:p>
        </w:tc>
      </w:tr>
      <w:tr>
        <w:trPr>
          <w:trHeight w:val="20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w w:val="95"/>
              </w:rPr>
              <w:t>Total cash, cash equivalents and restricted cash and cash</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equivalents shown in the consolidated statement of</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flows</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4,277</w:t>
            </w:r>
          </w:p>
        </w:tc>
        <w:tc>
          <w:tcPr>
            <w:tcW w:w="80" w:type="dxa"/>
            <w:vAlign w:val="bottom"/>
            <w:shd w:val="clear" w:color="auto" w:fill="CFF0FC"/>
          </w:tcPr>
          <w:p>
            <w:pPr>
              <w:spacing w:after="0"/>
              <w:rPr>
                <w:sz w:val="20"/>
                <w:szCs w:val="20"/>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In connection with the license agreement with Reneo Pharmaceuticals, Inc. (“Reneo”) (the “Reneo License Agreement”), the Company received common stock representing a minority equity interest in Reneo that is classified as a long-term investment in the Company’s Condensed Consolidated Balance Sheets as of September 30, 2020 and December 31, 2019. The Company owns less than 20% of the voting equity of Reneo and does not have the ability to exercise significant influence over Reneo. Since it does not have a readily determinable market value, the Company has elected to measure its investment in Reneo at cost minus impairment, if any, plus or minus changes resulting from observable price changes in orderly transactions for the identical or similar investment.</w:t>
      </w:r>
    </w:p>
    <w:p>
      <w:pPr>
        <w:spacing w:after="0" w:line="84"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No adjustments were made to the value of the Company’s investment in Reneo for the three and nine months ended September 30, 2020 and 2019 either due to impairment or based on observable price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uses the revenue recognition guidance established by ASC Topic 606, “Revenue From Contracts With Customers” (“ASC Topic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103"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53"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discernable pattern over which the services will be provided.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Major components of research and development costs include cash and share-based compensation, costs of preclinical studies, clinical trials and related clinical manufacturing, costs of drug development, costs of materials and supplies, regulatory and compliance costs, fees paid to consultants and other entities that conduct certain research and development activities on the Company’s behalf, facilities costs, and overhead costs. Research and development costs are expensed as incurred.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firstLine="510"/>
        <w:spacing w:after="0" w:line="272" w:lineRule="auto"/>
        <w:rPr>
          <w:sz w:val="20"/>
          <w:szCs w:val="20"/>
          <w:color w:val="auto"/>
        </w:rPr>
      </w:pPr>
      <w:r>
        <w:rPr>
          <w:rFonts w:ascii="Arial" w:cs="Arial" w:eastAsia="Arial" w:hAnsi="Arial"/>
          <w:sz w:val="17"/>
          <w:szCs w:val="17"/>
          <w:color w:val="auto"/>
        </w:rPr>
        <w:t>The Company records accruals based on estimates of the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69" w:lineRule="exact"/>
        <w:rPr>
          <w:sz w:val="20"/>
          <w:szCs w:val="20"/>
          <w:color w:val="auto"/>
        </w:rPr>
      </w:pPr>
    </w:p>
    <w:p>
      <w:pPr>
        <w:jc w:val="both"/>
        <w:ind w:right="540" w:firstLine="510"/>
        <w:spacing w:after="0" w:line="375" w:lineRule="auto"/>
        <w:rPr>
          <w:sz w:val="20"/>
          <w:szCs w:val="20"/>
          <w:color w:val="auto"/>
        </w:rPr>
      </w:pPr>
      <w:r>
        <w:rPr>
          <w:rFonts w:ascii="Arial" w:cs="Arial" w:eastAsia="Arial" w:hAnsi="Arial"/>
          <w:sz w:val="15"/>
          <w:szCs w:val="15"/>
          <w:color w:val="auto"/>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spacing w:after="0" w:line="1"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Research and development costs that are reimbursed under a cost-sharing arrangement are reflected as a reduction of research and development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There have been no recently accounting pronouncements which are expected to have a material impact on the Company’s financial statements.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Reneo License Agreement</w:t>
      </w:r>
    </w:p>
    <w:p>
      <w:pPr>
        <w:spacing w:after="0" w:line="117" w:lineRule="exact"/>
        <w:rPr>
          <w:sz w:val="20"/>
          <w:szCs w:val="20"/>
          <w:color w:val="auto"/>
        </w:rPr>
      </w:pPr>
    </w:p>
    <w:p>
      <w:pPr>
        <w:ind w:right="100" w:firstLine="468"/>
        <w:spacing w:after="0" w:line="263" w:lineRule="auto"/>
        <w:rPr>
          <w:sz w:val="20"/>
          <w:szCs w:val="20"/>
          <w:color w:val="auto"/>
        </w:rPr>
      </w:pPr>
      <w:r>
        <w:rPr>
          <w:rFonts w:ascii="Arial" w:cs="Arial" w:eastAsia="Arial" w:hAnsi="Arial"/>
          <w:sz w:val="18"/>
          <w:szCs w:val="18"/>
          <w:color w:val="auto"/>
        </w:rPr>
        <w:t xml:space="preserve">The Company is party to the Reneo License Agreement, under which Reneo obtained an exclusive, worldwide, sublicensable license to develop and commercialize the Company’s peroxisome proliferation activated receptor delta (PPAR-δ) agonist program, including the compound </w:t>
      </w:r>
      <w:r>
        <w:rPr>
          <w:rFonts w:ascii="Arial" w:cs="Arial" w:eastAsia="Arial" w:hAnsi="Arial"/>
          <w:sz w:val="18"/>
          <w:szCs w:val="18"/>
          <w:i w:val="1"/>
          <w:iCs w:val="1"/>
          <w:color w:val="auto"/>
        </w:rPr>
        <w:t>HPP593</w:t>
      </w:r>
      <w:r>
        <w:rPr>
          <w:rFonts w:ascii="Arial" w:cs="Arial" w:eastAsia="Arial" w:hAnsi="Arial"/>
          <w:sz w:val="18"/>
          <w:szCs w:val="18"/>
          <w:color w:val="auto"/>
        </w:rPr>
        <w:t>, for therapeutic, prophylactic or diagnostic application in humans.</w:t>
      </w:r>
    </w:p>
    <w:p>
      <w:pPr>
        <w:spacing w:after="0" w:line="76" w:lineRule="exact"/>
        <w:rPr>
          <w:sz w:val="20"/>
          <w:szCs w:val="20"/>
          <w:color w:val="auto"/>
        </w:rPr>
      </w:pPr>
    </w:p>
    <w:p>
      <w:pPr>
        <w:ind w:right="200" w:firstLine="468"/>
        <w:spacing w:after="0" w:line="263" w:lineRule="auto"/>
        <w:rPr>
          <w:sz w:val="20"/>
          <w:szCs w:val="20"/>
          <w:color w:val="auto"/>
        </w:rPr>
      </w:pPr>
      <w:r>
        <w:rPr>
          <w:rFonts w:ascii="Arial" w:cs="Arial" w:eastAsia="Arial" w:hAnsi="Arial"/>
          <w:sz w:val="18"/>
          <w:szCs w:val="18"/>
          <w:color w:val="auto"/>
        </w:rPr>
        <w:t>The Company has fully allocated the transaction price to the license and the technology transfer services, which represents a single combined performance obligation because they were not capable of being distinct on their own. The revenue related to this performance obligation was recognized on a straight-line basis over the technology transfer service period.</w:t>
      </w:r>
    </w:p>
    <w:p>
      <w:pPr>
        <w:spacing w:after="0" w:line="76" w:lineRule="exact"/>
        <w:rPr>
          <w:sz w:val="20"/>
          <w:szCs w:val="20"/>
          <w:color w:val="auto"/>
        </w:rPr>
      </w:pPr>
    </w:p>
    <w:p>
      <w:pPr>
        <w:ind w:right="240" w:firstLine="468"/>
        <w:spacing w:after="0" w:line="286" w:lineRule="auto"/>
        <w:rPr>
          <w:sz w:val="20"/>
          <w:szCs w:val="20"/>
          <w:color w:val="auto"/>
        </w:rPr>
      </w:pPr>
      <w:r>
        <w:rPr>
          <w:rFonts w:ascii="Arial" w:cs="Arial" w:eastAsia="Arial" w:hAnsi="Arial"/>
          <w:sz w:val="17"/>
          <w:szCs w:val="17"/>
          <w:color w:val="auto"/>
        </w:rPr>
        <w:t>The revenue related to this performance obligation has been fully recognized as of September 30, 2020. No revenue related to this performance obligation was recognized for the three and nine months ended September 30, 2020 or the three months ended September 30, 2019. For the nine months ended September 30, 2019, the Company recognized revenue related to this performance obligation of $1.7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40" w:firstLine="468"/>
        <w:spacing w:after="0" w:line="293" w:lineRule="auto"/>
        <w:rPr>
          <w:sz w:val="20"/>
          <w:szCs w:val="20"/>
          <w:color w:val="auto"/>
        </w:rPr>
      </w:pPr>
      <w:r>
        <w:rPr>
          <w:rFonts w:ascii="Arial" w:cs="Arial" w:eastAsia="Arial" w:hAnsi="Arial"/>
          <w:sz w:val="16"/>
          <w:szCs w:val="16"/>
          <w:color w:val="auto"/>
        </w:rPr>
        <w:t xml:space="preserve">The Company is party to a License Agreement with Hangzhou Zhongmei Huadong Pharmaceutical Co., Ltd. (“Huadong”) (the “Huadong License Agreement”), under which Huadong obtained an exclusive and sublicensable license to develop and commercialize the Company’s glucagon-like peptide-1 receptor agonist (“GLP-1r”) program, including the compound </w:t>
      </w:r>
      <w:r>
        <w:rPr>
          <w:rFonts w:ascii="Arial" w:cs="Arial" w:eastAsia="Arial" w:hAnsi="Arial"/>
          <w:sz w:val="16"/>
          <w:szCs w:val="16"/>
          <w:i w:val="1"/>
          <w:iCs w:val="1"/>
          <w:color w:val="auto"/>
        </w:rPr>
        <w:t>TTP273</w:t>
      </w:r>
      <w:r>
        <w:rPr>
          <w:rFonts w:ascii="Arial" w:cs="Arial" w:eastAsia="Arial" w:hAnsi="Arial"/>
          <w:sz w:val="16"/>
          <w:szCs w:val="16"/>
          <w:color w:val="auto"/>
        </w:rPr>
        <w:t>,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w:t>
      </w:r>
    </w:p>
    <w:p>
      <w:pPr>
        <w:spacing w:after="0" w:line="56" w:lineRule="exact"/>
        <w:rPr>
          <w:sz w:val="20"/>
          <w:szCs w:val="20"/>
          <w:color w:val="auto"/>
        </w:rPr>
      </w:pPr>
    </w:p>
    <w:p>
      <w:pPr>
        <w:ind w:right="60" w:firstLine="468"/>
        <w:spacing w:after="0" w:line="275" w:lineRule="auto"/>
        <w:rPr>
          <w:sz w:val="20"/>
          <w:szCs w:val="20"/>
          <w:color w:val="auto"/>
        </w:rPr>
      </w:pPr>
      <w:r>
        <w:rPr>
          <w:rFonts w:ascii="Arial" w:cs="Arial" w:eastAsia="Arial" w:hAnsi="Arial"/>
          <w:sz w:val="17"/>
          <w:szCs w:val="17"/>
          <w:color w:val="auto"/>
        </w:rPr>
        <w:t xml:space="preserve">Under the Huadong License Agreement, the Company is also responsible for conducting a Phase 2 multi-region clinical trial (the “Phase 2 MRCT”), should Huadong require it to do so. If conducted, the Phase 2 MRCT will include sites in both the United States and Huadong License Territory for the purpose of assessing the safety and efficacy of </w:t>
      </w:r>
      <w:r>
        <w:rPr>
          <w:rFonts w:ascii="Arial" w:cs="Arial" w:eastAsia="Arial" w:hAnsi="Arial"/>
          <w:sz w:val="17"/>
          <w:szCs w:val="17"/>
          <w:i w:val="1"/>
          <w:iCs w:val="1"/>
          <w:color w:val="auto"/>
        </w:rPr>
        <w:t>TTP273</w:t>
      </w:r>
      <w:r>
        <w:rPr>
          <w:rFonts w:ascii="Arial" w:cs="Arial" w:eastAsia="Arial" w:hAnsi="Arial"/>
          <w:sz w:val="17"/>
          <w:szCs w:val="17"/>
          <w:color w:val="auto"/>
        </w:rPr>
        <w:t xml:space="preserve"> in patients with type 2 diabetes. The Phase 2 MRCT will be designed to satisfy the requirements of the China Food and Drug Administration necessary in order for Huadong to begin a Phase 3 clinical trial in China. The Company will also be responsible for contributing up to $3.0 million in connection with the Phase 2 MRCT.</w:t>
      </w:r>
    </w:p>
    <w:p>
      <w:pPr>
        <w:spacing w:after="0" w:line="68" w:lineRule="exact"/>
        <w:rPr>
          <w:sz w:val="20"/>
          <w:szCs w:val="20"/>
          <w:color w:val="auto"/>
        </w:rPr>
      </w:pPr>
    </w:p>
    <w:p>
      <w:pPr>
        <w:ind w:firstLine="468"/>
        <w:spacing w:after="0" w:line="259" w:lineRule="auto"/>
        <w:rPr>
          <w:sz w:val="20"/>
          <w:szCs w:val="20"/>
          <w:color w:val="auto"/>
        </w:rPr>
      </w:pPr>
      <w:r>
        <w:rPr>
          <w:rFonts w:ascii="Arial" w:cs="Arial" w:eastAsia="Arial" w:hAnsi="Arial"/>
          <w:sz w:val="18"/>
          <w:szCs w:val="18"/>
          <w:color w:val="auto"/>
        </w:rPr>
        <w:t>The significant performance obligations under this license agreement were determined to be (i) the exclusive license to develop and commercialize the Company’s GLP-1r program, (ii) technology transfer services related to the chemistry and manufacturing know-how for a defined period after the effective date, (iii) the obligation to sponsor and conduct the Phase 2 MRCT, (iv) the Company’s obligation to participate on a joint development committee (the “JDC”), and (v) other obligations considered to be de minimis in nature.</w:t>
      </w:r>
    </w:p>
    <w:p>
      <w:pPr>
        <w:spacing w:after="0" w:line="79" w:lineRule="exact"/>
        <w:rPr>
          <w:sz w:val="20"/>
          <w:szCs w:val="20"/>
          <w:color w:val="auto"/>
        </w:rPr>
      </w:pPr>
    </w:p>
    <w:p>
      <w:pPr>
        <w:ind w:right="320" w:firstLine="468"/>
        <w:spacing w:after="0" w:line="277" w:lineRule="auto"/>
        <w:rPr>
          <w:sz w:val="20"/>
          <w:szCs w:val="20"/>
          <w:color w:val="auto"/>
        </w:rPr>
      </w:pPr>
      <w:r>
        <w:rPr>
          <w:rFonts w:ascii="Arial" w:cs="Arial" w:eastAsia="Arial" w:hAnsi="Arial"/>
          <w:sz w:val="18"/>
          <w:szCs w:val="18"/>
          <w:color w:val="auto"/>
        </w:rPr>
        <w:t>The Company has determined that the license and technology transfer services related to the chemistry and manufacturing know-how represent a combined performance obligation because they were not capable of being distinct on their own. The Company also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right="140"/>
        <w:spacing w:after="0" w:line="279" w:lineRule="auto"/>
        <w:rPr>
          <w:sz w:val="20"/>
          <w:szCs w:val="20"/>
          <w:color w:val="auto"/>
        </w:rPr>
      </w:pPr>
      <w:r>
        <w:rPr>
          <w:rFonts w:ascii="Arial" w:cs="Arial" w:eastAsia="Arial" w:hAnsi="Arial"/>
          <w:sz w:val="17"/>
          <w:szCs w:val="17"/>
          <w:color w:val="auto"/>
        </w:rPr>
        <w:t>determined that there was no discernable pattern in which the technology transfer services would be provided during the transfer service period. As such, the Company recognized the revenue related to this combined performance obligation using the straight-line method over the transfer service period. The revenue related to this combined performance obligation has been fully recognized as of September 30, 2020. No revenue related to this combined performance obligation was recognized during the three and nine months ended September 30, 2020 and 2019.</w:t>
      </w:r>
    </w:p>
    <w:p>
      <w:pPr>
        <w:spacing w:after="0" w:line="63" w:lineRule="exact"/>
        <w:rPr>
          <w:sz w:val="20"/>
          <w:szCs w:val="20"/>
          <w:color w:val="auto"/>
        </w:rPr>
      </w:pPr>
    </w:p>
    <w:p>
      <w:pPr>
        <w:ind w:firstLine="468"/>
        <w:spacing w:after="0" w:line="301" w:lineRule="auto"/>
        <w:rPr>
          <w:sz w:val="20"/>
          <w:szCs w:val="20"/>
          <w:color w:val="auto"/>
        </w:rPr>
      </w:pPr>
      <w:r>
        <w:rPr>
          <w:rFonts w:ascii="Arial" w:cs="Arial" w:eastAsia="Arial" w:hAnsi="Arial"/>
          <w:sz w:val="16"/>
          <w:szCs w:val="16"/>
          <w:color w:val="auto"/>
        </w:rPr>
        <w:t>The portion of the transaction price allocated to the obligation to sponsor and conduct a portion of the Phase 2 MRCT was $1.0 million and remained deferred as of September 30, 2020. Revenue for this performance obligation will be recognized using the proportional performance model over the period during which the Company conducts the Phase 2 MRCT trial. Since the Company has not yet begun the Phase 2 MRCT trial, no revenue for this performance obligation has yet been recognized. The expectation of when, or if, the Phase 2 MRCT trial will begin remains indeterminate.</w:t>
      </w:r>
    </w:p>
    <w:p>
      <w:pPr>
        <w:spacing w:after="0" w:line="49" w:lineRule="exact"/>
        <w:rPr>
          <w:sz w:val="20"/>
          <w:szCs w:val="20"/>
          <w:color w:val="auto"/>
        </w:rPr>
      </w:pPr>
    </w:p>
    <w:p>
      <w:pPr>
        <w:ind w:firstLine="468"/>
        <w:spacing w:after="0" w:line="257" w:lineRule="auto"/>
        <w:rPr>
          <w:sz w:val="20"/>
          <w:szCs w:val="20"/>
          <w:color w:val="auto"/>
        </w:rPr>
      </w:pPr>
      <w:r>
        <w:rPr>
          <w:rFonts w:ascii="Arial" w:cs="Arial" w:eastAsia="Arial" w:hAnsi="Arial"/>
          <w:sz w:val="18"/>
          <w:szCs w:val="18"/>
          <w:color w:val="auto"/>
        </w:rPr>
        <w:t>The portion of the transaction price allocated to the obligation to participate in the joint development committee (the “JDC”) to oversee the development of products and the Phase 2 MRCT in accordance with the development plan remained deferred as of September 30, 2020 and revenue will be recognized using the proportional performance model over the period of the Company’s participation on the JDC. The unrecognized amount of the transaction price allocated to this performance obligation as of September 30, 2020 was $0.1 million. An immaterial amount of revenue for this performance obligation has been recognized during the nine months ended September 30, 2020.</w:t>
      </w:r>
    </w:p>
    <w:p>
      <w:pPr>
        <w:spacing w:after="0" w:line="80" w:lineRule="exact"/>
        <w:rPr>
          <w:sz w:val="20"/>
          <w:szCs w:val="20"/>
          <w:color w:val="auto"/>
        </w:rPr>
      </w:pPr>
    </w:p>
    <w:p>
      <w:pPr>
        <w:ind w:right="60" w:firstLine="468"/>
        <w:spacing w:after="0" w:line="277" w:lineRule="auto"/>
        <w:rPr>
          <w:sz w:val="20"/>
          <w:szCs w:val="20"/>
          <w:color w:val="auto"/>
        </w:rPr>
      </w:pPr>
      <w:r>
        <w:rPr>
          <w:rFonts w:ascii="Arial" w:cs="Arial" w:eastAsia="Arial" w:hAnsi="Arial"/>
          <w:sz w:val="18"/>
          <w:szCs w:val="18"/>
          <w:color w:val="auto"/>
        </w:rPr>
        <w:t>There have been no adjustments to the transaction price for the performance obligations under the Huadong License Agreement during the three and nine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Newsoara License Agreement</w:t>
      </w:r>
    </w:p>
    <w:p>
      <w:pPr>
        <w:spacing w:after="0" w:line="117" w:lineRule="exact"/>
        <w:rPr>
          <w:sz w:val="20"/>
          <w:szCs w:val="20"/>
          <w:color w:val="auto"/>
        </w:rPr>
      </w:pPr>
    </w:p>
    <w:p>
      <w:pPr>
        <w:ind w:right="40" w:firstLine="468"/>
        <w:spacing w:after="0" w:line="255" w:lineRule="auto"/>
        <w:rPr>
          <w:sz w:val="20"/>
          <w:szCs w:val="20"/>
          <w:color w:val="auto"/>
        </w:rPr>
      </w:pPr>
      <w:r>
        <w:rPr>
          <w:rFonts w:ascii="Arial" w:cs="Arial" w:eastAsia="Arial" w:hAnsi="Arial"/>
          <w:sz w:val="18"/>
          <w:szCs w:val="18"/>
          <w:color w:val="auto"/>
        </w:rPr>
        <w:t xml:space="preserve">The Company is party 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Arial" w:cs="Arial" w:eastAsia="Arial" w:hAnsi="Arial"/>
          <w:sz w:val="18"/>
          <w:szCs w:val="18"/>
          <w:i w:val="1"/>
          <w:iCs w:val="1"/>
          <w:color w:val="auto"/>
        </w:rPr>
        <w:t>HPP737</w:t>
      </w:r>
      <w:r>
        <w:rPr>
          <w:rFonts w:ascii="Arial" w:cs="Arial" w:eastAsia="Arial" w:hAnsi="Arial"/>
          <w:sz w:val="18"/>
          <w:szCs w:val="18"/>
          <w:color w:val="auto"/>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spacing w:after="0" w:line="84"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The Company has fully allocated the transaction price to the license and the technology transfer services which represents a single performance obligation because they were not capable of being distinct on their own. The Company recognized revenue for this performance obligation using the straight-line method over the transfer service period. The revenue for this performance obligation has been fully recognized as of September 30, 2020. No revenue related to this performance obligation was recognized during the three and nine months ended September 30, 2020. During the nine months ended September 30, 2019, the transaction price for this performance obligation was increased by $1.0 million due to the satisfaction of a development milestone under the license agreement. This amount was fully recognized as revenue during the nine months ended September 30, 2019, as the related performance obligation was fully satisfied.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JDRF Agreement</w:t>
      </w:r>
    </w:p>
    <w:p>
      <w:pPr>
        <w:spacing w:after="0" w:line="117"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 xml:space="preserve">In August 2017, the Company entered into a research and collaboration agreement with JDRF International (the “JDRF Agreement”) to support the funding of the Simplici-T1 Study, a Phase 2 study to explore the effects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patients with type 1 diabetes. According to the terms of the JDRF Agreement, JDRF will provide research funding of up to $3.0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 treatment for type 1 diabetes.</w:t>
      </w:r>
    </w:p>
    <w:p>
      <w:pPr>
        <w:spacing w:after="0" w:line="53"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Payments that the Company receives from JDRF under this agreement will be recorded as restricted cash and current liabilities and recognized as an offset to research and development expense, based on the progress of the project, and only to the extent that the restricted cash is utilized to fund such development activities. As of September 30, 2020, the Company had received funding under this agreement of $3.0 million. Research and development costs have been offset by a total of $3.0 million over the course of this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liabilities related to the Company’s collaboration agreements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September 30, 2020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contract liabilities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Contract liabilities, net of current portion</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contract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change in the Company’s contract liabilities for the nine months ended September 30, 2020 of an immaterial amount was due to the recognition of amounts included in the contract liability at the beginning of the period.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4:Share-Based Compensation</w:t>
      </w:r>
    </w:p>
    <w:p>
      <w:pPr>
        <w:spacing w:after="0" w:line="121"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The Company has issued non-qualified stock option awards to certain employees of the Company. These option awards vest ratably over a three-year period and the option awards expire after a term of ten years from the date of grant. As of September 30, 2020, the Company had total unrecognized stock-based compensation expense for its outstanding stock option awards of approximately $1.0 million, which is expected to be recognized over a weighted average period of 1.6 years. The weighted average grant date fair value of option grants during the nine months ended September 30, 2020 and 2019 was $2.26 and $1.93 per option, respectively. The aggregate intrinsic value of the in-the-money awards outstanding at September 30, 2020 was de minimis.</w:t>
      </w:r>
    </w:p>
    <w:p>
      <w:pPr>
        <w:spacing w:after="0" w:line="84"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granted. The fair value of stock options granted was estimated using the following assumptions: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100" w:type="dxa"/>
            <w:vAlign w:val="bottom"/>
          </w:tcPr>
          <w:p>
            <w:pPr>
              <w:spacing w:after="0"/>
              <w:rPr>
                <w:sz w:val="19"/>
                <w:szCs w:val="19"/>
                <w:color w:val="auto"/>
              </w:rPr>
            </w:pPr>
          </w:p>
        </w:tc>
        <w:tc>
          <w:tcPr>
            <w:tcW w:w="3880" w:type="dxa"/>
            <w:vAlign w:val="bottom"/>
            <w:gridSpan w:val="5"/>
          </w:tcPr>
          <w:p>
            <w:pPr>
              <w:ind w:left="240"/>
              <w:spacing w:after="0"/>
              <w:rPr>
                <w:sz w:val="20"/>
                <w:szCs w:val="20"/>
                <w:color w:val="auto"/>
              </w:rPr>
            </w:pPr>
            <w:r>
              <w:rPr>
                <w:rFonts w:ascii="Arial" w:cs="Arial" w:eastAsia="Arial" w:hAnsi="Arial"/>
                <w:sz w:val="18"/>
                <w:szCs w:val="18"/>
                <w:b w:val="1"/>
                <w:bCs w:val="1"/>
                <w:color w:val="auto"/>
                <w:w w:val="99"/>
              </w:rPr>
              <w:t>For the Nine Months Ended September 30,</w:t>
            </w:r>
          </w:p>
        </w:tc>
      </w:tr>
      <w:tr>
        <w:trPr>
          <w:trHeight w:val="234"/>
        </w:trPr>
        <w:tc>
          <w:tcPr>
            <w:tcW w:w="5100" w:type="dxa"/>
            <w:vAlign w:val="bottom"/>
            <w:tcBorders>
              <w:bottom w:val="single" w:sz="8" w:color="CFF0FC"/>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CFF0FC"/>
            </w:tcBorders>
          </w:tcPr>
          <w:p>
            <w:pPr>
              <w:spacing w:after="0"/>
              <w:rPr>
                <w:sz w:val="20"/>
                <w:szCs w:val="20"/>
                <w:color w:val="auto"/>
              </w:rPr>
            </w:pPr>
          </w:p>
        </w:tc>
        <w:tc>
          <w:tcPr>
            <w:tcW w:w="18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120.37%</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115.29%</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- 117.94%</w:t>
            </w: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1780" w:type="dxa"/>
            <w:vAlign w:val="bottom"/>
          </w:tcPr>
          <w:p>
            <w:pPr>
              <w:jc w:val="right"/>
              <w:ind w:right="65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960" w:type="dxa"/>
            <w:vAlign w:val="bottom"/>
          </w:tcPr>
          <w:p>
            <w:pPr>
              <w:ind w:left="20"/>
              <w:spacing w:after="0"/>
              <w:rPr>
                <w:sz w:val="20"/>
                <w:szCs w:val="20"/>
                <w:color w:val="auto"/>
              </w:rPr>
            </w:pPr>
            <w:r>
              <w:rPr>
                <w:rFonts w:ascii="Arial" w:cs="Arial" w:eastAsia="Arial" w:hAnsi="Arial"/>
                <w:sz w:val="18"/>
                <w:szCs w:val="18"/>
                <w:color w:val="auto"/>
              </w:rPr>
              <w:t>- 6.0</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0.39%</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- 2.64%</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00" w:type="dxa"/>
            <w:vAlign w:val="bottom"/>
          </w:tcPr>
          <w:p>
            <w:pPr>
              <w:spacing w:after="0"/>
              <w:rPr>
                <w:sz w:val="20"/>
                <w:szCs w:val="20"/>
                <w:color w:val="auto"/>
              </w:rPr>
            </w:pPr>
          </w:p>
        </w:tc>
        <w:tc>
          <w:tcPr>
            <w:tcW w:w="1800" w:type="dxa"/>
            <w:vAlign w:val="bottom"/>
            <w:gridSpan w:val="2"/>
          </w:tcPr>
          <w:p>
            <w:pPr>
              <w:jc w:val="right"/>
              <w:ind w:right="59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stock option awards for the nine months ended September 30, 2020:</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Average Exercise Price</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2019</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2,531,143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86,250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(17,202)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Awards outstanding at September 30, 2020</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2,600,191</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6.08</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at September 30, 2020</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1,837,065</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6.2 Years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Options vested and expected to vest at September 30, 2020</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2,552,591</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6.9 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RSU awards for the nine months ended September 30,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Average Grant Date Fair Value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2019</w:t>
            </w:r>
          </w:p>
        </w:tc>
        <w:tc>
          <w:tcPr>
            <w:tcW w:w="84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5"/>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Vested</w:t>
            </w:r>
          </w:p>
        </w:tc>
        <w:tc>
          <w:tcPr>
            <w:tcW w:w="2940" w:type="dxa"/>
            <w:vAlign w:val="bottom"/>
            <w:gridSpan w:val="3"/>
          </w:tcPr>
          <w:p>
            <w:pPr>
              <w:jc w:val="right"/>
              <w:ind w:right="80"/>
              <w:spacing w:after="0"/>
              <w:rPr>
                <w:sz w:val="20"/>
                <w:szCs w:val="20"/>
                <w:color w:val="auto"/>
              </w:rPr>
            </w:pPr>
            <w:r>
              <w:rPr>
                <w:rFonts w:ascii="Arial" w:cs="Arial" w:eastAsia="Arial" w:hAnsi="Arial"/>
                <w:sz w:val="18"/>
                <w:szCs w:val="18"/>
                <w:color w:val="auto"/>
              </w:rPr>
              <w:t>(11,667)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September 30, 2020</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1140"/>
              <w:spacing w:after="0"/>
              <w:rPr>
                <w:sz w:val="20"/>
                <w:szCs w:val="20"/>
                <w:color w:val="auto"/>
              </w:rPr>
            </w:pPr>
            <w:r>
              <w:rPr>
                <w:rFonts w:ascii="Arial" w:cs="Arial" w:eastAsia="Arial" w:hAnsi="Arial"/>
                <w:sz w:val="18"/>
                <w:szCs w:val="18"/>
                <w:color w:val="auto"/>
              </w:rPr>
              <w:t>RSUs expected to vest at September 30, 2020</w:t>
            </w: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1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4" w:name="page15"/>
    <w:bookmarkEnd w:id="14"/>
    <w:p>
      <w:pPr>
        <w:ind w:right="360" w:firstLine="568"/>
        <w:spacing w:after="0" w:line="277" w:lineRule="auto"/>
        <w:rPr>
          <w:sz w:val="20"/>
          <w:szCs w:val="20"/>
          <w:color w:val="auto"/>
        </w:rPr>
      </w:pPr>
      <w:r>
        <w:rPr>
          <w:rFonts w:ascii="Arial" w:cs="Arial" w:eastAsia="Arial" w:hAnsi="Arial"/>
          <w:sz w:val="18"/>
          <w:szCs w:val="18"/>
          <w:color w:val="auto"/>
        </w:rPr>
        <w:t>Compensation expense related to the grants of stock options and RSUs is included in research and development and general and administrative expense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6"/>
          </w:tcPr>
          <w:p>
            <w:pPr>
              <w:jc w:val="right"/>
              <w:ind w:right="35"/>
              <w:spacing w:after="0"/>
              <w:rPr>
                <w:sz w:val="20"/>
                <w:szCs w:val="20"/>
                <w:color w:val="auto"/>
              </w:rPr>
            </w:pPr>
            <w:r>
              <w:rPr>
                <w:rFonts w:ascii="Arial" w:cs="Arial" w:eastAsia="Arial" w:hAnsi="Arial"/>
                <w:sz w:val="14"/>
                <w:szCs w:val="14"/>
                <w:b w:val="1"/>
                <w:bCs w:val="1"/>
                <w:color w:val="auto"/>
                <w:w w:val="95"/>
              </w:rPr>
              <w:t>Three Months Ended September 30,</w:t>
            </w:r>
          </w:p>
        </w:tc>
        <w:tc>
          <w:tcPr>
            <w:tcW w:w="240" w:type="dxa"/>
            <w:vAlign w:val="bottom"/>
          </w:tcPr>
          <w:p>
            <w:pPr>
              <w:spacing w:after="0"/>
              <w:rPr>
                <w:sz w:val="16"/>
                <w:szCs w:val="16"/>
                <w:color w:val="auto"/>
              </w:rPr>
            </w:pPr>
          </w:p>
        </w:tc>
        <w:tc>
          <w:tcPr>
            <w:tcW w:w="2520" w:type="dxa"/>
            <w:vAlign w:val="bottom"/>
            <w:gridSpan w:val="12"/>
          </w:tcPr>
          <w:p>
            <w:pPr>
              <w:jc w:val="right"/>
              <w:ind w:right="24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4"/>
          </w:tcPr>
          <w:p>
            <w:pPr>
              <w:jc w:val="right"/>
              <w:spacing w:after="0"/>
              <w:rPr>
                <w:sz w:val="20"/>
                <w:szCs w:val="20"/>
                <w:color w:val="auto"/>
              </w:rPr>
            </w:pPr>
            <w:r>
              <w:rPr>
                <w:rFonts w:ascii="Arial" w:cs="Arial" w:eastAsia="Arial" w:hAnsi="Arial"/>
                <w:sz w:val="14"/>
                <w:szCs w:val="14"/>
                <w:b w:val="1"/>
                <w:bCs w:val="1"/>
                <w:color w:val="auto"/>
                <w:w w:val="83"/>
              </w:rPr>
              <w:t>2020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5"/>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123</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share-based compensation expense</w:t>
            </w:r>
          </w:p>
        </w:tc>
        <w:tc>
          <w:tcPr>
            <w:tcW w:w="2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171</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5"/>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5:Notes Payable</w:t>
            </w: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6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60" w:type="dxa"/>
            <w:vAlign w:val="bottom"/>
            <w:gridSpan w:val="2"/>
          </w:tcPr>
          <w:p>
            <w:pPr>
              <w:ind w:left="520"/>
              <w:spacing w:after="0"/>
              <w:rPr>
                <w:sz w:val="20"/>
                <w:szCs w:val="20"/>
                <w:color w:val="auto"/>
              </w:rPr>
            </w:pPr>
            <w:r>
              <w:rPr>
                <w:rFonts w:ascii="Arial" w:cs="Arial" w:eastAsia="Arial" w:hAnsi="Arial"/>
                <w:sz w:val="18"/>
                <w:szCs w:val="18"/>
                <w:color w:val="auto"/>
                <w:w w:val="96"/>
              </w:rPr>
              <w:t>Notes payable consist of the following (in thousands):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7"/>
              </w:rPr>
              <w:t>September 30, 2020</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gridSpan w:val="4"/>
          </w:tcPr>
          <w:p>
            <w:pPr>
              <w:jc w:val="right"/>
              <w:ind w:right="92"/>
              <w:spacing w:after="0"/>
              <w:rPr>
                <w:sz w:val="20"/>
                <w:szCs w:val="20"/>
                <w:color w:val="auto"/>
              </w:rPr>
            </w:pPr>
            <w:r>
              <w:rPr>
                <w:rFonts w:ascii="Arial" w:cs="Arial" w:eastAsia="Arial" w:hAnsi="Arial"/>
                <w:sz w:val="18"/>
                <w:szCs w:val="18"/>
                <w:b w:val="1"/>
                <w:bCs w:val="1"/>
                <w:color w:val="auto"/>
                <w:w w:val="91"/>
              </w:rPr>
              <w:t>December 31, 2019</w:t>
            </w:r>
          </w:p>
        </w:tc>
        <w:tc>
          <w:tcPr>
            <w:tcW w:w="100" w:type="dxa"/>
            <w:vAlign w:val="bottom"/>
            <w:tcBorders>
              <w:bottom w:val="single" w:sz="8" w:color="CFF0F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Notes payable under the Loan Agreement</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Short-term financing</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Accreted final payment</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Total notes payable</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2,369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(6,172)</w:t>
            </w:r>
          </w:p>
        </w:tc>
        <w:tc>
          <w:tcPr>
            <w:tcW w:w="0" w:type="dxa"/>
            <w:vAlign w:val="bottom"/>
          </w:tcPr>
          <w:p>
            <w:pPr>
              <w:spacing w:after="0"/>
              <w:rPr>
                <w:sz w:val="1"/>
                <w:szCs w:val="1"/>
                <w:color w:val="auto"/>
              </w:rPr>
            </w:pPr>
          </w:p>
        </w:tc>
      </w:tr>
      <w:tr>
        <w:trPr>
          <w:trHeight w:val="223"/>
        </w:trPr>
        <w:tc>
          <w:tcPr>
            <w:tcW w:w="4660" w:type="dxa"/>
            <w:vAlign w:val="bottom"/>
            <w:gridSpan w:val="2"/>
          </w:tcPr>
          <w:p>
            <w:pPr>
              <w:ind w:left="1140"/>
              <w:spacing w:after="0"/>
              <w:rPr>
                <w:sz w:val="20"/>
                <w:szCs w:val="20"/>
                <w:color w:val="auto"/>
              </w:rPr>
            </w:pPr>
            <w:r>
              <w:rPr>
                <w:rFonts w:ascii="Arial" w:cs="Arial" w:eastAsia="Arial" w:hAnsi="Arial"/>
                <w:sz w:val="18"/>
                <w:szCs w:val="18"/>
                <w:color w:val="auto"/>
              </w:rPr>
              <w:t>Total notes payable, net of current portion</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In October 2016, the Company entered into the Loan Agreement with Horizon Technology Finance Corporation and Silicon Valley Bank, under which the Company and vTv LLC borrowed $20.0 million. On April 1, 2020, the Company entered into an amendment to the Loan Agreement (the “Second Amendment”) and on July 29, 2020, the Company entered into the Third Amendment to the Loan Agreement. These amendments extended the maturity dates of the loans and adjusted the minimum cash balance requirements and their impacts have been incorporated into these disclosures and are more fully described below.</w:t>
      </w:r>
    </w:p>
    <w:p>
      <w:pPr>
        <w:spacing w:after="0" w:line="80"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Each loan tranche bears interest at a floating rate equal to 10.5% plus the amount by which the one-month London Interbank Offer Rate (“LIBOR”) exceeds 0.5%.</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Company borrowed the first tranche of $12.5 million upon close of the Loan Agreement in October 2016. The first tranche originally required only monthly interest payments until May 1, 2018 followed by equal monthly payments of principal plus accrued interest through the scheduled maturity date on May 1, 2020. In connection with the Third Amendment, the maturity date of the first tranche was extended to September 1, 2020. In addition, a final payment for the first tranche loan equal to $0.8 million originally due on May 1, 2020 was extended to September 1, 2020 as part of the Third Amendment, or such earlier date specified in the Loan Agreement. The Company borrowed the second tranche of $7.5 million in March 2017. The second tranche originally required only monthly interest payments until October 1, 2018 followed by equal monthly payments of principal plus accrued interest through the scheduled maturity date on October 1, 2020. In connection with the Second Amendment, the maturity date of the second tranche was extended to January 1, 2021. In addition, a final payment for the second tranche loan equal to $0.5 million was originally due on October 1, 2020, or such earlier date specified in the Loan Agreement. In connection with the Second Amendment, the due date for this final payment was extended to January 1, 2021, or such earlier date specified in the Loan Agreement. The total amount of the payment was increased to $0.8 million as a result of the Second and Third Amendments. For each of the first and second tranches, the combined Second and Third Amendment required only monthly interest payments on the outstanding principal balance for the amounts due from April 1, 2020, through August 1, 2020. As amended, the remaining principal balance and final interest payment under the first tranche was paid upon maturity. Further, the Second and Third Amendments require equal monthly principal payments plus accrued interest for the second tranche beginning September 1, 2020 through the scheduled maturity on January 1, 2021.</w:t>
      </w:r>
    </w:p>
    <w:p>
      <w:pPr>
        <w:spacing w:after="0" w:line="63"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If the Company repays all or a portion of the loan prior to the applicable maturity dates, as amended, it will pay the Lenders a prepayment penalty fee, based on a percentage of the then outstanding principal balance equal to 2.0%.</w:t>
      </w:r>
    </w:p>
    <w:p>
      <w:pPr>
        <w:spacing w:after="0" w:line="6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Company’s obligations under the Loan Agreement are secured by a first priority security interest in substantially all of its assets. The Company has granted the Lenders a first priority security interest in all of the Company’s intellectual property, subject to certain limited exceptions. The Company has agreed not to pledge or otherwise encumber its intellectual property assets, subject to certain exceptions.</w:t>
      </w:r>
    </w:p>
    <w:p>
      <w:pPr>
        <w:spacing w:after="0" w:line="7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Prior to the Second and Third Amendments, the Company was required to maintain a cash balance of not less than $2.5 million in a deposit account pledged to secure the Loan Agreement and subject to an account control agreement. In connection with the Third Amendment, the minimum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 w:name="page16"/>
    <w:bookmarkEnd w:id="15"/>
    <w:p>
      <w:pPr>
        <w:jc w:val="both"/>
        <w:ind w:right="100"/>
        <w:spacing w:after="0" w:line="259" w:lineRule="auto"/>
        <w:rPr>
          <w:sz w:val="20"/>
          <w:szCs w:val="20"/>
          <w:color w:val="auto"/>
        </w:rPr>
      </w:pPr>
      <w:r>
        <w:rPr>
          <w:rFonts w:ascii="Arial" w:cs="Arial" w:eastAsia="Arial" w:hAnsi="Arial"/>
          <w:sz w:val="18"/>
          <w:szCs w:val="18"/>
          <w:color w:val="auto"/>
        </w:rPr>
        <w:t>cash requirement was eliminated. The Loan Agreement includes customary events of default, including payment defaults, covenant defaults, and material adverse change default. Upon the occurrence of an event of default and following any applicable cure periods, a default interest rate of an additional 5.0% will be applied to the outstanding loan balances, and the Lenders may declare all outstanding obligations immediately due and payable and take such other actions as set forth in the Loan Agreement.</w:t>
      </w:r>
    </w:p>
    <w:p>
      <w:pPr>
        <w:spacing w:after="0" w:line="79"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costs incurred in connection with the Loan Agreement, along with the allocated fair value of the common stock warrants issued upon execution of the Loan Agreement are treated as a debt discount and are offset against the carrying value of the notes payable in the Company’s Condensed Consolidated Balance Sheet as of September 30, 2020 and December 31, 2019. The Second and Third Amendments were considered modifications to the existing agreement for accounting purposes. As such, the Company determined a new effective interest rate of 21.5% on the debt considering the remaining unamortized cost and the increases to the final payment for the second tranche as a result of these amendments. The related costs will be amortized and the final payments for the first and second loan tranches are accrued as additional interest expense, using the effective interest method over the remaining term of the Loan Agreement.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Novo Nordisk</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 xml:space="preserve">In February 2007, the Company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Arial" w:cs="Arial" w:eastAsia="Arial" w:hAnsi="Arial"/>
          <w:sz w:val="17"/>
          <w:szCs w:val="17"/>
          <w:i w:val="1"/>
          <w:iCs w:val="1"/>
          <w:color w:val="auto"/>
        </w:rPr>
        <w:t>TTP399</w:t>
      </w:r>
      <w:r>
        <w:rPr>
          <w:rFonts w:ascii="Arial" w:cs="Arial" w:eastAsia="Arial" w:hAnsi="Arial"/>
          <w:sz w:val="17"/>
          <w:szCs w:val="17"/>
          <w:color w:val="auto"/>
        </w:rPr>
        <w:t>.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Under the terms of the Huadong License Agreement, vTv LLC is obligated to act as the sponsor of the Phase 2 MRCT should Huadong require it to do so. If conducted, the Phase 2 MRCT will include sites in both the US and the Huadong License Territory for the purpose of assessing the safety and efficacy of TTP273 in patients with type 2 diabetes and will be designed to satisfy the requirements of the China Food and Drug Administration necessary in order for Huadong to begin a Phase 3 clinical trial in China. vTv LLC will be responsible for contributing up to $3.0 million in connection with the Phase 2 MRCT. The expectation of when, or if, the Phase 2 MRCT trial will begin remains indeterminate.</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7:Leases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leased its former headquarters location under an operating lease that expired in December 2019. In connection with its adoption of ASC Topic 842, the Company recognized a right of use asset and corresponding operating lease liability of $0.3 million related to this lease as of January 1, 2019. The Company elected to use the package of practical expedients in implementing ASC Topic 842 under which the Company did not reassess the operating or finance lease classification of its previously existing leases. Further, the Company did not reassess whether expired or existing contracts include leases.</w:t>
      </w:r>
    </w:p>
    <w:p>
      <w:pPr>
        <w:spacing w:after="0" w:line="80"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In August 2019, the Company leased new office space for its headquarters location under an operating lease. This lease commenced in November 2019 after the completion of certain tenant improvements made by the lessor. The lease includes an option to renew for a five-year term as well as an option to terminate after three years, neither of which have been recognized as part of its related right of use assets or lease liabilities as their election is not considered reasonably certain. Further, this lease does not include any material residual value guarantee or restrictive covenants.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right="360" w:firstLine="510"/>
        <w:spacing w:after="0" w:line="263" w:lineRule="auto"/>
        <w:rPr>
          <w:sz w:val="20"/>
          <w:szCs w:val="20"/>
          <w:color w:val="auto"/>
        </w:rPr>
      </w:pPr>
      <w:r>
        <w:rPr>
          <w:rFonts w:ascii="Arial" w:cs="Arial" w:eastAsia="Arial" w:hAnsi="Arial"/>
          <w:sz w:val="18"/>
          <w:szCs w:val="18"/>
          <w:color w:val="auto"/>
        </w:rPr>
        <w:t>At each of September 30, 2020 and December 31, 2019, the weighted average incremental borrowing rate for the operating leases held by the Company was 13.1%. At September 30, 2020 and December 31, 2019, the weighted average remaining lease terms for the operating leases held by the Company were 4.3 years and 5.1 years, respectively.</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lease liabilities for the Company’s operating leases as of September 30, 2020 were as follows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2020 (remaining three months)</w:t>
            </w:r>
          </w:p>
        </w:tc>
        <w:tc>
          <w:tcPr>
            <w:tcW w:w="190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2021</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2023</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FF0FC"/>
          </w:tcPr>
          <w:p>
            <w:pPr>
              <w:spacing w:after="0"/>
              <w:rPr>
                <w:sz w:val="19"/>
                <w:szCs w:val="19"/>
                <w:color w:val="auto"/>
              </w:rPr>
            </w:pPr>
          </w:p>
        </w:tc>
      </w:tr>
      <w:tr>
        <w:trPr>
          <w:trHeight w:val="229"/>
        </w:trPr>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1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FF0FC"/>
            </w:tcBorders>
          </w:tcPr>
          <w:p>
            <w:pPr>
              <w:spacing w:after="0"/>
              <w:rPr>
                <w:sz w:val="19"/>
                <w:szCs w:val="19"/>
                <w:color w:val="auto"/>
              </w:rPr>
            </w:pPr>
          </w:p>
        </w:tc>
      </w:tr>
      <w:tr>
        <w:trPr>
          <w:trHeight w:val="223"/>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80" w:type="dxa"/>
            <w:vAlign w:val="bottom"/>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r>
      <w:tr>
        <w:trPr>
          <w:trHeight w:val="223"/>
        </w:trPr>
        <w:tc>
          <w:tcPr>
            <w:tcW w:w="3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Present value of lease liabilities</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Operating lease cost and the related operating cash flows for the nine months ended September 30, 2020 and 2019 were immaterial amounts.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8:Redeemable Noncontrolling Interest</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 is subject to the Exchange Agreement with respect to the vTv Units representing the 32.0% noncontrolling interest in vTv LLC outstanding as of September 30, 2020 (see Note 10).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spacing w:after="0" w:line="87" w:lineRule="exact"/>
        <w:rPr>
          <w:sz w:val="20"/>
          <w:szCs w:val="20"/>
          <w:color w:val="auto"/>
        </w:rPr>
      </w:pPr>
    </w:p>
    <w:p>
      <w:pPr>
        <w:ind w:right="240" w:firstLine="510"/>
        <w:spacing w:after="0" w:line="311" w:lineRule="auto"/>
        <w:rPr>
          <w:sz w:val="20"/>
          <w:szCs w:val="20"/>
          <w:color w:val="auto"/>
        </w:rPr>
      </w:pPr>
      <w:r>
        <w:rPr>
          <w:rFonts w:ascii="Arial" w:cs="Arial" w:eastAsia="Arial" w:hAnsi="Arial"/>
          <w:sz w:val="16"/>
          <w:szCs w:val="16"/>
          <w:color w:val="auto"/>
        </w:rPr>
        <w:t>The redeemable noncontrolling interest is recognized at the higher of (1) its initial fair value plus accumulated earnings/losses associated with the noncontrolling interest or (2) the redemption value as of the balance sheet date. At September 30, 2020 and December 31, 2019, the redeemable noncontrolling interest was recorded based on the redemption value as of the balance sheet date of $45.6 million and $40.2 million, respectively.</w:t>
      </w:r>
    </w:p>
    <w:p>
      <w:pPr>
        <w:spacing w:after="0" w:line="4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4"/>
              </w:rPr>
              <w:t>For the Three Months Ended</w:t>
            </w:r>
          </w:p>
        </w:tc>
        <w:tc>
          <w:tcPr>
            <w:tcW w:w="180" w:type="dxa"/>
            <w:vAlign w:val="bottom"/>
          </w:tcPr>
          <w:p>
            <w:pPr>
              <w:spacing w:after="0"/>
              <w:rPr>
                <w:sz w:val="18"/>
                <w:szCs w:val="18"/>
                <w:color w:val="auto"/>
              </w:rPr>
            </w:pPr>
          </w:p>
        </w:tc>
        <w:tc>
          <w:tcPr>
            <w:tcW w:w="26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4"/>
              </w:rPr>
              <w:t>For the Nine Months Ended</w:t>
            </w:r>
          </w:p>
        </w:tc>
      </w:tr>
      <w:tr>
        <w:trPr>
          <w:trHeight w:val="229"/>
        </w:trPr>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1"/>
        </w:trPr>
        <w:tc>
          <w:tcPr>
            <w:tcW w:w="396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2019</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2019</w:t>
            </w:r>
          </w:p>
        </w:tc>
        <w:tc>
          <w:tcPr>
            <w:tcW w:w="120" w:type="dxa"/>
            <w:vAlign w:val="bottom"/>
            <w:tcBorders>
              <w:bottom w:val="single" w:sz="8" w:color="CFF0FC"/>
            </w:tcBorders>
          </w:tcPr>
          <w:p>
            <w:pPr>
              <w:spacing w:after="0"/>
              <w:rPr>
                <w:sz w:val="20"/>
                <w:szCs w:val="20"/>
                <w:color w:val="auto"/>
              </w:rPr>
            </w:pPr>
          </w:p>
        </w:tc>
      </w:tr>
      <w:tr>
        <w:trPr>
          <w:trHeight w:val="215"/>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(1,533)</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(4,115)</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(9,625)</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(12,880)</w:t>
            </w:r>
          </w:p>
        </w:tc>
      </w:tr>
      <w:tr>
        <w:trPr>
          <w:trHeight w:val="215"/>
        </w:trPr>
        <w:tc>
          <w:tcPr>
            <w:tcW w:w="3960" w:type="dxa"/>
            <w:vAlign w:val="bottom"/>
          </w:tcPr>
          <w:p>
            <w:pPr>
              <w:spacing w:after="0"/>
              <w:rPr>
                <w:sz w:val="20"/>
                <w:szCs w:val="20"/>
                <w:color w:val="auto"/>
              </w:rPr>
            </w:pPr>
            <w:r>
              <w:rPr>
                <w:rFonts w:ascii="Arial" w:cs="Arial" w:eastAsia="Arial" w:hAnsi="Arial"/>
                <w:sz w:val="18"/>
                <w:szCs w:val="18"/>
                <w:color w:val="auto"/>
              </w:rPr>
              <w:t>Increase in vTv Therapeutics Inc. accumulated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60" w:type="dxa"/>
            <w:vAlign w:val="bottom"/>
          </w:tcPr>
          <w:p>
            <w:pPr>
              <w:ind w:left="140"/>
              <w:spacing w:after="0"/>
              <w:rPr>
                <w:sz w:val="20"/>
                <w:szCs w:val="20"/>
                <w:color w:val="auto"/>
              </w:rPr>
            </w:pPr>
            <w:r>
              <w:rPr>
                <w:rFonts w:ascii="Arial" w:cs="Arial" w:eastAsia="Arial" w:hAnsi="Arial"/>
                <w:sz w:val="18"/>
                <w:szCs w:val="18"/>
                <w:color w:val="auto"/>
              </w:rPr>
              <w:t>deficit for purchase of LLC Units as a result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of common stock issuances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(875)</w:t>
            </w:r>
          </w:p>
        </w:tc>
        <w:tc>
          <w:tcPr>
            <w:tcW w:w="4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(4,515)</w:t>
            </w: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(6,303)</w:t>
            </w:r>
          </w:p>
        </w:tc>
        <w:tc>
          <w:tcPr>
            <w:tcW w:w="4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(14,408)</w:t>
            </w:r>
          </w:p>
        </w:tc>
      </w:tr>
      <w:tr>
        <w:trPr>
          <w:trHeight w:val="209"/>
        </w:trPr>
        <w:tc>
          <w:tcPr>
            <w:tcW w:w="39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Change from net loss attributable to</w:t>
            </w: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vTv Therapeutics Inc. common shareholders</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transfers to noncontrolling interest</w:t>
            </w: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(2,408)</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(8,630)</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(15,928)</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(27,288)</w:t>
            </w:r>
          </w:p>
        </w:tc>
      </w:tr>
      <w:tr>
        <w:trPr>
          <w:trHeight w:val="20"/>
        </w:trPr>
        <w:tc>
          <w:tcPr>
            <w:tcW w:w="39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Offering</w:t>
      </w:r>
    </w:p>
    <w:p>
      <w:pPr>
        <w:spacing w:after="0" w:line="11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In April 2020, the Company entered into the Sales Agreement with Cantor as the sales agent, pursuant to which the Company may offer and sell, from time to time, through Cantor, shares of its Class A common stock, par value $0.01 per share, having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right="240"/>
        <w:spacing w:after="0" w:line="308" w:lineRule="auto"/>
        <w:rPr>
          <w:sz w:val="20"/>
          <w:szCs w:val="20"/>
          <w:color w:val="auto"/>
        </w:rPr>
      </w:pPr>
      <w:r>
        <w:rPr>
          <w:rFonts w:ascii="Arial" w:cs="Arial" w:eastAsia="Arial" w:hAnsi="Arial"/>
          <w:sz w:val="17"/>
          <w:szCs w:val="17"/>
          <w:color w:val="auto"/>
        </w:rPr>
        <w:t>aggregate offering price of up to $13.0 million by any method deemed to be an “at the market offering” as defined in Rule 415(a)(4) under the Securities Act (the “ATM Offering”). The shares are offered and sold pursuant to the Company’s shelf registration statement on Form S-3.</w:t>
      </w:r>
    </w:p>
    <w:p>
      <w:pPr>
        <w:spacing w:after="0" w:line="38"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During the three and nine months ended September 30, 2020, the Company sold 1,209,099 and 3,847,405 shares of Class A common stock under the ATM Offering at then-market prices for total gross proceeds of approximately $2.5 million and $10.2 million, respectively. After offering costs and sales commissions owed in connection with the ATM Offering, the Company’s aggregate net proceeds for the three and nine months ended September 30, 2020 were approximately $2.5 million and $9.7 million, respectively.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MacAndrews &amp; Forbes Incorporated</w:t>
      </w:r>
    </w:p>
    <w:p>
      <w:pPr>
        <w:spacing w:after="0" w:line="117"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As of September 30, 2020, subsidiaries and affiliates of MacAndrews &amp; Forbes Incorporated (collectively “MacAndrews”) indirectly controlled 23,084,267 shares of the Company’s Class B Common Stock and 34,731,212 shares of the Company’s Class A Common Stock. As a result, MacAndrews’ holdings represent approximately 80.0% of the combined voting power of the Company’s outstanding common stock.</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several agreements with MacAndrews or its affiliates as further detailed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20" w:firstLine="468"/>
        <w:spacing w:after="0" w:line="257" w:lineRule="auto"/>
        <w:rPr>
          <w:sz w:val="20"/>
          <w:szCs w:val="20"/>
          <w:color w:val="auto"/>
        </w:rPr>
      </w:pPr>
      <w:r>
        <w:rPr>
          <w:rFonts w:ascii="Arial" w:cs="Arial" w:eastAsia="Arial" w:hAnsi="Arial"/>
          <w:sz w:val="18"/>
          <w:szCs w:val="18"/>
          <w:color w:val="auto"/>
        </w:rPr>
        <w:t>The Company has entered into the Letter Agreements with MacAndrews. Under the terms of the Letter Agreements, the Company has the right to sell to MacAndrews shares of its Class A Common Stock at a specified price per share, and MacAndrews has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terms of these Letter Agreements are set forth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December 11, 2018 Letter</w:t>
            </w:r>
          </w:p>
        </w:tc>
        <w:tc>
          <w:tcPr>
            <w:tcW w:w="200" w:type="dxa"/>
            <w:vAlign w:val="bottom"/>
          </w:tcPr>
          <w:p>
            <w:pPr>
              <w:spacing w:after="0"/>
              <w:rPr>
                <w:sz w:val="14"/>
                <w:szCs w:val="14"/>
                <w:color w:val="auto"/>
              </w:rPr>
            </w:pPr>
          </w:p>
        </w:tc>
        <w:tc>
          <w:tcPr>
            <w:tcW w:w="17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18, 2019 Letter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September 26, 2019 Letter</w:t>
            </w:r>
          </w:p>
        </w:tc>
        <w:tc>
          <w:tcPr>
            <w:tcW w:w="14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December 23, 2019 Letter</w:t>
            </w:r>
          </w:p>
        </w:tc>
      </w:tr>
      <w:tr>
        <w:trPr>
          <w:trHeight w:val="171"/>
        </w:trPr>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Agreement</w:t>
            </w:r>
          </w:p>
        </w:tc>
        <w:tc>
          <w:tcPr>
            <w:tcW w:w="200" w:type="dxa"/>
            <w:vAlign w:val="bottom"/>
          </w:tcPr>
          <w:p>
            <w:pPr>
              <w:spacing w:after="0"/>
              <w:rPr>
                <w:sz w:val="14"/>
                <w:szCs w:val="14"/>
                <w:color w:val="auto"/>
              </w:rPr>
            </w:pPr>
          </w:p>
        </w:tc>
        <w:tc>
          <w:tcPr>
            <w:tcW w:w="1780" w:type="dxa"/>
            <w:vAlign w:val="bottom"/>
          </w:tcPr>
          <w:p>
            <w:pPr>
              <w:jc w:val="right"/>
              <w:ind w:right="574"/>
              <w:spacing w:after="0"/>
              <w:rPr>
                <w:sz w:val="20"/>
                <w:szCs w:val="20"/>
                <w:color w:val="auto"/>
              </w:rPr>
            </w:pPr>
            <w:r>
              <w:rPr>
                <w:rFonts w:ascii="Arial" w:cs="Arial" w:eastAsia="Arial" w:hAnsi="Arial"/>
                <w:sz w:val="14"/>
                <w:szCs w:val="14"/>
                <w:b w:val="1"/>
                <w:bCs w:val="1"/>
                <w:color w:val="auto"/>
              </w:rPr>
              <w:t>Agreement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Agreement</w:t>
            </w:r>
          </w:p>
        </w:tc>
        <w:tc>
          <w:tcPr>
            <w:tcW w:w="14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Agreement</w:t>
            </w:r>
          </w:p>
        </w:tc>
      </w:tr>
      <w:tr>
        <w:trPr>
          <w:trHeight w:val="209"/>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dollar value to be</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sold under agreement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 million</w:t>
            </w: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 million</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 million</w:t>
            </w:r>
          </w:p>
        </w:tc>
        <w:tc>
          <w:tcPr>
            <w:tcW w:w="1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 million</w:t>
            </w: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Specified purchase price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1.65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agreement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December 11, 2019</w:t>
            </w: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March 18, 2020</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September 26, 2020</w:t>
            </w:r>
          </w:p>
        </w:tc>
        <w:tc>
          <w:tcPr>
            <w:tcW w:w="1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December 23, 2020</w:t>
            </w: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Shares available to be issued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under related warrants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340,534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400,990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365,472</w:t>
            </w:r>
          </w:p>
        </w:tc>
        <w:tc>
          <w:tcPr>
            <w:tcW w:w="1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FF0FC"/>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Expiration date of related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December 11, 2025</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September 26, 2026</w:t>
            </w:r>
          </w:p>
        </w:tc>
        <w:tc>
          <w:tcPr>
            <w:tcW w:w="140" w:type="dxa"/>
            <w:vAlign w:val="bottom"/>
          </w:tcPr>
          <w:p>
            <w:pPr>
              <w:spacing w:after="0"/>
              <w:rPr>
                <w:sz w:val="20"/>
                <w:szCs w:val="20"/>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December 23, 2026</w:t>
            </w: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September 30, 2020</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5,434,783</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5,454,546</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6,849,316</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4,375,000</w:t>
            </w:r>
          </w:p>
        </w:tc>
        <w:tc>
          <w:tcPr>
            <w:tcW w:w="120" w:type="dxa"/>
            <w:vAlign w:val="bottom"/>
            <w:shd w:val="clear" w:color="auto" w:fill="CFF0FC"/>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w w:val="97"/>
              </w:rPr>
              <w:t>Remaining shares to be issued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as of September 30, 2020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1,875,000</w:t>
            </w:r>
          </w:p>
        </w:tc>
        <w:tc>
          <w:tcPr>
            <w:tcW w:w="120" w:type="dxa"/>
            <w:vAlign w:val="bottom"/>
          </w:tcPr>
          <w:p>
            <w:pPr>
              <w:spacing w:after="0"/>
              <w:rPr>
                <w:sz w:val="20"/>
                <w:szCs w:val="20"/>
                <w:color w:val="auto"/>
              </w:rPr>
            </w:pPr>
          </w:p>
        </w:tc>
      </w:tr>
    </w:tbl>
    <w:p>
      <w:pPr>
        <w:spacing w:after="0" w:line="202"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March 18, 2019 and September 26, 2019 Letter Agreements resulted deemed distributions to MacAndrews of $3.7 million and $0.5 million, respectively. These deemed distribution were the result of the fair value of the financial instruments issued to MacAndrews exceeding the fair value of the financial instrument received by the Company. These deemed distribution have been reflected as an increase to the net loss attributable to common shareholders of vTv Therapeutics Inc. for computing net loss per share.</w:t>
      </w:r>
    </w:p>
    <w:p>
      <w:pPr>
        <w:spacing w:after="0" w:line="7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Letter Agreement Warrants have been recorded as warrant liability, related party within the Company’s Condensed Consolidated Balance Sheets based on their fair value. The issuance of the Letter Agreement Warrants was considered to be a cost of equity recorded as a reduction to additional paid-in capital.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 and MacAndrews are party to an exchange agreement (the “Exchange Agreement”) pursuant to which the vTv Units (along with a corresponding number of shares of the Class B Common Stock) are exchangeable for (i) shares of the Company’s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Any decision to require an exchange for cash rather than shares of Class A Common Stock will ultimately be determined by the entire board of directors of vTv Therapeutics Inc. (the “Board of Directors”). As of September 30, 2020, MacAndrews had not exchanged any shares under the provisions of the Exchange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w:t>
      </w:r>
    </w:p>
    <w:p>
      <w:pPr>
        <w:spacing w:after="0" w:line="6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no shares have been exchanged by MacAndrews pursuant to the Exchange Agreement (discussed above), the Company has not recognized any liability nor has it made any payments pursuant to the Tax Receivable Agreement as of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121" w:lineRule="exact"/>
        <w:rPr>
          <w:sz w:val="20"/>
          <w:szCs w:val="20"/>
          <w:color w:val="auto"/>
        </w:rPr>
      </w:pPr>
    </w:p>
    <w:p>
      <w:pPr>
        <w:jc w:val="both"/>
        <w:ind w:right="180" w:firstLine="510"/>
        <w:spacing w:after="0" w:line="311" w:lineRule="auto"/>
        <w:rPr>
          <w:sz w:val="20"/>
          <w:szCs w:val="20"/>
          <w:color w:val="auto"/>
        </w:rPr>
      </w:pPr>
      <w:r>
        <w:rPr>
          <w:rFonts w:ascii="Arial" w:cs="Arial" w:eastAsia="Arial" w:hAnsi="Arial"/>
          <w:sz w:val="16"/>
          <w:szCs w:val="16"/>
          <w:color w:val="auto"/>
        </w:rPr>
        <w:t>The Company is subject to U.S. federal income taxes as well as state taxes. The Company did not record an income tax provision for the three and nine months ended September 30, 2020. The Company recorded an income tax provision of $0.1 million for the nine months ended September 30, 2019 related to the foreign withholding taxes paid in connection with payments recognized under the Newsoara License Agreement.</w:t>
      </w:r>
    </w:p>
    <w:p>
      <w:pPr>
        <w:spacing w:after="0" w:line="4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at September 30, 2020 is due to the valuation allowance against the Company’s expected net operating losses.</w:t>
      </w:r>
    </w:p>
    <w:p>
      <w:pPr>
        <w:spacing w:after="0" w:line="79"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On March 27, 2020, the Coronavirus Aid, Relief and Economic Security Act (“CARES Act”) was enacted in response to the COVID-19 outbreak / pandemic. The CARES Act made various tax law changes including among other things (i) increased the limitation under IRC Section 163(j) for 2019 and 2020 to permit additional expensing of interest (ii) enacted a technical correction so that qualified improvement property can be immediately expensed under IRC Section 168(k) and (iii) made modifications to the federal net operating loss rules including permitting federal net operating losses incurred in 2018, 2019, and 2020 to be carried back to each of the five preceding taxable years in order to generate a refund of previously paid income taxes. The Company is currently evaluating the impact of the CARES Act but does not expect it to have a material impact on its financial statements as the Company has historically generated federal net operating losses and maintains a full valuation allowance against its deferred tax assets.</w:t>
      </w:r>
    </w:p>
    <w:p>
      <w:pPr>
        <w:spacing w:after="0" w:line="5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discussed in Note 10,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September 30,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12:Net Loss per Share</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Basic loss per share is computed by dividing net loss attributable to vTv Therapeutics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5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Class A Common Stock is as follows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For the Three Months Ended</w:t>
            </w:r>
          </w:p>
        </w:tc>
        <w:tc>
          <w:tcPr>
            <w:tcW w:w="2680" w:type="dxa"/>
            <w:vAlign w:val="bottom"/>
            <w:gridSpan w:val="10"/>
          </w:tcPr>
          <w:p>
            <w:pPr>
              <w:jc w:val="center"/>
              <w:ind w:right="120"/>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32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6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(2,253)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(5,960)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(14,409)</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w w:val="92"/>
              </w:rPr>
              <w:t>(15,056)</w:t>
            </w:r>
          </w:p>
        </w:tc>
      </w:tr>
      <w:tr>
        <w:trPr>
          <w:trHeight w:val="215"/>
        </w:trPr>
        <w:tc>
          <w:tcPr>
            <w:tcW w:w="580" w:type="dxa"/>
            <w:vAlign w:val="bottom"/>
          </w:tcPr>
          <w:p>
            <w:pPr>
              <w:spacing w:after="0"/>
              <w:rPr>
                <w:sz w:val="18"/>
                <w:szCs w:val="18"/>
                <w:color w:val="auto"/>
              </w:rPr>
            </w:pPr>
          </w:p>
        </w:tc>
        <w:tc>
          <w:tcPr>
            <w:tcW w:w="466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Less: Net loss attributable to noncontrolling</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interests</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(2,352)</w:t>
            </w:r>
          </w:p>
        </w:tc>
        <w:tc>
          <w:tcPr>
            <w:tcW w:w="32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(4,784)</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6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(6,411)</w:t>
            </w:r>
          </w:p>
        </w:tc>
      </w:tr>
      <w:tr>
        <w:trPr>
          <w:trHeight w:val="223"/>
        </w:trPr>
        <w:tc>
          <w:tcPr>
            <w:tcW w:w="580" w:type="dxa"/>
            <w:vAlign w:val="bottom"/>
          </w:tcPr>
          <w:p>
            <w:pPr>
              <w:spacing w:after="0"/>
              <w:rPr>
                <w:sz w:val="19"/>
                <w:szCs w:val="19"/>
                <w:color w:val="auto"/>
              </w:rPr>
            </w:pPr>
          </w:p>
        </w:tc>
        <w:tc>
          <w:tcPr>
            <w:tcW w:w="466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w:t>
            </w:r>
          </w:p>
        </w:tc>
        <w:tc>
          <w:tcPr>
            <w:tcW w:w="1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(9,625)</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(8,645)</w:t>
            </w:r>
          </w:p>
        </w:tc>
        <w:tc>
          <w:tcPr>
            <w:tcW w:w="100" w:type="dxa"/>
            <w:vAlign w:val="bottom"/>
            <w:tcBorders>
              <w:bottom w:val="single" w:sz="8" w:color="CFF0FC"/>
            </w:tcBorders>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466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Less: Deemed distribution to related</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party (Note 10)</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(507)</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6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(4,235)</w:t>
            </w:r>
          </w:p>
        </w:tc>
      </w:tr>
      <w:tr>
        <w:trPr>
          <w:trHeight w:val="209"/>
        </w:trPr>
        <w:tc>
          <w:tcPr>
            <w:tcW w:w="580" w:type="dxa"/>
            <w:vAlign w:val="bottom"/>
          </w:tcPr>
          <w:p>
            <w:pPr>
              <w:spacing w:after="0"/>
              <w:rPr>
                <w:sz w:val="18"/>
                <w:szCs w:val="18"/>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Net loss attributable to common shareholders of</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60" w:type="dxa"/>
            <w:vAlign w:val="bottom"/>
            <w:gridSpan w:val="3"/>
          </w:tcPr>
          <w:p>
            <w:pPr>
              <w:ind w:left="380"/>
              <w:spacing w:after="0"/>
              <w:rPr>
                <w:sz w:val="20"/>
                <w:szCs w:val="20"/>
                <w:color w:val="auto"/>
              </w:rPr>
            </w:pPr>
            <w:r>
              <w:rPr>
                <w:rFonts w:ascii="Arial" w:cs="Arial" w:eastAsia="Arial" w:hAnsi="Arial"/>
                <w:sz w:val="18"/>
                <w:szCs w:val="18"/>
                <w:color w:val="auto"/>
              </w:rPr>
              <w:t>vTv Therapeutics Inc., basic and diluted</w:t>
            </w:r>
          </w:p>
        </w:tc>
        <w:tc>
          <w:tcPr>
            <w:tcW w:w="1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(4,115)</w:t>
            </w:r>
          </w:p>
        </w:tc>
        <w:tc>
          <w:tcPr>
            <w:tcW w:w="32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(9,625)</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w w:val="92"/>
              </w:rPr>
              <w:t>(12,880)</w:t>
            </w:r>
          </w:p>
        </w:tc>
      </w:tr>
      <w:tr>
        <w:trPr>
          <w:trHeight w:val="223"/>
        </w:trPr>
        <w:tc>
          <w:tcPr>
            <w:tcW w:w="580" w:type="dxa"/>
            <w:vAlign w:val="bottom"/>
          </w:tcPr>
          <w:p>
            <w:pPr>
              <w:spacing w:after="0"/>
              <w:rPr>
                <w:sz w:val="19"/>
                <w:szCs w:val="19"/>
                <w:color w:val="auto"/>
              </w:rPr>
            </w:pPr>
          </w:p>
        </w:tc>
        <w:tc>
          <w:tcPr>
            <w:tcW w:w="46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Weighted-average vTv Therapeutics Inc. Class A</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60" w:type="dxa"/>
            <w:vAlign w:val="bottom"/>
            <w:gridSpan w:val="3"/>
          </w:tcPr>
          <w:p>
            <w:pPr>
              <w:ind w:left="380"/>
              <w:spacing w:after="0"/>
              <w:rPr>
                <w:sz w:val="20"/>
                <w:szCs w:val="20"/>
                <w:color w:val="auto"/>
              </w:rPr>
            </w:pPr>
            <w:r>
              <w:rPr>
                <w:rFonts w:ascii="Arial" w:cs="Arial" w:eastAsia="Arial" w:hAnsi="Arial"/>
                <w:sz w:val="18"/>
                <w:szCs w:val="18"/>
                <w:color w:val="auto"/>
              </w:rPr>
              <w:t>Common Stock, basic and diluted</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48,238,285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32,126,130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45,796,298</w:t>
            </w:r>
          </w:p>
        </w:tc>
        <w:tc>
          <w:tcPr>
            <w:tcW w:w="80" w:type="dxa"/>
            <w:vAlign w:val="bottom"/>
          </w:tcPr>
          <w:p>
            <w:pPr>
              <w:spacing w:after="0"/>
              <w:rPr>
                <w:sz w:val="20"/>
                <w:szCs w:val="20"/>
                <w:color w:val="auto"/>
              </w:rPr>
            </w:pPr>
          </w:p>
        </w:tc>
        <w:tc>
          <w:tcPr>
            <w:tcW w:w="1320" w:type="dxa"/>
            <w:vAlign w:val="bottom"/>
            <w:gridSpan w:val="5"/>
          </w:tcPr>
          <w:p>
            <w:pPr>
              <w:jc w:val="right"/>
              <w:ind w:right="20"/>
              <w:spacing w:after="0"/>
              <w:rPr>
                <w:sz w:val="20"/>
                <w:szCs w:val="20"/>
                <w:color w:val="auto"/>
              </w:rPr>
            </w:pPr>
            <w:r>
              <w:rPr>
                <w:rFonts w:ascii="Arial" w:cs="Arial" w:eastAsia="Arial" w:hAnsi="Arial"/>
                <w:sz w:val="18"/>
                <w:szCs w:val="18"/>
                <w:color w:val="auto"/>
              </w:rPr>
              <w:t>27,709,486</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66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Net loss per share of vTv Therapeutics Inc. Class A</w:t>
            </w: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6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(0.03)</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(0.13)</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(0.21)</w:t>
            </w:r>
          </w:p>
        </w:tc>
        <w:tc>
          <w:tcPr>
            <w:tcW w:w="74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(0.46)</w:t>
            </w:r>
          </w:p>
        </w:tc>
      </w:tr>
      <w:tr>
        <w:trPr>
          <w:trHeight w:val="20"/>
        </w:trPr>
        <w:tc>
          <w:tcPr>
            <w:tcW w:w="58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33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0FC"/>
            </w:tcBorders>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53"/>
        </w:trPr>
        <w:tc>
          <w:tcPr>
            <w:tcW w:w="8000" w:type="dxa"/>
            <w:vAlign w:val="bottom"/>
            <w:gridSpan w:val="11"/>
          </w:tcPr>
          <w:p>
            <w:pPr>
              <w:jc w:val="right"/>
              <w:ind w:right="40"/>
              <w:spacing w:after="0"/>
              <w:rPr>
                <w:sz w:val="20"/>
                <w:szCs w:val="20"/>
                <w:color w:val="auto"/>
              </w:rPr>
            </w:pPr>
            <w:r>
              <w:rPr>
                <w:rFonts w:ascii="Arial" w:cs="Arial" w:eastAsia="Arial" w:hAnsi="Arial"/>
                <w:sz w:val="18"/>
                <w:szCs w:val="18"/>
                <w:color w:val="auto"/>
                <w:w w:val="97"/>
              </w:rPr>
              <w:t>Potentially dilutive securities not included in the calculation of diluted net loss per share are as follows: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4"/>
                <w:szCs w:val="24"/>
                <w:color w:val="auto"/>
              </w:rPr>
            </w:pPr>
          </w:p>
        </w:tc>
        <w:tc>
          <w:tcPr>
            <w:tcW w:w="14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5"/>
          </w:tcPr>
          <w:p>
            <w:pPr>
              <w:jc w:val="center"/>
              <w:ind w:left="15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Class B Common Stock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23,094,221</w:t>
            </w:r>
          </w:p>
        </w:tc>
        <w:tc>
          <w:tcPr>
            <w:tcW w:w="2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23,094,221</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Plan</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2,600,191</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2,496,143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w w:val="90"/>
              </w:rPr>
              <w:t>Common stock options granted under Letter Agreements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1,875,000</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5,479,453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2,014,503</w:t>
            </w:r>
          </w:p>
        </w:tc>
        <w:tc>
          <w:tcPr>
            <w:tcW w:w="24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1,649,031</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29,583,915</w:t>
            </w:r>
          </w:p>
        </w:tc>
        <w:tc>
          <w:tcPr>
            <w:tcW w:w="240" w:type="dxa"/>
            <w:vAlign w:val="bottom"/>
          </w:tcPr>
          <w:p>
            <w:pPr>
              <w:spacing w:after="0"/>
              <w:rPr>
                <w:sz w:val="19"/>
                <w:szCs w:val="19"/>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32,730,515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134" w:lineRule="exact"/>
        <w:rPr>
          <w:sz w:val="20"/>
          <w:szCs w:val="20"/>
          <w:color w:val="auto"/>
        </w:rPr>
      </w:pPr>
    </w:p>
    <w:p>
      <w:pPr>
        <w:ind w:left="880" w:right="40" w:hanging="373"/>
        <w:spacing w:after="0" w:line="286"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13:Restructuring</w:t>
      </w:r>
    </w:p>
    <w:p>
      <w:pPr>
        <w:spacing w:after="0" w:line="121"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In December 2018, the Company initiated a corporate restructuring to align with a strategic decision to continue the development of its drug candidates using external resources rather than internal resources. The restructuring allowed the Company to reduce costs while continuing to conduct clinical trials, to support existing partnerships that are advancing development of additional assets, and to pursue new licensing and partnership opportunities. This restructuring included a significant reduction in its workforce. The Company completed these restructuring activities in the second quarter of 2019.</w:t>
      </w:r>
    </w:p>
    <w:p>
      <w:pPr>
        <w:spacing w:after="0" w:line="80"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During the nine months ended September 30, 2019, the Company made cash payments of $0.3 million related to these severance benefits and recognized an immaterial amount of expense related to this plan. No such amounts were paid nor was any expense recognized related to restructuring activities during the three or nine months ended September 30, 2020.</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14:Fair Value of Financial Instruments</w:t>
      </w:r>
    </w:p>
    <w:p>
      <w:pPr>
        <w:spacing w:after="0" w:line="121"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carrying amount of certain of the Company’s financial instruments, including cash and cash equivalents, net accounts receivable, accounts payable and other accrued liabilities approximate fair value due to their short-term nature.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fair value of the Company’s Loan Agreement is considered to approximate its carrying value because it bears interest at a variable interest rate.</w:t>
      </w:r>
    </w:p>
    <w:p>
      <w:pPr>
        <w:spacing w:after="0" w:line="140"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The Company measures the value of its investment in Reneo at cost minus impairment, if any, plus or minus changes resulting from observable price changes in orderly transactions for the identical or similar investment. During the three and nine months ended September 30, 2020, there were no observable price changes in identical or similar investments, nor were there any indications of impairment. As such, the value of the Company’s investment in Reneo was not remeasured.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September 30, 2020 and December 31, 2019 (in thousands):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90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24"/>
                <w:szCs w:val="2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90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right="6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 value determined using the Black-Scholes option pricing model. Expected volatility is based on a portfolio of selected stocks of companies believed to have market and economic characteristics similar to its own. The risk-free rate is based on the U.S. Treasury yield curve in effect at the time of the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11912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20" w:type="dxa"/>
            <w:vAlign w:val="bottom"/>
            <w:gridSpan w:val="15"/>
          </w:tcPr>
          <w:p>
            <w:pPr>
              <w:jc w:val="center"/>
              <w:ind w:right="240"/>
              <w:spacing w:after="0"/>
              <w:rPr>
                <w:sz w:val="20"/>
                <w:szCs w:val="20"/>
                <w:color w:val="auto"/>
              </w:rPr>
            </w:pPr>
            <w:r>
              <w:rPr>
                <w:rFonts w:ascii="Arial" w:cs="Arial" w:eastAsia="Arial" w:hAnsi="Arial"/>
                <w:sz w:val="14"/>
                <w:szCs w:val="14"/>
                <w:b w:val="1"/>
                <w:bCs w:val="1"/>
                <w:color w:val="auto"/>
                <w:w w:val="91"/>
              </w:rPr>
              <w:t>Changes in Level 3 instruments for the nine months ended September 30,</w:t>
            </w:r>
          </w:p>
        </w:tc>
        <w:tc>
          <w:tcPr>
            <w:tcW w:w="0" w:type="dxa"/>
            <w:vAlign w:val="bottom"/>
          </w:tcPr>
          <w:p>
            <w:pPr>
              <w:spacing w:after="0"/>
              <w:rPr>
                <w:sz w:val="1"/>
                <w:szCs w:val="1"/>
                <w:color w:val="auto"/>
              </w:rPr>
            </w:pPr>
          </w:p>
        </w:tc>
      </w:tr>
      <w:tr>
        <w:trPr>
          <w:trHeight w:val="25"/>
        </w:trPr>
        <w:tc>
          <w:tcPr>
            <w:tcW w:w="3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Net Change 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fair value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Purchases /</w:t>
            </w:r>
          </w:p>
        </w:tc>
        <w:tc>
          <w:tcPr>
            <w:tcW w:w="160" w:type="dxa"/>
            <w:vAlign w:val="bottom"/>
          </w:tcPr>
          <w:p>
            <w:pPr>
              <w:spacing w:after="0"/>
              <w:rPr>
                <w:sz w:val="12"/>
                <w:szCs w:val="12"/>
                <w:color w:val="auto"/>
              </w:rPr>
            </w:pPr>
          </w:p>
        </w:tc>
        <w:tc>
          <w:tcPr>
            <w:tcW w:w="7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Sales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Issuance</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Repurchases</w:t>
            </w:r>
          </w:p>
        </w:tc>
        <w:tc>
          <w:tcPr>
            <w:tcW w:w="2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tcBorders>
            <w:shd w:val="clear" w:color="auto" w:fill="CFF0FC"/>
          </w:tcPr>
          <w:p>
            <w:pPr>
              <w:jc w:val="right"/>
              <w:ind w:right="3030"/>
              <w:spacing w:after="0"/>
              <w:rPr>
                <w:sz w:val="20"/>
                <w:szCs w:val="20"/>
                <w:color w:val="auto"/>
              </w:rPr>
            </w:pPr>
            <w:r>
              <w:rPr>
                <w:rFonts w:ascii="Arial" w:cs="Arial" w:eastAsia="Arial" w:hAnsi="Arial"/>
                <w:sz w:val="18"/>
                <w:szCs w:val="18"/>
                <w:b w:val="1"/>
                <w:bCs w:val="1"/>
                <w:color w:val="auto"/>
                <w:w w:val="84"/>
              </w:rPr>
              <w:t>2020</w:t>
            </w:r>
          </w:p>
        </w:tc>
        <w:tc>
          <w:tcPr>
            <w:tcW w:w="1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jc w:val="right"/>
              <w:ind w:right="990"/>
              <w:spacing w:after="0"/>
              <w:rPr>
                <w:sz w:val="20"/>
                <w:szCs w:val="20"/>
                <w:color w:val="auto"/>
              </w:rPr>
            </w:pPr>
            <w:r>
              <w:rPr>
                <w:rFonts w:ascii="Arial" w:cs="Arial" w:eastAsia="Arial" w:hAnsi="Arial"/>
                <w:sz w:val="18"/>
                <w:szCs w:val="18"/>
                <w:color w:val="auto"/>
              </w:rPr>
              <w:t>Warrant liability, related party</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bottom w:val="single" w:sz="8" w:color="CFF0FC"/>
            </w:tcBorders>
            <w:shd w:val="clear" w:color="auto" w:fill="CFF0FC"/>
          </w:tcPr>
          <w:p>
            <w:pPr>
              <w:jc w:val="right"/>
              <w:ind w:right="251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jc w:val="right"/>
              <w:ind w:right="3030"/>
              <w:spacing w:after="0"/>
              <w:rPr>
                <w:sz w:val="20"/>
                <w:szCs w:val="20"/>
                <w:color w:val="auto"/>
              </w:rPr>
            </w:pPr>
            <w:r>
              <w:rPr>
                <w:rFonts w:ascii="Arial" w:cs="Arial" w:eastAsia="Arial" w:hAnsi="Arial"/>
                <w:sz w:val="18"/>
                <w:szCs w:val="18"/>
                <w:b w:val="1"/>
                <w:bCs w:val="1"/>
                <w:color w:val="auto"/>
                <w:w w:val="84"/>
              </w:rPr>
              <w:t>2019</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jc w:val="right"/>
              <w:ind w:right="990"/>
              <w:spacing w:after="0"/>
              <w:rPr>
                <w:sz w:val="20"/>
                <w:szCs w:val="20"/>
                <w:color w:val="auto"/>
              </w:rPr>
            </w:pPr>
            <w:r>
              <w:rPr>
                <w:rFonts w:ascii="Arial" w:cs="Arial" w:eastAsia="Arial" w:hAnsi="Arial"/>
                <w:sz w:val="18"/>
                <w:szCs w:val="18"/>
                <w:color w:val="auto"/>
              </w:rPr>
              <w:t>Warrant liability, related party</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bottom w:val="single" w:sz="8" w:color="CFF0FC"/>
            </w:tcBorders>
            <w:shd w:val="clear" w:color="auto" w:fill="CFF0FC"/>
          </w:tcPr>
          <w:p>
            <w:pPr>
              <w:jc w:val="right"/>
              <w:ind w:right="251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During the three and nine months ended September 30, 2020 and 2019, the Company recognized a loss of $0.8 million and a gain of $0.1 million, respectively, for the three month periods and a loss of $0.1 million and a gain of $1.1 million, respectively, for the nine month periods related to the change in fair value of the Letter Agreement Warrants. These amounts were recognized as a component of other (expense) income – related party in the Condensed Consolidated Statements of Operations. Significant inputs utilized in the valuation of the Letter Agreement Warrants as of September 30, 2020 and December 31, 2019 were:</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1" w:name="page22"/>
    <w:bookmarkEnd w:id="21"/>
    <w:tbl>
      <w:tblPr>
        <w:tblLayout w:type="fixed"/>
        <w:tblInd w:w="58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020" w:type="dxa"/>
            <w:vAlign w:val="bottom"/>
            <w:gridSpan w:val="3"/>
          </w:tcPr>
          <w:p>
            <w:pPr>
              <w:ind w:left="360"/>
              <w:spacing w:after="0"/>
              <w:rPr>
                <w:sz w:val="20"/>
                <w:szCs w:val="20"/>
                <w:color w:val="auto"/>
              </w:rPr>
            </w:pPr>
            <w:r>
              <w:rPr>
                <w:rFonts w:ascii="Arial" w:cs="Arial" w:eastAsia="Arial" w:hAnsi="Arial"/>
                <w:sz w:val="14"/>
                <w:szCs w:val="14"/>
                <w:b w:val="1"/>
                <w:bCs w:val="1"/>
                <w:color w:val="auto"/>
              </w:rPr>
              <w:t>September 30, 2020</w:t>
            </w:r>
          </w:p>
        </w:tc>
        <w:tc>
          <w:tcPr>
            <w:tcW w:w="2100" w:type="dxa"/>
            <w:vAlign w:val="bottom"/>
            <w:gridSpan w:val="2"/>
          </w:tcPr>
          <w:p>
            <w:pPr>
              <w:ind w:left="4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118.39%</w:t>
            </w:r>
          </w:p>
        </w:tc>
        <w:tc>
          <w:tcPr>
            <w:tcW w:w="10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- 136.33%</w:t>
            </w:r>
          </w:p>
        </w:tc>
        <w:tc>
          <w:tcPr>
            <w:tcW w:w="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110.76%</w:t>
            </w:r>
          </w:p>
        </w:tc>
        <w:tc>
          <w:tcPr>
            <w:tcW w:w="1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- 123.83%</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tcPr>
          <w:p>
            <w:pPr>
              <w:jc w:val="right"/>
              <w:spacing w:after="0"/>
              <w:rPr>
                <w:sz w:val="20"/>
                <w:szCs w:val="20"/>
                <w:color w:val="auto"/>
              </w:rPr>
            </w:pPr>
            <w:r>
              <w:rPr>
                <w:rFonts w:ascii="Arial" w:cs="Arial" w:eastAsia="Arial" w:hAnsi="Arial"/>
                <w:sz w:val="18"/>
                <w:szCs w:val="18"/>
                <w:color w:val="auto"/>
              </w:rPr>
              <w:t>0.23%</w:t>
            </w:r>
          </w:p>
        </w:tc>
        <w:tc>
          <w:tcPr>
            <w:tcW w:w="1040" w:type="dxa"/>
            <w:vAlign w:val="bottom"/>
          </w:tcPr>
          <w:p>
            <w:pPr>
              <w:ind w:left="20"/>
              <w:spacing w:after="0"/>
              <w:rPr>
                <w:sz w:val="20"/>
                <w:szCs w:val="20"/>
                <w:color w:val="auto"/>
              </w:rPr>
            </w:pPr>
            <w:r>
              <w:rPr>
                <w:rFonts w:ascii="Arial" w:cs="Arial" w:eastAsia="Arial" w:hAnsi="Arial"/>
                <w:sz w:val="18"/>
                <w:szCs w:val="18"/>
                <w:color w:val="auto"/>
              </w:rPr>
              <w:t>- 0.40%</w:t>
            </w: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w:t>
            </w:r>
          </w:p>
        </w:tc>
        <w:tc>
          <w:tcPr>
            <w:tcW w:w="1120" w:type="dxa"/>
            <w:vAlign w:val="bottom"/>
          </w:tcPr>
          <w:p>
            <w:pPr>
              <w:ind w:left="40"/>
              <w:spacing w:after="0"/>
              <w:rPr>
                <w:sz w:val="20"/>
                <w:szCs w:val="20"/>
                <w:color w:val="auto"/>
              </w:rPr>
            </w:pPr>
            <w:r>
              <w:rPr>
                <w:rFonts w:ascii="Arial" w:cs="Arial" w:eastAsia="Arial" w:hAnsi="Arial"/>
                <w:sz w:val="18"/>
                <w:szCs w:val="18"/>
                <w:color w:val="auto"/>
              </w:rPr>
              <w:t>- 1.83%</w:t>
            </w:r>
          </w:p>
        </w:tc>
      </w:tr>
    </w:tbl>
    <w:p>
      <w:pPr>
        <w:spacing w:after="0" w:line="20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Changes in the unobservable inputs noted above would impact the amount of the liability for the Letter Agreement Warrants. Increases (decreases) in the estimates of the Company’s annual volatility would increase (decrease) the liability and an increase (decrease) in the annual risk-free rate would increase (decrease) the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15:Subsequent Events</w:t>
      </w:r>
    </w:p>
    <w:p>
      <w:pPr>
        <w:spacing w:after="0" w:line="121"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Subsequent to September 30, 2020, the Company has fully utilized the remaining availability under the ATM Offering by issuing 1,633,536 shares of Class A common stock at then-market prices for total gross proceeds of approximately $2.8 million.</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427" w:right="459" w:bottom="1440" w:gutter="0" w:footer="0" w:header="0"/>
        </w:sectPr>
      </w:pPr>
    </w:p>
    <w:bookmarkStart w:id="22" w:name="page23"/>
    <w:bookmarkEnd w:id="22"/>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are a clinical-stage pharmaceutical company focused on treating metabolic diseases to minimize their long-term complications through end-organ protection. We have an innovative pipeline of first-in-class small molecule clinical and pre-clinical drug candidates for the treatment of a wide range of metabolic diseases and their long-term complications. Our pipeline is led by our programs for the treatment of type 1 diabetes (</w:t>
      </w:r>
      <w:r>
        <w:rPr>
          <w:rFonts w:ascii="Arial" w:cs="Arial" w:eastAsia="Arial" w:hAnsi="Arial"/>
          <w:sz w:val="17"/>
          <w:szCs w:val="17"/>
          <w:i w:val="1"/>
          <w:iCs w:val="1"/>
          <w:color w:val="auto"/>
        </w:rPr>
        <w:t>TTP399</w:t>
      </w:r>
      <w:r>
        <w:rPr>
          <w:rFonts w:ascii="Arial" w:cs="Arial" w:eastAsia="Arial" w:hAnsi="Arial"/>
          <w:sz w:val="17"/>
          <w:szCs w:val="17"/>
          <w:color w:val="auto"/>
        </w:rPr>
        <w:t>) and for Alzheimer’s disease (“AD”)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We completed the Simplici-T1 Study, an adaptive Phase 1b/2 study supported by JDRF International (“JDRF”), to explore the effects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patients with type 1 diabetes at the beginning of 2020. In February 2020, we reported positive results from the Phase 2 - Part 2 confirming phase of this study which achieved its primary objective by demonstrating statistically significant improvements in HbA1c (long-term blood sugar)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compared to placebo. We are working on the design for pivotal and registration studies for </w:t>
      </w:r>
      <w:r>
        <w:rPr>
          <w:rFonts w:ascii="Arial" w:cs="Arial" w:eastAsia="Arial" w:hAnsi="Arial"/>
          <w:sz w:val="17"/>
          <w:szCs w:val="17"/>
          <w:i w:val="1"/>
          <w:iCs w:val="1"/>
          <w:color w:val="auto"/>
        </w:rPr>
        <w:t>TPP399</w:t>
      </w:r>
      <w:r>
        <w:rPr>
          <w:rFonts w:ascii="Arial" w:cs="Arial" w:eastAsia="Arial" w:hAnsi="Arial"/>
          <w:sz w:val="17"/>
          <w:szCs w:val="17"/>
          <w:color w:val="auto"/>
        </w:rPr>
        <w:t xml:space="preserve">, with input from the FDA. In addition to the pivotal studies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we plan to conduct a mechanistic study in a small number of patients with type 1 diabetes to determine the impact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on ketone body formation during a period of acute insulin withdrawal.</w:t>
      </w:r>
    </w:p>
    <w:p>
      <w:pPr>
        <w:spacing w:after="0" w:line="73"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 xml:space="preserve">Our second clinical drug candidate in Phase 2 development is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w:t>
      </w:r>
      <w:r>
        <w:rPr>
          <w:rFonts w:ascii="Arial" w:cs="Arial" w:eastAsia="Arial" w:hAnsi="Arial"/>
          <w:sz w:val="17"/>
          <w:szCs w:val="17"/>
          <w:i w:val="1"/>
          <w:iCs w:val="1"/>
          <w:color w:val="auto"/>
        </w:rPr>
        <w:t>TTP488</w:t>
      </w:r>
      <w:r>
        <w:rPr>
          <w:rFonts w:ascii="Arial" w:cs="Arial" w:eastAsia="Arial" w:hAnsi="Arial"/>
          <w:sz w:val="17"/>
          <w:szCs w:val="17"/>
          <w:color w:val="auto"/>
        </w:rPr>
        <w:t xml:space="preserve">), an orally administered, small molecule antagonist targeting the receptor for advanced glycation endproducts (“RAGE”). We concluded enrollment of patients in a Phase 2 study to evaluate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as a potential treatment of mild-AD in patients with type 2 diabetes (the “Elevage Study”) as of September 2020 and plan to report top-line results for approximately 38 patients, substantially all of the enrolled patients, in December 2020, earlier than previously expected. The ongoing effects of the Coronavirus (“COVID-19”) pandemic/outbreak impacted the conduct and timing of the Elevage Study as some of the clinical trial sites at which the Elevage Study is taking place reduced, delayed or suspended activities as precautionary measures and, as a result, saw a decrease in participants seeking to join clinical trials, as more further described in the “Impact of COVID-19” section below.</w:t>
      </w:r>
    </w:p>
    <w:p>
      <w:pPr>
        <w:spacing w:after="0" w:line="69"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 xml:space="preserve">Finally, we are planning a multiple ascending dose phase 1 study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an orally administered phosphodiesterase type 4 (“PDE4”) inhibitor, to assess the pharmacokinetics, pharmacodynamics, safety and tolerability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in healthy volunteers as part of our psoriasis program. We expect to complete this study in the second quarter of 2021.</w:t>
      </w:r>
    </w:p>
    <w:p>
      <w:pPr>
        <w:spacing w:after="0" w:line="76"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In addition to our internal development programs, we are furthering the clinical development of three other programs, a small molecule GLP-1r agonist, a PDE4 inhibitor, and a PPAR-delta agonist, through partnerships with pharmaceutical partners via licensing arrangements. In June 2020, Reneo Pharmaceuticals (“Reneo”) announced positive preliminary results from a recently completed phase 1 clinical study of REN001, a PPAR-delta agonist vTv licensed to Reneo under a license agreement, for primary mitochondrial myopathies (“PMM”) and the receipt of Orphan Drug Designation from the FDA for REN001 for the treatment of PMM. Reneo is planning to begin an international phase 2 study in PMM in the first quarter of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been actively monitoring the COVID-19 pandemic and its impact on our business, employees, patients, partners, suppliers and</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vendors. Our financial results for the three and nine months ended September 30, 2020 were not significantly impacted by COVID-19. While we continue to conduct final patient visits in the on-going Elevage Study, COVID-19 precautions directly and indirectly impacted the timeline for this clinical trial, as it has for many other clinical trials. In particular, the reduced, delayed or suspended activities of the clinical trial sites participating in the Elevage Study as precautionary measures in response to COVID-19 delayed screening and enrollment of potential subjects into the study which in turn had an impact on the pace of enrollment and total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3" w:name="page24"/>
    <w:bookmarkEnd w:id="23"/>
    <w:p>
      <w:pPr>
        <w:jc w:val="both"/>
        <w:ind w:right="80"/>
        <w:spacing w:after="0" w:line="263" w:lineRule="auto"/>
        <w:rPr>
          <w:sz w:val="20"/>
          <w:szCs w:val="20"/>
          <w:color w:val="auto"/>
        </w:rPr>
      </w:pPr>
      <w:r>
        <w:rPr>
          <w:rFonts w:ascii="Arial" w:cs="Arial" w:eastAsia="Arial" w:hAnsi="Arial"/>
          <w:sz w:val="18"/>
          <w:szCs w:val="18"/>
          <w:color w:val="auto"/>
        </w:rPr>
        <w:t>number of patients enrolled. In response, we have concluded patient enrollment for the Elevage Study as of September 2020 and we will continue to work closely with our IRB and clinical trial sites to conclude the Elevage Study, employing appropriate responses to the requirements of various national, state, and local government and regulatory bodies.</w:t>
      </w:r>
    </w:p>
    <w:p>
      <w:pPr>
        <w:spacing w:after="0" w:line="76"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color w:val="auto"/>
        </w:rPr>
        <w:t>Separately, vTv has continued to make adjustments that allow us to maintain our business operations during the quarter despite current circumstances, including establishing remote working options for all employees. Given the scope of the pandemic, we cannot predict the impact of the progression of the COVID-19 outbreak on future clinical trial and financial results due to a variety of factors, including the continued good health of our employees, the ability of our third party suppliers, vendors, manufacturers and partners to continue to operate and provide services, the ability of our clinical trial sites to continue or resume operations, any further government and/or public actions taken in response to the pandemic and the ultimate duration of the COVID-19 outbreak/pandemic.</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current drug candidates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83185</wp:posOffset>
            </wp:positionV>
            <wp:extent cx="5915025" cy="2683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15025" cy="268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Chronic obstructive pulmonary disease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Type 1 Diabetes Program –TTP399</w:t>
      </w:r>
    </w:p>
    <w:p>
      <w:pPr>
        <w:spacing w:after="0" w:line="12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 xml:space="preserve">In light of the positive results of our Simplici-T1 Study, an adaptive Phase 2 clinical trial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adult patients with type 1 diabetes, we requested a Type C meeting with the FDA to discuss the trial design and other requirements for the next stage of development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The Company received written responses from the FDA in June and September 2020. Based upon the responses provided, the Company plans to conduct a placebo-controlled six-month clinical trial in approximately 400 subjects, followed by a second placebo-controlled six-month clinical trial to be initiated nine to twelve months after initiation of the first. The Company would also include a six-month open label extension in the first clinical trial to provide patient data of the necessary duration to support the safety and efficacy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its response, the FDA confirmed that the effect size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on events of hypoglycemia as demonstrated in the Phase 2 SimpliciT-1 Study are clinically meaningful and that a reduction in events of hypoglycemia would be an acceptable clinical endpoint for evaluation of a therapy for the treatment of type 1 diabetes.</w:t>
      </w:r>
    </w:p>
    <w:p>
      <w:pPr>
        <w:spacing w:after="0" w:line="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 xml:space="preserve">Finally, the Company is planning to conduct a mechanistic study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a small number of patients with type 1 diabetes to determine the impact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on ketone body formation during a period of acute insulin withdrawal. The Company proposed the mechanistic study to the FDA and the FDA recommended that the study be performed in support of the planned pivotal trials. The results of this mechanistic study will provide additional evidence to support the effects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on diabetic ketoacidosis (“DKA”) in patients with type 1 diabetes. We expect to initiate the mechanistic study in the first quarter of 2021 and to report top-line results in the second quarter of 2021.</w:t>
      </w:r>
    </w:p>
    <w:p>
      <w:pPr>
        <w:spacing w:after="0" w:line="80"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 xml:space="preserve">We estimate that the planned development of </w:t>
      </w:r>
      <w:r>
        <w:rPr>
          <w:rFonts w:ascii="Arial" w:cs="Arial" w:eastAsia="Arial" w:hAnsi="Arial"/>
          <w:sz w:val="18"/>
          <w:szCs w:val="18"/>
          <w:i w:val="1"/>
          <w:iCs w:val="1"/>
          <w:color w:val="auto"/>
        </w:rPr>
        <w:t>TTP399</w:t>
      </w:r>
      <w:r>
        <w:rPr>
          <w:rFonts w:ascii="Arial" w:cs="Arial" w:eastAsia="Arial" w:hAnsi="Arial"/>
          <w:sz w:val="18"/>
          <w:szCs w:val="18"/>
          <w:color w:val="auto"/>
        </w:rPr>
        <w:t>, including pivotal trials, clinical pharmacology, active pharmaceutical ingredient and drug product development and manufacturing, to cost between $75 and $90 million. Our current planning will continue to evolve based on capital availability, further study planning, discussions with CROs and other supporting vendors, and other factors.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Our Dementia with Diabetes Program – Azeliragon</w:t>
      </w:r>
    </w:p>
    <w:p>
      <w:pPr>
        <w:spacing w:after="0" w:line="121"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 xml:space="preserve">We are currently conducting the Elevage study, a Phase 2 proof of concept clinical trial to confirm the cognitive benefits evidenced in a post-hoc analysis of the diabetes subgroup (n=47) of the STEADFAST A study. The Company concluded enrollment of the Elevage Study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in September 2020. Forty-three (43) patients with mild probable Alzheimer’s disease and type 2 diabetes were enrolled in the study. The Company plans to report top-line results for approximately 38 patients with six month visits in December 2020. Despite the reduction in total enrollment from what was originally planned, the study is expected to be adequately powered to demonstrate efficacy on the primary endpoint of improved cognition as measured by the ADAS-cog. In other material aspects, the trial has been administered consistent with the protocol, despite the challenges presented by COVID-19. The Company continues to evaluate the ongoing progress of the trial and support efforts to ensure its timely completion.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Psoriasis Program - HPP737</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 xml:space="preserve">We are currently planning a Phase 1, placebo-controlled, multiple-ascending dose clinical trial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to assess the pharmacokinetics, pharmacodynamics, safety and tolerability of HPP737 in healthy volunteers. We expect to initiate this study in the first quarter of 2021 and to report top-line results in the second quarter of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To date, we have not generated any revenue from drug sales. Our revenue has been primarily derived from up-front proceeds and research fees under collaboration and license agreements.</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5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From our inception, including our predecessor companies, through September 30, 2020, we have incurred approximately $588.5 million in research and development expenses.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5" w:name="page26"/>
    <w:bookmarkEnd w:id="25"/>
    <w:p>
      <w:pPr>
        <w:ind w:right="720" w:firstLine="510"/>
        <w:spacing w:after="0" w:line="277" w:lineRule="auto"/>
        <w:rPr>
          <w:sz w:val="20"/>
          <w:szCs w:val="20"/>
          <w:color w:val="auto"/>
        </w:rPr>
      </w:pPr>
      <w:r>
        <w:rPr>
          <w:rFonts w:ascii="Arial" w:cs="Arial" w:eastAsia="Arial" w:hAnsi="Arial"/>
          <w:sz w:val="18"/>
          <w:szCs w:val="18"/>
          <w:color w:val="auto"/>
        </w:rPr>
        <w:t>Our research and development expenses by project for the three and nine months ended September 30, 2020 and 2019 were as follows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0" w:type="dxa"/>
            <w:vAlign w:val="bottom"/>
            <w:gridSpan w:val="5"/>
          </w:tcPr>
          <w:p>
            <w:pPr>
              <w:jc w:val="right"/>
              <w:ind w:right="213"/>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35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research and development expense:</w:t>
            </w:r>
          </w:p>
        </w:tc>
        <w:tc>
          <w:tcPr>
            <w:tcW w:w="4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580" w:type="dxa"/>
            <w:vAlign w:val="bottom"/>
          </w:tcPr>
          <w:p>
            <w:pPr>
              <w:ind w:left="120"/>
              <w:spacing w:after="0"/>
              <w:rPr>
                <w:sz w:val="20"/>
                <w:szCs w:val="20"/>
                <w:color w:val="auto"/>
              </w:rPr>
            </w:pPr>
            <w:r>
              <w:rPr>
                <w:rFonts w:ascii="Arial" w:cs="Arial" w:eastAsia="Arial" w:hAnsi="Arial"/>
                <w:sz w:val="18"/>
                <w:szCs w:val="18"/>
                <w:i w:val="1"/>
                <w:iCs w:val="1"/>
                <w:color w:val="auto"/>
              </w:rPr>
              <w:t>Azeliragon</w:t>
            </w:r>
          </w:p>
        </w:tc>
        <w:tc>
          <w:tcPr>
            <w:tcW w:w="128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1,027</w:t>
            </w:r>
          </w:p>
        </w:tc>
        <w:tc>
          <w:tcPr>
            <w:tcW w:w="30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1,875</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5,008</w:t>
            </w:r>
          </w:p>
        </w:tc>
        <w:tc>
          <w:tcPr>
            <w:tcW w:w="30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5,032</w:t>
            </w:r>
          </w:p>
        </w:tc>
        <w:tc>
          <w:tcPr>
            <w:tcW w:w="120" w:type="dxa"/>
            <w:vAlign w:val="bottom"/>
          </w:tcPr>
          <w:p>
            <w:pPr>
              <w:spacing w:after="0"/>
              <w:rPr>
                <w:sz w:val="19"/>
                <w:szCs w:val="19"/>
                <w:color w:val="auto"/>
              </w:rPr>
            </w:pPr>
          </w:p>
        </w:tc>
      </w:tr>
      <w:tr>
        <w:trPr>
          <w:trHeight w:val="229"/>
        </w:trPr>
        <w:tc>
          <w:tcPr>
            <w:tcW w:w="358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TTP399</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120" w:type="dxa"/>
            <w:vAlign w:val="bottom"/>
            <w:shd w:val="clear" w:color="auto" w:fill="CFF0FC"/>
          </w:tcPr>
          <w:p>
            <w:pPr>
              <w:spacing w:after="0"/>
              <w:rPr>
                <w:sz w:val="19"/>
                <w:szCs w:val="19"/>
                <w:color w:val="auto"/>
              </w:rPr>
            </w:pPr>
          </w:p>
        </w:tc>
      </w:tr>
      <w:tr>
        <w:trPr>
          <w:trHeight w:val="230"/>
        </w:trPr>
        <w:tc>
          <w:tcPr>
            <w:tcW w:w="3580" w:type="dxa"/>
            <w:vAlign w:val="bottom"/>
          </w:tcPr>
          <w:p>
            <w:pPr>
              <w:ind w:left="120"/>
              <w:spacing w:after="0"/>
              <w:rPr>
                <w:sz w:val="20"/>
                <w:szCs w:val="20"/>
                <w:color w:val="auto"/>
              </w:rPr>
            </w:pPr>
            <w:r>
              <w:rPr>
                <w:rFonts w:ascii="Arial" w:cs="Arial" w:eastAsia="Arial" w:hAnsi="Arial"/>
                <w:sz w:val="18"/>
                <w:szCs w:val="18"/>
                <w:color w:val="auto"/>
              </w:rPr>
              <w:t>Other projects</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9"/>
                <w:szCs w:val="19"/>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Indirect research and development expense</w:t>
            </w:r>
          </w:p>
        </w:tc>
        <w:tc>
          <w:tcPr>
            <w:tcW w:w="4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3,516</w:t>
            </w:r>
          </w:p>
        </w:tc>
        <w:tc>
          <w:tcPr>
            <w:tcW w:w="120" w:type="dxa"/>
            <w:vAlign w:val="bottom"/>
            <w:shd w:val="clear" w:color="auto" w:fill="CFF0FC"/>
          </w:tcPr>
          <w:p>
            <w:pPr>
              <w:spacing w:after="0"/>
              <w:rPr>
                <w:sz w:val="19"/>
                <w:szCs w:val="19"/>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480" w:type="dxa"/>
            <w:vAlign w:val="bottom"/>
          </w:tcPr>
          <w:p>
            <w:pPr>
              <w:spacing w:after="0"/>
              <w:rPr>
                <w:sz w:val="19"/>
                <w:szCs w:val="19"/>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1,768</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w:t>
            </w:r>
          </w:p>
        </w:tc>
        <w:tc>
          <w:tcPr>
            <w:tcW w:w="12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 xml:space="preserve">We plan to continue to incur significant research and development expenses for the foreseeable future as we continue the development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w:t>
      </w:r>
      <w:r>
        <w:rPr>
          <w:rFonts w:ascii="Arial" w:cs="Arial" w:eastAsia="Arial" w:hAnsi="Arial"/>
          <w:sz w:val="16"/>
          <w:szCs w:val="16"/>
          <w:i w:val="1"/>
          <w:iCs w:val="1"/>
          <w:color w:val="auto"/>
        </w:rPr>
        <w:t>azeliragon</w:t>
      </w:r>
      <w:r>
        <w:rPr>
          <w:rFonts w:ascii="Arial" w:cs="Arial" w:eastAsia="Arial" w:hAnsi="Arial"/>
          <w:sz w:val="16"/>
          <w:szCs w:val="16"/>
          <w:color w:val="auto"/>
        </w:rPr>
        <w:t>, and</w:t>
      </w:r>
      <w:r>
        <w:rPr>
          <w:rFonts w:ascii="Arial" w:cs="Arial" w:eastAsia="Arial" w:hAnsi="Arial"/>
          <w:sz w:val="16"/>
          <w:szCs w:val="16"/>
          <w:i w:val="1"/>
          <w:iCs w:val="1"/>
          <w:color w:val="auto"/>
        </w:rPr>
        <w:t xml:space="preserve"> HPP737 </w:t>
      </w:r>
      <w:r>
        <w:rPr>
          <w:rFonts w:ascii="Arial" w:cs="Arial" w:eastAsia="Arial" w:hAnsi="Arial"/>
          <w:sz w:val="16"/>
          <w:szCs w:val="16"/>
          <w:color w:val="auto"/>
        </w:rPr>
        <w:t>and further advance the development of our other drug candidates, subject to the availability of additional funding.</w:t>
      </w:r>
    </w:p>
    <w:p>
      <w:pPr>
        <w:spacing w:after="0" w:line="16" w:lineRule="exact"/>
        <w:rPr>
          <w:sz w:val="20"/>
          <w:szCs w:val="20"/>
          <w:color w:val="auto"/>
        </w:rPr>
      </w:pPr>
    </w:p>
    <w:p>
      <w:pPr>
        <w:ind w:right="380" w:firstLine="510"/>
        <w:spacing w:after="0" w:line="259" w:lineRule="auto"/>
        <w:rPr>
          <w:sz w:val="20"/>
          <w:szCs w:val="20"/>
          <w:color w:val="auto"/>
        </w:rPr>
      </w:pPr>
      <w:r>
        <w:rPr>
          <w:rFonts w:ascii="Arial" w:cs="Arial" w:eastAsia="Arial" w:hAnsi="Arial"/>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79" w:lineRule="exact"/>
        <w:rPr>
          <w:sz w:val="20"/>
          <w:szCs w:val="20"/>
          <w:color w:val="auto"/>
        </w:rPr>
      </w:pPr>
    </w:p>
    <w:p>
      <w:pPr>
        <w:ind w:left="1000" w:right="36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uncertainty of the scope, rate of progress and expense of our ongoing, as well as any additional, clinical trials and other research and development activities;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benefits of our candidates over other therapies;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drug candidates that we are developing or may develop in the future;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enroll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receipt of regulatory approvals, if any;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filing, prosecuting, defending and enforcing of patent claims and other intellectual property rights, and the expense of doing so.</w:t>
      </w:r>
    </w:p>
    <w:p>
      <w:pPr>
        <w:spacing w:after="0" w:line="12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Interest expense primarily consists of cash and non-cash interest expense related to our Venture Loan and Security Agreement (the “Loan Agreement”) with Horizon Technology Finance Corporation and Silicon Valley Bank. Cash interest on the Loan Agreement is recognized at a floating interest rate equal to 10.5% plus the amount by which the one-month London Interbank Offer Rate (“LIBOR”) exceeds 0.5%. Non-cash interest expense represents the amortization of the costs incurred in connection with the Loan Agreement, the allocated fair value of the warrants to purchase shares of our Class A Common Stock issued in connection with the Loan Agreement (the “Warrants”) and the accretion of the final interest payments (which are required to be paid in cash upon maturity), all of which are recognized in our Condensed Consolidated Statement of Operations using the effective interest method.</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4"/>
                <w:szCs w:val="14"/>
                <w:b w:val="1"/>
                <w:bCs w:val="1"/>
                <w:color w:val="auto"/>
              </w:rPr>
              <w:t>Statement of operations data:</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Change</w:t>
            </w: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Revenue</w:t>
            </w:r>
          </w:p>
        </w:tc>
        <w:tc>
          <w:tcPr>
            <w:tcW w:w="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54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(1,895)</w:t>
            </w:r>
          </w:p>
        </w:tc>
      </w:tr>
      <w:tr>
        <w:trPr>
          <w:trHeight w:val="229"/>
        </w:trPr>
        <w:tc>
          <w:tcPr>
            <w:tcW w:w="45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(699)</w:t>
            </w:r>
          </w:p>
        </w:tc>
      </w:tr>
      <w:tr>
        <w:trPr>
          <w:trHeight w:val="223"/>
        </w:trPr>
        <w:tc>
          <w:tcPr>
            <w:tcW w:w="45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(2,594)</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2,593</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r>
      <w:tr>
        <w:trPr>
          <w:trHeight w:val="229"/>
        </w:trPr>
        <w:tc>
          <w:tcPr>
            <w:tcW w:w="45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80" w:type="dxa"/>
            <w:vAlign w:val="bottom"/>
            <w:shd w:val="clear" w:color="auto" w:fill="CFF0FC"/>
          </w:tcPr>
          <w:p>
            <w:pPr>
              <w:spacing w:after="0"/>
              <w:rPr>
                <w:sz w:val="19"/>
                <w:szCs w:val="19"/>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Loss before income taxes</w:t>
            </w: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3,707</w:t>
            </w:r>
          </w:p>
        </w:tc>
        <w:tc>
          <w:tcPr>
            <w:tcW w:w="80" w:type="dxa"/>
            <w:vAlign w:val="bottom"/>
          </w:tcPr>
          <w:p>
            <w:pPr>
              <w:spacing w:after="0"/>
              <w:rPr>
                <w:sz w:val="19"/>
                <w:szCs w:val="19"/>
                <w:color w:val="auto"/>
              </w:rPr>
            </w:pPr>
          </w:p>
        </w:tc>
      </w:tr>
      <w:tr>
        <w:trPr>
          <w:trHeight w:val="229"/>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3,707</w:t>
            </w:r>
          </w:p>
        </w:tc>
        <w:tc>
          <w:tcPr>
            <w:tcW w:w="80" w:type="dxa"/>
            <w:vAlign w:val="bottom"/>
          </w:tcPr>
          <w:p>
            <w:pPr>
              <w:spacing w:after="0"/>
              <w:rPr>
                <w:sz w:val="19"/>
                <w:szCs w:val="19"/>
                <w:color w:val="auto"/>
              </w:rPr>
            </w:pPr>
          </w:p>
        </w:tc>
      </w:tr>
      <w:tr>
        <w:trPr>
          <w:trHeight w:val="229"/>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(2,352)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80" w:type="dxa"/>
            <w:vAlign w:val="bottom"/>
            <w:shd w:val="clear" w:color="auto" w:fill="CFF0FC"/>
          </w:tcPr>
          <w:p>
            <w:pPr>
              <w:spacing w:after="0"/>
              <w:rPr>
                <w:sz w:val="19"/>
                <w:szCs w:val="19"/>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5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8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for the three months ended September 30, 2020 and 2019 was insignificant.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 xml:space="preserve">Research and development expenses were $1.8 million and $3.7 million for the three months ended September 30, 2020 and 2019, respectively. The decrease in research and development expenses during the period of $1.9 million, or 51.7%, was primarily due to a decrease in clinical trial costs of $0.8 million for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which was mainly driven by the higher spending in the 2019 period due to the startup activities for the trial and compound manufacturing costs. Additionally, compensation costs decreased $0.7 million due to the reversal of certain performance-based compensation accruals and lower expense related to share-based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General and administrative expenses were $1.1 million and $1.8 million for the three months ended September 30, 2020 and 2019, respectively. The decrease of $0.7 million has been primarily driven by the reversal of certain performance-based compensation accruals which are no longer expected to be paid.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Interest expense was $0.2 million and $0.4 million for the three months ended September 30, 2020 and 2019, respectively. The decrease in interest expense was driven by lower principal balances outstanding in the 2020 period based on the scheduled monthly principal payments under the Loan Agreement. Interest expense relates to the cash and non-cash interest for our Loan Agreement which bears interest at 10.5% plus the amount by which the one-month LIBOR exceeds 0.5%.</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8"/>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520" w:type="dxa"/>
            <w:vAlign w:val="bottom"/>
          </w:tcPr>
          <w:p>
            <w:pPr>
              <w:spacing w:after="0"/>
              <w:rPr>
                <w:sz w:val="20"/>
                <w:szCs w:val="20"/>
                <w:color w:val="auto"/>
              </w:rPr>
            </w:pPr>
            <w:r>
              <w:rPr>
                <w:rFonts w:ascii="Arial" w:cs="Arial" w:eastAsia="Arial" w:hAnsi="Arial"/>
                <w:sz w:val="14"/>
                <w:szCs w:val="14"/>
                <w:b w:val="1"/>
                <w:bCs w:val="1"/>
                <w:color w:val="auto"/>
              </w:rPr>
              <w:t>Statement of operations data:</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Change</w:t>
            </w: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Revenue</w:t>
            </w:r>
          </w:p>
        </w:tc>
        <w:tc>
          <w:tcPr>
            <w:tcW w:w="56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80" w:type="dxa"/>
            <w:vAlign w:val="bottom"/>
          </w:tcPr>
          <w:p>
            <w:pPr>
              <w:spacing w:after="0"/>
              <w:rPr>
                <w:sz w:val="19"/>
                <w:szCs w:val="19"/>
                <w:color w:val="auto"/>
              </w:rPr>
            </w:pPr>
          </w:p>
        </w:tc>
      </w:tr>
      <w:tr>
        <w:trPr>
          <w:trHeight w:val="229"/>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5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(2,232)</w:t>
            </w:r>
          </w:p>
        </w:tc>
      </w:tr>
      <w:tr>
        <w:trPr>
          <w:trHeight w:val="229"/>
        </w:trPr>
        <w:tc>
          <w:tcPr>
            <w:tcW w:w="4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(1,332)</w:t>
            </w:r>
          </w:p>
        </w:tc>
      </w:tr>
      <w:tr>
        <w:trPr>
          <w:trHeight w:val="223"/>
        </w:trPr>
        <w:tc>
          <w:tcPr>
            <w:tcW w:w="45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13,697</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(3,564)</w:t>
            </w:r>
          </w:p>
        </w:tc>
        <w:tc>
          <w:tcPr>
            <w:tcW w:w="80" w:type="dxa"/>
            <w:vAlign w:val="bottom"/>
            <w:tcBorders>
              <w:bottom w:val="single" w:sz="8" w:color="CFF0FC"/>
            </w:tcBorders>
          </w:tcPr>
          <w:p>
            <w:pPr>
              <w:spacing w:after="0"/>
              <w:rPr>
                <w:sz w:val="19"/>
                <w:szCs w:val="19"/>
                <w:color w:val="auto"/>
              </w:rPr>
            </w:pPr>
          </w:p>
        </w:tc>
      </w:tr>
      <w:tr>
        <w:trPr>
          <w:trHeight w:val="223"/>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80" w:type="dxa"/>
            <w:vAlign w:val="bottom"/>
            <w:shd w:val="clear" w:color="auto" w:fill="CFF0FC"/>
          </w:tcPr>
          <w:p>
            <w:pPr>
              <w:spacing w:after="0"/>
              <w:rPr>
                <w:sz w:val="19"/>
                <w:szCs w:val="19"/>
                <w:color w:val="auto"/>
              </w:rPr>
            </w:pPr>
          </w:p>
        </w:tc>
      </w:tr>
      <w:tr>
        <w:trPr>
          <w:trHeight w:val="229"/>
        </w:trPr>
        <w:tc>
          <w:tcPr>
            <w:tcW w:w="45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80" w:type="dxa"/>
            <w:vAlign w:val="bottom"/>
            <w:shd w:val="clear" w:color="auto" w:fill="CFF0FC"/>
          </w:tcPr>
          <w:p>
            <w:pPr>
              <w:spacing w:after="0"/>
              <w:rPr>
                <w:sz w:val="19"/>
                <w:szCs w:val="19"/>
                <w:color w:val="auto"/>
              </w:rPr>
            </w:pPr>
          </w:p>
        </w:tc>
      </w:tr>
      <w:tr>
        <w:trPr>
          <w:trHeight w:val="229"/>
        </w:trPr>
        <w:tc>
          <w:tcPr>
            <w:tcW w:w="4520" w:type="dxa"/>
            <w:vAlign w:val="bottom"/>
          </w:tcPr>
          <w:p>
            <w:pPr>
              <w:ind w:left="240"/>
              <w:spacing w:after="0"/>
              <w:rPr>
                <w:sz w:val="20"/>
                <w:szCs w:val="20"/>
                <w:color w:val="auto"/>
              </w:rPr>
            </w:pPr>
            <w:r>
              <w:rPr>
                <w:rFonts w:ascii="Arial" w:cs="Arial" w:eastAsia="Arial" w:hAnsi="Arial"/>
                <w:sz w:val="18"/>
                <w:szCs w:val="18"/>
                <w:color w:val="auto"/>
              </w:rPr>
              <w:t>Other (expense) income, net</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(1,165)</w:t>
            </w:r>
          </w:p>
        </w:tc>
      </w:tr>
      <w:tr>
        <w:trPr>
          <w:trHeight w:val="223"/>
        </w:trPr>
        <w:tc>
          <w:tcPr>
            <w:tcW w:w="45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5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(14,409)</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52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45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5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(14,409)</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520" w:type="dxa"/>
            <w:vAlign w:val="bottom"/>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1,627</w:t>
            </w:r>
          </w:p>
        </w:tc>
        <w:tc>
          <w:tcPr>
            <w:tcW w:w="80" w:type="dxa"/>
            <w:vAlign w:val="bottom"/>
          </w:tcPr>
          <w:p>
            <w:pPr>
              <w:spacing w:after="0"/>
              <w:rPr>
                <w:sz w:val="19"/>
                <w:szCs w:val="19"/>
                <w:color w:val="auto"/>
              </w:rPr>
            </w:pPr>
          </w:p>
        </w:tc>
      </w:tr>
      <w:tr>
        <w:trPr>
          <w:trHeight w:val="223"/>
        </w:trPr>
        <w:tc>
          <w:tcPr>
            <w:tcW w:w="45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Revenue was insignificant for the nine months ended September 30, 2020 and was $2.8 million for the nine months ended September 30,</w:t>
      </w:r>
    </w:p>
    <w:p>
      <w:pPr>
        <w:spacing w:after="0" w:line="3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2019. During each of these periods, our revenue was related to the recognition of amounts realized from license performance obligations. For the nine months ended September 30, 2019, the revenue recognized related to the amortization of amounts deferred at the initiation of our license agreement with Reneo which were related to the transfer of technology performance obligations and the recognition of a milestone payment under our license agreement with Newsoara.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 xml:space="preserve">Research and development expenses were $8.5 million and $10.7 million for the nine months ended September 30, 2020 and 2019, respectively. The decrease in research and development expenses during the period of $2.2 million, or 20.8%, was primarily due to a decrease in costs for the development of </w:t>
      </w:r>
      <w:r>
        <w:rPr>
          <w:rFonts w:ascii="Arial" w:cs="Arial" w:eastAsia="Arial" w:hAnsi="Arial"/>
          <w:sz w:val="18"/>
          <w:szCs w:val="18"/>
          <w:i w:val="1"/>
          <w:iCs w:val="1"/>
          <w:color w:val="auto"/>
        </w:rPr>
        <w:t xml:space="preserve">TTP399 </w:t>
      </w:r>
      <w:r>
        <w:rPr>
          <w:rFonts w:ascii="Arial" w:cs="Arial" w:eastAsia="Arial" w:hAnsi="Arial"/>
          <w:sz w:val="18"/>
          <w:szCs w:val="18"/>
          <w:color w:val="auto"/>
        </w:rPr>
        <w:t>of approximately $0.9 million resulting from the completion of the Simplici-T1 Study in early 2020 as well as decreases in personnel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$1.0 million and decreases in facility costs of approximately $0.2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General and administrative expenses were $5.2 million and $6.5 million for the nine months ended September 30, 2020 and 2019, respectively. The decrease of approximately $1.3 million was driven primarily by decreases in personnel cost of $1.1 million driven in part by the reversal of accruals for certain performance-based compensation. Additionally, we recognized a reduction in the asset retirement obligation recorded related to our leased facilities as well as a reduction in facility and travel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Interest expense was $0.6 million and $1.5 million for the nine months ended September 30, 2020 and 2019, respectively. The decrease in interest expense was driven by lower principal balances outstanding in the 2020 period based on the scheduled monthly principal payments under the Loan Agreement. Interest expense relates to the cash and non-cash interest for our Loan Agreement which bears interest at 10.5% plus the amount by which the one-month LIBOR exceeds 0.5%.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As of September 30, 2020, we have an accumulated deficit of $253.3 million as well as a history of negative cash flows from operating activities. We anticipate that we will continue to incur losses for the foreseeable future as we continue our clinical trials. Further, we expect that we will need additional capital to continue to fund our operations. As of September 30, 2020, our liquidity sources included cash and cash equivalents of $1.8 million and $3.0 million of remaining funds available under the letter agreement entered into with MacAndrews and Forbes Group LLC (“MacAndrews”) in December 2019. Further, we had remaining availability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ind w:right="120"/>
        <w:spacing w:after="0" w:line="265" w:lineRule="auto"/>
        <w:rPr>
          <w:sz w:val="20"/>
          <w:szCs w:val="20"/>
          <w:color w:val="auto"/>
        </w:rPr>
      </w:pPr>
      <w:r>
        <w:rPr>
          <w:rFonts w:ascii="Arial" w:cs="Arial" w:eastAsia="Arial" w:hAnsi="Arial"/>
          <w:sz w:val="16"/>
          <w:szCs w:val="16"/>
          <w:color w:val="auto"/>
        </w:rPr>
        <w:t>of $2.8 million under our Controlled Equity Offering</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Sales Agreement (the “Sales Agreement”) with Cantor Fitzgerald &amp; Co. (“Cantor Fitzgerald”) pursuant to which the Company could offer and sell, from time to time shares of the Company’s Class A Common Stock (the “ATM Offering”). The remaining balance of the ATM Offering was sold subsequent to September 30, 2020 for total gross proceeds of $2.8 million. See the “ATM Offering” section below for further details. Note that the Third Amendment to the Loan Agreement eliminated the requirement to maintain a minimum cash balance under the Loan Agreement. Based on our current operating plan, we believe that our current cash and cash equivalents, remaining funds available under the Letter Agreements, and availability under the ATM Offering, if fully utilized, will allow us to meet our liquidity requirements through December</w:t>
      </w:r>
    </w:p>
    <w:p>
      <w:pPr>
        <w:spacing w:after="0" w:line="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2020. Consequentially, there is substantial doubt about our ability to continue as a going concern. In addition to available cash and cash equivalents and available funds discussed above, we are seeking possible additional partnering opportunities for our GKA, GLP-1r and other drug candidates which we believe may provide additional cash for use in our operations and the continuation of the clinical trials for our drug candidates.</w:t>
      </w:r>
    </w:p>
    <w:p>
      <w:pPr>
        <w:spacing w:after="0" w:line="4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 xml:space="preserve">We have concluded enrollment of patients in the Elevage Study and are conducting final patient visits. In addition, we are planning additional trial(s)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patients with type 1 diabetes, including the mechanistic study and pivotal trials, as well as planning the multiple ascending dose trial of </w:t>
      </w:r>
      <w:r>
        <w:rPr>
          <w:rFonts w:ascii="Arial" w:cs="Arial" w:eastAsia="Arial" w:hAnsi="Arial"/>
          <w:sz w:val="17"/>
          <w:szCs w:val="17"/>
          <w:i w:val="1"/>
          <w:iCs w:val="1"/>
          <w:color w:val="auto"/>
        </w:rPr>
        <w:t>HPP737</w:t>
      </w:r>
      <w:r>
        <w:rPr>
          <w:rFonts w:ascii="Arial" w:cs="Arial" w:eastAsia="Arial" w:hAnsi="Arial"/>
          <w:sz w:val="17"/>
          <w:szCs w:val="17"/>
          <w:color w:val="auto"/>
        </w:rPr>
        <w:t>. In order to complete the Elevage Study and to initiate our other planned studies and to continue the Company’s operations, we will require additional financing. We are evaluating several financing strategies to provide continued funding which may include additional direct equity investments or future public offerings of our common stock. The timing and availability of such financing is not yet known and we cannot be certain that additional financing will be available on acceptable terms, or at all. Even if we are able to obtain additional debt or equity financing, it may contain restrictions on our operations or cause substantial dilution to our stockholders .</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Offering</w:t>
      </w:r>
    </w:p>
    <w:p>
      <w:pPr>
        <w:spacing w:after="0" w:line="117" w:lineRule="exact"/>
        <w:rPr>
          <w:sz w:val="20"/>
          <w:szCs w:val="20"/>
          <w:color w:val="auto"/>
        </w:rPr>
      </w:pPr>
    </w:p>
    <w:p>
      <w:pPr>
        <w:ind w:right="80" w:firstLine="568"/>
        <w:spacing w:after="0" w:line="272" w:lineRule="auto"/>
        <w:rPr>
          <w:sz w:val="20"/>
          <w:szCs w:val="20"/>
          <w:color w:val="auto"/>
        </w:rPr>
      </w:pPr>
      <w:r>
        <w:rPr>
          <w:rFonts w:ascii="Arial" w:cs="Arial" w:eastAsia="Arial" w:hAnsi="Arial"/>
          <w:sz w:val="17"/>
          <w:szCs w:val="17"/>
          <w:color w:val="auto"/>
        </w:rPr>
        <w:t>On April 24, 2020, we entered into the Sales Agreement with Cantor Fitzgerald pursuant to which the Company may offer and sell, from time to time, through or to Cantor Fitzgerald, as sales agent or principal, shares of the Company’s Class A common stock having an aggregate offering price of up to $13.0 million. The Company is not obligated to sell any shares under the Sales Agreement. Under the terms of the Sales Agreement, the Company will pay Cantor Fitzgerald a commission of up to 3% of the aggregate proceeds from the sale of shares and reimburse certain legal fees or other disbursements. As of September 30, 2020, we have sold $10.2 million worth of Class A common stock under the ATM Offering for net proceeds of $9.7 million. Subsequent to September 30, 2020, the Company has fully utilized the remaining availability under the ATM offering by issuing 1,633,536 shares of Class A common stock at then-market prices for total gross proceeds of approximately $2.8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Agreements</w:t>
      </w:r>
    </w:p>
    <w:p>
      <w:pPr>
        <w:spacing w:after="0" w:line="117" w:lineRule="exact"/>
        <w:rPr>
          <w:sz w:val="20"/>
          <w:szCs w:val="20"/>
          <w:color w:val="auto"/>
        </w:rPr>
      </w:pPr>
    </w:p>
    <w:p>
      <w:pPr>
        <w:ind w:right="80" w:firstLine="468"/>
        <w:spacing w:after="0" w:line="279" w:lineRule="auto"/>
        <w:rPr>
          <w:sz w:val="20"/>
          <w:szCs w:val="20"/>
          <w:color w:val="auto"/>
        </w:rPr>
      </w:pPr>
      <w:r>
        <w:rPr>
          <w:rFonts w:ascii="Arial" w:cs="Arial" w:eastAsia="Arial" w:hAnsi="Arial"/>
          <w:sz w:val="17"/>
          <w:szCs w:val="17"/>
          <w:color w:val="auto"/>
        </w:rPr>
        <w:t>We have entered into the Letter Agreements with MacAndrews. Under the terms of the Letter Agreements, we have the right to sell to MacAndrews shares of Class A Common Stock at a specified price per share, and MacAndrews has the right (exercisable up to three times) to require us to sell to it shares of Class A Common Stock at the same price. In addition, in connection with the entrance into certain of these Letter Agreements, we also issued MacAndrews warrants (the “Letter Agreement Warrants”) to purchase additional shares of our Class A Common Stock.</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terms of these Letter Agreements are set forth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December 11, 2018 Letter</w:t>
            </w:r>
          </w:p>
        </w:tc>
        <w:tc>
          <w:tcPr>
            <w:tcW w:w="200" w:type="dxa"/>
            <w:vAlign w:val="bottom"/>
          </w:tcPr>
          <w:p>
            <w:pPr>
              <w:spacing w:after="0"/>
              <w:rPr>
                <w:sz w:val="14"/>
                <w:szCs w:val="14"/>
                <w:color w:val="auto"/>
              </w:rPr>
            </w:pPr>
          </w:p>
        </w:tc>
        <w:tc>
          <w:tcPr>
            <w:tcW w:w="17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18, 2019 Letter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September 26, 2019 Letter</w:t>
            </w:r>
          </w:p>
        </w:tc>
        <w:tc>
          <w:tcPr>
            <w:tcW w:w="14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December 23, 2019 Letter</w:t>
            </w:r>
          </w:p>
        </w:tc>
        <w:tc>
          <w:tcPr>
            <w:tcW w:w="20" w:type="dxa"/>
            <w:vAlign w:val="bottom"/>
          </w:tcPr>
          <w:p>
            <w:pPr>
              <w:spacing w:after="0"/>
              <w:rPr>
                <w:sz w:val="14"/>
                <w:szCs w:val="14"/>
                <w:color w:val="auto"/>
              </w:rPr>
            </w:pPr>
          </w:p>
        </w:tc>
      </w:tr>
      <w:tr>
        <w:trPr>
          <w:trHeight w:val="171"/>
        </w:trPr>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Agreement</w:t>
            </w:r>
          </w:p>
        </w:tc>
        <w:tc>
          <w:tcPr>
            <w:tcW w:w="200" w:type="dxa"/>
            <w:vAlign w:val="bottom"/>
          </w:tcPr>
          <w:p>
            <w:pPr>
              <w:spacing w:after="0"/>
              <w:rPr>
                <w:sz w:val="14"/>
                <w:szCs w:val="14"/>
                <w:color w:val="auto"/>
              </w:rPr>
            </w:pPr>
          </w:p>
        </w:tc>
        <w:tc>
          <w:tcPr>
            <w:tcW w:w="1780" w:type="dxa"/>
            <w:vAlign w:val="bottom"/>
          </w:tcPr>
          <w:p>
            <w:pPr>
              <w:jc w:val="right"/>
              <w:ind w:right="574"/>
              <w:spacing w:after="0"/>
              <w:rPr>
                <w:sz w:val="20"/>
                <w:szCs w:val="20"/>
                <w:color w:val="auto"/>
              </w:rPr>
            </w:pPr>
            <w:r>
              <w:rPr>
                <w:rFonts w:ascii="Arial" w:cs="Arial" w:eastAsia="Arial" w:hAnsi="Arial"/>
                <w:sz w:val="14"/>
                <w:szCs w:val="14"/>
                <w:b w:val="1"/>
                <w:bCs w:val="1"/>
                <w:color w:val="auto"/>
              </w:rPr>
              <w:t>Agreement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Agreement</w:t>
            </w:r>
          </w:p>
        </w:tc>
        <w:tc>
          <w:tcPr>
            <w:tcW w:w="14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Agreement</w:t>
            </w:r>
          </w:p>
        </w:tc>
        <w:tc>
          <w:tcPr>
            <w:tcW w:w="20" w:type="dxa"/>
            <w:vAlign w:val="bottom"/>
          </w:tcPr>
          <w:p>
            <w:pPr>
              <w:spacing w:after="0"/>
              <w:rPr>
                <w:sz w:val="14"/>
                <w:szCs w:val="14"/>
                <w:color w:val="auto"/>
              </w:rPr>
            </w:pPr>
          </w:p>
        </w:tc>
      </w:tr>
      <w:tr>
        <w:trPr>
          <w:trHeight w:val="209"/>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dollar value to be</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sold under agreement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 million</w:t>
            </w: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 million</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 million</w:t>
            </w:r>
          </w:p>
        </w:tc>
        <w:tc>
          <w:tcPr>
            <w:tcW w:w="1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 million</w:t>
            </w:r>
          </w:p>
        </w:tc>
        <w:tc>
          <w:tcPr>
            <w:tcW w:w="20" w:type="dxa"/>
            <w:vAlign w:val="bottom"/>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Specified purchase price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1.65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agreement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December 11, 2019</w:t>
            </w: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March 18, 2020</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September 26, 2020</w:t>
            </w:r>
          </w:p>
        </w:tc>
        <w:tc>
          <w:tcPr>
            <w:tcW w:w="1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December 23, 2020</w:t>
            </w:r>
          </w:p>
        </w:tc>
        <w:tc>
          <w:tcPr>
            <w:tcW w:w="20" w:type="dxa"/>
            <w:vAlign w:val="bottom"/>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Shares available to be issued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under related warrants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340,534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400,990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365,472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Expiration date of related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December 11, 2025</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September 26, 2026</w:t>
            </w:r>
          </w:p>
        </w:tc>
        <w:tc>
          <w:tcPr>
            <w:tcW w:w="140" w:type="dxa"/>
            <w:vAlign w:val="bottom"/>
          </w:tcPr>
          <w:p>
            <w:pPr>
              <w:spacing w:after="0"/>
              <w:rPr>
                <w:sz w:val="20"/>
                <w:szCs w:val="20"/>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December 23, 2026</w:t>
            </w:r>
          </w:p>
        </w:tc>
        <w:tc>
          <w:tcPr>
            <w:tcW w:w="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September 30, 2020</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5,434,783</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5,454,546</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6,849,316</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4,375,000</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w w:val="97"/>
              </w:rPr>
              <w:t>Remaining shares to be issued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as of September 30, 2020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1,875,000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jc w:val="right"/>
              <w:ind w:right="1014"/>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Debt Transaction</w:t>
      </w:r>
    </w:p>
    <w:p>
      <w:pPr>
        <w:spacing w:after="0" w:line="117" w:lineRule="exact"/>
        <w:rPr>
          <w:sz w:val="20"/>
          <w:szCs w:val="20"/>
          <w:color w:val="auto"/>
        </w:rPr>
      </w:pPr>
    </w:p>
    <w:p>
      <w:pPr>
        <w:ind w:right="80" w:firstLine="838"/>
        <w:spacing w:after="0" w:line="255" w:lineRule="auto"/>
        <w:rPr>
          <w:sz w:val="20"/>
          <w:szCs w:val="20"/>
          <w:color w:val="auto"/>
        </w:rPr>
      </w:pPr>
      <w:r>
        <w:rPr>
          <w:rFonts w:ascii="Arial" w:cs="Arial" w:eastAsia="Arial" w:hAnsi="Arial"/>
          <w:sz w:val="18"/>
          <w:szCs w:val="18"/>
          <w:color w:val="auto"/>
        </w:rPr>
        <w:t>In October 2016, we and vTv LLC entered into the Loan Agreement with Horizon Technology Finance Corporation and Silicon Valley Bank, under which we have borrowed $20.0 million. This agreement was amended on April 1, 2020 (the “Second Amendment”) and again on July 29, 2020 (the “Third Amendment”). The effect of these amendments was to extend the maturity dates of the loans and eliminate the minimum cash balance requirements. Each loan tranche bears interest at a floating rate equal to 10.5% plus the amount by which the one-month LIBOR exceeds 0.5%. As of November 5, 2020, $0.9 million aggregate principal balance remains outstanding under the Loan Agreement. Additionally, a final interest payment of $0.8 million for the second tranche is due on January 1, 2021.</w:t>
      </w:r>
    </w:p>
    <w:p>
      <w:pPr>
        <w:spacing w:after="0" w:line="84" w:lineRule="exact"/>
        <w:rPr>
          <w:sz w:val="20"/>
          <w:szCs w:val="20"/>
          <w:color w:val="auto"/>
        </w:rPr>
      </w:pPr>
    </w:p>
    <w:p>
      <w:pPr>
        <w:ind w:right="80" w:firstLine="838"/>
        <w:spacing w:after="0" w:line="268" w:lineRule="auto"/>
        <w:rPr>
          <w:sz w:val="20"/>
          <w:szCs w:val="20"/>
          <w:color w:val="auto"/>
        </w:rPr>
      </w:pPr>
      <w:r>
        <w:rPr>
          <w:rFonts w:ascii="Arial" w:cs="Arial" w:eastAsia="Arial" w:hAnsi="Arial"/>
          <w:sz w:val="17"/>
          <w:szCs w:val="17"/>
          <w:color w:val="auto"/>
        </w:rPr>
        <w:t>We borrowed the first tranche of $12.5 million upon the close of the Loan Agreement in October 2016. The first tranche originally required only monthly interest payments until May 1, 2018, followed by equal monthly payments of principal plus accrued interest through the scheduled maturity date on May 1, 2020. In connection with the Third Amendment, the maturity date of the first tranche was extended to September 1, 2020. In addition, a final payment for the first tranche loan equal to $0.8 million was paid in connection with the amounts due on September 1, 2020. We borrowed the second tranche of $7.5 million in March 2017. The second tranche originally required only monthly interest payments until October 1, 2018, followed by equal monthly payments of principal plus accrued interest through the scheduled maturity date on October 1, 2020. In connection with the Second Amendment, the maturity date of the second tranche was extended to January 1, 2021. In addition, a final payment for the second tranche loan equal to $0.5 million was originally due on October 1, 2020, or such earlier date specified in the Loan Agreement. In connection with the Second and Third Amendments, the due date for this final payment was extended to January 1, 2021, or such earlier date specified in the Loan Agreement, and the total amount of the payment was increased to $0.8 million. For each of the first and second tranches, the Second and Third Amendments required only monthly interest payments on the outstanding principal balance for the amounts due on April 1, 2020, through September 1, 2020. As amended, the remaining principal balance and final interest payment under the first tranche were payable upon maturity on September 1, 2020. Further, the Second and Third Amendments require equal monthly principal payments plus accrued interest for the second tranche beginning September 1, 2020 through the scheduled maturity date on January 1, 2021.</w:t>
      </w:r>
    </w:p>
    <w:p>
      <w:pPr>
        <w:spacing w:after="0" w:line="76" w:lineRule="exact"/>
        <w:rPr>
          <w:sz w:val="20"/>
          <w:szCs w:val="20"/>
          <w:color w:val="auto"/>
        </w:rPr>
      </w:pPr>
    </w:p>
    <w:p>
      <w:pPr>
        <w:ind w:right="520" w:firstLine="838"/>
        <w:spacing w:after="0" w:line="277" w:lineRule="auto"/>
        <w:rPr>
          <w:sz w:val="20"/>
          <w:szCs w:val="20"/>
          <w:color w:val="auto"/>
        </w:rPr>
      </w:pPr>
      <w:r>
        <w:rPr>
          <w:rFonts w:ascii="Arial" w:cs="Arial" w:eastAsia="Arial" w:hAnsi="Arial"/>
          <w:sz w:val="18"/>
          <w:szCs w:val="18"/>
          <w:color w:val="auto"/>
        </w:rPr>
        <w:t>If we repay all or a portion of the loan prior to the applicable maturity date, we will pay the Lenders a prepayment penalty fee, based on a percentage of the then outstanding principal balance equal to 2.0%.</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connection with the Loan Agreement, we issued to the Lenders warrants to purchase shares of our Class A common stock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“Warrants”). On October 28, 2016, we issued Warrants to purchase 152,580 shares of our Class A common stock at a per share exercise price of $6.39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which aggregate exercise price represents 6.0% of the principal amount borrowed under the first tranche of the Loan Agreement and 3.0%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available under the second tranche of the Loan Agreement. On March 24, 2017, in connection with the funding of the second tranche, we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to purchase 38,006 shares of our Class A common stock at a per share exercise price of $5.92 per share, which aggregate exercise price represents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 of the principal amount of the second tranche. The Warrants will expire seven years from their date of issuance.</w:t>
      </w:r>
    </w:p>
    <w:p>
      <w:pPr>
        <w:spacing w:after="0" w:line="103"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which was removed in connection with the Third Amendment. The Loan Agreement includes customary events of default, including payment defaults, covenant defaults and material adverse change default. Upon the occurrence of an event of default and following any applicable cure periods, a default interest rate of an additional 5% will be applied to the outstanding loan balances, and the Lenders may declare all outstanding obligations immediately due and payable and take such other actions as set forth in the Loan Agreement. As a result of the termination of the STEADFAST Study, we granted the Lenders a first priority security interest in all of our intellectual property, subject to certain limited exceptions.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00" w:type="dxa"/>
            <w:vAlign w:val="bottom"/>
            <w:gridSpan w:val="2"/>
            <w:vMerge w:val="restart"/>
          </w:tcPr>
          <w:p>
            <w:pPr>
              <w:jc w:val="right"/>
              <w:ind w:right="387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(15,788)</w:t>
            </w:r>
          </w:p>
        </w:tc>
        <w:tc>
          <w:tcPr>
            <w:tcW w:w="4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(17,142)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17,585</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jc w:val="right"/>
              <w:ind w:right="1190"/>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0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For the nine months ended September 30, 2020, our net cash used in operating activities decreased $1.3 million from the nine months ended September 30, 2019 due primarily to working capital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There were no cash flows from investing activities for the nine months ended September 30, 2020. Cash flows from investing activities were $0.3 million for the nine months ended September 30, 2019 and related to the proceeds received from the disposition of certain laboratory equipment.</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340" w:firstLine="510"/>
        <w:spacing w:after="0" w:line="286" w:lineRule="auto"/>
        <w:rPr>
          <w:sz w:val="20"/>
          <w:szCs w:val="20"/>
          <w:color w:val="auto"/>
        </w:rPr>
      </w:pPr>
      <w:r>
        <w:rPr>
          <w:rFonts w:ascii="Arial" w:cs="Arial" w:eastAsia="Arial" w:hAnsi="Arial"/>
          <w:sz w:val="17"/>
          <w:szCs w:val="17"/>
          <w:color w:val="auto"/>
        </w:rPr>
        <w:t>For the nine months ended September 30, 2020, net cash provided by financing activities decreased by $4.3 million from the nine months ended September 30, 2019, driven by decreases in funding from equity issuances in the relative periods. Further, repayments under the Loan Agreement decreased as fewer principal payments were made in the 2020 period due to the impact of the Second and Third Amendments.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164"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 xml:space="preserve">Based on our current operating plan, we believe that our current cash and cash equivalents, the remaining funding committed under the Letter Agreements and the amounts received under our ATM Offering, which has been fully utilized subsequent to September 30, 2020, will allow us to meet our liquidity requirements through December 2020. In addition to the available cash and cash equivalents and other sources of liquidity, we are seeking possible additional partnering opportunities for our GKA, GLP-1r and other drug candidates which we believe may provide additional cash for use in our operations and the continuation of the clinical trials for our drug candidates. We are also evaluating several financing strategies to fund the clinical trials of </w:t>
      </w:r>
      <w:r>
        <w:rPr>
          <w:rFonts w:ascii="Arial" w:cs="Arial" w:eastAsia="Arial" w:hAnsi="Arial"/>
          <w:sz w:val="16"/>
          <w:szCs w:val="16"/>
          <w:i w:val="1"/>
          <w:iCs w:val="1"/>
          <w:color w:val="auto"/>
        </w:rPr>
        <w:t>TTP399, azeliragon</w:t>
      </w:r>
      <w:r>
        <w:rPr>
          <w:rFonts w:ascii="Arial" w:cs="Arial" w:eastAsia="Arial" w:hAnsi="Arial"/>
          <w:sz w:val="16"/>
          <w:szCs w:val="16"/>
          <w:color w:val="auto"/>
        </w:rPr>
        <w:t>, and</w:t>
      </w:r>
      <w:r>
        <w:rPr>
          <w:rFonts w:ascii="Arial" w:cs="Arial" w:eastAsia="Arial" w:hAnsi="Arial"/>
          <w:sz w:val="16"/>
          <w:szCs w:val="16"/>
          <w:i w:val="1"/>
          <w:iCs w:val="1"/>
          <w:color w:val="auto"/>
        </w:rPr>
        <w:t xml:space="preserve"> HPP737</w:t>
      </w:r>
      <w:r>
        <w:rPr>
          <w:rFonts w:ascii="Arial" w:cs="Arial" w:eastAsia="Arial" w:hAnsi="Arial"/>
          <w:sz w:val="16"/>
          <w:szCs w:val="16"/>
          <w:color w:val="auto"/>
        </w:rPr>
        <w:t>, including direct equity investments and future public offerings of our common stock. The timing and availability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financing are not yet known and we cannot be certain that additional financing will be available on acceptable terms, or at all. Even if we are able to obtain additional debt or equity financing, it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00" w:right="18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progress, costs, results and timing of our planned trial(s) to evaluate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potential treatment of type 1 diabetes, our sequential Phase 2/3 trials to evaluate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as a potential treatment of mild-AD in patients with type 2 diabetes, and our phase 1 trial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as a potential treatment of psoriasis;</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willingness of the FDA to rely upon our completed and planned clinical and preclinical studies and other work, as the basis for review and approval of our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and characteristics of drug candidates that we pursue, including our drug candidates in preclinical development;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1" w:name="page32"/>
    <w:bookmarkEnd w:id="31"/>
    <w:p>
      <w:pPr>
        <w:ind w:left="1000" w:right="8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and scientific and medical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00" w:right="84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w:t>
      </w:r>
    </w:p>
    <w:p>
      <w:pPr>
        <w:spacing w:after="0" w:line="62"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of any payments we are required to make to M&amp;F TTP Holdings Two LLC in the future under the Tax Receivable Agreement;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and duration of the COVID-19 outbreak / pandemic.</w:t>
      </w:r>
    </w:p>
    <w:p>
      <w:pPr>
        <w:spacing w:after="0" w:line="117"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 xml:space="preserve">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through the Letter Agreements. Subsequent to September 30, 2020, we have been able to utilize our ATM Offering to provide an additional $2.8 million of funds upon the sale of our Class A common stock. In addition, we are evaluating several financing strategies to fund the on-going and future clinical trials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and </w:t>
      </w:r>
      <w:r>
        <w:rPr>
          <w:rFonts w:ascii="Arial" w:cs="Arial" w:eastAsia="Arial" w:hAnsi="Arial"/>
          <w:sz w:val="17"/>
          <w:szCs w:val="17"/>
          <w:i w:val="1"/>
          <w:iCs w:val="1"/>
          <w:color w:val="auto"/>
        </w:rPr>
        <w:t>HPP737</w:t>
      </w:r>
      <w:r>
        <w:rPr>
          <w:rFonts w:ascii="Arial" w:cs="Arial" w:eastAsia="Arial" w:hAnsi="Arial"/>
          <w:sz w:val="17"/>
          <w:szCs w:val="17"/>
          <w:color w:val="auto"/>
        </w:rPr>
        <w:t>, including direct equity investments and future public offerings of our common stock.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or pursue one or more alternative strategies, such as restructuring, any of which could adversely affect our business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13"/>
        <w:spacing w:after="0" w:line="257" w:lineRule="auto"/>
        <w:rPr>
          <w:sz w:val="20"/>
          <w:szCs w:val="20"/>
          <w:color w:val="auto"/>
        </w:rPr>
      </w:pPr>
      <w:r>
        <w:rPr>
          <w:rFonts w:ascii="Arial" w:cs="Arial" w:eastAsia="Arial" w:hAnsi="Arial"/>
          <w:sz w:val="18"/>
          <w:szCs w:val="18"/>
          <w:color w:val="auto"/>
        </w:rPr>
        <w:t>We have entered into the Letter Agreements with MacAndrews and Forbes Group LLC which, as of September 30, 2020, provide us the right to sell to MacAndrews an additional 1,875,000 shares of our Class A Common Stock at a price of $1.60 per share. Further, MacAndrews has the right (exercisable up to three times) to require us to sell to it an equal number of shares of Class A Common Stock at the same price. As of September 30, 2020, we had received funding of $56.0 million under the Letter Agreements and, in exchange, had issued a total of 31,915,546 shares of our Class A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Critical Accounting Policies</w:t>
      </w:r>
    </w:p>
    <w:p>
      <w:pPr>
        <w:spacing w:after="0" w:line="12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For a discussion of our critical accounting policies and estimates, please refer to Part II, Item 7. “Management’s Discussion and Analysis of Financial Condition and Results of Operations” in our Annual Report on Form 10-K for the year ended December 31, 2019. There have been no material changes to our critical accounting policies and estimates in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“outlook”, “anticipate,” “intend,” “plan,” “estimate” or similar expressions.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2" w:name="page33"/>
    <w:bookmarkEnd w:id="32"/>
    <w:p>
      <w:pPr>
        <w:ind w:right="160"/>
        <w:spacing w:after="0" w:line="259" w:lineRule="auto"/>
        <w:rPr>
          <w:sz w:val="20"/>
          <w:szCs w:val="20"/>
          <w:color w:val="auto"/>
        </w:rPr>
      </w:pPr>
      <w:r>
        <w:rPr>
          <w:rFonts w:ascii="Arial" w:cs="Arial" w:eastAsia="Arial" w:hAnsi="Arial"/>
          <w:sz w:val="18"/>
          <w:szCs w:val="18"/>
          <w:color w:val="auto"/>
        </w:rPr>
        <w:t>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spacing w:after="0" w:line="79"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121"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See discussion of recent accounting pronouncements in Note 2, “Summary of Significant Accounting Policies”, to the Condensed Consolidated Financial Statements in this Form 10-Q.</w:t>
      </w:r>
    </w:p>
    <w:p>
      <w:pPr>
        <w:spacing w:after="0" w:line="3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Our Loan Agreement bears interest at a floating rate equal to 10.5% plus the amount by which the one-month LIBOR exceeds 0.5%. A one percent increase in the variable rate of interest on the Loan Agreement would increase interest expense by an insignificant amount on an annual basis based on the amounts currently outstanding. We do not currently hedge our interest rate exposure.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The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material foreign currency exposure.</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September 30, 2020. Based upon that evaluation, our Chief Executive Officer and Chief Financial Officer concluded that, as of September 30, 2020,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84"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right="120" w:firstLine="510"/>
        <w:spacing w:after="0" w:line="279"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Reports and other Corporate Governance Information</w:t>
      </w:r>
    </w:p>
    <w:p>
      <w:pPr>
        <w:spacing w:after="0" w:line="121"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510"/>
        <w:spacing w:after="0" w:line="308" w:lineRule="auto"/>
        <w:rPr>
          <w:sz w:val="20"/>
          <w:szCs w:val="20"/>
          <w:color w:val="auto"/>
        </w:rPr>
      </w:pPr>
      <w:r>
        <w:rPr>
          <w:rFonts w:ascii="Arial" w:cs="Arial" w:eastAsia="Arial" w:hAnsi="Arial"/>
          <w:sz w:val="17"/>
          <w:szCs w:val="17"/>
          <w:color w:val="auto"/>
        </w:rPr>
        <w:t>In addition to the risk factors listed below and the other information in this report, investors should carefully consider the risk factors set forth under the heading “Risk Factors” under Item 1A of Part I in our Annual Report on Form 10-K for the year ended December 31, 2019.</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widespread outbreak of an illness or any other communicable disease, or any other public health crisis, could adversely affect our business, results of operations and financial condition.</w:t>
      </w:r>
    </w:p>
    <w:p>
      <w:pPr>
        <w:spacing w:after="0" w:line="62" w:lineRule="exact"/>
        <w:rPr>
          <w:sz w:val="20"/>
          <w:szCs w:val="20"/>
          <w:color w:val="auto"/>
        </w:rPr>
      </w:pPr>
    </w:p>
    <w:p>
      <w:pPr>
        <w:ind w:right="220" w:firstLine="464"/>
        <w:spacing w:after="0" w:line="291" w:lineRule="auto"/>
        <w:rPr>
          <w:sz w:val="20"/>
          <w:szCs w:val="20"/>
          <w:color w:val="auto"/>
        </w:rPr>
      </w:pPr>
      <w:r>
        <w:rPr>
          <w:rFonts w:ascii="Arial" w:cs="Arial" w:eastAsia="Arial" w:hAnsi="Arial"/>
          <w:sz w:val="16"/>
          <w:szCs w:val="16"/>
          <w:color w:val="auto"/>
        </w:rPr>
        <w:t>We could be negatively affected by the widespread outbreak of an illness or any other communicable disease, or any other public health crisis that results in economic and trade disruptions, including the disruption of global supply chains. In March 2020, the World Health Organization</w:t>
      </w:r>
    </w:p>
    <w:p>
      <w:pPr>
        <w:ind w:right="40"/>
        <w:spacing w:after="0" w:line="253" w:lineRule="auto"/>
        <w:rPr>
          <w:sz w:val="20"/>
          <w:szCs w:val="20"/>
          <w:color w:val="auto"/>
        </w:rPr>
      </w:pPr>
      <w:r>
        <w:rPr>
          <w:rFonts w:ascii="Arial" w:cs="Arial" w:eastAsia="Arial" w:hAnsi="Arial"/>
          <w:sz w:val="18"/>
          <w:szCs w:val="18"/>
          <w:color w:val="auto"/>
        </w:rPr>
        <w:t>declared COVID-19 a pandemic. The COVID-19 pandemic has negatively impacted the global economy, disrupted global supply chains, and created significant volatility and disruption of financial markets. Due to the spread of COVID-19, many countries around the world and jurisdictions in the United States have imposed quarantines and restrictions on travel and mass gatherings to slow the spread of the virus. Further, “non-essential” businesses have been required to close operations or shift to a remote working environment.</w:t>
      </w:r>
    </w:p>
    <w:p>
      <w:pPr>
        <w:spacing w:after="0" w:line="85" w:lineRule="exact"/>
        <w:rPr>
          <w:sz w:val="20"/>
          <w:szCs w:val="20"/>
          <w:color w:val="auto"/>
        </w:rPr>
      </w:pPr>
    </w:p>
    <w:p>
      <w:pPr>
        <w:ind w:right="220" w:firstLine="464"/>
        <w:spacing w:after="0" w:line="311" w:lineRule="auto"/>
        <w:rPr>
          <w:sz w:val="20"/>
          <w:szCs w:val="20"/>
          <w:color w:val="auto"/>
        </w:rPr>
      </w:pPr>
      <w:r>
        <w:rPr>
          <w:rFonts w:ascii="Arial" w:cs="Arial" w:eastAsia="Arial" w:hAnsi="Arial"/>
          <w:sz w:val="16"/>
          <w:szCs w:val="16"/>
          <w:color w:val="auto"/>
        </w:rPr>
        <w:t>Due to the various restrictions put into effect by governments around the world, including the United States and Canada, health professionals may reduce staffing and reduce or postpone meetings with clients in response to the spread of an infectious disease. Such events may result in a period of business disruption, and in reduced operations, any of which could materially affect our business, financial condition and results of operations.</w:t>
      </w:r>
    </w:p>
    <w:p>
      <w:pPr>
        <w:spacing w:after="0" w:line="41" w:lineRule="exact"/>
        <w:rPr>
          <w:sz w:val="20"/>
          <w:szCs w:val="20"/>
          <w:color w:val="auto"/>
        </w:rPr>
      </w:pPr>
    </w:p>
    <w:p>
      <w:pPr>
        <w:ind w:right="160" w:firstLine="464"/>
        <w:spacing w:after="0" w:line="259" w:lineRule="auto"/>
        <w:rPr>
          <w:sz w:val="20"/>
          <w:szCs w:val="20"/>
          <w:color w:val="auto"/>
        </w:rPr>
      </w:pPr>
      <w:r>
        <w:rPr>
          <w:rFonts w:ascii="Arial" w:cs="Arial" w:eastAsia="Arial" w:hAnsi="Arial"/>
          <w:sz w:val="18"/>
          <w:szCs w:val="18"/>
          <w:color w:val="auto"/>
        </w:rPr>
        <w:t>Quarantines, stay-at-home orders and other limitations can disrupt our research and administrative functions, regardless of whether we are actually forced to close our own facilities. Similar disruptions may also affect other organizations and persons that we collaborate with or whose services we are dependent on. The need for our employees and business partners to work remotely also creates greater potential for risks related to cybersecurity, confidentiality and data privacy.</w:t>
      </w:r>
    </w:p>
    <w:p>
      <w:pPr>
        <w:spacing w:after="0" w:line="79" w:lineRule="exact"/>
        <w:rPr>
          <w:sz w:val="20"/>
          <w:szCs w:val="20"/>
          <w:color w:val="auto"/>
        </w:rPr>
      </w:pPr>
    </w:p>
    <w:p>
      <w:pPr>
        <w:ind w:right="20" w:firstLine="464"/>
        <w:spacing w:after="0" w:line="279" w:lineRule="auto"/>
        <w:rPr>
          <w:sz w:val="20"/>
          <w:szCs w:val="20"/>
          <w:color w:val="auto"/>
        </w:rPr>
      </w:pPr>
      <w:r>
        <w:rPr>
          <w:rFonts w:ascii="Arial" w:cs="Arial" w:eastAsia="Arial" w:hAnsi="Arial"/>
          <w:sz w:val="17"/>
          <w:szCs w:val="17"/>
          <w:color w:val="auto"/>
        </w:rPr>
        <w:t>With respect to the COVID-19 outbreak specifically, such outbreak could also potentially affect the operations of the FDA, EMA or other health authorities, which could result in delays in meetings related to planned clinical trials. Further, it may also slow potential enrollment of our ongoing clinical trials. The COVID-19 outbreak and mitigation measures also have had, and may continue to have, an adverse impact on global economic conditions which could have an adverse effect on our business and financial condition, including impairing our ability to raise capital when needed.</w:t>
      </w:r>
    </w:p>
    <w:p>
      <w:pPr>
        <w:spacing w:after="0" w:line="63" w:lineRule="exact"/>
        <w:rPr>
          <w:sz w:val="20"/>
          <w:szCs w:val="20"/>
          <w:color w:val="auto"/>
        </w:rPr>
      </w:pPr>
    </w:p>
    <w:p>
      <w:pPr>
        <w:ind w:right="80" w:firstLine="464"/>
        <w:spacing w:after="0" w:line="277" w:lineRule="auto"/>
        <w:rPr>
          <w:sz w:val="20"/>
          <w:szCs w:val="20"/>
          <w:color w:val="auto"/>
        </w:rPr>
      </w:pPr>
      <w:r>
        <w:rPr>
          <w:rFonts w:ascii="Arial" w:cs="Arial" w:eastAsia="Arial" w:hAnsi="Arial"/>
          <w:sz w:val="18"/>
          <w:szCs w:val="18"/>
          <w:color w:val="auto"/>
        </w:rPr>
        <w:t>Although, as of the date of this Quarterly Report on Form 10-Q, we do not expect any material impact on our long-term activity, the extent to which the COVID-19 outbreak impacts our business and operations will depend on future developments that are highly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4" w:name="page35"/>
    <w:bookmarkEnd w:id="34"/>
    <w:p>
      <w:pPr>
        <w:spacing w:after="0" w:line="263" w:lineRule="auto"/>
        <w:rPr>
          <w:sz w:val="20"/>
          <w:szCs w:val="20"/>
          <w:color w:val="auto"/>
        </w:rPr>
      </w:pPr>
      <w:r>
        <w:rPr>
          <w:rFonts w:ascii="Arial" w:cs="Arial" w:eastAsia="Arial" w:hAnsi="Arial"/>
          <w:sz w:val="18"/>
          <w:szCs w:val="18"/>
          <w:color w:val="auto"/>
        </w:rPr>
        <w:t>uncertain and cannot be predicted, including new information that may emerge concerning the severity of the virus and the actions to contain its impact. As a result, there can be no assurance as to the manner and extent to which the COVID-19 outbreak (or other large-scale disruption) could impact our operations, results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recent outbreak of COVID-19 may materially and adversely affect our clinical trials, the operations of our licensees and our financial results.</w:t>
      </w:r>
    </w:p>
    <w:p>
      <w:pPr>
        <w:spacing w:after="0" w:line="14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extent to which COVID-19 may impact our clinical trials will depend on future developments, which are highly uncertain and cannot be</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predicted with confidence, such as the duration of the outbreak, the severity of COVID-19, or the effectiveness of actions to contain and treat for COVID-</w:t>
      </w:r>
    </w:p>
    <w:p>
      <w:pPr>
        <w:spacing w:after="0" w:line="32" w:lineRule="exact"/>
        <w:rPr>
          <w:sz w:val="20"/>
          <w:szCs w:val="20"/>
          <w:color w:val="auto"/>
        </w:rPr>
      </w:pPr>
    </w:p>
    <w:p>
      <w:pPr>
        <w:ind w:right="20" w:firstLine="8"/>
        <w:spacing w:after="0" w:line="270" w:lineRule="auto"/>
        <w:tabs>
          <w:tab w:leader="none" w:pos="27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continued spread of COVID-19 globally could adversely impact our clinical trial operations in the United States and Canada, including our ability to retain patients in our ongoing Elevage Study or to recruit patients for future planned clinical trials. COVID-19 may also affect the employees and operations of third-party contract research organizations located in affected geographies that we rely upon to carry out such enrollments and trials. Further, it may delay the initiation of any additional clinical trials we are planning for which we require additional approval or are seeking guidance from the FDA or other regulatory agencies. The negative impacts of COVID-19 in these instances may result in delays to our operational plans, increases in our operating expenses, and may have a material adverse effect on our financial results.</w:t>
      </w:r>
    </w:p>
    <w:p>
      <w:pPr>
        <w:spacing w:after="0" w:line="70" w:lineRule="exact"/>
        <w:rPr>
          <w:sz w:val="20"/>
          <w:szCs w:val="20"/>
          <w:color w:val="auto"/>
        </w:rPr>
      </w:pPr>
    </w:p>
    <w:p>
      <w:pPr>
        <w:jc w:val="both"/>
        <w:ind w:right="180" w:firstLine="464"/>
        <w:spacing w:after="0" w:line="301" w:lineRule="auto"/>
        <w:rPr>
          <w:sz w:val="20"/>
          <w:szCs w:val="20"/>
          <w:color w:val="auto"/>
        </w:rPr>
      </w:pPr>
      <w:r>
        <w:rPr>
          <w:rFonts w:ascii="Arial" w:cs="Arial" w:eastAsia="Arial" w:hAnsi="Arial"/>
          <w:sz w:val="16"/>
          <w:szCs w:val="16"/>
          <w:color w:val="auto"/>
        </w:rPr>
        <w:t>Additionally, COVID-19 may hinder the ability of our license partners to continue the development of our licensed product candidates. This may result in the delay or the inability of the partners to execute on their development plans which, in turn, may cause delays in or the inability to achieve the clinical, regulatory and sales milestones which trigger payments to us under the terms of our license agreements. This may have a material adverse effect on our financial results and operations as the related milestone payments may not be received at the expected time, if at all.</w:t>
      </w:r>
    </w:p>
    <w:p>
      <w:pPr>
        <w:spacing w:after="0" w:line="34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sales of unregistered equity securities during the three months ended September 30, 2020.</w:t>
      </w:r>
    </w:p>
    <w:p>
      <w:pPr>
        <w:spacing w:after="0" w:line="117" w:lineRule="exact"/>
        <w:rPr>
          <w:sz w:val="20"/>
          <w:szCs w:val="20"/>
          <w:color w:val="auto"/>
        </w:rPr>
      </w:pPr>
    </w:p>
    <w:p>
      <w:pPr>
        <w:jc w:val="both"/>
        <w:ind w:right="180" w:firstLine="510"/>
        <w:spacing w:after="0" w:line="277" w:lineRule="auto"/>
        <w:rPr>
          <w:sz w:val="20"/>
          <w:szCs w:val="20"/>
          <w:color w:val="auto"/>
        </w:rPr>
      </w:pPr>
      <w:r>
        <w:rPr>
          <w:rFonts w:ascii="Arial" w:cs="Arial" w:eastAsia="Arial" w:hAnsi="Arial"/>
          <w:sz w:val="18"/>
          <w:szCs w:val="18"/>
          <w:color w:val="auto"/>
        </w:rPr>
        <w:t>Our ability to pay dividends is restricted by our Loan Agreement. See “Management's Discussion and Analysis of Financial Condition and Results of Operations”.</w:t>
      </w:r>
    </w:p>
    <w:p>
      <w:pPr>
        <w:spacing w:after="0" w:line="35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10"/>
          </w:tcPr>
          <w:p>
            <w:pPr>
              <w:ind w:left="60"/>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100" w:type="dxa"/>
            <w:vAlign w:val="bottom"/>
            <w:gridSpan w:val="7"/>
            <w:vMerge w:val="restart"/>
          </w:tcPr>
          <w:p>
            <w:pPr>
              <w:ind w:left="27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8100" w:type="dxa"/>
            <w:vAlign w:val="bottom"/>
            <w:tcBorders>
              <w:bottom w:val="single" w:sz="8" w:color="auto"/>
            </w:tcBorders>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2"/>
                <w:szCs w:val="22"/>
                <w:color w:val="auto"/>
              </w:rPr>
            </w:pPr>
          </w:p>
        </w:tc>
        <w:tc>
          <w:tcPr>
            <w:tcW w:w="100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of President and Chief Executive Officer required by Rule 13a-14(a)/15d-14(a) under the Securities Exchange Act of 1934, as</w:t>
              </w:r>
            </w:hyperlink>
          </w:p>
        </w:tc>
        <w:tc>
          <w:tcPr>
            <w:tcW w:w="1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amended, as adopted pursuant to Section 302 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99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Certification of Chief Financial Officer required by Rule 13a-14(a)/15d-14(a) under the Securities Exchange Act of 1934, as amended, as</w:t>
              </w:r>
            </w:hyperlink>
          </w:p>
        </w:tc>
        <w:tc>
          <w:tcPr>
            <w:tcW w:w="3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adopted pursuant to Section 302 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95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Certification of President and Chief Executive Officer pursuant to 18 U.S.C. Section 1350, as adopted pursuant to Section 906 of the</w:t>
              </w:r>
            </w:hyperlink>
          </w:p>
        </w:tc>
        <w:tc>
          <w:tcPr>
            <w:tcW w:w="6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0200" w:type="dxa"/>
            <w:vAlign w:val="bottom"/>
            <w:gridSpan w:val="9"/>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Certification of Chief Financial Officer pursuant to 18 U.S.C. Section 1350, as adopted pursuant to Section 906 of the Sarbanes-Oxley Act of</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2002.</w:t>
              </w:r>
            </w:hyperlink>
          </w:p>
        </w:tc>
        <w:tc>
          <w:tcPr>
            <w:tcW w:w="1680" w:type="dxa"/>
            <w:vAlign w:val="bottom"/>
            <w:tcBorders>
              <w:top w:val="single" w:sz="8" w:color="0000EE"/>
            </w:tcBorders>
          </w:tcPr>
          <w:p>
            <w:pPr>
              <w:spacing w:after="0"/>
              <w:rPr>
                <w:sz w:val="17"/>
                <w:szCs w:val="17"/>
                <w:color w:val="auto"/>
              </w:rPr>
            </w:pPr>
          </w:p>
        </w:tc>
        <w:tc>
          <w:tcPr>
            <w:tcW w:w="28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7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Arial" w:cs="Arial" w:eastAsia="Arial" w:hAnsi="Arial"/>
                <w:sz w:val="18"/>
                <w:szCs w:val="18"/>
                <w:color w:val="auto"/>
              </w:rPr>
              <w:t>XBRL Taxonomy Extension Schema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Arial" w:cs="Arial" w:eastAsia="Arial" w:hAnsi="Arial"/>
                <w:sz w:val="18"/>
                <w:szCs w:val="18"/>
                <w:color w:val="auto"/>
              </w:rPr>
              <w:t>XBRL Taxonomy Extension Definition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0" w:type="dxa"/>
            <w:vAlign w:val="bottom"/>
            <w:gridSpan w:val="4"/>
          </w:tcPr>
          <w:p>
            <w:pPr>
              <w:jc w:val="right"/>
              <w:ind w:right="168"/>
              <w:spacing w:after="0"/>
              <w:rPr>
                <w:sz w:val="20"/>
                <w:szCs w:val="20"/>
                <w:color w:val="auto"/>
              </w:rPr>
            </w:pPr>
            <w:r>
              <w:rPr>
                <w:rFonts w:ascii="Arial" w:cs="Arial" w:eastAsia="Arial" w:hAnsi="Arial"/>
                <w:sz w:val="18"/>
                <w:szCs w:val="18"/>
                <w:color w:val="auto"/>
              </w:rPr>
              <w:t>36</w:t>
            </w:r>
          </w:p>
        </w:tc>
        <w:tc>
          <w:tcPr>
            <w:tcW w:w="9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-7620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80"/>
          </w:cols>
          <w:pgMar w:left="300" w:top="337" w:right="31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3920" w:type="dxa"/>
            <w:vAlign w:val="bottom"/>
          </w:tcPr>
          <w:p>
            <w:pPr>
              <w:ind w:left="900"/>
              <w:spacing w:after="0"/>
              <w:rPr>
                <w:sz w:val="20"/>
                <w:szCs w:val="20"/>
                <w:color w:val="auto"/>
              </w:rPr>
            </w:pPr>
            <w:r>
              <w:rPr>
                <w:rFonts w:ascii="Arial" w:cs="Arial" w:eastAsia="Arial" w:hAnsi="Arial"/>
                <w:sz w:val="18"/>
                <w:szCs w:val="18"/>
                <w:color w:val="auto"/>
              </w:rPr>
              <w:t>VTV THERAPEUTICS INC.</w:t>
            </w:r>
          </w:p>
        </w:tc>
      </w:tr>
      <w:tr>
        <w:trPr>
          <w:trHeight w:val="230"/>
        </w:trPr>
        <w:tc>
          <w:tcPr>
            <w:tcW w:w="560" w:type="dxa"/>
            <w:vAlign w:val="bottom"/>
          </w:tcPr>
          <w:p>
            <w:pPr>
              <w:spacing w:after="0"/>
              <w:rPr>
                <w:sz w:val="20"/>
                <w:szCs w:val="20"/>
                <w:color w:val="auto"/>
              </w:rPr>
            </w:pPr>
          </w:p>
        </w:tc>
        <w:tc>
          <w:tcPr>
            <w:tcW w:w="3920" w:type="dxa"/>
            <w:vAlign w:val="bottom"/>
          </w:tcPr>
          <w:p>
            <w:pPr>
              <w:ind w:left="1540"/>
              <w:spacing w:after="0"/>
              <w:rPr>
                <w:sz w:val="20"/>
                <w:szCs w:val="20"/>
                <w:color w:val="auto"/>
              </w:rPr>
            </w:pPr>
            <w:r>
              <w:rPr>
                <w:rFonts w:ascii="Arial" w:cs="Arial" w:eastAsia="Arial" w:hAnsi="Arial"/>
                <w:sz w:val="18"/>
                <w:szCs w:val="18"/>
                <w:color w:val="auto"/>
              </w:rPr>
              <w:t>(Registrant)</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3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L. Holcombe, certify that:</w:t>
      </w:r>
    </w:p>
    <w:p>
      <w:pPr>
        <w:spacing w:after="0" w:line="117"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0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Stephen L. Holcombe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Rudy C. Howard, certify that:</w:t>
      </w:r>
    </w:p>
    <w:p>
      <w:pPr>
        <w:spacing w:after="0" w:line="117"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0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140" w:hanging="500"/>
        <w:spacing w:after="0" w:line="263" w:lineRule="auto"/>
        <w:tabs>
          <w:tab w:leader="none" w:pos="1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000" w:right="44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Rudy C. Howard</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September 30, 2020 as filed with the Securities and Exchange Commission on the date hereof (the “Report”), I, Stephen L. Holcombe,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September 30, 2020 as filed with the Securities and Exchange Commission on the date hereof (the “Report”), I, Rudy C. Howard,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9"/>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2020-11-05T16:54:26Z</dcterms:created>
  <dcterms:modified xsi:type="dcterms:W3CDTF">2020-11-05T16:54:26Z</dcterms:modified>
</cp:coreProperties>
</file>