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40" w:before="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40"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erif" w:hAnsi="Times New Roman;serif"/>
          <w:b/>
          <w:color w:val="000000"/>
          <w:sz w:val="20"/>
        </w:rPr>
        <w:t>For the quarterly period ended March 31, 2026</w:t>
      </w:r>
      <w:r>
        <w:rPr>
          <w:color w:val="000000"/>
        </w:rPr>
        <w:t xml:space="preserve">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001-37524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vTv Therapeutics Inc.</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3980 Premier Dr, Suite 110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tbl>
      <w:tblPr>
        <w:tblW w:w="7420"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880"/>
        <w:gridCol w:w="880"/>
        <w:gridCol w:w="12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Outstanding as of May 13, 2026</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3,938,654 </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vTv THERAPEUTICS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MARCH 31, 2026</w:t>
      </w:r>
    </w:p>
    <w:tbl>
      <w:tblPr>
        <w:tblW w:w="10205" w:type="dxa"/>
        <w:jc w:val="left"/>
        <w:tblInd w:w="0" w:type="dxa"/>
        <w:tblLayout w:type="fixed"/>
        <w:tblCellMar>
          <w:top w:w="28" w:type="dxa"/>
          <w:left w:w="28" w:type="dxa"/>
          <w:bottom w:w="28" w:type="dxa"/>
          <w:right w:w="28" w:type="dxa"/>
        </w:tblCellMar>
      </w:tblPr>
      <w:tblGrid>
        <w:gridCol w:w="502"/>
        <w:gridCol w:w="442"/>
        <w:gridCol w:w="442"/>
        <w:gridCol w:w="2717"/>
        <w:gridCol w:w="2610"/>
        <w:gridCol w:w="2633"/>
        <w:gridCol w:w="250"/>
        <w:gridCol w:w="250"/>
        <w:gridCol w:w="359"/>
      </w:tblGrid>
      <w:tr>
        <w:trPr/>
        <w:tc>
          <w:tcPr>
            <w:tcW w:w="5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d81345c511d42b59f017f1a6041b531_10">
              <w:r>
                <w:rPr>
                  <w:rStyle w:val="InternetLink"/>
                  <w:rFonts w:ascii="Times New Roman;serif" w:hAnsi="Times New Roman;serif"/>
                  <w:b w:val="false"/>
                  <w:color w:val="0000FF"/>
                  <w:sz w:val="20"/>
                  <w:u w:val="single"/>
                </w:rPr>
                <w:t>PART I – FINANCIAL INFORMATION</w:t>
              </w:r>
            </w:hyperlink>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3">
              <w:r>
                <w:rPr>
                  <w:rStyle w:val="InternetLink"/>
                  <w:rFonts w:ascii="Times New Roman;serif" w:hAnsi="Times New Roman;serif"/>
                  <w:b w:val="false"/>
                  <w:strike w:val="false"/>
                  <w:dstrike w:val="false"/>
                  <w:color w:val="000000"/>
                  <w:sz w:val="20"/>
                  <w:u w:val="none"/>
                  <w:effect w:val="none"/>
                </w:rPr>
                <w:t>Item 1.</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dd81345c511d42b59f017f1a6041b531_13">
              <w:r>
                <w:rPr>
                  <w:rStyle w:val="InternetLink"/>
                  <w:rFonts w:ascii="Times New Roman;serif" w:hAnsi="Times New Roman;serif"/>
                  <w:b w:val="false"/>
                  <w:color w:val="000080"/>
                  <w:sz w:val="20"/>
                  <w:u w:val="single"/>
                </w:rPr>
                <w:t xml:space="preserve">Condensed Consolidated Balance Sheets as of </w:t>
              </w:r>
            </w:hyperlink>
            <w:hyperlink w:anchor="idd81345c511d42b59f017f1a6041b531_13">
              <w:r>
                <w:rPr>
                  <w:rStyle w:val="InternetLink"/>
                  <w:rFonts w:ascii="Times New Roman;serif" w:hAnsi="Times New Roman;serif"/>
                  <w:b w:val="false"/>
                  <w:color w:val="000080"/>
                  <w:sz w:val="20"/>
                  <w:u w:val="single"/>
                </w:rPr>
                <w:t>March</w:t>
              </w:r>
            </w:hyperlink>
            <w:hyperlink w:anchor="idd81345c511d42b59f017f1a6041b531_13">
              <w:r>
                <w:rPr>
                  <w:rStyle w:val="InternetLink"/>
                  <w:rFonts w:ascii="Times New Roman;serif" w:hAnsi="Times New Roman;serif"/>
                  <w:b w:val="false"/>
                  <w:color w:val="000080"/>
                  <w:sz w:val="20"/>
                  <w:u w:val="single"/>
                </w:rPr>
                <w:t xml:space="preserve"> 3</w:t>
              </w:r>
            </w:hyperlink>
            <w:hyperlink w:anchor="idd81345c511d42b59f017f1a6041b531_13">
              <w:r>
                <w:rPr>
                  <w:rStyle w:val="InternetLink"/>
                  <w:rFonts w:ascii="Times New Roman;serif" w:hAnsi="Times New Roman;serif"/>
                  <w:b w:val="false"/>
                  <w:color w:val="000080"/>
                  <w:sz w:val="20"/>
                  <w:u w:val="single"/>
                </w:rPr>
                <w:t>1</w:t>
              </w:r>
            </w:hyperlink>
            <w:hyperlink w:anchor="idd81345c511d42b59f017f1a6041b531_13">
              <w:r>
                <w:rPr>
                  <w:rStyle w:val="InternetLink"/>
                  <w:rFonts w:ascii="Times New Roman;serif" w:hAnsi="Times New Roman;serif"/>
                  <w:b w:val="false"/>
                  <w:color w:val="000080"/>
                  <w:sz w:val="20"/>
                  <w:u w:val="single"/>
                </w:rPr>
                <w:t>, 202</w:t>
              </w:r>
            </w:hyperlink>
            <w:hyperlink w:anchor="idd81345c511d42b59f017f1a6041b531_13">
              <w:r>
                <w:rPr>
                  <w:rStyle w:val="InternetLink"/>
                  <w:rFonts w:ascii="Times New Roman;serif" w:hAnsi="Times New Roman;serif"/>
                  <w:b w:val="false"/>
                  <w:color w:val="000080"/>
                  <w:sz w:val="20"/>
                  <w:u w:val="single"/>
                </w:rPr>
                <w:t>6</w:t>
              </w:r>
            </w:hyperlink>
            <w:hyperlink w:anchor="idd81345c511d42b59f017f1a6041b531_13">
              <w:r>
                <w:rPr>
                  <w:rStyle w:val="InternetLink"/>
                  <w:rFonts w:ascii="Times New Roman;serif" w:hAnsi="Times New Roman;serif"/>
                  <w:b w:val="false"/>
                  <w:color w:val="000080"/>
                  <w:sz w:val="20"/>
                  <w:u w:val="single"/>
                </w:rPr>
                <w:t xml:space="preserve"> (Unaudited) and December 31, 202</w:t>
              </w:r>
            </w:hyperlink>
            <w:hyperlink w:anchor="idd81345c511d42b59f017f1a6041b531_13">
              <w:r>
                <w:rPr>
                  <w:rStyle w:val="InternetLink"/>
                  <w:rFonts w:ascii="Times New Roman;serif" w:hAnsi="Times New Roman;serif"/>
                  <w:b w:val="false"/>
                  <w:color w:val="000080"/>
                  <w:sz w:val="20"/>
                  <w:u w:val="single"/>
                </w:rPr>
                <w:t>5</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3">
              <w:r>
                <w:rPr>
                  <w:rStyle w:val="InternetLink"/>
                  <w:rFonts w:ascii="Times New Roman;serif" w:hAnsi="Times New Roman;serif"/>
                  <w:b w:val="false"/>
                  <w:strike w:val="false"/>
                  <w:dstrike w:val="false"/>
                  <w:color w:val="000000"/>
                  <w:sz w:val="20"/>
                  <w:u w:val="none"/>
                  <w:effect w:val="none"/>
                </w:rPr>
                <w:t>4</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dd81345c511d42b59f017f1a6041b531_16">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dd81345c511d42b59f017f1a6041b531_16">
              <w:r>
                <w:rPr>
                  <w:rStyle w:val="InternetLink"/>
                  <w:rFonts w:ascii="Times New Roman;serif" w:hAnsi="Times New Roman;serif"/>
                  <w:b w:val="false"/>
                  <w:color w:val="000080"/>
                  <w:sz w:val="20"/>
                  <w:u w:val="single"/>
                </w:rPr>
                <w:t xml:space="preserve">months ended </w:t>
              </w:r>
            </w:hyperlink>
            <w:hyperlink w:anchor="idd81345c511d42b59f017f1a6041b531_16">
              <w:r>
                <w:rPr>
                  <w:rStyle w:val="InternetLink"/>
                  <w:rFonts w:ascii="Times New Roman;serif" w:hAnsi="Times New Roman;serif"/>
                  <w:b w:val="false"/>
                  <w:color w:val="000080"/>
                  <w:sz w:val="20"/>
                  <w:u w:val="single"/>
                </w:rPr>
                <w:t>March</w:t>
              </w:r>
            </w:hyperlink>
            <w:hyperlink w:anchor="idd81345c511d42b59f017f1a6041b531_16">
              <w:r>
                <w:rPr>
                  <w:rStyle w:val="InternetLink"/>
                  <w:rFonts w:ascii="Times New Roman;serif" w:hAnsi="Times New Roman;serif"/>
                  <w:b w:val="false"/>
                  <w:color w:val="000080"/>
                  <w:sz w:val="20"/>
                  <w:u w:val="single"/>
                </w:rPr>
                <w:t xml:space="preserve"> 3</w:t>
              </w:r>
            </w:hyperlink>
            <w:hyperlink w:anchor="idd81345c511d42b59f017f1a6041b531_16">
              <w:r>
                <w:rPr>
                  <w:rStyle w:val="InternetLink"/>
                  <w:rFonts w:ascii="Times New Roman;serif" w:hAnsi="Times New Roman;serif"/>
                  <w:b w:val="false"/>
                  <w:color w:val="000080"/>
                  <w:sz w:val="20"/>
                  <w:u w:val="single"/>
                </w:rPr>
                <w:t>1</w:t>
              </w:r>
            </w:hyperlink>
            <w:hyperlink w:anchor="idd81345c511d42b59f017f1a6041b531_16">
              <w:r>
                <w:rPr>
                  <w:rStyle w:val="InternetLink"/>
                  <w:rFonts w:ascii="Times New Roman;serif" w:hAnsi="Times New Roman;serif"/>
                  <w:b w:val="false"/>
                  <w:color w:val="000080"/>
                  <w:sz w:val="20"/>
                  <w:u w:val="single"/>
                </w:rPr>
                <w:t>, 202</w:t>
              </w:r>
            </w:hyperlink>
            <w:hyperlink w:anchor="idd81345c511d42b59f017f1a6041b531_16">
              <w:r>
                <w:rPr>
                  <w:rStyle w:val="InternetLink"/>
                  <w:rFonts w:ascii="Times New Roman;serif" w:hAnsi="Times New Roman;serif"/>
                  <w:b w:val="false"/>
                  <w:color w:val="000080"/>
                  <w:sz w:val="20"/>
                  <w:u w:val="single"/>
                </w:rPr>
                <w:t>6</w:t>
              </w:r>
            </w:hyperlink>
            <w:hyperlink w:anchor="idd81345c511d42b59f017f1a6041b531_16">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rPr>
              <w:t>5</w:t>
            </w:r>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6">
              <w:r>
                <w:rPr>
                  <w:rStyle w:val="InternetLink"/>
                  <w:rFonts w:ascii="Times New Roman;serif" w:hAnsi="Times New Roman;serif"/>
                  <w:b w:val="false"/>
                  <w:strike w:val="false"/>
                  <w:dstrike w:val="false"/>
                  <w:color w:val="000000"/>
                  <w:sz w:val="20"/>
                  <w:u w:val="none"/>
                  <w:effect w:val="none"/>
                </w:rPr>
                <w:t>5</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dd81345c511d42b59f017f1a6041b531_22">
              <w:r>
                <w:rPr>
                  <w:rStyle w:val="InternetLink"/>
                  <w:rFonts w:ascii="Times New Roman;serif" w:hAnsi="Times New Roman;serif"/>
                  <w:b w:val="false"/>
                  <w:color w:val="000080"/>
                  <w:sz w:val="20"/>
                  <w:u w:val="single"/>
                </w:rPr>
                <w:t xml:space="preserve">Unaudited Condensed Consolidated Statement of Changes in </w:t>
              </w:r>
            </w:hyperlink>
            <w:hyperlink w:anchor="idd81345c511d42b59f017f1a6041b531_22">
              <w:r>
                <w:rPr>
                  <w:rStyle w:val="InternetLink"/>
                  <w:rFonts w:ascii="Times New Roman;serif" w:hAnsi="Times New Roman;serif"/>
                  <w:b w:val="false"/>
                  <w:color w:val="000080"/>
                  <w:sz w:val="20"/>
                  <w:u w:val="single"/>
                </w:rPr>
                <w:t xml:space="preserve">Stockholders’ Equity </w:t>
              </w:r>
            </w:hyperlink>
            <w:hyperlink w:anchor="idd81345c511d42b59f017f1a6041b531_22">
              <w:r>
                <w:rPr>
                  <w:rStyle w:val="InternetLink"/>
                  <w:rFonts w:ascii="Times New Roman;serif" w:hAnsi="Times New Roman;serif"/>
                  <w:b w:val="false"/>
                  <w:color w:val="000080"/>
                  <w:sz w:val="20"/>
                  <w:u w:val="single"/>
                </w:rPr>
                <w:t>for the three</w:t>
              </w:r>
            </w:hyperlink>
            <w:hyperlink w:anchor="idd81345c511d42b59f017f1a6041b531_22">
              <w:r>
                <w:rPr>
                  <w:rStyle w:val="InternetLink"/>
                  <w:rFonts w:ascii="Times New Roman;serif" w:hAnsi="Times New Roman;serif"/>
                  <w:b w:val="false"/>
                  <w:color w:val="000080"/>
                  <w:sz w:val="20"/>
                  <w:u w:val="single"/>
                </w:rPr>
                <w:t xml:space="preserve"> months ended </w:t>
              </w:r>
            </w:hyperlink>
            <w:hyperlink w:anchor="idd81345c511d42b59f017f1a6041b531_22">
              <w:r>
                <w:rPr>
                  <w:rStyle w:val="InternetLink"/>
                  <w:rFonts w:ascii="Times New Roman;serif" w:hAnsi="Times New Roman;serif"/>
                  <w:b w:val="false"/>
                  <w:color w:val="000080"/>
                  <w:sz w:val="20"/>
                  <w:u w:val="single"/>
                </w:rPr>
                <w:t>March</w:t>
              </w:r>
            </w:hyperlink>
            <w:hyperlink w:anchor="idd81345c511d42b59f017f1a6041b531_22">
              <w:r>
                <w:rPr>
                  <w:rStyle w:val="InternetLink"/>
                  <w:rFonts w:ascii="Times New Roman;serif" w:hAnsi="Times New Roman;serif"/>
                  <w:b w:val="false"/>
                  <w:color w:val="000080"/>
                  <w:sz w:val="20"/>
                  <w:u w:val="single"/>
                </w:rPr>
                <w:t xml:space="preserve"> 3</w:t>
              </w:r>
            </w:hyperlink>
            <w:hyperlink w:anchor="idd81345c511d42b59f017f1a6041b531_22">
              <w:r>
                <w:rPr>
                  <w:rStyle w:val="InternetLink"/>
                  <w:rFonts w:ascii="Times New Roman;serif" w:hAnsi="Times New Roman;serif"/>
                  <w:b w:val="false"/>
                  <w:color w:val="000080"/>
                  <w:sz w:val="20"/>
                  <w:u w:val="single"/>
                </w:rPr>
                <w:t>1</w:t>
              </w:r>
            </w:hyperlink>
            <w:hyperlink w:anchor="idd81345c511d42b59f017f1a6041b531_22">
              <w:r>
                <w:rPr>
                  <w:rStyle w:val="InternetLink"/>
                  <w:rFonts w:ascii="Times New Roman;serif" w:hAnsi="Times New Roman;serif"/>
                  <w:b w:val="false"/>
                  <w:color w:val="000080"/>
                  <w:sz w:val="20"/>
                  <w:u w:val="single"/>
                </w:rPr>
                <w:t>, 202</w:t>
              </w:r>
            </w:hyperlink>
            <w:hyperlink w:anchor="idd81345c511d42b59f017f1a6041b531_22">
              <w:r>
                <w:rPr>
                  <w:rStyle w:val="InternetLink"/>
                  <w:rFonts w:ascii="Times New Roman;serif" w:hAnsi="Times New Roman;serif"/>
                  <w:b w:val="false"/>
                  <w:color w:val="000080"/>
                  <w:sz w:val="20"/>
                  <w:u w:val="single"/>
                </w:rPr>
                <w:t>6</w:t>
              </w:r>
            </w:hyperlink>
            <w:hyperlink w:anchor="idd81345c511d42b59f017f1a6041b531_22">
              <w:r>
                <w:rPr>
                  <w:rStyle w:val="InternetLink"/>
                  <w:rFonts w:ascii="Times New Roman;serif" w:hAnsi="Times New Roman;serif"/>
                  <w:b w:val="false"/>
                  <w:color w:val="000080"/>
                  <w:sz w:val="20"/>
                  <w:u w:val="single"/>
                </w:rPr>
                <w:t xml:space="preserve"> and 202</w:t>
              </w:r>
            </w:hyperlink>
            <w:hyperlink w:anchor="idd81345c511d42b59f017f1a6041b531_22">
              <w:r>
                <w:rPr>
                  <w:rStyle w:val="InternetLink"/>
                  <w:rFonts w:ascii="Times New Roman;serif" w:hAnsi="Times New Roman;serif"/>
                  <w:b w:val="false"/>
                  <w:color w:val="000080"/>
                  <w:sz w:val="20"/>
                  <w:u w:val="single"/>
                </w:rPr>
                <w:t>5</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22">
              <w:r>
                <w:rPr>
                  <w:rStyle w:val="InternetLink"/>
                  <w:rFonts w:ascii="Times New Roman;serif" w:hAnsi="Times New Roman;serif"/>
                  <w:b w:val="false"/>
                  <w:strike w:val="false"/>
                  <w:dstrike w:val="false"/>
                  <w:color w:val="000000"/>
                  <w:sz w:val="20"/>
                  <w:u w:val="none"/>
                  <w:effect w:val="none"/>
                </w:rPr>
                <w:t>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dd81345c511d42b59f017f1a6041b531_31">
              <w:r>
                <w:rPr>
                  <w:rStyle w:val="InternetLink"/>
                  <w:rFonts w:ascii="Times New Roman;serif" w:hAnsi="Times New Roman;serif"/>
                  <w:b w:val="false"/>
                  <w:color w:val="000080"/>
                  <w:sz w:val="20"/>
                  <w:u w:val="single"/>
                </w:rPr>
                <w:t xml:space="preserve">Unaudited Condensed Consolidated Statements of Cash Flows for the </w:t>
              </w:r>
            </w:hyperlink>
            <w:hyperlink w:anchor="idd81345c511d42b59f017f1a6041b531_31">
              <w:r>
                <w:rPr>
                  <w:rStyle w:val="InternetLink"/>
                  <w:rFonts w:ascii="Times New Roman;serif" w:hAnsi="Times New Roman;serif"/>
                  <w:b w:val="false"/>
                  <w:color w:val="000080"/>
                  <w:sz w:val="20"/>
                  <w:u w:val="single"/>
                </w:rPr>
                <w:t>three</w:t>
              </w:r>
            </w:hyperlink>
            <w:hyperlink w:anchor="idd81345c511d42b59f017f1a6041b531_31">
              <w:r>
                <w:rPr>
                  <w:rStyle w:val="InternetLink"/>
                  <w:rFonts w:ascii="Times New Roman;serif" w:hAnsi="Times New Roman;serif"/>
                  <w:b w:val="false"/>
                  <w:color w:val="000080"/>
                  <w:sz w:val="20"/>
                  <w:u w:val="single"/>
                </w:rPr>
                <w:t xml:space="preserve"> months ended </w:t>
              </w:r>
            </w:hyperlink>
            <w:hyperlink w:anchor="idd81345c511d42b59f017f1a6041b531_31">
              <w:r>
                <w:rPr>
                  <w:rStyle w:val="InternetLink"/>
                  <w:rFonts w:ascii="Times New Roman;serif" w:hAnsi="Times New Roman;serif"/>
                  <w:b w:val="false"/>
                  <w:color w:val="000080"/>
                  <w:sz w:val="20"/>
                  <w:u w:val="single"/>
                </w:rPr>
                <w:t>March</w:t>
              </w:r>
            </w:hyperlink>
            <w:hyperlink w:anchor="idd81345c511d42b59f017f1a6041b531_31">
              <w:r>
                <w:rPr>
                  <w:rStyle w:val="InternetLink"/>
                  <w:rFonts w:ascii="Times New Roman;serif" w:hAnsi="Times New Roman;serif"/>
                  <w:b w:val="false"/>
                  <w:color w:val="000080"/>
                  <w:sz w:val="20"/>
                  <w:u w:val="single"/>
                </w:rPr>
                <w:t xml:space="preserve"> 3</w:t>
              </w:r>
            </w:hyperlink>
            <w:hyperlink w:anchor="idd81345c511d42b59f017f1a6041b531_31">
              <w:r>
                <w:rPr>
                  <w:rStyle w:val="InternetLink"/>
                  <w:rFonts w:ascii="Times New Roman;serif" w:hAnsi="Times New Roman;serif"/>
                  <w:b w:val="false"/>
                  <w:color w:val="000080"/>
                  <w:sz w:val="20"/>
                  <w:u w:val="single"/>
                </w:rPr>
                <w:t>1</w:t>
              </w:r>
            </w:hyperlink>
            <w:hyperlink w:anchor="idd81345c511d42b59f017f1a6041b531_31">
              <w:r>
                <w:rPr>
                  <w:rStyle w:val="InternetLink"/>
                  <w:rFonts w:ascii="Times New Roman;serif" w:hAnsi="Times New Roman;serif"/>
                  <w:b w:val="false"/>
                  <w:color w:val="000080"/>
                  <w:sz w:val="20"/>
                  <w:u w:val="single"/>
                </w:rPr>
                <w:t>, 202</w:t>
              </w:r>
            </w:hyperlink>
            <w:hyperlink w:anchor="idd81345c511d42b59f017f1a6041b531_31">
              <w:r>
                <w:rPr>
                  <w:rStyle w:val="InternetLink"/>
                  <w:rFonts w:ascii="Times New Roman;serif" w:hAnsi="Times New Roman;serif"/>
                  <w:b w:val="false"/>
                  <w:color w:val="000080"/>
                  <w:sz w:val="20"/>
                  <w:u w:val="single"/>
                </w:rPr>
                <w:t>6</w:t>
              </w:r>
            </w:hyperlink>
            <w:hyperlink w:anchor="idd81345c511d42b59f017f1a6041b531_31">
              <w:r>
                <w:rPr>
                  <w:rStyle w:val="InternetLink"/>
                  <w:rFonts w:ascii="Times New Roman;serif" w:hAnsi="Times New Roman;serif"/>
                  <w:b w:val="false"/>
                  <w:color w:val="000080"/>
                  <w:sz w:val="20"/>
                  <w:u w:val="single"/>
                </w:rPr>
                <w:t xml:space="preserve"> and 202</w:t>
              </w:r>
            </w:hyperlink>
            <w:hyperlink w:anchor="idd81345c511d42b59f017f1a6041b531_31">
              <w:r>
                <w:rPr>
                  <w:rStyle w:val="InternetLink"/>
                  <w:rFonts w:ascii="Times New Roman;serif" w:hAnsi="Times New Roman;serif"/>
                  <w:b w:val="false"/>
                  <w:color w:val="000080"/>
                  <w:sz w:val="20"/>
                  <w:u w:val="single"/>
                </w:rPr>
                <w:t>5</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31">
              <w:r>
                <w:rPr>
                  <w:rStyle w:val="InternetLink"/>
                  <w:rFonts w:ascii="Times New Roman;serif" w:hAnsi="Times New Roman;serif"/>
                  <w:b w:val="false"/>
                  <w:strike w:val="false"/>
                  <w:dstrike w:val="false"/>
                  <w:color w:val="000000"/>
                  <w:sz w:val="20"/>
                  <w:u w:val="none"/>
                  <w:effect w:val="none"/>
                </w:rPr>
                <w:t>7</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34">
              <w:r>
                <w:rPr>
                  <w:rStyle w:val="InternetLink"/>
                  <w:rFonts w:ascii="Times New Roman;serif" w:hAnsi="Times New Roman;serif"/>
                  <w:b w:val="false"/>
                  <w:color w:val="0000FF"/>
                  <w:sz w:val="20"/>
                  <w:u w:val="single"/>
                </w:rPr>
                <w:t>Notes to Unaudited Consolidated Financial Statements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34">
              <w:r>
                <w:rPr>
                  <w:rStyle w:val="InternetLink"/>
                  <w:rFonts w:ascii="Times New Roman;serif" w:hAnsi="Times New Roman;serif"/>
                  <w:b w:val="false"/>
                  <w:strike w:val="false"/>
                  <w:dstrike w:val="false"/>
                  <w:color w:val="000000"/>
                  <w:sz w:val="20"/>
                  <w:u w:val="none"/>
                  <w:effect w:val="none"/>
                </w:rPr>
                <w:t>8</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88">
              <w:r>
                <w:rPr>
                  <w:rStyle w:val="InternetLink"/>
                  <w:rFonts w:ascii="Times New Roman;serif" w:hAnsi="Times New Roman;serif"/>
                  <w:b w:val="false"/>
                  <w:strike w:val="false"/>
                  <w:dstrike w:val="false"/>
                  <w:color w:val="000000"/>
                  <w:sz w:val="20"/>
                  <w:u w:val="none"/>
                  <w:effect w:val="none"/>
                </w:rPr>
                <w:t>Item 2.</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88">
              <w:r>
                <w:rPr>
                  <w:rStyle w:val="InternetLink"/>
                  <w:rFonts w:ascii="Times New Roman;serif" w:hAnsi="Times New Roman;serif"/>
                  <w:b w:val="false"/>
                  <w:strike w:val="false"/>
                  <w:dstrike w:val="false"/>
                  <w:color w:val="000000"/>
                  <w:sz w:val="20"/>
                  <w:u w:val="none"/>
                  <w:effect w:val="none"/>
                </w:rPr>
                <w:t>17</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27">
              <w:r>
                <w:rPr>
                  <w:rStyle w:val="InternetLink"/>
                  <w:rFonts w:ascii="Times New Roman;serif" w:hAnsi="Times New Roman;serif"/>
                  <w:b w:val="false"/>
                  <w:strike w:val="false"/>
                  <w:dstrike w:val="false"/>
                  <w:color w:val="000000"/>
                  <w:sz w:val="20"/>
                  <w:u w:val="none"/>
                  <w:effect w:val="none"/>
                </w:rPr>
                <w:t>Item 3.</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27">
              <w:r>
                <w:rPr>
                  <w:rStyle w:val="InternetLink"/>
                  <w:rFonts w:ascii="Times New Roman;serif" w:hAnsi="Times New Roman;serif"/>
                  <w:b w:val="false"/>
                  <w:color w:val="0000FF"/>
                  <w:sz w:val="20"/>
                  <w:u w:val="single"/>
                </w:rPr>
                <w:t>Quantitative and Qualitative Disclosures About Market Risk</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27">
              <w:r>
                <w:rPr>
                  <w:rStyle w:val="InternetLink"/>
                  <w:rFonts w:ascii="Times New Roman;serif" w:hAnsi="Times New Roman;serif"/>
                  <w:b w:val="false"/>
                  <w:strike w:val="false"/>
                  <w:dstrike w:val="false"/>
                  <w:color w:val="000000"/>
                  <w:sz w:val="20"/>
                  <w:u w:val="none"/>
                  <w:effect w:val="none"/>
                </w:rPr>
                <w:t>25</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30">
              <w:r>
                <w:rPr>
                  <w:rStyle w:val="InternetLink"/>
                  <w:rFonts w:ascii="Times New Roman;serif" w:hAnsi="Times New Roman;serif"/>
                  <w:b w:val="false"/>
                  <w:strike w:val="false"/>
                  <w:dstrike w:val="false"/>
                  <w:color w:val="000000"/>
                  <w:sz w:val="20"/>
                  <w:u w:val="none"/>
                  <w:effect w:val="none"/>
                </w:rPr>
                <w:t>Item 4.</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30">
              <w:r>
                <w:rPr>
                  <w:rStyle w:val="InternetLink"/>
                  <w:rFonts w:ascii="Times New Roman;serif" w:hAnsi="Times New Roman;serif"/>
                  <w:b w:val="false"/>
                  <w:color w:val="0000FF"/>
                  <w:sz w:val="20"/>
                  <w:u w:val="single"/>
                </w:rPr>
                <w:t>Controls and Procedures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30">
              <w:r>
                <w:rPr>
                  <w:rStyle w:val="InternetLink"/>
                  <w:rFonts w:ascii="Times New Roman;serif" w:hAnsi="Times New Roman;serif"/>
                  <w:b w:val="false"/>
                  <w:strike w:val="false"/>
                  <w:dstrike w:val="false"/>
                  <w:color w:val="000000"/>
                  <w:sz w:val="20"/>
                  <w:u w:val="none"/>
                  <w:effect w:val="none"/>
                </w:rPr>
                <w:t>25</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d81345c511d42b59f017f1a6041b531_133">
              <w:r>
                <w:rPr>
                  <w:rStyle w:val="InternetLink"/>
                  <w:rFonts w:ascii="Times New Roman;serif" w:hAnsi="Times New Roman;serif"/>
                  <w:b w:val="false"/>
                  <w:color w:val="0000FF"/>
                  <w:sz w:val="20"/>
                  <w:u w:val="single"/>
                </w:rPr>
                <w:t xml:space="preserve">PART II – OTHER INFORMATION </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36">
              <w:r>
                <w:rPr>
                  <w:rStyle w:val="InternetLink"/>
                  <w:rFonts w:ascii="Times New Roman;serif" w:hAnsi="Times New Roman;serif"/>
                  <w:b w:val="false"/>
                  <w:strike w:val="false"/>
                  <w:dstrike w:val="false"/>
                  <w:color w:val="000000"/>
                  <w:sz w:val="20"/>
                  <w:u w:val="none"/>
                  <w:effect w:val="none"/>
                </w:rPr>
                <w:t>Item 1.</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36">
              <w:r>
                <w:rPr>
                  <w:rStyle w:val="InternetLink"/>
                  <w:rFonts w:ascii="Times New Roman;serif" w:hAnsi="Times New Roman;serif"/>
                  <w:b w:val="false"/>
                  <w:color w:val="0000FF"/>
                  <w:sz w:val="20"/>
                  <w:u w:val="single"/>
                </w:rPr>
                <w:t>Legal Proceedings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36">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39">
              <w:r>
                <w:rPr>
                  <w:rStyle w:val="InternetLink"/>
                  <w:rFonts w:ascii="Times New Roman;serif" w:hAnsi="Times New Roman;serif"/>
                  <w:b w:val="false"/>
                  <w:strike w:val="false"/>
                  <w:dstrike w:val="false"/>
                  <w:color w:val="000000"/>
                  <w:sz w:val="20"/>
                  <w:u w:val="none"/>
                  <w:effect w:val="none"/>
                </w:rPr>
                <w:t>Item 1A.</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39">
              <w:r>
                <w:rPr>
                  <w:rStyle w:val="InternetLink"/>
                  <w:rFonts w:ascii="Times New Roman;serif" w:hAnsi="Times New Roman;serif"/>
                  <w:b w:val="false"/>
                  <w:color w:val="0000FF"/>
                  <w:sz w:val="20"/>
                  <w:u w:val="single"/>
                </w:rPr>
                <w:t>Risk Factors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39">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42">
              <w:r>
                <w:rPr>
                  <w:rStyle w:val="InternetLink"/>
                  <w:rFonts w:ascii="Times New Roman;serif" w:hAnsi="Times New Roman;serif"/>
                  <w:b w:val="false"/>
                  <w:strike w:val="false"/>
                  <w:dstrike w:val="false"/>
                  <w:color w:val="000000"/>
                  <w:sz w:val="20"/>
                  <w:u w:val="none"/>
                  <w:effect w:val="none"/>
                </w:rPr>
                <w:t>Item 2.</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42">
              <w:r>
                <w:rPr>
                  <w:rStyle w:val="InternetLink"/>
                  <w:rFonts w:ascii="Times New Roman;serif" w:hAnsi="Times New Roman;serif"/>
                  <w:b w:val="false"/>
                  <w:color w:val="0000FF"/>
                  <w:sz w:val="20"/>
                  <w:u w:val="single"/>
                </w:rPr>
                <w:t>Unregistered Sales of Equity Securities and Use of Proceeds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42">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45">
              <w:r>
                <w:rPr>
                  <w:rStyle w:val="InternetLink"/>
                  <w:rFonts w:ascii="Times New Roman;serif" w:hAnsi="Times New Roman;serif"/>
                  <w:b w:val="false"/>
                  <w:strike w:val="false"/>
                  <w:dstrike w:val="false"/>
                  <w:color w:val="000000"/>
                  <w:sz w:val="20"/>
                  <w:u w:val="none"/>
                  <w:effect w:val="none"/>
                </w:rPr>
                <w:t>Item 3.</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45">
              <w:r>
                <w:rPr>
                  <w:rStyle w:val="InternetLink"/>
                  <w:rFonts w:ascii="Times New Roman;serif" w:hAnsi="Times New Roman;serif"/>
                  <w:b w:val="false"/>
                  <w:color w:val="0000FF"/>
                  <w:sz w:val="20"/>
                  <w:u w:val="single"/>
                </w:rPr>
                <w:t>Defaults Upon Senior Securities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45">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48">
              <w:r>
                <w:rPr>
                  <w:rStyle w:val="InternetLink"/>
                  <w:rFonts w:ascii="Times New Roman;serif" w:hAnsi="Times New Roman;serif"/>
                  <w:b w:val="false"/>
                  <w:strike w:val="false"/>
                  <w:dstrike w:val="false"/>
                  <w:color w:val="000000"/>
                  <w:sz w:val="20"/>
                  <w:u w:val="none"/>
                  <w:effect w:val="none"/>
                </w:rPr>
                <w:t>Item 4.</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48">
              <w:r>
                <w:rPr>
                  <w:rStyle w:val="InternetLink"/>
                  <w:rFonts w:ascii="Times New Roman;serif" w:hAnsi="Times New Roman;serif"/>
                  <w:b w:val="false"/>
                  <w:color w:val="0000FF"/>
                  <w:sz w:val="20"/>
                  <w:u w:val="single"/>
                </w:rPr>
                <w:t>Mine Safety Disclosures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48">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51">
              <w:r>
                <w:rPr>
                  <w:rStyle w:val="InternetLink"/>
                  <w:rFonts w:ascii="Times New Roman;serif" w:hAnsi="Times New Roman;serif"/>
                  <w:b w:val="false"/>
                  <w:strike w:val="false"/>
                  <w:dstrike w:val="false"/>
                  <w:color w:val="000000"/>
                  <w:sz w:val="20"/>
                  <w:u w:val="none"/>
                  <w:effect w:val="none"/>
                </w:rPr>
                <w:t>Item 5.</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51">
              <w:r>
                <w:rPr>
                  <w:rStyle w:val="InternetLink"/>
                  <w:rFonts w:ascii="Times New Roman;serif" w:hAnsi="Times New Roman;serif"/>
                  <w:b w:val="false"/>
                  <w:color w:val="0000FF"/>
                  <w:sz w:val="20"/>
                  <w:u w:val="single"/>
                </w:rPr>
                <w:t>Other Information</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51">
              <w:r>
                <w:rPr>
                  <w:rStyle w:val="InternetLink"/>
                  <w:rFonts w:ascii="Times New Roman;serif" w:hAnsi="Times New Roman;serif"/>
                  <w:b w:val="false"/>
                  <w:strike w:val="false"/>
                  <w:dstrike w:val="false"/>
                  <w:color w:val="000000"/>
                  <w:sz w:val="20"/>
                  <w:u w:val="none"/>
                  <w:effect w:val="none"/>
                </w:rPr>
                <w:t>26</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d81345c511d42b59f017f1a6041b531_154">
              <w:r>
                <w:rPr>
                  <w:rStyle w:val="InternetLink"/>
                  <w:rFonts w:ascii="Times New Roman;serif" w:hAnsi="Times New Roman;serif"/>
                  <w:b w:val="false"/>
                  <w:strike w:val="false"/>
                  <w:dstrike w:val="false"/>
                  <w:color w:val="000000"/>
                  <w:sz w:val="20"/>
                  <w:u w:val="none"/>
                  <w:effect w:val="none"/>
                </w:rPr>
                <w:t>Item 6.</w:t>
              </w:r>
            </w:hyperlink>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54">
              <w:r>
                <w:rPr>
                  <w:rStyle w:val="InternetLink"/>
                  <w:rFonts w:ascii="Times New Roman;serif" w:hAnsi="Times New Roman;serif"/>
                  <w:b w:val="false"/>
                  <w:color w:val="0000FF"/>
                  <w:sz w:val="20"/>
                  <w:u w:val="single"/>
                </w:rPr>
                <w:t>Exhibits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54">
              <w:r>
                <w:rPr>
                  <w:rStyle w:val="InternetLink"/>
                  <w:rFonts w:ascii="Times New Roman;serif" w:hAnsi="Times New Roman;serif"/>
                  <w:b w:val="false"/>
                  <w:strike w:val="false"/>
                  <w:dstrike w:val="false"/>
                  <w:color w:val="000000"/>
                  <w:sz w:val="20"/>
                  <w:u w:val="none"/>
                  <w:effect w:val="none"/>
                </w:rPr>
                <w:t>27</w:t>
              </w:r>
            </w:hyperlink>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dd81345c511d42b59f017f1a6041b531_157">
              <w:r>
                <w:rPr>
                  <w:rStyle w:val="InternetLink"/>
                  <w:rFonts w:ascii="Times New Roman;serif" w:hAnsi="Times New Roman;serif"/>
                  <w:b w:val="false"/>
                  <w:color w:val="0000FF"/>
                  <w:sz w:val="20"/>
                  <w:u w:val="single"/>
                </w:rPr>
                <w:t>Signatures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d81345c511d42b59f017f1a6041b531_157">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863"/>
        <w:gridCol w:w="2436"/>
        <w:gridCol w:w="2418"/>
        <w:gridCol w:w="211"/>
        <w:gridCol w:w="721"/>
        <w:gridCol w:w="109"/>
        <w:gridCol w:w="109"/>
        <w:gridCol w:w="109"/>
        <w:gridCol w:w="109"/>
        <w:gridCol w:w="217"/>
        <w:gridCol w:w="743"/>
        <w:gridCol w:w="160"/>
      </w:tblGrid>
      <w:tr>
        <w:trPr/>
        <w:tc>
          <w:tcPr>
            <w:tcW w:w="2863"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88,932 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200,000,000 shares authorized, 3,938,654 outstanding as of March 31, 2026 and December 31, 2025</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100,000,000 shares authorized, 241 outstanding as of March 31,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392,478 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391,090 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89,959 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9923" w:type="dxa"/>
        <w:jc w:val="left"/>
        <w:tblInd w:w="0" w:type="dxa"/>
        <w:tblLayout w:type="fixed"/>
        <w:tblCellMar>
          <w:top w:w="28" w:type="dxa"/>
          <w:left w:w="28" w:type="dxa"/>
          <w:bottom w:w="28" w:type="dxa"/>
          <w:right w:w="28" w:type="dxa"/>
        </w:tblCellMar>
      </w:tblPr>
      <w:tblGrid>
        <w:gridCol w:w="2470"/>
        <w:gridCol w:w="2177"/>
        <w:gridCol w:w="2193"/>
        <w:gridCol w:w="244"/>
        <w:gridCol w:w="837"/>
        <w:gridCol w:w="109"/>
        <w:gridCol w:w="109"/>
        <w:gridCol w:w="109"/>
        <w:gridCol w:w="109"/>
        <w:gridCol w:w="244"/>
        <w:gridCol w:w="732"/>
        <w:gridCol w:w="109"/>
        <w:gridCol w:w="109"/>
        <w:gridCol w:w="109"/>
        <w:gridCol w:w="109"/>
        <w:gridCol w:w="154"/>
      </w:tblGrid>
      <w:tr>
        <w:trPr/>
        <w:tc>
          <w:tcPr>
            <w:tcW w:w="247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related party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noncontrolling interest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noncontrolling interest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vTv Therapeutics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vTv Therapeutics Inc. common shareholders</w:t>
            </w:r>
          </w:p>
        </w:tc>
        <w:tc>
          <w:tcPr>
            <w:tcW w:w="1081"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vTv Therapeutics Inc. Class A common stock</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vTv Therapeutics Inc. Class A common stock</w:t>
            </w:r>
          </w:p>
        </w:tc>
        <w:tc>
          <w:tcPr>
            <w:tcW w:w="1081"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12,409,278 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6,582,844 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vTv Therapeutics Inc. Class A common stock</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vTv Therapeutics Inc. Class A common stock</w:t>
            </w:r>
          </w:p>
        </w:tc>
        <w:tc>
          <w:tcPr>
            <w:tcW w:w="1081" w:type="dxa"/>
            <w:gridSpan w:val="2"/>
            <w:tcBorders>
              <w:top w:val="doub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14,634,420 </w:t>
            </w:r>
          </w:p>
        </w:tc>
        <w:tc>
          <w:tcPr>
            <w:tcW w:w="109" w:type="dxa"/>
            <w:tcBorders>
              <w:top w:val="doub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6,582,844 </w:t>
            </w:r>
          </w:p>
        </w:tc>
        <w:tc>
          <w:tcPr>
            <w:tcW w:w="109" w:type="dxa"/>
            <w:tcBorders>
              <w:top w:val="doub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Stockholders’ Equity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0205" w:type="dxa"/>
        <w:jc w:val="center"/>
        <w:tblInd w:w="0" w:type="dxa"/>
        <w:tblLayout w:type="fixed"/>
        <w:tblCellMar>
          <w:top w:w="28" w:type="dxa"/>
          <w:left w:w="28" w:type="dxa"/>
          <w:bottom w:w="28" w:type="dxa"/>
          <w:right w:w="28" w:type="dxa"/>
        </w:tblCellMar>
      </w:tblPr>
      <w:tblGrid>
        <w:gridCol w:w="626"/>
        <w:gridCol w:w="365"/>
        <w:gridCol w:w="366"/>
        <w:gridCol w:w="109"/>
        <w:gridCol w:w="109"/>
        <w:gridCol w:w="109"/>
        <w:gridCol w:w="443"/>
        <w:gridCol w:w="443"/>
        <w:gridCol w:w="196"/>
        <w:gridCol w:w="113"/>
        <w:gridCol w:w="113"/>
        <w:gridCol w:w="113"/>
        <w:gridCol w:w="239"/>
        <w:gridCol w:w="361"/>
        <w:gridCol w:w="113"/>
        <w:gridCol w:w="109"/>
        <w:gridCol w:w="109"/>
        <w:gridCol w:w="109"/>
        <w:gridCol w:w="218"/>
        <w:gridCol w:w="218"/>
        <w:gridCol w:w="196"/>
        <w:gridCol w:w="112"/>
        <w:gridCol w:w="112"/>
        <w:gridCol w:w="112"/>
        <w:gridCol w:w="202"/>
        <w:gridCol w:w="420"/>
        <w:gridCol w:w="112"/>
        <w:gridCol w:w="109"/>
        <w:gridCol w:w="109"/>
        <w:gridCol w:w="109"/>
        <w:gridCol w:w="196"/>
        <w:gridCol w:w="751"/>
        <w:gridCol w:w="109"/>
        <w:gridCol w:w="109"/>
        <w:gridCol w:w="109"/>
        <w:gridCol w:w="109"/>
        <w:gridCol w:w="205"/>
        <w:gridCol w:w="796"/>
        <w:gridCol w:w="114"/>
        <w:gridCol w:w="109"/>
        <w:gridCol w:w="109"/>
        <w:gridCol w:w="109"/>
        <w:gridCol w:w="231"/>
        <w:gridCol w:w="780"/>
        <w:gridCol w:w="195"/>
      </w:tblGrid>
      <w:tr>
        <w:trPr/>
        <w:tc>
          <w:tcPr>
            <w:tcW w:w="6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55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2648" w:type="dxa"/>
            <w:gridSpan w:val="9"/>
            <w:tcBorders/>
          </w:tcPr>
          <w:p>
            <w:pPr>
              <w:pStyle w:val="TableContents"/>
              <w:bidi w:val="0"/>
              <w:spacing w:before="0" w:after="283"/>
              <w:jc w:val="left"/>
              <w:rPr>
                <w:sz w:val="4"/>
                <w:szCs w:val="4"/>
              </w:rPr>
            </w:pPr>
            <w:r>
              <w:rPr>
                <w:sz w:val="4"/>
                <w:szCs w:val="4"/>
              </w:rPr>
            </w:r>
          </w:p>
        </w:tc>
      </w:tr>
      <w:tr>
        <w:trPr/>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35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3,938,654</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2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391,090</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(326,692)</w:t>
            </w:r>
          </w:p>
        </w:tc>
        <w:tc>
          <w:tcPr>
            <w:tcW w:w="11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64,437</w:t>
            </w:r>
            <w:r>
              <w:rPr>
                <w:color w:val="000000"/>
              </w:rPr>
              <w:t> </w:t>
            </w:r>
          </w:p>
        </w:tc>
        <w:tc>
          <w:tcPr>
            <w:tcW w:w="19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9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3,938,654</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392,478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(302,558)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89,959</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3060" w:type="dxa"/>
        <w:jc w:val="left"/>
        <w:tblInd w:w="0" w:type="dxa"/>
        <w:tblLayout w:type="fixed"/>
        <w:tblCellMar>
          <w:top w:w="28" w:type="dxa"/>
          <w:left w:w="28" w:type="dxa"/>
          <w:bottom w:w="28" w:type="dxa"/>
          <w:right w:w="28" w:type="dxa"/>
        </w:tblCellMar>
      </w:tblPr>
      <w:tblGrid>
        <w:gridCol w:w="619"/>
        <w:gridCol w:w="268"/>
        <w:gridCol w:w="26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21"/>
        <w:gridCol w:w="745"/>
        <w:gridCol w:w="175"/>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2669"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311,885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(299,718)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12,199</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14,301</w:t>
            </w:r>
            <w:r>
              <w:rPr>
                <w:color w:val="000000"/>
              </w:rPr>
              <w:t> </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312,698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(304,810)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7,920</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977</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8,897</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94"/>
        <w:gridCol w:w="2343"/>
        <w:gridCol w:w="2359"/>
        <w:gridCol w:w="232"/>
        <w:gridCol w:w="796"/>
        <w:gridCol w:w="119"/>
        <w:gridCol w:w="119"/>
        <w:gridCol w:w="119"/>
        <w:gridCol w:w="119"/>
        <w:gridCol w:w="232"/>
        <w:gridCol w:w="796"/>
        <w:gridCol w:w="177"/>
      </w:tblGrid>
      <w:tr>
        <w:trPr/>
        <w:tc>
          <w:tcPr>
            <w:tcW w:w="279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96"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7"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noncontrolling interest</w:t>
            </w:r>
          </w:p>
        </w:tc>
        <w:tc>
          <w:tcPr>
            <w:tcW w:w="23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17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before noncontrolling interest to net cash provided by (used) in operating activities: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related party</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2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1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7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7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beginning of period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end of period</w:t>
            </w:r>
          </w:p>
        </w:tc>
        <w:tc>
          <w:tcPr>
            <w:tcW w:w="2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1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17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Note 1: Description of Business and Basis of Presentation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vTv Therapeutics Inc. (the “Company,” the “Registrant,” “we” or “us”) was incorporated in the state of Delaware in April 2015. The Company is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being investigated as an adjunctive therapy to insulin for the treatment of type 1 diabetes. The Company and its development partners are investigating multiple molecules across different indications for chronic diseases.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Company’s principal operating subsidiary.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Unaudited Condensed Consolidated Financial Statements. The assets and liabilities of vTv LLC represent substantially all of the Company’s consolidated assets and liabilities with the exception of the Warrants and $78.0 million of cash and cash equivalents.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Various holders own non-voting interests in vTv LLC, representing a de minimis amount of economic interest. Effectively, vTv Therapeutics Inc.’s interest is approximately 100.0% of vTv LLC’s economic results. vTv Therapeutics Inc. has provided financial and other support to vTv LLC in the form of its purchase of vTv Units with the net proceeds of the Company’s various debt and equity transactions in prior years and equity purchase agreements with various parties. v</w:t>
      </w:r>
      <w:r>
        <w:rPr>
          <w:rFonts w:ascii="Times New Roman;serif" w:hAnsi="Times New Roman;serif"/>
          <w:b w:val="false"/>
          <w:color w:val="000000"/>
          <w:sz w:val="20"/>
          <w:shd w:fill="FFFFFF" w:val="clear"/>
        </w:rPr>
        <w:t xml:space="preserve">Tv Therapeutics Inc. will not be required to provide financial or other support for vTv LLC. </w:t>
      </w:r>
      <w:r>
        <w:rPr>
          <w:rFonts w:ascii="Times New Roman;serif" w:hAnsi="Times New Roman;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March 31, 2026,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2026, the Company had an accumulated deficit of $302.6 million and has generated net losses in each year of its existence. As of March 31, 2026, the Company’s liquidity sources included cash and cash equivalents of $98.1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January 30, 2026, the Company entered into a Second Amendment to License Agreement with Newsoara Biopharma Co., Ltd. (“Newsoara”) (the “Second Amendment”). Under the Second Amendment, Newsoara's rights in the Company's PDE4 inhibitor, </w:t>
      </w:r>
      <w:r>
        <w:rPr>
          <w:rFonts w:ascii="Times New Roman;serif" w:hAnsi="Times New Roman;serif"/>
          <w:b w:val="false"/>
          <w:i/>
          <w:color w:val="000000"/>
          <w:sz w:val="20"/>
        </w:rPr>
        <w:t>HPP737</w:t>
      </w:r>
      <w:r>
        <w:rPr>
          <w:rFonts w:ascii="Times New Roman;serif" w:hAnsi="Times New Roman;serif"/>
          <w:b w:val="false"/>
          <w:color w:val="000000"/>
          <w:sz w:val="20"/>
        </w:rPr>
        <w:t>, will expand to include all countries of the world upon Newsoara's payment of the upfront fee of $20.0 million. See Note 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accounting principles generally accepted in the United States of America (“GAAP”). The accompanying Condensed Consolidated Balance Sheet as of March 31, 2026, Condensed Consolidated Statements of Operations for the three months ended March 31, 2026, and 2025 Condensed Consolidated Statement of Changes in Stockholders’ Equity for the three months ended March 31,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and Condensed Consolidated Statements of Cash Flows for the three months ended March 31, 2026, and 2025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2025,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2026, the results of operations for the three months ended March 31, 2026 and 2025 and cash flows for the three months ended March 31, 2026 and 2025. The December 31, 2025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to the financial statements related to the three months ended March 31, 2026 and 2025 are unaudited. Interim results are not necessarily indicative of results for an entire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including those related to the grant date fair value of equity awards, the fair value of warrants to purchase shares of its Class A common stock and the useful lives of property and equipment,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and disruption in the global economy and financial markets due to a number of factors, including geopolitical instability, inflationary pressures, high interest rates, a recessionary environment, domestic and global monetary and fiscal policy, changes in trade policy, including tariffs or other trade restrictions or the threat of such actions, banking and other financial institution instability and other factors. Our business may also be impacted by changes or disruptions at the U.S. Food and Drug Administration (“FDA”) and other government agencies. The Company has taken into consideration any known impacts to its accounting estimates to date and is not aware of any additional specific events or circumstances that would require any additional updates to its estimates or judgments or a revision of the carrying value of its assets or liabilities as of the filing date of this Quarterly Report on Form 10-Q.</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during the three months ended March 31, 2026, as compared to those disclosed in Note 2 Summary of Significant Accounting Policies included in the Company’s Annual Report on Form 10-K for the year ended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erif" w:hAnsi="Times New Roman;serif"/>
          <w:b/>
          <w:color w:val="000000"/>
          <w:sz w:val="20"/>
        </w:rPr>
        <w:t>Disaggregation of Income Statement Expenses:</w:t>
      </w:r>
      <w:r>
        <w:rPr>
          <w:color w:val="000000"/>
        </w:rPr>
        <w:t xml:space="preserve"> </w:t>
      </w: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Income Statement—Reporting Comprehensive Income—Expense Disaggregation Disclosures: Disaggregation of Income Statement Expenses.</w:t>
      </w:r>
      <w:r>
        <w:rPr>
          <w:color w:val="000000"/>
        </w:rPr>
        <w:t xml:space="preserve">” </w:t>
      </w:r>
      <w:r>
        <w:rPr>
          <w:rFonts w:ascii="Times New Roman;serif" w:hAnsi="Times New Roman;serif"/>
          <w:b w:val="false"/>
          <w:color w:val="000000"/>
          <w:sz w:val="20"/>
        </w:rPr>
        <w:t>This guidance requires disclosures about significant expense categories, including but not limited to, inventory purchases, employee compensation, depreciation, amortization, and selling expenses</w:t>
      </w:r>
      <w:r>
        <w:rPr>
          <w:rFonts w:ascii="Times New Roman;serif" w:hAnsi="Times New Roman;serif"/>
          <w:b w:val="false"/>
          <w:color w:val="000000"/>
          <w:sz w:val="20"/>
          <w:shd w:fill="FFFFFF" w:val="clear"/>
        </w:rPr>
        <w:t>. This amendment is effective for our annual reporting periods beginning after December 15, 2026, and interim reporting periods beginning after December 15, 2027. We are currently assessing the impact of this guidance on our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3: Collaboration Agreements</w:t>
      </w:r>
    </w:p>
    <w:p>
      <w:pPr>
        <w:pStyle w:val="TextBody"/>
        <w:bidi w:val="0"/>
        <w:spacing w:lineRule="auto" w:line="288" w:before="120" w:after="283"/>
        <w:ind w:left="0" w:right="0" w:hanging="540"/>
        <w:jc w:val="both"/>
        <w:rPr>
          <w:rFonts w:ascii="Times New Roman;serif" w:hAnsi="Times New Roman;serif"/>
          <w:b/>
          <w:i/>
          <w:color w:val="000000"/>
          <w:sz w:val="20"/>
        </w:rPr>
      </w:pPr>
      <w:r>
        <w:rPr>
          <w:rFonts w:ascii="Times New Roman;serif" w:hAnsi="Times New Roman;serif"/>
          <w:b/>
          <w:i/>
          <w:color w:val="000000"/>
          <w:sz w:val="20"/>
        </w:rPr>
        <w:t xml:space="preserve">G42 Agreements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G42 Investments AI Holding RSC Ltd, a private limited company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 of G42 Investments paid in 2023. G42 Investments agreed to certain transfer restrictions (including restrictions on short sales or similar transactions) and restrictions on further acquisitions of shares. The Company granted G42 Investments certain shelf and piggyback registration rights with respect to those shares, including the ability to conduct an underwritten offering to resell such shares under certain circumstances. The registration rights include customary cooperation, cut-back, expense reimbursement, and indemnification provisions.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Contemporaneously with the G42 Purchase Agreement, in 2022, the Company entered into a collaboration and license agreement (the “Collaboration Agreement”) with Cogna Technology Solutions LLC, an affiliate of G42 Investments, with those rights transferring to G42 Healthcare Research Technology Projects LLC ("G42"), an affiliate of G42 Investments. The Collaboration Agreement which requires G42 to work with the Company in performing clinical trials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TP399)</w:t>
      </w:r>
      <w:r>
        <w:rPr>
          <w:color w:val="000000"/>
        </w:rPr>
        <w:t xml:space="preserve"> </w:t>
      </w:r>
      <w:r>
        <w:rPr>
          <w:rFonts w:ascii="Times New Roman;serif" w:hAnsi="Times New Roman;serif"/>
          <w:b w:val="false"/>
          <w:color w:val="000000"/>
          <w:sz w:val="20"/>
        </w:rPr>
        <w:t xml:space="preserve">as well as jointly creating a global development plan to develop, market, and commercialize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in certain countries in the Middle East, Africa, and Central Asia (the “Partner Territory”). Under the terms of the Collaboration Agreement, G42 obtained a license under certain intellectual property controlled by the Company to enable it to fulfill its obligations and exercise its rights under the Collaboration Agreement, including to develop and commercialize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in the Partner Territory. Specifically, the Company will share various protocols with G42 related to conducting the clinical trials and will provide the patient dosages and placebo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needed to conduct the trials. Under the Collaboration Agreement, G42 has the right to develop and commercialize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in the Partner Territory at its own cost. The Company may supply at cost, or G42 may manufacture,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for commercial sale under terms to be agreed upon by the parties at a later date. Separately, the Company will conduct its clinical trials for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outside of the Partner Territory at its own cost. The results of each party’s clinical trials may be combined by the Company to seek FDA approval in the United States for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G42 Purchase Agreement also provides for, following the receipt of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and subject to certain limitations and conditions set forth in the G42 Purchase Agreement. There can be no assurance that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will be granted or as to the timing thereof. Once commercialization takes place in the Partner Territory, the Company will receive royalties in the single digits from G42 Healthcare on the net sales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for a period of at least ten years after the first commercial sale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in the Partner Territory.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premium was paid on the Class A common stock by G42 Investments of $18.7 million, net of a note receivable discount of $0.6 million, which was deferred and recorded as a contract liability. This premium was determined to be the transaction price for all remaining obligations under the agreements and accounted for under ASC 808 or ASC 606 based on determination of the unit of account. As of December 31, 2025 $18.7 million was recorded in the Consolidated Balance Sheet.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determined that certain commitments under the agreements are in the scope of ASC 808 as both the Company and G42 are active participants in the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and both are exposed to significant risks and rewards based on the success of the clinical trials and subsequent FDA approval. G42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as an ASC 808 unit of account, applying the recognition and measurement principles of ASC 606 by analogy. The Company will recognize collaboration revenue for its development activities under ASC 808 over time based on the estimated period of performance.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By applying the principles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G42 would need to be able to use and benefit from delivery of the assets or services. The performance obligation under the agreements that fall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within the ASC 808 unit of account are concentrated in the clinical trials. As of March 31, 2026, the clinical trials had not commenced. Accordingly, no collaboration revenue was recognized for the ASC 808 unit of account during the three months ended March 31, 2026 and 2025. $1.3 million remains deferred and recorded in contract liabilities as of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certain commitments that are in the scope of ASC 606 as G42’s relationship is that of a customer for these commitments. The significant performance obligations that are in the scope of ASC 606 are (1) the development, commercialization and manufacturing license of the intellectual property (IP) once restrictions on the use of the IP have been lifted by the Company and (2) a potential material right to a commercial supply agreement. As a result, the Company recognizes revenue associated with the development, commercialization, and manufacturing license at a point in time upon the release of the IP restrictions.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lifted the contractual restrictions on the use of the IP. Accordingly, the Company determined that control of the license was transferred to G42 at that point in time, and the related performance obligation was satisfied. For the three months ended March 31, 2026, the Company recognized $16.9 million license revenue associated with the transfer of the IP. No license revenue was recognized for the three months ended March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will recognize revenue from the material right related to G42’s ability to purchase the commercial supply at cost as G42 purchases the commercial supply from the Company, which will occur after the completion of the initial clinical trials (if G42 decides to purchase the clinical supply from the Company). No revenue has been recognized related to the commercial supply agreement for the three months ended March 31, 2026 and 2025, as G42 has not exercised its option to purchase commercial supply as of those dates. $0.5 million remains deferred and recorded in contract liabilities as of March 31, 2026.</w:t>
      </w:r>
    </w:p>
    <w:p>
      <w:pPr>
        <w:pStyle w:val="TextBody"/>
        <w:bidi w:val="0"/>
        <w:spacing w:lineRule="auto" w:line="288" w:before="120" w:after="283"/>
        <w:ind w:left="0" w:right="0" w:hanging="540"/>
        <w:jc w:val="left"/>
        <w:rPr>
          <w:rFonts w:ascii="Times New Roman;serif" w:hAnsi="Times New Roman;serif"/>
          <w:b/>
          <w:i/>
          <w:color w:val="000000"/>
          <w:sz w:val="20"/>
        </w:rPr>
      </w:pPr>
      <w:r>
        <w:rPr>
          <w:rFonts w:ascii="Times New Roman;serif" w:hAnsi="Times New Roman;serif"/>
          <w:b/>
          <w:i/>
          <w:color w:val="000000"/>
          <w:sz w:val="20"/>
        </w:rPr>
        <w:t>Newsoara License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erif" w:hAnsi="Times New Roman;serif"/>
          <w:b w:val="false"/>
          <w:i/>
          <w:color w:val="000000"/>
          <w:sz w:val="20"/>
        </w:rPr>
        <w:t>HPP737</w:t>
      </w:r>
      <w:r>
        <w:rPr>
          <w:rFonts w:ascii="Times New Roman;serif" w:hAnsi="Times New Roman;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In accordance with ASC 606, the Company identified all of the performance obligations at the inception of the Newsoara License Agreement. The significant obligations were determined to be the license and the technology transfer services. The Company determined that the license and technology transfer services represent a single performance obligation because they were not capable of being distinct on their own. The transaction price was fully allocated to this combined performance obligation and the related revenue was recognized during the year ended December 31, 2018.</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Newsoara License Agreement was amended in 2020 to change certain future milestone payments and patent rights (the “First Newsoara Amendment”). On January 30, 2026, the Company entered into a new Second Amendment with Newsoara. </w:t>
      </w:r>
      <w:r>
        <w:rPr>
          <w:rFonts w:ascii="Times New Roman;serif" w:hAnsi="Times New Roman;serif"/>
          <w:b w:val="false"/>
          <w:color w:val="000000"/>
          <w:sz w:val="20"/>
          <w:shd w:fill="FFFFFF" w:val="clear"/>
        </w:rPr>
        <w:t xml:space="preserve">Although the Company had previously entered into an amendment with Newsoara to expand the Original Agreement, that amendment became null and void in June 2025. Under the new Second Amendment, Newsoara's rights in the Company's PDE4 inhibitor, </w:t>
      </w:r>
      <w:r>
        <w:rPr>
          <w:rFonts w:ascii="Times New Roman;serif" w:hAnsi="Times New Roman;serif"/>
          <w:b w:val="false"/>
          <w:i/>
          <w:color w:val="000000"/>
          <w:sz w:val="20"/>
          <w:shd w:fill="FFFFFF" w:val="clear"/>
        </w:rPr>
        <w:t>HPP737</w:t>
      </w:r>
      <w:r>
        <w:rPr>
          <w:rFonts w:ascii="Times New Roman;serif" w:hAnsi="Times New Roman;serif"/>
          <w:b w:val="false"/>
          <w:color w:val="000000"/>
          <w:sz w:val="20"/>
          <w:shd w:fill="FFFFFF" w:val="clear"/>
        </w:rPr>
        <w:t xml:space="preserve">, will expand to include all countries of the world upon Newsoara's payment of the upfront fee of </w:t>
      </w:r>
      <w:r>
        <w:rPr>
          <w:rFonts w:ascii="Times New Roman;serif" w:hAnsi="Times New Roman;serif"/>
          <w:b w:val="false"/>
          <w:color w:val="000000"/>
          <w:sz w:val="20"/>
        </w:rPr>
        <w:t>$20.0 million</w:t>
      </w:r>
      <w:r>
        <w:rPr>
          <w:rFonts w:ascii="Times New Roman;serif" w:hAnsi="Times New Roman;serif"/>
          <w:b w:val="false"/>
          <w:color w:val="000000"/>
          <w:sz w:val="20"/>
          <w:shd w:fill="FFFFFF" w:val="clear"/>
        </w:rPr>
        <w:t xml:space="preserve">. The Second Amendment also requires Newsoara to pay vTv LLC up to approximately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in development milestones, </w:t>
      </w:r>
      <w:r>
        <w:rPr>
          <w:rFonts w:ascii="Times New Roman;serif" w:hAnsi="Times New Roman;serif"/>
          <w:b w:val="false"/>
          <w:color w:val="000000"/>
          <w:sz w:val="20"/>
        </w:rPr>
        <w:t>$65.0 million</w:t>
      </w:r>
      <w:r>
        <w:rPr>
          <w:color w:val="000000"/>
          <w:shd w:fill="FFFFFF" w:val="clear"/>
        </w:rPr>
        <w:t xml:space="preserve"> </w:t>
      </w:r>
      <w:r>
        <w:rPr>
          <w:rFonts w:ascii="Times New Roman;serif" w:hAnsi="Times New Roman;serif"/>
          <w:b w:val="false"/>
          <w:color w:val="000000"/>
          <w:sz w:val="20"/>
          <w:shd w:fill="FFFFFF" w:val="clear"/>
        </w:rPr>
        <w:t>in sales-related milestones and royalties in the mid single digits depending upon sales volumes.</w:t>
      </w:r>
      <w:r>
        <w:rPr>
          <w:color w:val="000000"/>
        </w:rPr>
        <w:t xml:space="preserve"> </w:t>
      </w:r>
      <w:r>
        <w:rPr>
          <w:rFonts w:ascii="Times New Roman;serif" w:hAnsi="Times New Roman;serif"/>
          <w:b w:val="false"/>
          <w:color w:val="000000"/>
          <w:sz w:val="20"/>
        </w:rPr>
        <w:t>In February 2026, the Company received and recognized the $20.0 million upfront payment from Newsoara as stipulated in the Second Amendment and recognized the related revenue due to satisfying the performance obligation.</w:t>
      </w:r>
      <w:r>
        <w:rPr>
          <w:color w:val="000000"/>
        </w:rPr>
        <w:t xml:space="preserve"> </w:t>
      </w:r>
      <w:r>
        <w:rPr>
          <w:rFonts w:ascii="Times New Roman;serif" w:hAnsi="Times New Roman;serif"/>
          <w:b w:val="false"/>
          <w:color w:val="000000"/>
          <w:sz w:val="20"/>
        </w:rPr>
        <w:t>As of March 31, 2026 $3.0 million milestones have been met.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4: 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issued non-qualified stock option awards to management, other key employees, consultants, and non-employee directors and these options ratably vest over a four-year service period. In addition, we issued options in connection with the private placement on February 27, 2024, that vest ratably over a three-year period. The option awards expire after a term of ten years from the date of grant. As of March 31, 2026, the Company had total unrecognized stock-based compensation expense for its outstanding stock option awards of approximately $13.4 million, which is expected to be recognized over a weighted average period of 3.2 years. The weighted average grant date fair value of options granted during the three months ended March 31, 2026, and 2025 was $28.56 and $14.97 per option, respectively. The aggregate intrinsic value of the in-the-money awards outstanding at March 31, 2026, was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stock option awards for the three months ended March 31, 2026:</w:t>
      </w:r>
    </w:p>
    <w:tbl>
      <w:tblPr>
        <w:tblW w:w="10205" w:type="dxa"/>
        <w:jc w:val="left"/>
        <w:tblInd w:w="0" w:type="dxa"/>
        <w:tblLayout w:type="fixed"/>
        <w:tblCellMar>
          <w:top w:w="28" w:type="dxa"/>
          <w:left w:w="28" w:type="dxa"/>
          <w:bottom w:w="28" w:type="dxa"/>
          <w:right w:w="28" w:type="dxa"/>
        </w:tblCellMar>
      </w:tblPr>
      <w:tblGrid>
        <w:gridCol w:w="1397"/>
        <w:gridCol w:w="1228"/>
        <w:gridCol w:w="1230"/>
        <w:gridCol w:w="488"/>
        <w:gridCol w:w="488"/>
        <w:gridCol w:w="433"/>
        <w:gridCol w:w="109"/>
        <w:gridCol w:w="109"/>
        <w:gridCol w:w="109"/>
        <w:gridCol w:w="362"/>
        <w:gridCol w:w="1059"/>
        <w:gridCol w:w="186"/>
        <w:gridCol w:w="109"/>
        <w:gridCol w:w="109"/>
        <w:gridCol w:w="109"/>
        <w:gridCol w:w="519"/>
        <w:gridCol w:w="1777"/>
        <w:gridCol w:w="384"/>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385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December 31, 2025</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1,017,620 </w:t>
            </w:r>
          </w:p>
        </w:tc>
        <w:tc>
          <w:tcPr>
            <w:tcW w:w="43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475,719 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March 31, 2026</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1,493,339 </w:t>
            </w:r>
          </w:p>
        </w:tc>
        <w:tc>
          <w:tcPr>
            <w:tcW w:w="43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20,731 </w:t>
            </w:r>
          </w:p>
        </w:tc>
        <w:tc>
          <w:tcPr>
            <w:tcW w:w="38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March 31, 2026</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520,306 </w:t>
            </w:r>
          </w:p>
        </w:tc>
        <w:tc>
          <w:tcPr>
            <w:tcW w:w="4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8,947 </w:t>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4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March 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1,208,395 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4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the grants of stock options is included in research and development and general and administrative expense as follows (in thousands):</w:t>
      </w:r>
    </w:p>
    <w:tbl>
      <w:tblPr>
        <w:tblW w:w="6421" w:type="dxa"/>
        <w:jc w:val="left"/>
        <w:tblInd w:w="0" w:type="dxa"/>
        <w:tblLayout w:type="fixed"/>
        <w:tblCellMar>
          <w:top w:w="28" w:type="dxa"/>
          <w:left w:w="28" w:type="dxa"/>
          <w:bottom w:w="28" w:type="dxa"/>
          <w:right w:w="28" w:type="dxa"/>
        </w:tblCellMar>
      </w:tblPr>
      <w:tblGrid>
        <w:gridCol w:w="1245"/>
        <w:gridCol w:w="1092"/>
        <w:gridCol w:w="1098"/>
        <w:gridCol w:w="247"/>
        <w:gridCol w:w="721"/>
        <w:gridCol w:w="127"/>
        <w:gridCol w:w="127"/>
        <w:gridCol w:w="127"/>
        <w:gridCol w:w="127"/>
        <w:gridCol w:w="247"/>
        <w:gridCol w:w="546"/>
        <w:gridCol w:w="127"/>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4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5: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Novo Nordisk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 obligations totaling up to $6.0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As of March 31, 2026, the Company does not have any commercialized licensed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Note 6: Stockholders’ Equity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and Pre-funded Warrants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August 2025, the Company entered into a securities purchase agreement with certain Private Placement Investors pursuant to which the Company issued and sold an aggregate of 682,018 shares of Class A common stock at a purchase price of $15.265 per share, Pre-funded Warrants to purchase </w:t>
      </w:r>
      <w:r>
        <w:rPr>
          <w:rFonts w:ascii="Times New Roman;serif" w:hAnsi="Times New Roman;serif"/>
          <w:b w:val="false"/>
          <w:color w:val="000000"/>
          <w:sz w:val="20"/>
          <w:shd w:fill="FFFFFF" w:val="clear"/>
        </w:rPr>
        <w:t>4,561,714</w:t>
      </w:r>
      <w:r>
        <w:rPr>
          <w:color w:val="000000"/>
        </w:rPr>
        <w:t xml:space="preserve"> </w:t>
      </w:r>
      <w:r>
        <w:rPr>
          <w:rFonts w:ascii="Times New Roman;serif" w:hAnsi="Times New Roman;serif"/>
          <w:b w:val="false"/>
          <w:color w:val="000000"/>
          <w:sz w:val="20"/>
        </w:rPr>
        <w:t xml:space="preserve">shares of Class A common stock at a purchase price of $15.255 per Pre-funded Warrant, and accompanying Common Warrants to purchase up to </w:t>
      </w:r>
      <w:r>
        <w:rPr>
          <w:rFonts w:ascii="Times New Roman;serif" w:hAnsi="Times New Roman;serif"/>
          <w:b w:val="false"/>
          <w:color w:val="000000"/>
          <w:sz w:val="20"/>
          <w:shd w:fill="FFFFFF" w:val="clear"/>
        </w:rPr>
        <w:t>5,243,732</w:t>
      </w:r>
      <w:r>
        <w:rPr>
          <w:color w:val="000000"/>
        </w:rPr>
        <w:t xml:space="preserve"> </w:t>
      </w:r>
      <w:r>
        <w:rPr>
          <w:rFonts w:ascii="Times New Roman;serif" w:hAnsi="Times New Roman;serif"/>
          <w:b w:val="false"/>
          <w:color w:val="000000"/>
          <w:sz w:val="20"/>
        </w:rPr>
        <w:t>shares of Class A common stock for aggregate gross proceeds of approximately $80.0 million,</w:t>
      </w:r>
      <w:r>
        <w:rPr>
          <w:color w:val="000000"/>
          <w:shd w:fill="FFFFFF" w:val="clear"/>
        </w:rPr>
        <w:t xml:space="preserve"> </w:t>
      </w:r>
      <w:r>
        <w:rPr>
          <w:rFonts w:ascii="Times New Roman;serif" w:hAnsi="Times New Roman;serif"/>
          <w:b w:val="false"/>
          <w:color w:val="000000"/>
          <w:sz w:val="20"/>
          <w:shd w:fill="FFFFFF" w:val="clear"/>
        </w:rPr>
        <w:t>before deducting offering costs payable by us</w:t>
      </w:r>
      <w:r>
        <w:rPr>
          <w:rFonts w:ascii="Times New Roman;serif" w:hAnsi="Times New Roman;serif"/>
          <w:b w:val="false"/>
          <w:color w:val="000000"/>
          <w:sz w:val="20"/>
        </w:rPr>
        <w:t xml:space="preserve">. The Pre-funded Warrants were immediately exercisable at an exercise price of $0.01 per share. The Common Warrants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exercisable at </w:t>
      </w:r>
      <w:r>
        <w:rPr>
          <w:rFonts w:ascii="Times New Roman;serif" w:hAnsi="Times New Roman;serif"/>
          <w:b w:val="false"/>
          <w:color w:val="000000"/>
          <w:sz w:val="20"/>
          <w:shd w:fill="FFFFFF" w:val="clear"/>
        </w:rPr>
        <w:t>$22.71</w:t>
      </w:r>
      <w:r>
        <w:rPr>
          <w:color w:val="000000"/>
        </w:rPr>
        <w:t xml:space="preserve"> </w:t>
      </w:r>
      <w:r>
        <w:rPr>
          <w:rFonts w:ascii="Times New Roman;serif" w:hAnsi="Times New Roman;serif"/>
          <w:b w:val="false"/>
          <w:color w:val="000000"/>
          <w:sz w:val="20"/>
        </w:rPr>
        <w:t xml:space="preserve">per share and expire upon the earlier of the fifth anniversary of issuance or </w:t>
      </w:r>
      <w:r>
        <w:rPr>
          <w:rFonts w:ascii="Times New Roman;serif" w:hAnsi="Times New Roman;serif"/>
          <w:b w:val="false"/>
          <w:color w:val="000000"/>
          <w:sz w:val="20"/>
          <w:shd w:fill="FFFFFF" w:val="clear"/>
        </w:rPr>
        <w:t xml:space="preserve">90 days </w:t>
      </w:r>
      <w:r>
        <w:rPr>
          <w:rFonts w:ascii="Times New Roman;serif" w:hAnsi="Times New Roman;serif"/>
          <w:b w:val="false"/>
          <w:color w:val="000000"/>
          <w:sz w:val="20"/>
        </w:rPr>
        <w:t>following the announcement of positive top-line data from the Company’s ongoing CATT1 clinical trial.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2024, the Company entered into a securities purchase agreement with certain Private Placement Investors pursuant to which the Company issued and sold an aggregate of 464,377 shares of Class A common stock at a purchase price of $11.81 per share and Pre-funded Warrants to purchase 3,853,997 shares of Class A common stock at a purchase price of $11.80 per Pre-funded Warrant for aggregate gross proceeds of approximately $51.0 million, b</w:t>
      </w:r>
      <w:r>
        <w:rPr>
          <w:rFonts w:ascii="Times New Roman;serif" w:hAnsi="Times New Roman;serif"/>
          <w:b w:val="false"/>
          <w:color w:val="000000"/>
          <w:sz w:val="20"/>
          <w:shd w:fill="FFFFFF" w:val="clear"/>
        </w:rPr>
        <w:t>efore deducting offering costs payable by us</w:t>
      </w:r>
      <w:r>
        <w:rPr>
          <w:rFonts w:ascii="Times New Roman;serif" w:hAnsi="Times New Roman;serif"/>
          <w:b w:val="false"/>
          <w:color w:val="000000"/>
          <w:sz w:val="20"/>
        </w:rPr>
        <w:t>. The Pre-funded Warrants were immediately exercisable at an exercise price of $0.01 per share and contain customary beneficial ownership limitations.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entered into a letter agreement with the Private Placement Investors pursuant to which the investors exchanged an aggregate of 116,493 shares of Class A common stock for 116,590 Pre-funded Warrants.</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Equity-Based Stock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equity-based stock warrant activity for the three months ended March 31, 2026:</w:t>
      </w:r>
    </w:p>
    <w:tbl>
      <w:tblPr>
        <w:tblW w:w="7900"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540"/>
        <w:gridCol w:w="541"/>
        <w:gridCol w:w="226"/>
        <w:gridCol w:w="109"/>
        <w:gridCol w:w="109"/>
        <w:gridCol w:w="109"/>
        <w:gridCol w:w="721"/>
        <w:gridCol w:w="1748"/>
        <w:gridCol w:w="53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5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5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*Amount includes 8,470,624 Pre-Funded Warrants and 5,243,732 Common Warrants.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Pre-Funded and Common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at no time will we sell securities registered on the registration statement relating to the TD Cowen ATM Offering with an aggregate amount exceeding one-third of our public float in any 12-calendar 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did not sell any shares of Class A common stock under the TD Cowen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7: Related-Party Transactions</w:t>
      </w:r>
    </w:p>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MacAndrews &amp; Forbes Incorporated</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19, 2025, MacAndrews converted all 577,108 outstanding shares of their Class B common stock (together with an equal number of vTv LLC units) into Class A common stock. As a result, vTv Therapeutics Inc. now owns approximately 100% of vTv LLC, as of September 30, 2025. Further, as of March 31, 2026, MacAndrews directly or indirectly holds 1,490,090 shares of the Company’s Class A common stock. As a result, MacAndrews’ holdings represent approximately 37.8% of the combined voting power of the Company’s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agreements with MacAndrews or its affiliates as further detailed below:</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Exchange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On September 19, 2025, MacAndrews exchanged 577,108 shares under the provisions of the Exchange Agreement.</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MacAndrews exchanged 577,108 shares pursuant to the Exchange Agreement (discussed above), and the Company has not recognized any liability, nor has it made any payments pursuant to the Tax Receivable Agreement as of March 31, 2026.</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8: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Condensed Consolidated Balance Sheet as total assets.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Company manages its business activities on a consolidated basis and operates in a single reportable segment. Its operations primarily focus on the research and development of its lead product candidate,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and it has not yet generated any product revenue. All of the Company’s principal operations, assets, and decision-making functions are based in the U.S., and as a result, all of our financial information is derived from domestic sources except for collaboration and license revenue of $36.8 million during the three months ended March 31, 2026, which was derived from two foreign collaboration partners located in China and United Arab Emirates.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segment expenses are included in the table below and represent direct and indirect research and development expenses by project for the three months ended March 31, 2026, and 2025 were as follows (in thousands):</w:t>
      </w:r>
    </w:p>
    <w:tbl>
      <w:tblPr>
        <w:tblW w:w="6817" w:type="dxa"/>
        <w:jc w:val="left"/>
        <w:tblInd w:w="0" w:type="dxa"/>
        <w:tblLayout w:type="fixed"/>
        <w:tblCellMar>
          <w:top w:w="28" w:type="dxa"/>
          <w:left w:w="28" w:type="dxa"/>
          <w:bottom w:w="28" w:type="dxa"/>
          <w:right w:w="28" w:type="dxa"/>
        </w:tblCellMar>
      </w:tblPr>
      <w:tblGrid>
        <w:gridCol w:w="1348"/>
        <w:gridCol w:w="1182"/>
        <w:gridCol w:w="1189"/>
        <w:gridCol w:w="230"/>
        <w:gridCol w:w="672"/>
        <w:gridCol w:w="119"/>
        <w:gridCol w:w="119"/>
        <w:gridCol w:w="119"/>
        <w:gridCol w:w="119"/>
        <w:gridCol w:w="230"/>
        <w:gridCol w:w="672"/>
        <w:gridCol w:w="119"/>
        <w:gridCol w:w="109"/>
        <w:gridCol w:w="109"/>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projects</w:t>
            </w:r>
            <w:r>
              <w:rPr>
                <w:rFonts w:ascii="Times New Roman;serif" w:hAnsi="Times New Roman;serif"/>
                <w:b w:val="false"/>
                <w:color w:val="000000"/>
                <w:sz w:val="16"/>
              </w:rPr>
              <w:t>*</w:t>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576" w:type="dxa"/>
        <w:jc w:val="left"/>
        <w:tblInd w:w="0" w:type="dxa"/>
        <w:tblLayout w:type="fixed"/>
        <w:tblCellMar>
          <w:top w:w="28" w:type="dxa"/>
          <w:left w:w="28" w:type="dxa"/>
          <w:bottom w:w="28" w:type="dxa"/>
          <w:right w:w="28" w:type="dxa"/>
        </w:tblCellMar>
      </w:tblPr>
      <w:tblGrid>
        <w:gridCol w:w="124"/>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Includes HPP737 and azeliragon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Includes share-based compensation</w:t>
            </w:r>
          </w:p>
        </w:tc>
      </w:tr>
    </w:tbl>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Segment revenue is consistent with what is presented in the Company’s Condensed Consolidated Statements of Operations. Other segment items consist of (i) operating expenses, which include share-based compensation, (ii) interest and other expense and (iii) income tax expense, all of which are reflected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as well as state taxes. The Company did not record an income tax provision for the three months ended March 31,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March 31, 2026, is due to the valuation allowance against the Company’s expected net operating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7,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10: Net Income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is computed by dividing net income (loss) attributable to vTv Therapeutics Inc. by the weighted average number of shares of Class A common stock outstanding during the period. Diluted net income (loss) per share is computed by dividing net income (loss) by the weighted-average number of shares of common stock and potentially dilutive shares of common stock outstanding during the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dilutive securities, all outstanding stock options, and Common Warrants, are considered potentially outstanding common stock. The dilutive effect, if any, of stock options, and Common Warrants is calculated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income (loss) per share of Class A common stock is as follows (amounts 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452"/>
        <w:gridCol w:w="2140"/>
        <w:gridCol w:w="2158"/>
        <w:gridCol w:w="264"/>
        <w:gridCol w:w="902"/>
        <w:gridCol w:w="135"/>
        <w:gridCol w:w="135"/>
        <w:gridCol w:w="135"/>
        <w:gridCol w:w="135"/>
        <w:gridCol w:w="264"/>
        <w:gridCol w:w="864"/>
        <w:gridCol w:w="135"/>
        <w:gridCol w:w="109"/>
        <w:gridCol w:w="109"/>
        <w:gridCol w:w="109"/>
        <w:gridCol w:w="159"/>
      </w:tblGrid>
      <w:tr>
        <w:trPr/>
        <w:tc>
          <w:tcPr>
            <w:tcW w:w="245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EBFEFF"/>
                <w:sz w:val="20"/>
              </w:rPr>
            </w:pPr>
            <w:r>
              <w:rPr>
                <w:rFonts w:ascii="Times New Roman;serif" w:hAnsi="Times New Roman;serif"/>
                <w:b w:val="false"/>
                <w:color w:val="EBFEFF"/>
                <w:sz w:val="20"/>
              </w:rPr>
              <w:t>Basic net income (loss) per share:</w:t>
            </w:r>
          </w:p>
        </w:tc>
        <w:tc>
          <w:tcPr>
            <w:tcW w:w="13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of vTv Therapeutics Inc.</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w:t>
            </w:r>
            <w:r>
              <w:rPr>
                <w:rFonts w:ascii="Times New Roman;serif" w:hAnsi="Times New Roman;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of vTv Therapeutics Inc. Class A common stock</w:t>
            </w:r>
          </w:p>
        </w:tc>
        <w:tc>
          <w:tcPr>
            <w:tcW w:w="2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13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4"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of vTv Therapeutics Inc</w:t>
            </w:r>
          </w:p>
        </w:tc>
        <w:tc>
          <w:tcPr>
            <w:tcW w:w="116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EBF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w:t>
            </w:r>
            <w:r>
              <w:rPr>
                <w:rFonts w:ascii="Times New Roman;serif" w:hAnsi="Times New Roman;serif"/>
                <w:b w:val="false"/>
                <w:color w:val="000000"/>
                <w:sz w:val="13"/>
              </w:rPr>
              <w:t>(1)</w:t>
            </w:r>
          </w:p>
        </w:tc>
        <w:tc>
          <w:tcPr>
            <w:tcW w:w="11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14,634,420 </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6,582,844 </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vTv Therapeutics Inc. Class A common stock</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months ended March 31, 2026, and 2025.</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calculation of dilutive net loss per share are as follows:</w:t>
      </w:r>
    </w:p>
    <w:tbl>
      <w:tblPr>
        <w:tblW w:w="7036" w:type="dxa"/>
        <w:jc w:val="left"/>
        <w:tblInd w:w="0" w:type="dxa"/>
        <w:tblLayout w:type="fixed"/>
        <w:tblCellMar>
          <w:top w:w="28" w:type="dxa"/>
          <w:left w:w="28" w:type="dxa"/>
          <w:bottom w:w="28" w:type="dxa"/>
          <w:right w:w="28" w:type="dxa"/>
        </w:tblCellMar>
      </w:tblPr>
      <w:tblGrid>
        <w:gridCol w:w="1423"/>
        <w:gridCol w:w="1251"/>
        <w:gridCol w:w="1256"/>
        <w:gridCol w:w="419"/>
        <w:gridCol w:w="419"/>
        <w:gridCol w:w="421"/>
        <w:gridCol w:w="109"/>
        <w:gridCol w:w="109"/>
        <w:gridCol w:w="109"/>
        <w:gridCol w:w="488"/>
        <w:gridCol w:w="488"/>
        <w:gridCol w:w="54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83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54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options granted under the Plan </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602,850 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981,844 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warrants </w:t>
            </w:r>
          </w:p>
        </w:tc>
        <w:tc>
          <w:tcPr>
            <w:tcW w:w="83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19,160 </w:t>
            </w:r>
          </w:p>
        </w:tc>
        <w:tc>
          <w:tcPr>
            <w:tcW w:w="4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70,639 </w:t>
            </w:r>
          </w:p>
        </w:tc>
        <w:tc>
          <w:tcPr>
            <w:tcW w:w="54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622,251 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1,629,832 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evaluated subsequent events through May 13, 2026,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(“GKA”) being investigated as an adjunctive therapy to insulin for the treatment of type 1 diabetes (“T1D”). The Company and its development partners are investigating multiple molecules across different indications for chronic 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January 2026, the Company entered into the Second Amendment to License Agreement (the "Second Amendment") to provide Newsoara Biopharma Co., Ltd. (“Newsoara”) with global rights to </w:t>
      </w:r>
      <w:r>
        <w:rPr>
          <w:rFonts w:ascii="Times New Roman;serif" w:hAnsi="Times New Roman;serif"/>
          <w:b w:val="false"/>
          <w:i/>
          <w:color w:val="000000"/>
          <w:sz w:val="24"/>
        </w:rPr>
        <w:t>HPP737</w:t>
      </w:r>
      <w:r>
        <w:rPr>
          <w:rFonts w:ascii="Times New Roman;serif" w:hAnsi="Times New Roman;serif"/>
          <w:b w:val="false"/>
          <w:color w:val="000000"/>
          <w:sz w:val="20"/>
        </w:rPr>
        <w:t xml:space="preserve">. In exchange for the global rights, Newsoara paid the Company an upfront amount of $20.0 million and agreed to modify the sales and development milestones and royalty on future sales. Under the Second Amendment, the Company is eligible to receive development, regulatory and sales-based milestone payments totaling up to $115.0 million as well as royalties on sales in the mid to upper single digits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Newsoara License Agreement, Newsoara will be responsible for the development and commercialization of the licensed products at its cost, and is required to use commercially reasonable efforts with respect to such development and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clinical development candidates and their respective stages of development:</w:t>
      </w:r>
    </w:p>
    <w:p>
      <w:pPr>
        <w:pStyle w:val="TextBody"/>
        <w:bidi w:val="0"/>
        <w:spacing w:before="120" w:after="283"/>
        <w:jc w:val="left"/>
        <w:rPr/>
      </w:pPr>
      <w:r>
        <w:rPr/>
        <w:drawing>
          <wp:inline distT="0" distB="0" distL="0" distR="0">
            <wp:extent cx="6400800" cy="376237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6400800" cy="376237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shd w:fill="FFFFFF" w:val="clear"/>
        </w:rPr>
        <w:t xml:space="preserve">Our Type 1 Diabetes Program – </w:t>
      </w:r>
      <w:r>
        <w:rPr>
          <w:rFonts w:ascii="Times New Roman;serif" w:hAnsi="Times New Roman;serif"/>
          <w:b/>
          <w:i/>
          <w:color w:val="000000"/>
          <w:sz w:val="20"/>
          <w:shd w:fill="FFFFFF" w:val="clear"/>
        </w:rPr>
        <w:t>Cadisegliatin (TTP399)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Type 1 diabetes (“T1D”) is an autoimmune disease in which the body’s immune system destroys the insulin-producing beta cells of the pancreas. According to the T1D Index, an estimated 1.5 million individuals live with T1D in the United States as of 2026. Patients with T1D have difficulty achieving and maintaining glycemic control, defined as HbA1c &lt;7% as recommended by the American Diabetes Association (“ADA”), with approximately 75% of Americans living with T1D not achieving this target. Blood sugar management is a constant balancing act between reducing hyperglycemia while avoiding hypoglycemia, which the ADA Standard of Care 2026 identifies as often the major limiting factor in the glycemic management of T1D.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lack of oral adjunctive treatments for T1D, several existing therapies developed for type 2 diabetes have been investigated in T1D with limited success, primarily due to safety risks including increased risk of diabetic ketoacidosis (“DKA”). Despite the FDA’s approval of teplizumab (to delay onset of Stage 3 T1D) and donislecel (an islet cell therapy restricted to patients with recurrent severe hypoglycemia), serious unmet medical need remains for a safe oral treatment option that reduces the incidence of hypoglycemia and improves glycemic control without the risk of DKA or other serious adverse effects.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is a novel, small-molecule, liver-selective glucokinase activator (“GKA”) being evaluated as a potential first-in-class oral adjunctive therapy to insulin for the treatment of T1D. Glucokinase is a key regulator of glucose homeostasis that acts as a physiological glucose sensor; liver-selective activation of glucokinase could improve overall blood glucose control and reduce the frequency of hypoglycemic episodes through a mechanism of action distinct from currently marketed oral anti-diabetic drugs. The U.S. Food and Drug Administration (“FDA”) granted Breakthrough Therapy designation in 2021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adjunctive therapy to insulin for the treatment of T1D, supported by the positive results from the Phase 2 SimpliciT-1 study.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the Phase 2 SimpliciT-1 study, a multi-center, randomized, double-blind, adaptive trial, treatment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demonstrated a favorable safety profile, in which abnormal levels of serum or urine ketones were detected less frequently in patients taking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than those taking placebo. A Phase 1 mechanistic study further demonstrated no increased risk of ketoacidosis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during acute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insulin withdrawal in patients with T1D. We have completed eleven Phase 1 and three Phase 2 clinical trials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totaling more than 500 patients with type 1 and type 2 diabetes.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a 1:1:1 basis (i.e., 50 patients per study arm) to receive 800 mg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daily, 800 mg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twice daily, or placebo. A key secondary endpoint is reduction in glycated hemoglobin (HbA1c) to assess the potential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to reduce hyperglycemia. On July 26, 2024, the FDA issued a clinical hold for the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program, including the CATT1 trial, based on the discovery of a chromatographic signal in a recent human absorption, distribution, metabolism, and excretion (ADME) study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that could not be resolved by standard mass spectroscopy. Following submission of a complete response by vTv to the FDA detailing additional research findings and the conclusion that the original chromatographic signal was an experimental artifact, the FDA removed the clinical hold on March 14, 2025. The Company also submitted a protocol amendment to shorten the overall duration of the CATT1 study from 12 months to 6 months with no change to the primary study endpoints. The CATT1 trial continues to enroll patients and the Company expects to complete enrollment in the third quarter of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2025, the Company completed a food effect study in healthy volunteers that investigated the effect of fasting, low fat, and high fat meals on the absorption of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The study showed significantly higher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exposure in the fed groups as compared to the fasted group. The results confirm the current recommendation in the CATT1 trial that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be taken with food to maximize its absorption.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During 2025, we also continued working on the design and execution of supportive trials for </w:t>
      </w:r>
      <w:r>
        <w:rPr>
          <w:rFonts w:ascii="Times New Roman;serif" w:hAnsi="Times New Roman;serif"/>
          <w:b w:val="false"/>
          <w:i/>
          <w:color w:val="000000"/>
          <w:sz w:val="20"/>
        </w:rPr>
        <w:t>cadisegliatin</w:t>
      </w:r>
      <w:r>
        <w:rPr>
          <w:rFonts w:ascii="Times New Roman;serif" w:hAnsi="Times New Roman;serif"/>
          <w:b w:val="false"/>
          <w:color w:val="000000"/>
          <w:sz w:val="20"/>
        </w:rPr>
        <w:t>, including a thorough QT study and a Phase 2 study in patients with T1D using hybrid closed loop insulin infusion systems, which we expect to start in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continues to work on the design for further registrational studies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in type 1 diabetes, which we expect to start in 2027.</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2025, together with our partner, G42 Investments (“G42”), we initiated a double-blind, randomized, controlled Phase 2 trial in the Middle East region in insulin-using patients with type 2 diabetes (“T2D”). The study will randomize 300 patients to assess the potential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adjunct therapy to insulin in patients with T2D, and is expected to start screening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Holding Company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by project for the three months ended March 31, 2026, and 2025 were as follows (in thousands):</w:t>
      </w:r>
    </w:p>
    <w:tbl>
      <w:tblPr>
        <w:tblW w:w="6494" w:type="dxa"/>
        <w:jc w:val="left"/>
        <w:tblInd w:w="0" w:type="dxa"/>
        <w:tblLayout w:type="fixed"/>
        <w:tblCellMar>
          <w:top w:w="28" w:type="dxa"/>
          <w:left w:w="28" w:type="dxa"/>
          <w:bottom w:w="28" w:type="dxa"/>
          <w:right w:w="28" w:type="dxa"/>
        </w:tblCellMar>
      </w:tblPr>
      <w:tblGrid>
        <w:gridCol w:w="1310"/>
        <w:gridCol w:w="1149"/>
        <w:gridCol w:w="1155"/>
        <w:gridCol w:w="230"/>
        <w:gridCol w:w="672"/>
        <w:gridCol w:w="119"/>
        <w:gridCol w:w="119"/>
        <w:gridCol w:w="119"/>
        <w:gridCol w:w="119"/>
        <w:gridCol w:w="230"/>
        <w:gridCol w:w="672"/>
        <w:gridCol w:w="119"/>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projects*</w:t>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*Includes </w:t>
      </w:r>
      <w:r>
        <w:rPr>
          <w:rFonts w:ascii="Times New Roman;serif" w:hAnsi="Times New Roman;serif"/>
          <w:b w:val="false"/>
          <w:i/>
          <w:color w:val="000000"/>
          <w:sz w:val="16"/>
        </w:rPr>
        <w:t>HPP737</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azeliragon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continue to incur significant research and development expenses for the foreseeable future as we continue the development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scope, rate of progress and expense of our clinical trials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cash interest income from dividends and interest from our money market accounts, all of which are recognized in our Condensed Consolidated Statement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income/(expense) primarily consists of the recognition of changes in fair value of the warrants to purchase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9453" w:type="dxa"/>
        <w:jc w:val="left"/>
        <w:tblInd w:w="0" w:type="dxa"/>
        <w:tblLayout w:type="fixed"/>
        <w:tblCellMar>
          <w:top w:w="28" w:type="dxa"/>
          <w:left w:w="28" w:type="dxa"/>
          <w:bottom w:w="28" w:type="dxa"/>
          <w:right w:w="28" w:type="dxa"/>
        </w:tblCellMar>
      </w:tblPr>
      <w:tblGrid>
        <w:gridCol w:w="1978"/>
        <w:gridCol w:w="1738"/>
        <w:gridCol w:w="1744"/>
        <w:gridCol w:w="301"/>
        <w:gridCol w:w="348"/>
        <w:gridCol w:w="328"/>
        <w:gridCol w:w="155"/>
        <w:gridCol w:w="155"/>
        <w:gridCol w:w="155"/>
        <w:gridCol w:w="321"/>
        <w:gridCol w:w="354"/>
        <w:gridCol w:w="336"/>
        <w:gridCol w:w="155"/>
        <w:gridCol w:w="155"/>
        <w:gridCol w:w="155"/>
        <w:gridCol w:w="354"/>
        <w:gridCol w:w="298"/>
        <w:gridCol w:w="423"/>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0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97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977"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income/(loss)</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 and noncontrolling interest</w:t>
            </w:r>
          </w:p>
        </w:tc>
        <w:tc>
          <w:tcPr>
            <w:tcW w:w="977"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30,351</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noncontrolling interest</w:t>
            </w:r>
          </w:p>
        </w:tc>
        <w:tc>
          <w:tcPr>
            <w:tcW w:w="977"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30,351</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vTv Therapeutics Inc.</w:t>
            </w:r>
          </w:p>
        </w:tc>
        <w:tc>
          <w:tcPr>
            <w:tcW w:w="30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29,226</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of $36.8 million for the three months ended March 31, 2026 was related to the Newsoara upfront fee received and recognizing the deferred revenue of G42 license agreement due to the transfer of the related IP and satisfaction of the performance obligation. There was no revenue for the three months ended March 31,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$9.0 million and $2.8 million for the three months ended March 31, 2026, and 2025, respectively. The increase in research and development expenses during this period of $6.1 million or 217.2%, was primarily driven by i) an increase in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on other projects of $5.5 million due to increases in clinical studies and consulting related costs and ii) an increase in indirect research and development expense of $0.6 million primarily related to increases in payroll and share-based expenses.</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$4.6 million and $3.7 million for the three months ended March 31, 2026, and 2025, respectively. The increase in general and administrative expenses during this period of $0.9 million, or 25.2%,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primarily driven by i) increases of $0.4 million in share-based expenses, ii) increases of $0.3 million in payroll related costs and iii) increases of $0.2 million in legal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three months ended 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of $0.8 million and </w:t>
      </w:r>
      <w:r>
        <w:rPr>
          <w:rFonts w:ascii="Times New Roman;serif" w:hAnsi="Times New Roman;serif"/>
          <w:b w:val="false"/>
          <w:color w:val="000000"/>
          <w:sz w:val="20"/>
        </w:rPr>
        <w:t>$0.3 million</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is related to 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pPr>
      <w:r>
        <w:rPr>
          <w:rFonts w:ascii="Times New Roman;serif" w:hAnsi="Times New Roman;serif"/>
          <w:b/>
          <w:i/>
          <w:color w:val="000000"/>
          <w:sz w:val="20"/>
        </w:rPr>
        <w:t>Other Income</w:t>
      </w:r>
      <w:r>
        <w:rPr>
          <w:rFonts w:ascii="Times New Roman;serif" w:hAnsi="Times New Roman;serif"/>
          <w:b/>
          <w:i/>
          <w:color w:val="000000"/>
          <w:sz w:val="20"/>
          <w:shd w:fill="FFFFFF" w:val="clear"/>
        </w:rPr>
        <w:t>/(Expense),</w:t>
      </w:r>
      <w:r>
        <w:rPr>
          <w:color w:val="000000"/>
        </w:rPr>
        <w:t xml:space="preserve"> </w:t>
      </w:r>
      <w:r>
        <w:rPr>
          <w:rFonts w:ascii="Times New Roman;serif" w:hAnsi="Times New Roman;serif"/>
          <w:b/>
          <w:i/>
          <w:color w:val="000000"/>
          <w:sz w:val="20"/>
        </w:rPr>
        <w:t>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income/(expense) for the three months ended March 31, 2026 and 2025, was immaterial.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an accumulated deficit of $302.6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March 31, 2026, we had cash and cash equivalents of $98.1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January 30, 2026, the Company entered into a Second Amendment to License Agreement with Newsoara Biopharma Co., Ltd. (“Newsoara”) (the “Second Amendment”). Under the Second Amendment, Newsoara's rights in the Company's PDE4 inhibitor, </w:t>
      </w:r>
      <w:r>
        <w:rPr>
          <w:rFonts w:ascii="Times New Roman;serif" w:hAnsi="Times New Roman;serif"/>
          <w:b w:val="false"/>
          <w:i/>
          <w:color w:val="000000"/>
          <w:sz w:val="20"/>
        </w:rPr>
        <w:t>HPP737</w:t>
      </w:r>
      <w:r>
        <w:rPr>
          <w:rFonts w:ascii="Times New Roman;serif" w:hAnsi="Times New Roman;serif"/>
          <w:b w:val="false"/>
          <w:color w:val="000000"/>
          <w:sz w:val="20"/>
        </w:rPr>
        <w:t>, will expand to include all countries of the world upon Newsoara's payment of the upfront fee of $20.0 million. See Note 3 for further details.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we entered into a securities purchase agreement (the “Securities Purchase Agreement”) with certain institutional accredited investors (the “Private Placement Investors”), pursuant to which we agreed to issue and sell 5,243,732 units (the “Units”) to the Private Placement Investors in a private placement (the “Private Placement”). Each Unit includes (i) either (A) one share (the “Shares”) of our Class A common stock at purchase price of $15.265 per share, (the “Common Stock”), or (B) a Pre-Funded Warrant (the “Pre-Funded Warrants”) to purchase one share of Common Stock (the “Pre-Funded Warrant Shares”) at a purchase price of $15.255 per share (representing per Private Placement Share purchase price less the exercise price of $0.01) and (ii) a warrant (the “Common Warrants”) to purchase one share of Common Stock (the “Warrant Shares”) (or a Pre-Funded warrant to purchase one share of Common Stock in lieu of a share of Common Stock (the “Replacement Warrants” and,together with the Pre-Funded Warrants and the Common Warrants, the “Warrants”). We received aggregate gross proceeds from the Private Placement of approximately $80.0 million, before deducting offering costs payable by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are exercisable for $0.01, at any time after their original issuance and will not expire. The common warrants are exercisable for (x) $22.71, if exercised for a Share, or (y) $22.70 if exercised for a Pre-Funded Warrant, after the original issuance through the termination date. The Common Warrants will expire upon the earlier to occur of (i) the fifth anniversary of the issuance of the Warrants and (ii) 90 days following the announcement of positive top-line data from the Company’s ongoing CATT1 clinical trial.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evaluating several financing strategies to increase our cash reserves, including direct equity investments and the potential licensing and monetization of other Company programs. The timing and availability of such additional funding are not yet known and we can provide no assurance that these plans will be successful.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TD Cowen Sales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w:t>
      </w:r>
      <w:r>
        <w:rPr>
          <w:rFonts w:ascii="Times New Roman;serif" w:hAnsi="Times New Roman;serif"/>
          <w:b w:val="false"/>
          <w:color w:val="000000"/>
          <w:sz w:val="20"/>
          <w:shd w:fill="FFFFFF" w:val="clear"/>
        </w:rPr>
        <w:t>General Instruction I.B.6 of Form S-3</w:t>
      </w:r>
      <w:r>
        <w:rPr>
          <w:rFonts w:ascii="Times New Roman;serif" w:hAnsi="Times New Roman;serif"/>
          <w:b w:val="false"/>
          <w:color w:val="000000"/>
          <w:sz w:val="20"/>
        </w:rPr>
        <w:t xml:space="preserve">. We are not obligated to sell any shares under the TD Cowen Sales Agreement. Under the terms of the TD Cowen Sales Agreement, we will pay TD Cowen a commission of 3% of the aggregate proceeds from the sale of shares and reimburse certain legal fees or other disbursements. As of March 31, 2026, we have sold 179,400 shares of Class A common stock under the TD Cowen ATM Offering for net proceeds of $2.5 million, leaving $47.5 million available to be sold. The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are offered and sold pursuant to the Company’s shelf registration statement on Form S-3. At no time will we sell shares of our Class A common stock under this registration statement in an aggregate amount exceeding one-third of our “public float” (the market value of our Class A common stock and any other equity securities that we may issue in the future that are held by non-affiliates) in any 12-calendar month period, so long as our public float remains below $75.0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tbl>
      <w:tblPr>
        <w:tblW w:w="6758" w:type="dxa"/>
        <w:jc w:val="left"/>
        <w:tblInd w:w="0" w:type="dxa"/>
        <w:tblLayout w:type="fixed"/>
        <w:tblCellMar>
          <w:top w:w="28" w:type="dxa"/>
          <w:left w:w="28" w:type="dxa"/>
          <w:bottom w:w="28" w:type="dxa"/>
          <w:right w:w="28" w:type="dxa"/>
        </w:tblCellMar>
      </w:tblPr>
      <w:tblGrid>
        <w:gridCol w:w="1562"/>
        <w:gridCol w:w="1376"/>
        <w:gridCol w:w="1381"/>
        <w:gridCol w:w="222"/>
        <w:gridCol w:w="649"/>
        <w:gridCol w:w="114"/>
        <w:gridCol w:w="114"/>
        <w:gridCol w:w="114"/>
        <w:gridCol w:w="114"/>
        <w:gridCol w:w="222"/>
        <w:gridCol w:w="728"/>
        <w:gridCol w:w="162"/>
      </w:tblGrid>
      <w:tr>
        <w:trPr/>
        <w:tc>
          <w:tcPr>
            <w:tcW w:w="156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net cash provided by operating activities increased by $14.8 million from the three months ended March 31, 2025. The significant contributor to the change was the $20.0 million received from the Newsoara upfront fee under the Second Amendment, partially offset by working capital changes.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investing activities for the three months ended March 31, 2026, and 2025.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financing activities for the three months ended March 31, 2026, and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progress, costs, results and timing of our trials to evaluate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maintain control over our costs in line with our budget for our lead product candidate, </w:t>
      </w:r>
      <w:r>
        <w:rPr>
          <w:rFonts w:ascii="Times New Roman;serif" w:hAnsi="Times New Roman;serif"/>
          <w:b w:val="false"/>
          <w:i/>
          <w:color w:val="000000"/>
          <w:sz w:val="20"/>
        </w:rPr>
        <w:t>cadisegliatin</w:t>
      </w:r>
      <w:r>
        <w:rPr>
          <w:rFonts w:ascii="Times New Roman;serif" w:hAnsi="Times New Roman;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outcome, costs and timing of seeking and obtaining FDA and any other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of any payments we are required to make to M&amp;F TTP Holdings Two LLC in the future under the Tax Receivable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erif" w:hAnsi="Times New Roman;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2025. There have been no material changes to our critical accounting policies and estimates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discussion of recent accounting pronouncements in Note 2, “Summary of Significant Accounting Policies”, to the Unaudited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material interest rate exposure.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March 31, 2026. Based upon that evaluation, our Chief Executive Officer and Chief Financial Officer concluded that, as of March 31, 2026,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risk factors are set forth under the heading “Risk Factors” under Item 1A of Part I in our Annual Report on Form 10-K for the year ended December 31, 2025. The Company disclosed material changes to our risk factors in our Quarterly Report on Form 10-Q for the quarter ended March 31, 2025, from those previously disclosed in our Annual Report on Form 10-K for the year ended December 31, 2025.</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80" w:after="283"/>
        <w:ind w:left="0" w:right="0" w:firstLine="54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fiscal quarter ended March 31, 2026,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331xexx311.htm">
              <w:r>
                <w:rPr>
                  <w:rStyle w:val="InternetLink"/>
                  <w:rFonts w:ascii="Times New Roman;serif" w:hAnsi="Times New Roman;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331xexx312.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60331xexx321.htm">
              <w:r>
                <w:rPr>
                  <w:rStyle w:val="InternetLink"/>
                  <w:rFonts w:ascii="Times New Roman;serif" w:hAnsi="Times New Roman;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331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dd81345c511d42b59f017f1a6041b5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bl>
      <w:tblPr>
        <w:tblW w:w="59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0"/>
        <w:gridCol w:w="1510"/>
        <w:gridCol w:w="2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Paul J. Sekhri,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May 13, 2026</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Michael Tung,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March 31, 2026,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March 31, 2026, as filed with the Securities and Exchange Commission on the date hereof (the “Report”), I, Michael Tung,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14977</Words>
  <Characters>83386</Characters>
  <CharactersWithSpaces>97661</CharactersWithSpaces>
  <Paragraphs>1094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