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411480</wp:posOffset>
            </wp:positionV>
            <wp:extent cx="6120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437515</wp:posOffset>
            </wp:positionV>
            <wp:extent cx="6120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0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9"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001-37524</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4"/>
          <w:szCs w:val="24"/>
          <w:color w:val="auto"/>
        </w:rPr>
      </w:pPr>
    </w:p>
    <w:tbl>
      <w:tblPr>
        <w:tblLayout w:type="fixed"/>
        <w:tblInd w:w="1220" w:type="dxa"/>
        <w:tblCellMar>
          <w:top w:w="0" w:type="dxa"/>
          <w:left w:w="0" w:type="dxa"/>
          <w:bottom w:w="0" w:type="dxa"/>
          <w:right w:w="0" w:type="dxa"/>
        </w:tblCellMar>
      </w:tblPr>
      <w:tr>
        <w:trPr>
          <w:trHeight w:val="334"/>
        </w:trPr>
        <w:tc>
          <w:tcPr>
            <w:tcW w:w="2400" w:type="dxa"/>
            <w:vAlign w:val="bottom"/>
          </w:tcPr>
          <w:p>
            <w:pPr>
              <w:spacing w:after="0"/>
              <w:rPr>
                <w:sz w:val="24"/>
                <w:szCs w:val="24"/>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25"/>
                <w:szCs w:val="25"/>
                <w:b w:val="1"/>
                <w:bCs w:val="1"/>
                <w:color w:val="auto"/>
              </w:rPr>
              <w:t>vTv Therapeutics Inc.</w:t>
            </w:r>
          </w:p>
        </w:tc>
      </w:tr>
      <w:tr>
        <w:trPr>
          <w:trHeight w:val="246"/>
        </w:trPr>
        <w:tc>
          <w:tcPr>
            <w:tcW w:w="2400" w:type="dxa"/>
            <w:vAlign w:val="bottom"/>
          </w:tcPr>
          <w:p>
            <w:pPr>
              <w:spacing w:after="0"/>
              <w:rPr>
                <w:sz w:val="21"/>
                <w:szCs w:val="21"/>
                <w:color w:val="auto"/>
              </w:rPr>
            </w:pPr>
          </w:p>
        </w:tc>
        <w:tc>
          <w:tcPr>
            <w:tcW w:w="41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56"/>
        </w:trPr>
        <w:tc>
          <w:tcPr>
            <w:tcW w:w="2400" w:type="dxa"/>
            <w:vAlign w:val="bottom"/>
          </w:tcPr>
          <w:p>
            <w:pPr>
              <w:spacing w:after="0"/>
              <w:rPr>
                <w:sz w:val="22"/>
                <w:szCs w:val="22"/>
                <w:color w:val="auto"/>
              </w:rPr>
            </w:pPr>
          </w:p>
        </w:tc>
        <w:tc>
          <w:tcPr>
            <w:tcW w:w="418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9"/>
              </w:rPr>
              <w:t>_____________________________</w:t>
            </w:r>
          </w:p>
        </w:tc>
      </w:tr>
      <w:tr>
        <w:trPr>
          <w:trHeight w:val="311"/>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47-3916571</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180" w:type="dxa"/>
            <w:vAlign w:val="bottom"/>
          </w:tcPr>
          <w:p>
            <w:pPr>
              <w:jc w:val="center"/>
              <w:ind w:left="297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3980 Premier Dr, Suite 310</w:t>
            </w:r>
          </w:p>
        </w:tc>
        <w:tc>
          <w:tcPr>
            <w:tcW w:w="4180" w:type="dxa"/>
            <w:vAlign w:val="bottom"/>
          </w:tcPr>
          <w:p>
            <w:pPr>
              <w:spacing w:after="0"/>
              <w:rPr>
                <w:sz w:val="24"/>
                <w:szCs w:val="24"/>
                <w:color w:val="auto"/>
              </w:rPr>
            </w:pPr>
          </w:p>
        </w:tc>
      </w:tr>
      <w:tr>
        <w:trPr>
          <w:trHeight w:val="238"/>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High Point, NC</w:t>
            </w:r>
          </w:p>
        </w:tc>
        <w:tc>
          <w:tcPr>
            <w:tcW w:w="41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27265</w:t>
            </w:r>
          </w:p>
        </w:tc>
      </w:tr>
      <w:tr>
        <w:trPr>
          <w:trHeight w:val="219"/>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80" w:type="dxa"/>
            <w:vAlign w:val="bottom"/>
          </w:tcPr>
          <w:p>
            <w:pPr>
              <w:jc w:val="center"/>
              <w:ind w:left="295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(336) 841-0300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54"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50" w:type="dxa"/>
        <w:tblCellMar>
          <w:top w:w="0" w:type="dxa"/>
          <w:left w:w="0" w:type="dxa"/>
          <w:bottom w:w="0" w:type="dxa"/>
          <w:right w:w="0" w:type="dxa"/>
        </w:tblCellMar>
      </w:tblPr>
      <w:tr>
        <w:trPr>
          <w:trHeight w:val="257"/>
        </w:trPr>
        <w:tc>
          <w:tcPr>
            <w:tcW w:w="39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3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VTVT</w:t>
            </w:r>
          </w:p>
        </w:tc>
        <w:tc>
          <w:tcPr>
            <w:tcW w:w="3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Capital Market</w:t>
            </w:r>
          </w:p>
        </w:tc>
      </w:tr>
      <w:tr>
        <w:trPr>
          <w:trHeight w:val="27"/>
        </w:trPr>
        <w:tc>
          <w:tcPr>
            <w:tcW w:w="398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2" w:lineRule="exact"/>
        <w:rPr>
          <w:sz w:val="24"/>
          <w:szCs w:val="24"/>
          <w:color w:val="auto"/>
        </w:rPr>
      </w:pPr>
    </w:p>
    <w:p>
      <w:pPr>
        <w:jc w:val="both"/>
        <w:ind w:firstLine="486"/>
        <w:spacing w:after="0" w:line="22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3" w:lineRule="exact"/>
        <w:rPr>
          <w:sz w:val="24"/>
          <w:szCs w:val="24"/>
          <w:color w:val="auto"/>
        </w:rPr>
      </w:pPr>
    </w:p>
    <w:p>
      <w:pPr>
        <w:jc w:val="both"/>
        <w:ind w:firstLine="486"/>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40" w:type="dxa"/>
            <w:vAlign w:val="bottom"/>
          </w:tcPr>
          <w:p>
            <w:pPr>
              <w:ind w:left="500"/>
              <w:spacing w:after="0"/>
              <w:rPr>
                <w:sz w:val="20"/>
                <w:szCs w:val="20"/>
                <w:color w:val="auto"/>
              </w:rPr>
            </w:pPr>
            <w:r>
              <w:rPr>
                <w:rFonts w:ascii="Wingdings" w:cs="Wingdings" w:eastAsia="Wingdings" w:hAnsi="Wingdings"/>
                <w:sz w:val="18"/>
                <w:szCs w:val="18"/>
                <w:b w:val="1"/>
                <w:bCs w:val="1"/>
                <w:color w:val="auto"/>
              </w:rPr>
              <w:t>o</w:t>
            </w:r>
          </w:p>
        </w:tc>
        <w:tc>
          <w:tcPr>
            <w:tcW w:w="40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40" w:type="dxa"/>
            <w:vAlign w:val="bottom"/>
          </w:tcPr>
          <w:p>
            <w:pPr>
              <w:ind w:left="500"/>
              <w:spacing w:after="0"/>
              <w:rPr>
                <w:sz w:val="20"/>
                <w:szCs w:val="20"/>
                <w:color w:val="auto"/>
              </w:rPr>
            </w:pPr>
            <w:r>
              <w:rPr>
                <w:rFonts w:ascii="Wingdings" w:cs="Wingdings" w:eastAsia="Wingdings" w:hAnsi="Wingdings"/>
                <w:sz w:val="18"/>
                <w:szCs w:val="18"/>
                <w:b w:val="1"/>
                <w:bCs w:val="1"/>
                <w:color w:val="auto"/>
              </w:rPr>
              <w:t>o</w:t>
            </w:r>
          </w:p>
        </w:tc>
        <w:tc>
          <w:tcPr>
            <w:tcW w:w="406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40" w:type="dxa"/>
            <w:vAlign w:val="bottom"/>
          </w:tcPr>
          <w:p>
            <w:pPr>
              <w:ind w:left="500"/>
              <w:spacing w:after="0"/>
              <w:rPr>
                <w:sz w:val="20"/>
                <w:szCs w:val="20"/>
                <w:color w:val="auto"/>
              </w:rPr>
            </w:pPr>
            <w:r>
              <w:rPr>
                <w:rFonts w:ascii="Wingdings" w:cs="Wingdings" w:eastAsia="Wingdings" w:hAnsi="Wingdings"/>
                <w:sz w:val="18"/>
                <w:szCs w:val="18"/>
                <w:b w:val="1"/>
                <w:bCs w:val="1"/>
                <w:color w:val="auto"/>
              </w:rPr>
              <w:t>o</w:t>
            </w:r>
          </w:p>
        </w:tc>
        <w:tc>
          <w:tcPr>
            <w:tcW w:w="4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57" w:lineRule="exact"/>
        <w:rPr>
          <w:sz w:val="24"/>
          <w:szCs w:val="24"/>
          <w:color w:val="auto"/>
        </w:rPr>
      </w:pPr>
    </w:p>
    <w:p>
      <w:pPr>
        <w:ind w:right="20" w:firstLine="486"/>
        <w:spacing w:after="0" w:line="23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558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Shares Outstanding as of May 9, 2024</w:t>
            </w:r>
          </w:p>
        </w:tc>
      </w:tr>
      <w:tr>
        <w:trPr>
          <w:trHeight w:val="37"/>
        </w:trPr>
        <w:tc>
          <w:tcPr>
            <w:tcW w:w="80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50"/>
        </w:trPr>
        <w:tc>
          <w:tcPr>
            <w:tcW w:w="800" w:type="dxa"/>
            <w:vAlign w:val="bottom"/>
          </w:tcPr>
          <w:p>
            <w:pPr>
              <w:spacing w:after="0"/>
              <w:rPr>
                <w:sz w:val="21"/>
                <w:szCs w:val="21"/>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2,432,857</w:t>
            </w: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800" w:type="dxa"/>
            <w:vAlign w:val="bottom"/>
          </w:tcPr>
          <w:p>
            <w:pPr>
              <w:spacing w:after="0"/>
              <w:rPr>
                <w:sz w:val="22"/>
                <w:szCs w:val="22"/>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common stock, par value $0.01 per share</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577,349</w:t>
            </w: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43"/>
        </w:trPr>
        <w:tc>
          <w:tcPr>
            <w:tcW w:w="800" w:type="dxa"/>
            <w:vAlign w:val="bottom"/>
            <w:tcBorders>
              <w:bottom w:val="single" w:sz="8" w:color="auto"/>
            </w:tcBorders>
          </w:tcPr>
          <w:p>
            <w:pPr>
              <w:spacing w:after="0"/>
              <w:rPr>
                <w:sz w:val="21"/>
                <w:szCs w:val="21"/>
                <w:color w:val="auto"/>
              </w:rPr>
            </w:pPr>
          </w:p>
        </w:tc>
        <w:tc>
          <w:tcPr>
            <w:tcW w:w="4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27"/>
        </w:trPr>
        <w:tc>
          <w:tcPr>
            <w:tcW w:w="80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04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vTv THERAPEUTICS INC. AND SUBSIDIARIES</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243"/>
        </w:trPr>
        <w:tc>
          <w:tcPr>
            <w:tcW w:w="2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920" w:type="dxa"/>
            <w:vAlign w:val="bottom"/>
            <w:gridSpan w:val="11"/>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(Unaudited) and December 31, 202</w:t>
            </w:r>
            <w:r>
              <w:rPr>
                <w:rFonts w:ascii="Times New Roman" w:cs="Times New Roman" w:eastAsia="Times New Roman" w:hAnsi="Times New Roman"/>
                <w:sz w:val="18"/>
                <w:szCs w:val="18"/>
                <w:color w:val="000000"/>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2024 and 202</w:t>
            </w:r>
            <w:r>
              <w:rPr>
                <w:rFonts w:ascii="Times New Roman" w:cs="Times New Roman" w:eastAsia="Times New Roman" w:hAnsi="Times New Roman"/>
                <w:sz w:val="18"/>
                <w:szCs w:val="18"/>
                <w:color w:val="000000"/>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 of Changes in Redeemable Noncontrolling Interest and Stockholders’ Equity</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78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(Deficit) for the three months ended March 31, 2024 and 202</w:t>
            </w:r>
            <w:r>
              <w:rPr>
                <w:rFonts w:ascii="Times New Roman" w:cs="Times New Roman" w:eastAsia="Times New Roman" w:hAnsi="Times New Roman"/>
                <w:sz w:val="18"/>
                <w:szCs w:val="18"/>
                <w:color w:val="000000"/>
              </w:rPr>
              <w:t>3</w:t>
            </w:r>
          </w:p>
        </w:tc>
        <w:tc>
          <w:tcPr>
            <w:tcW w:w="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2024 and 202</w:t>
            </w:r>
            <w:r>
              <w:rPr>
                <w:rFonts w:ascii="Times New Roman" w:cs="Times New Roman" w:eastAsia="Times New Roman" w:hAnsi="Times New Roman"/>
                <w:sz w:val="18"/>
                <w:szCs w:val="18"/>
                <w:color w:val="000000"/>
              </w:rPr>
              <w:t>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83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68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2520" w:type="dxa"/>
            <w:vAlign w:val="bottom"/>
            <w:gridSpan w:val="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00" w:type="dxa"/>
            <w:vAlign w:val="bottom"/>
            <w:gridSpan w:val="1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91"/>
        </w:trPr>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400" w:type="dxa"/>
            <w:vAlign w:val="bottom"/>
            <w:tcBorders>
              <w:top w:val="single" w:sz="8" w:color="0000FF"/>
            </w:tcBorders>
          </w:tcPr>
          <w:p>
            <w:pPr>
              <w:spacing w:after="0"/>
              <w:rPr>
                <w:sz w:val="24"/>
                <w:szCs w:val="24"/>
                <w:color w:val="auto"/>
              </w:rPr>
            </w:pPr>
          </w:p>
        </w:tc>
        <w:tc>
          <w:tcPr>
            <w:tcW w:w="724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2"/>
          </w:tcPr>
          <w:p>
            <w:pPr>
              <w:spacing w:after="0"/>
              <w:rPr>
                <w:sz w:val="24"/>
                <w:szCs w:val="24"/>
                <w:color w:val="auto"/>
              </w:rPr>
            </w:pPr>
          </w:p>
        </w:tc>
        <w:tc>
          <w:tcPr>
            <w:tcW w:w="666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66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spacing w:after="0"/>
              <w:rPr>
                <w:sz w:val="24"/>
                <w:szCs w:val="24"/>
                <w:color w:val="auto"/>
              </w:rPr>
            </w:pPr>
          </w:p>
        </w:tc>
        <w:tc>
          <w:tcPr>
            <w:tcW w:w="89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804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9FCFF"/>
          </w:tcPr>
          <w:p>
            <w:pPr>
              <w:spacing w:after="0"/>
              <w:rPr>
                <w:sz w:val="20"/>
                <w:szCs w:val="20"/>
                <w:color w:val="auto"/>
              </w:rPr>
            </w:pPr>
          </w:p>
        </w:tc>
        <w:tc>
          <w:tcPr>
            <w:tcW w:w="1220" w:type="dxa"/>
            <w:vAlign w:val="bottom"/>
            <w:shd w:val="clear" w:color="auto" w:fill="C9FCFF"/>
          </w:tcPr>
          <w:p>
            <w:pPr>
              <w:spacing w:after="0"/>
              <w:rPr>
                <w:sz w:val="20"/>
                <w:szCs w:val="20"/>
                <w:color w:val="auto"/>
              </w:rPr>
            </w:pPr>
          </w:p>
        </w:tc>
        <w:tc>
          <w:tcPr>
            <w:tcW w:w="100" w:type="dxa"/>
            <w:vAlign w:val="bottom"/>
            <w:shd w:val="clear" w:color="auto" w:fill="C9FCFF"/>
          </w:tcPr>
          <w:p>
            <w:pPr>
              <w:spacing w:after="0"/>
              <w:rPr>
                <w:sz w:val="20"/>
                <w:szCs w:val="20"/>
                <w:color w:val="auto"/>
              </w:rPr>
            </w:pPr>
          </w:p>
        </w:tc>
        <w:tc>
          <w:tcPr>
            <w:tcW w:w="200" w:type="dxa"/>
            <w:vAlign w:val="bottom"/>
            <w:shd w:val="clear" w:color="auto" w:fill="C9FCFF"/>
          </w:tcPr>
          <w:p>
            <w:pPr>
              <w:spacing w:after="0"/>
              <w:rPr>
                <w:sz w:val="20"/>
                <w:szCs w:val="20"/>
                <w:color w:val="auto"/>
              </w:rPr>
            </w:pPr>
          </w:p>
        </w:tc>
        <w:tc>
          <w:tcPr>
            <w:tcW w:w="1260" w:type="dxa"/>
            <w:vAlign w:val="bottom"/>
            <w:shd w:val="clear" w:color="auto" w:fill="C9FC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9,446</w:t>
            </w: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29"/>
        </w:trPr>
        <w:tc>
          <w:tcPr>
            <w:tcW w:w="80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Current deposits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53,872</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10,657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shd w:val="clear" w:color="auto" w:fill="EBFEFF"/>
          </w:tcPr>
          <w:p>
            <w:pPr>
              <w:spacing w:after="0"/>
              <w:rPr>
                <w:sz w:val="19"/>
                <w:szCs w:val="19"/>
                <w:color w:val="auto"/>
              </w:rPr>
            </w:pPr>
          </w:p>
        </w:tc>
        <w:tc>
          <w:tcPr>
            <w:tcW w:w="12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EBFEFF"/>
          </w:tcPr>
          <w:p>
            <w:pPr>
              <w:spacing w:after="0"/>
              <w:rPr>
                <w:sz w:val="19"/>
                <w:szCs w:val="19"/>
                <w:color w:val="auto"/>
              </w:rPr>
            </w:pPr>
          </w:p>
        </w:tc>
        <w:tc>
          <w:tcPr>
            <w:tcW w:w="200" w:type="dxa"/>
            <w:vAlign w:val="bottom"/>
            <w:tcBorders>
              <w:bottom w:val="single" w:sz="8" w:color="auto"/>
            </w:tcBorders>
            <w:shd w:val="clear" w:color="auto" w:fill="EBFEFF"/>
          </w:tcPr>
          <w:p>
            <w:pPr>
              <w:spacing w:after="0"/>
              <w:rPr>
                <w:sz w:val="19"/>
                <w:szCs w:val="19"/>
                <w:color w:val="auto"/>
              </w:rPr>
            </w:pPr>
          </w:p>
        </w:tc>
        <w:tc>
          <w:tcPr>
            <w:tcW w:w="12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0"/>
        </w:trPr>
        <w:tc>
          <w:tcPr>
            <w:tcW w:w="8040" w:type="dxa"/>
            <w:vAlign w:val="bottom"/>
            <w:tcBorders>
              <w:bottom w:val="single" w:sz="8" w:color="C9FC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9FC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040" w:type="dxa"/>
            <w:vAlign w:val="bottom"/>
            <w:shd w:val="clear" w:color="auto" w:fill="C9FC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 (Deficit)</w:t>
            </w:r>
          </w:p>
        </w:tc>
        <w:tc>
          <w:tcPr>
            <w:tcW w:w="240" w:type="dxa"/>
            <w:vAlign w:val="bottom"/>
            <w:shd w:val="clear" w:color="auto" w:fill="C9FCFF"/>
          </w:tcPr>
          <w:p>
            <w:pPr>
              <w:spacing w:after="0"/>
              <w:rPr>
                <w:sz w:val="17"/>
                <w:szCs w:val="17"/>
                <w:color w:val="auto"/>
              </w:rPr>
            </w:pPr>
          </w:p>
        </w:tc>
        <w:tc>
          <w:tcPr>
            <w:tcW w:w="1220" w:type="dxa"/>
            <w:vAlign w:val="bottom"/>
            <w:shd w:val="clear" w:color="auto" w:fill="C9FCFF"/>
          </w:tcPr>
          <w:p>
            <w:pPr>
              <w:spacing w:after="0"/>
              <w:rPr>
                <w:sz w:val="17"/>
                <w:szCs w:val="17"/>
                <w:color w:val="auto"/>
              </w:rPr>
            </w:pPr>
          </w:p>
        </w:tc>
        <w:tc>
          <w:tcPr>
            <w:tcW w:w="100" w:type="dxa"/>
            <w:vAlign w:val="bottom"/>
            <w:shd w:val="clear" w:color="auto" w:fill="C9FCFF"/>
          </w:tcPr>
          <w:p>
            <w:pPr>
              <w:spacing w:after="0"/>
              <w:rPr>
                <w:sz w:val="17"/>
                <w:szCs w:val="17"/>
                <w:color w:val="auto"/>
              </w:rPr>
            </w:pPr>
          </w:p>
        </w:tc>
        <w:tc>
          <w:tcPr>
            <w:tcW w:w="200" w:type="dxa"/>
            <w:vAlign w:val="bottom"/>
            <w:shd w:val="clear" w:color="auto" w:fill="C9FCFF"/>
          </w:tcPr>
          <w:p>
            <w:pPr>
              <w:spacing w:after="0"/>
              <w:rPr>
                <w:sz w:val="17"/>
                <w:szCs w:val="17"/>
                <w:color w:val="auto"/>
              </w:rPr>
            </w:pPr>
          </w:p>
        </w:tc>
        <w:tc>
          <w:tcPr>
            <w:tcW w:w="1260" w:type="dxa"/>
            <w:vAlign w:val="bottom"/>
            <w:shd w:val="clear" w:color="auto" w:fill="C9FCFF"/>
          </w:tcPr>
          <w:p>
            <w:pPr>
              <w:spacing w:after="0"/>
              <w:rPr>
                <w:sz w:val="17"/>
                <w:szCs w:val="17"/>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10,242</w:t>
            </w: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Current portion of contract liabilities</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04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EBFEFF"/>
          </w:tcPr>
          <w:p>
            <w:pPr>
              <w:spacing w:after="0"/>
              <w:rPr>
                <w:sz w:val="19"/>
                <w:szCs w:val="19"/>
                <w:color w:val="auto"/>
              </w:rPr>
            </w:pPr>
          </w:p>
        </w:tc>
        <w:tc>
          <w:tcPr>
            <w:tcW w:w="12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8,921</w:t>
            </w:r>
          </w:p>
        </w:tc>
        <w:tc>
          <w:tcPr>
            <w:tcW w:w="100" w:type="dxa"/>
            <w:vAlign w:val="bottom"/>
            <w:tcBorders>
              <w:top w:val="single" w:sz="8" w:color="EBFEFF"/>
            </w:tcBorders>
            <w:shd w:val="clear" w:color="auto" w:fill="EBFEFF"/>
          </w:tcPr>
          <w:p>
            <w:pPr>
              <w:spacing w:after="0"/>
              <w:rPr>
                <w:sz w:val="19"/>
                <w:szCs w:val="19"/>
                <w:color w:val="auto"/>
              </w:rPr>
            </w:pPr>
          </w:p>
        </w:tc>
        <w:tc>
          <w:tcPr>
            <w:tcW w:w="200" w:type="dxa"/>
            <w:vAlign w:val="bottom"/>
            <w:tcBorders>
              <w:top w:val="single" w:sz="8" w:color="auto"/>
            </w:tcBorders>
            <w:shd w:val="clear" w:color="auto" w:fill="EBFEFF"/>
          </w:tcPr>
          <w:p>
            <w:pPr>
              <w:spacing w:after="0"/>
              <w:rPr>
                <w:sz w:val="19"/>
                <w:szCs w:val="19"/>
                <w:color w:val="auto"/>
              </w:rPr>
            </w:pPr>
          </w:p>
        </w:tc>
        <w:tc>
          <w:tcPr>
            <w:tcW w:w="12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10,619</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of current portion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r>
      <w:tr>
        <w:trPr>
          <w:trHeight w:val="230"/>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804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29,567</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40" w:type="dxa"/>
            <w:vAlign w:val="bottom"/>
            <w:shd w:val="clear" w:color="auto" w:fill="EBFEFF"/>
          </w:tcPr>
          <w:p>
            <w:pPr>
              <w:spacing w:after="0"/>
              <w:rPr>
                <w:sz w:val="19"/>
                <w:szCs w:val="19"/>
                <w:color w:val="auto"/>
              </w:rPr>
            </w:pPr>
          </w:p>
        </w:tc>
        <w:tc>
          <w:tcPr>
            <w:tcW w:w="1320" w:type="dxa"/>
            <w:vAlign w:val="bottom"/>
            <w:gridSpan w:val="2"/>
            <w:shd w:val="clear" w:color="auto" w:fill="EBF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6,131</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804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Class A common stock, $0.01 par value; 200,000,000 shares authorized, 2,432,857 and 2,084,973 shares</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spacing w:after="0"/>
              <w:rPr>
                <w:sz w:val="19"/>
                <w:szCs w:val="19"/>
                <w:color w:val="auto"/>
              </w:rPr>
            </w:pPr>
          </w:p>
        </w:tc>
      </w:tr>
      <w:tr>
        <w:trPr>
          <w:trHeight w:val="261"/>
        </w:trPr>
        <w:tc>
          <w:tcPr>
            <w:tcW w:w="8040" w:type="dxa"/>
            <w:vAlign w:val="bottom"/>
            <w:shd w:val="clear" w:color="auto" w:fill="EBFEFF"/>
          </w:tcPr>
          <w:p>
            <w:pPr>
              <w:ind w:left="44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40" w:type="dxa"/>
            <w:vAlign w:val="bottom"/>
            <w:shd w:val="clear" w:color="auto" w:fill="EBFEFF"/>
          </w:tcPr>
          <w:p>
            <w:pPr>
              <w:spacing w:after="0"/>
              <w:rPr>
                <w:sz w:val="22"/>
                <w:szCs w:val="22"/>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EBFEFF"/>
          </w:tcPr>
          <w:p>
            <w:pPr>
              <w:spacing w:after="0"/>
              <w:rPr>
                <w:sz w:val="22"/>
                <w:szCs w:val="22"/>
                <w:color w:val="auto"/>
              </w:rPr>
            </w:pPr>
          </w:p>
        </w:tc>
        <w:tc>
          <w:tcPr>
            <w:tcW w:w="200" w:type="dxa"/>
            <w:vAlign w:val="bottom"/>
            <w:shd w:val="clear" w:color="auto" w:fill="EBFEFF"/>
          </w:tcPr>
          <w:p>
            <w:pPr>
              <w:spacing w:after="0"/>
              <w:rPr>
                <w:sz w:val="22"/>
                <w:szCs w:val="22"/>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B common stock, $0.01 par value; 100,000,000 shares authorized, and 577,349 outstanding as of</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1"/>
        </w:trPr>
        <w:tc>
          <w:tcPr>
            <w:tcW w:w="8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0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306,887</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256,335</w:t>
            </w:r>
          </w:p>
        </w:tc>
      </w:tr>
      <w:tr>
        <w:trPr>
          <w:trHeight w:val="230"/>
        </w:trPr>
        <w:tc>
          <w:tcPr>
            <w:tcW w:w="80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(286,121)</w:t>
            </w:r>
          </w:p>
        </w:tc>
        <w:tc>
          <w:tcPr>
            <w:tcW w:w="100" w:type="dxa"/>
            <w:vAlign w:val="bottom"/>
            <w:tcBorders>
              <w:bottom w:val="single" w:sz="8" w:color="EBF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(281,042)</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 attributable to vTv Therapeutics Inc.</w:t>
            </w:r>
          </w:p>
        </w:tc>
        <w:tc>
          <w:tcPr>
            <w:tcW w:w="240" w:type="dxa"/>
            <w:vAlign w:val="bottom"/>
            <w:shd w:val="clear" w:color="auto" w:fill="EBFEFF"/>
          </w:tcPr>
          <w:p>
            <w:pPr>
              <w:spacing w:after="0"/>
              <w:rPr>
                <w:sz w:val="19"/>
                <w:szCs w:val="19"/>
                <w:color w:val="auto"/>
              </w:rPr>
            </w:pPr>
          </w:p>
        </w:tc>
        <w:tc>
          <w:tcPr>
            <w:tcW w:w="12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20,796</w:t>
            </w: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2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29"/>
        </w:trPr>
        <w:tc>
          <w:tcPr>
            <w:tcW w:w="80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(24,680)</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stockholders’ equity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w:t>
            </w:r>
          </w:p>
        </w:tc>
      </w:tr>
      <w:tr>
        <w:trPr>
          <w:trHeight w:val="20"/>
        </w:trPr>
        <w:tc>
          <w:tcPr>
            <w:tcW w:w="8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29"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11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gridSpan w:val="4"/>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40" w:type="dxa"/>
            <w:vAlign w:val="bottom"/>
            <w:tcBorders>
              <w:bottom w:val="single" w:sz="8" w:color="EBF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BF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EBF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EBFEFF"/>
          </w:tcPr>
          <w:p>
            <w:pPr>
              <w:spacing w:after="0"/>
              <w:rPr>
                <w:sz w:val="19"/>
                <w:szCs w:val="19"/>
                <w:color w:val="auto"/>
              </w:rPr>
            </w:pPr>
          </w:p>
        </w:tc>
        <w:tc>
          <w:tcPr>
            <w:tcW w:w="600" w:type="dxa"/>
            <w:vAlign w:val="bottom"/>
            <w:shd w:val="clear" w:color="auto" w:fill="EBF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EBFEFF"/>
          </w:tcPr>
          <w:p>
            <w:pPr>
              <w:spacing w:after="0"/>
              <w:rPr>
                <w:sz w:val="19"/>
                <w:szCs w:val="19"/>
                <w:color w:val="auto"/>
              </w:rPr>
            </w:pPr>
          </w:p>
        </w:tc>
        <w:tc>
          <w:tcPr>
            <w:tcW w:w="14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EBFEFF"/>
          </w:tcPr>
          <w:p>
            <w:pPr>
              <w:spacing w:after="0"/>
              <w:rPr>
                <w:sz w:val="19"/>
                <w:szCs w:val="19"/>
                <w:color w:val="auto"/>
              </w:rPr>
            </w:pPr>
          </w:p>
        </w:tc>
        <w:tc>
          <w:tcPr>
            <w:tcW w:w="600" w:type="dxa"/>
            <w:vAlign w:val="bottom"/>
            <w:shd w:val="clear" w:color="auto" w:fill="EBFEFF"/>
          </w:tcPr>
          <w:p>
            <w:pPr>
              <w:spacing w:after="0"/>
              <w:rPr>
                <w:sz w:val="19"/>
                <w:szCs w:val="19"/>
                <w:color w:val="auto"/>
              </w:rPr>
            </w:pPr>
          </w:p>
        </w:tc>
        <w:tc>
          <w:tcPr>
            <w:tcW w:w="13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0" w:type="dxa"/>
            <w:vAlign w:val="bottom"/>
          </w:tcPr>
          <w:p>
            <w:pPr>
              <w:spacing w:after="0"/>
              <w:rPr>
                <w:sz w:val="1"/>
                <w:szCs w:val="1"/>
                <w:color w:val="auto"/>
              </w:rPr>
            </w:pPr>
          </w:p>
        </w:tc>
      </w:tr>
      <w:tr>
        <w:trPr>
          <w:trHeight w:val="229"/>
        </w:trPr>
        <w:tc>
          <w:tcPr>
            <w:tcW w:w="6540" w:type="dxa"/>
            <w:vAlign w:val="bottom"/>
            <w:tcBorders>
              <w:bottom w:val="single" w:sz="8" w:color="EBF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00" w:type="dxa"/>
            <w:vAlign w:val="bottom"/>
            <w:tcBorders>
              <w:bottom w:val="single" w:sz="8" w:color="EBF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0" w:type="dxa"/>
            <w:vAlign w:val="bottom"/>
          </w:tcPr>
          <w:p>
            <w:pPr>
              <w:spacing w:after="0"/>
              <w:rPr>
                <w:sz w:val="1"/>
                <w:szCs w:val="1"/>
                <w:color w:val="auto"/>
              </w:rPr>
            </w:pPr>
          </w:p>
        </w:tc>
      </w:tr>
      <w:tr>
        <w:trPr>
          <w:trHeight w:val="223"/>
        </w:trPr>
        <w:tc>
          <w:tcPr>
            <w:tcW w:w="6540" w:type="dxa"/>
            <w:vAlign w:val="bottom"/>
            <w:shd w:val="clear" w:color="auto" w:fill="EBF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shd w:val="clear" w:color="auto" w:fill="EBFEFF"/>
          </w:tcPr>
          <w:p>
            <w:pPr>
              <w:spacing w:after="0"/>
              <w:rPr>
                <w:sz w:val="19"/>
                <w:szCs w:val="19"/>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EBFEFF"/>
          </w:tcPr>
          <w:p>
            <w:pPr>
              <w:spacing w:after="0"/>
              <w:rPr>
                <w:sz w:val="19"/>
                <w:szCs w:val="19"/>
                <w:color w:val="auto"/>
              </w:rPr>
            </w:pPr>
          </w:p>
        </w:tc>
        <w:tc>
          <w:tcPr>
            <w:tcW w:w="600" w:type="dxa"/>
            <w:vAlign w:val="bottom"/>
            <w:tcBorders>
              <w:bottom w:val="single" w:sz="8" w:color="auto"/>
            </w:tcBorders>
            <w:shd w:val="clear" w:color="auto" w:fill="EBFEFF"/>
          </w:tcPr>
          <w:p>
            <w:pPr>
              <w:spacing w:after="0"/>
              <w:rPr>
                <w:sz w:val="19"/>
                <w:szCs w:val="19"/>
                <w:color w:val="auto"/>
              </w:rPr>
            </w:pPr>
          </w:p>
        </w:tc>
        <w:tc>
          <w:tcPr>
            <w:tcW w:w="13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30"/>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shd w:val="clear" w:color="auto" w:fill="EBFEFF"/>
          </w:tcPr>
          <w:p>
            <w:pPr>
              <w:spacing w:after="0"/>
              <w:rPr>
                <w:sz w:val="19"/>
                <w:szCs w:val="19"/>
                <w:color w:val="auto"/>
              </w:rPr>
            </w:pPr>
          </w:p>
        </w:tc>
        <w:tc>
          <w:tcPr>
            <w:tcW w:w="1520" w:type="dxa"/>
            <w:vAlign w:val="bottom"/>
            <w:gridSpan w:val="2"/>
            <w:shd w:val="clear" w:color="auto" w:fill="EBF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BFEFF"/>
          </w:tcPr>
          <w:p>
            <w:pPr>
              <w:spacing w:after="0"/>
              <w:rPr>
                <w:sz w:val="19"/>
                <w:szCs w:val="19"/>
                <w:color w:val="auto"/>
              </w:rPr>
            </w:pPr>
          </w:p>
        </w:tc>
        <w:tc>
          <w:tcPr>
            <w:tcW w:w="13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related party</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auto"/>
            </w:tcBorders>
            <w:shd w:val="clear" w:color="auto" w:fill="EBFEFF"/>
          </w:tcPr>
          <w:p>
            <w:pPr>
              <w:spacing w:after="0"/>
              <w:rPr>
                <w:sz w:val="19"/>
                <w:szCs w:val="19"/>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EBFEFF"/>
          </w:tcPr>
          <w:p>
            <w:pPr>
              <w:spacing w:after="0"/>
              <w:rPr>
                <w:sz w:val="19"/>
                <w:szCs w:val="19"/>
                <w:color w:val="auto"/>
              </w:rPr>
            </w:pPr>
          </w:p>
        </w:tc>
        <w:tc>
          <w:tcPr>
            <w:tcW w:w="600" w:type="dxa"/>
            <w:vAlign w:val="bottom"/>
            <w:tcBorders>
              <w:bottom w:val="single" w:sz="8" w:color="auto"/>
            </w:tcBorders>
            <w:shd w:val="clear" w:color="auto" w:fill="EBFEFF"/>
          </w:tcPr>
          <w:p>
            <w:pPr>
              <w:spacing w:after="0"/>
              <w:rPr>
                <w:sz w:val="19"/>
                <w:szCs w:val="19"/>
                <w:color w:val="auto"/>
              </w:rPr>
            </w:pPr>
          </w:p>
        </w:tc>
        <w:tc>
          <w:tcPr>
            <w:tcW w:w="13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9"/>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Borders>
              <w:bottom w:val="single" w:sz="8" w:color="auto"/>
            </w:tcBorders>
            <w:shd w:val="clear" w:color="auto" w:fill="EBFEFF"/>
          </w:tcPr>
          <w:p>
            <w:pPr>
              <w:spacing w:after="0"/>
              <w:rPr>
                <w:sz w:val="19"/>
                <w:szCs w:val="19"/>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EBFEFF"/>
          </w:tcPr>
          <w:p>
            <w:pPr>
              <w:spacing w:after="0"/>
              <w:rPr>
                <w:sz w:val="19"/>
                <w:szCs w:val="19"/>
                <w:color w:val="auto"/>
              </w:rPr>
            </w:pPr>
          </w:p>
        </w:tc>
        <w:tc>
          <w:tcPr>
            <w:tcW w:w="600" w:type="dxa"/>
            <w:vAlign w:val="bottom"/>
            <w:tcBorders>
              <w:bottom w:val="single" w:sz="8" w:color="auto"/>
            </w:tcBorders>
            <w:shd w:val="clear" w:color="auto" w:fill="EBFEFF"/>
          </w:tcPr>
          <w:p>
            <w:pPr>
              <w:spacing w:after="0"/>
              <w:rPr>
                <w:sz w:val="19"/>
                <w:szCs w:val="19"/>
                <w:color w:val="auto"/>
              </w:rPr>
            </w:pPr>
          </w:p>
        </w:tc>
        <w:tc>
          <w:tcPr>
            <w:tcW w:w="13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9"/>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420" w:type="dxa"/>
            <w:vAlign w:val="bottom"/>
            <w:tcBorders>
              <w:bottom w:val="single" w:sz="8" w:color="auto"/>
            </w:tcBorders>
            <w:shd w:val="clear" w:color="auto" w:fill="EBFEFF"/>
          </w:tcPr>
          <w:p>
            <w:pPr>
              <w:spacing w:after="0"/>
              <w:rPr>
                <w:sz w:val="19"/>
                <w:szCs w:val="19"/>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EBFEFF"/>
          </w:tcPr>
          <w:p>
            <w:pPr>
              <w:spacing w:after="0"/>
              <w:rPr>
                <w:sz w:val="19"/>
                <w:szCs w:val="19"/>
                <w:color w:val="auto"/>
              </w:rPr>
            </w:pPr>
          </w:p>
        </w:tc>
        <w:tc>
          <w:tcPr>
            <w:tcW w:w="600" w:type="dxa"/>
            <w:vAlign w:val="bottom"/>
            <w:tcBorders>
              <w:bottom w:val="single" w:sz="8" w:color="auto"/>
            </w:tcBorders>
            <w:shd w:val="clear" w:color="auto" w:fill="EBFEFF"/>
          </w:tcPr>
          <w:p>
            <w:pPr>
              <w:spacing w:after="0"/>
              <w:rPr>
                <w:sz w:val="19"/>
                <w:szCs w:val="19"/>
                <w:color w:val="auto"/>
              </w:rPr>
            </w:pPr>
          </w:p>
        </w:tc>
        <w:tc>
          <w:tcPr>
            <w:tcW w:w="13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0"/>
        </w:trPr>
        <w:tc>
          <w:tcPr>
            <w:tcW w:w="6540" w:type="dxa"/>
            <w:vAlign w:val="bottom"/>
            <w:tcBorders>
              <w:bottom w:val="single" w:sz="8" w:color="EBF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40" w:type="dxa"/>
            <w:vAlign w:val="bottom"/>
            <w:tcBorders>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420" w:type="dxa"/>
            <w:vAlign w:val="bottom"/>
            <w:tcBorders>
              <w:bottom w:val="single" w:sz="8" w:color="auto"/>
            </w:tcBorders>
            <w:shd w:val="clear" w:color="auto" w:fill="EBFEFF"/>
          </w:tcPr>
          <w:p>
            <w:pPr>
              <w:spacing w:after="0"/>
              <w:rPr>
                <w:sz w:val="21"/>
                <w:szCs w:val="21"/>
                <w:color w:val="auto"/>
              </w:rPr>
            </w:pPr>
          </w:p>
        </w:tc>
        <w:tc>
          <w:tcPr>
            <w:tcW w:w="14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Borders>
              <w:bottom w:val="single" w:sz="8" w:color="EBFEFF"/>
            </w:tcBorders>
            <w:shd w:val="clear" w:color="auto" w:fill="EBFEFF"/>
          </w:tcPr>
          <w:p>
            <w:pPr>
              <w:spacing w:after="0"/>
              <w:rPr>
                <w:sz w:val="21"/>
                <w:szCs w:val="21"/>
                <w:color w:val="auto"/>
              </w:rPr>
            </w:pPr>
          </w:p>
        </w:tc>
        <w:tc>
          <w:tcPr>
            <w:tcW w:w="600" w:type="dxa"/>
            <w:vAlign w:val="bottom"/>
            <w:tcBorders>
              <w:bottom w:val="single" w:sz="8" w:color="auto"/>
            </w:tcBorders>
            <w:shd w:val="clear" w:color="auto" w:fill="EBFEFF"/>
          </w:tcPr>
          <w:p>
            <w:pPr>
              <w:spacing w:after="0"/>
              <w:rPr>
                <w:sz w:val="21"/>
                <w:szCs w:val="21"/>
                <w:color w:val="auto"/>
              </w:rPr>
            </w:pPr>
          </w:p>
        </w:tc>
        <w:tc>
          <w:tcPr>
            <w:tcW w:w="13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0"/>
        </w:trPr>
        <w:tc>
          <w:tcPr>
            <w:tcW w:w="6540" w:type="dxa"/>
            <w:vAlign w:val="bottom"/>
            <w:tcBorders>
              <w:top w:val="single" w:sz="8" w:color="EBFEFF"/>
              <w:bottom w:val="single" w:sz="8" w:color="EBFEFF"/>
            </w:tcBorders>
            <w:vMerge w:val="restart"/>
          </w:tcPr>
          <w:p>
            <w:pPr>
              <w:ind w:left="260"/>
              <w:spacing w:after="0" w:line="163" w:lineRule="exact"/>
              <w:rPr>
                <w:sz w:val="20"/>
                <w:szCs w:val="20"/>
                <w:color w:val="auto"/>
              </w:rPr>
            </w:pPr>
            <w:r>
              <w:rPr>
                <w:rFonts w:ascii="Times New Roman" w:cs="Times New Roman" w:eastAsia="Times New Roman" w:hAnsi="Times New Roman"/>
                <w:sz w:val="18"/>
                <w:szCs w:val="18"/>
                <w:color w:val="auto"/>
              </w:rPr>
              <w:t>Net loss per share of vTv Therapeutics Inc. Class A common stock, basic and diluted</w:t>
            </w:r>
          </w:p>
        </w:tc>
        <w:tc>
          <w:tcPr>
            <w:tcW w:w="420" w:type="dxa"/>
            <w:vAlign w:val="bottom"/>
            <w:tcBorders>
              <w:top w:val="single" w:sz="8" w:color="EBFEFF"/>
              <w:bottom w:val="single" w:sz="8" w:color="auto"/>
            </w:tcBorders>
          </w:tcPr>
          <w:p>
            <w:pPr>
              <w:spacing w:after="0" w:line="20" w:lineRule="exact"/>
              <w:rPr>
                <w:sz w:val="1"/>
                <w:szCs w:val="1"/>
                <w:color w:val="auto"/>
              </w:rPr>
            </w:pPr>
          </w:p>
        </w:tc>
        <w:tc>
          <w:tcPr>
            <w:tcW w:w="14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600" w:type="dxa"/>
            <w:vAlign w:val="bottom"/>
            <w:tcBorders>
              <w:top w:val="single" w:sz="8" w:color="EBFEFF"/>
              <w:bottom w:val="single" w:sz="8" w:color="auto"/>
            </w:tcBorders>
          </w:tcPr>
          <w:p>
            <w:pPr>
              <w:spacing w:after="0" w:line="20" w:lineRule="exact"/>
              <w:rPr>
                <w:sz w:val="1"/>
                <w:szCs w:val="1"/>
                <w:color w:val="auto"/>
              </w:rPr>
            </w:pPr>
          </w:p>
        </w:tc>
        <w:tc>
          <w:tcPr>
            <w:tcW w:w="134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540" w:type="dxa"/>
            <w:vAlign w:val="bottom"/>
            <w:vMerge w:val="continue"/>
          </w:tcPr>
          <w:p>
            <w:pPr>
              <w:spacing w:after="0"/>
              <w:rPr>
                <w:sz w:val="10"/>
                <w:szCs w:val="10"/>
                <w:color w:val="auto"/>
              </w:rPr>
            </w:pPr>
          </w:p>
        </w:tc>
        <w:tc>
          <w:tcPr>
            <w:tcW w:w="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0"/>
                <w:szCs w:val="10"/>
                <w:color w:val="auto"/>
              </w:rPr>
            </w:pPr>
          </w:p>
        </w:tc>
        <w:tc>
          <w:tcPr>
            <w:tcW w:w="6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75"/>
        </w:trPr>
        <w:tc>
          <w:tcPr>
            <w:tcW w:w="65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40" w:type="dxa"/>
            <w:vAlign w:val="bottom"/>
            <w:shd w:val="clear" w:color="auto" w:fill="EBFEFF"/>
          </w:tcPr>
          <w:p>
            <w:pPr>
              <w:ind w:left="260"/>
              <w:spacing w:after="0" w:line="176" w:lineRule="exact"/>
              <w:rPr>
                <w:sz w:val="20"/>
                <w:szCs w:val="20"/>
                <w:color w:val="auto"/>
              </w:rPr>
            </w:pPr>
            <w:r>
              <w:rPr>
                <w:rFonts w:ascii="Times New Roman" w:cs="Times New Roman" w:eastAsia="Times New Roman" w:hAnsi="Times New Roman"/>
                <w:sz w:val="18"/>
                <w:szCs w:val="18"/>
                <w:color w:val="auto"/>
              </w:rPr>
              <w:t>Weighted average number of vTv Therapeutics Inc. Class A common stock, basic and</w:t>
            </w:r>
          </w:p>
        </w:tc>
        <w:tc>
          <w:tcPr>
            <w:tcW w:w="420" w:type="dxa"/>
            <w:vAlign w:val="bottom"/>
            <w:shd w:val="clear" w:color="auto" w:fill="EBFEFF"/>
          </w:tcPr>
          <w:p>
            <w:pPr>
              <w:spacing w:after="0"/>
              <w:rPr>
                <w:sz w:val="15"/>
                <w:szCs w:val="15"/>
                <w:color w:val="auto"/>
              </w:rPr>
            </w:pPr>
          </w:p>
        </w:tc>
        <w:tc>
          <w:tcPr>
            <w:tcW w:w="1420" w:type="dxa"/>
            <w:vAlign w:val="bottom"/>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600" w:type="dxa"/>
            <w:vAlign w:val="bottom"/>
            <w:shd w:val="clear" w:color="auto" w:fill="EBFEFF"/>
          </w:tcPr>
          <w:p>
            <w:pPr>
              <w:spacing w:after="0"/>
              <w:rPr>
                <w:sz w:val="15"/>
                <w:szCs w:val="15"/>
                <w:color w:val="auto"/>
              </w:rPr>
            </w:pPr>
          </w:p>
        </w:tc>
        <w:tc>
          <w:tcPr>
            <w:tcW w:w="1340" w:type="dxa"/>
            <w:vAlign w:val="bottom"/>
            <w:shd w:val="clear" w:color="auto" w:fill="EBF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40" w:type="dxa"/>
            <w:vAlign w:val="bottom"/>
            <w:shd w:val="clear" w:color="auto" w:fill="EBFEFF"/>
          </w:tcPr>
          <w:p>
            <w:pPr>
              <w:ind w:left="44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w:t>
            </w:r>
          </w:p>
        </w:tc>
        <w:tc>
          <w:tcPr>
            <w:tcW w:w="420" w:type="dxa"/>
            <w:vAlign w:val="bottom"/>
            <w:shd w:val="clear" w:color="auto" w:fill="EBFEFF"/>
          </w:tcPr>
          <w:p>
            <w:pPr>
              <w:spacing w:after="0"/>
              <w:rPr>
                <w:sz w:val="21"/>
                <w:szCs w:val="21"/>
                <w:color w:val="auto"/>
              </w:rPr>
            </w:pPr>
          </w:p>
        </w:tc>
        <w:tc>
          <w:tcPr>
            <w:tcW w:w="14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4,141,492</w:t>
            </w:r>
          </w:p>
        </w:tc>
        <w:tc>
          <w:tcPr>
            <w:tcW w:w="100" w:type="dxa"/>
            <w:vAlign w:val="bottom"/>
            <w:shd w:val="clear" w:color="auto" w:fill="EBFEFF"/>
          </w:tcPr>
          <w:p>
            <w:pPr>
              <w:spacing w:after="0"/>
              <w:rPr>
                <w:sz w:val="21"/>
                <w:szCs w:val="21"/>
                <w:color w:val="auto"/>
              </w:rPr>
            </w:pPr>
          </w:p>
        </w:tc>
        <w:tc>
          <w:tcPr>
            <w:tcW w:w="600" w:type="dxa"/>
            <w:vAlign w:val="bottom"/>
            <w:shd w:val="clear" w:color="auto" w:fill="EBFEFF"/>
          </w:tcPr>
          <w:p>
            <w:pPr>
              <w:spacing w:after="0"/>
              <w:rPr>
                <w:sz w:val="21"/>
                <w:szCs w:val="21"/>
                <w:color w:val="auto"/>
              </w:rPr>
            </w:pPr>
          </w:p>
        </w:tc>
        <w:tc>
          <w:tcPr>
            <w:tcW w:w="13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Adjusted retroactively for reverse stock split</w:t>
      </w:r>
    </w:p>
    <w:p>
      <w:pPr>
        <w:spacing w:after="0" w:line="3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229" w:right="11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Redeemable Noncontrolling Interest and Stockholders’ Equity (Deficit) -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5"/>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Class A Common</w:t>
            </w:r>
          </w:p>
        </w:tc>
        <w:tc>
          <w:tcPr>
            <w:tcW w:w="1460" w:type="dxa"/>
            <w:vAlign w:val="bottom"/>
            <w:tcBorders>
              <w:top w:val="single" w:sz="8" w:color="auto"/>
            </w:tcBorders>
            <w:gridSpan w:val="5"/>
          </w:tcPr>
          <w:p>
            <w:pPr>
              <w:ind w:left="160"/>
              <w:spacing w:after="0" w:line="151" w:lineRule="exact"/>
              <w:rPr>
                <w:sz w:val="20"/>
                <w:szCs w:val="20"/>
                <w:color w:val="auto"/>
              </w:rPr>
            </w:pPr>
            <w:r>
              <w:rPr>
                <w:rFonts w:ascii="Times New Roman" w:cs="Times New Roman" w:eastAsia="Times New Roman" w:hAnsi="Times New Roman"/>
                <w:sz w:val="14"/>
                <w:szCs w:val="14"/>
                <w:b w:val="1"/>
                <w:bCs w:val="1"/>
                <w:color w:val="auto"/>
              </w:rPr>
              <w:t>Class B Common</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Total vTv</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24"/>
        </w:trPr>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right w:val="single" w:sz="8" w:color="auto"/>
            </w:tcBorders>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2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Therapeutics Inc</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06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08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2023</w:t>
            </w:r>
          </w:p>
        </w:tc>
        <w:tc>
          <w:tcPr>
            <w:tcW w:w="10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6,131</w:t>
            </w:r>
          </w:p>
        </w:tc>
        <w:tc>
          <w:tcPr>
            <w:tcW w:w="100" w:type="dxa"/>
            <w:vAlign w:val="bottom"/>
            <w:tcBorders>
              <w:top w:val="single" w:sz="8" w:color="EBFEFF"/>
              <w:right w:val="single" w:sz="8" w:color="auto"/>
            </w:tcBorders>
            <w:shd w:val="clear" w:color="auto" w:fill="EBFEFF"/>
          </w:tcPr>
          <w:p>
            <w:pPr>
              <w:spacing w:after="0"/>
              <w:rPr>
                <w:sz w:val="17"/>
                <w:szCs w:val="17"/>
                <w:color w:val="auto"/>
              </w:rPr>
            </w:pPr>
          </w:p>
        </w:tc>
        <w:tc>
          <w:tcPr>
            <w:tcW w:w="60" w:type="dxa"/>
            <w:vAlign w:val="bottom"/>
            <w:tcBorders>
              <w:top w:val="single" w:sz="8" w:color="EBFEFF"/>
            </w:tcBorders>
            <w:shd w:val="clear" w:color="auto" w:fill="EBFEFF"/>
          </w:tcPr>
          <w:p>
            <w:pPr>
              <w:spacing w:after="0"/>
              <w:rPr>
                <w:sz w:val="17"/>
                <w:szCs w:val="17"/>
                <w:color w:val="auto"/>
              </w:rPr>
            </w:pPr>
          </w:p>
        </w:tc>
        <w:tc>
          <w:tcPr>
            <w:tcW w:w="7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2,084,973</w:t>
            </w:r>
          </w:p>
        </w:tc>
        <w:tc>
          <w:tcPr>
            <w:tcW w:w="100" w:type="dxa"/>
            <w:vAlign w:val="bottom"/>
            <w:tcBorders>
              <w:top w:val="single" w:sz="8" w:color="EBFEFF"/>
            </w:tcBorders>
            <w:shd w:val="clear" w:color="auto" w:fill="EBFEFF"/>
          </w:tcPr>
          <w:p>
            <w:pPr>
              <w:spacing w:after="0"/>
              <w:rPr>
                <w:sz w:val="17"/>
                <w:szCs w:val="17"/>
                <w:color w:val="auto"/>
              </w:rPr>
            </w:pPr>
          </w:p>
        </w:tc>
        <w:tc>
          <w:tcPr>
            <w:tcW w:w="280" w:type="dxa"/>
            <w:vAlign w:val="bottom"/>
            <w:tcBorders>
              <w:top w:val="single" w:sz="8" w:color="auto"/>
            </w:tcBorders>
            <w:shd w:val="clear" w:color="auto" w:fill="EBF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tcBorders>
              <w:top w:val="single" w:sz="8" w:color="EBFEFF"/>
            </w:tcBorders>
            <w:shd w:val="clear" w:color="auto" w:fill="EBFEFF"/>
          </w:tcPr>
          <w:p>
            <w:pPr>
              <w:spacing w:after="0"/>
              <w:rPr>
                <w:sz w:val="17"/>
                <w:szCs w:val="17"/>
                <w:color w:val="auto"/>
              </w:rPr>
            </w:pPr>
          </w:p>
        </w:tc>
        <w:tc>
          <w:tcPr>
            <w:tcW w:w="6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Borders>
              <w:top w:val="single" w:sz="8" w:color="EBFEFF"/>
            </w:tcBorders>
            <w:shd w:val="clear" w:color="auto" w:fill="EBFEFF"/>
          </w:tcPr>
          <w:p>
            <w:pPr>
              <w:spacing w:after="0"/>
              <w:rPr>
                <w:sz w:val="17"/>
                <w:szCs w:val="17"/>
                <w:color w:val="auto"/>
              </w:rPr>
            </w:pPr>
          </w:p>
        </w:tc>
        <w:tc>
          <w:tcPr>
            <w:tcW w:w="280" w:type="dxa"/>
            <w:vAlign w:val="bottom"/>
            <w:tcBorders>
              <w:top w:val="single" w:sz="8" w:color="auto"/>
            </w:tcBorders>
            <w:shd w:val="clear" w:color="auto" w:fill="EBF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top w:val="single" w:sz="8" w:color="EBFEFF"/>
            </w:tcBorders>
            <w:shd w:val="clear" w:color="auto" w:fill="EBFEFF"/>
          </w:tcPr>
          <w:p>
            <w:pPr>
              <w:spacing w:after="0"/>
              <w:rPr>
                <w:sz w:val="17"/>
                <w:szCs w:val="17"/>
                <w:color w:val="auto"/>
              </w:rPr>
            </w:pPr>
          </w:p>
        </w:tc>
        <w:tc>
          <w:tcPr>
            <w:tcW w:w="12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256,335</w:t>
            </w:r>
          </w:p>
        </w:tc>
        <w:tc>
          <w:tcPr>
            <w:tcW w:w="80" w:type="dxa"/>
            <w:vAlign w:val="bottom"/>
            <w:tcBorders>
              <w:top w:val="single" w:sz="8" w:color="EBFEFF"/>
            </w:tcBorders>
            <w:shd w:val="clear" w:color="auto" w:fill="EBFEFF"/>
          </w:tcPr>
          <w:p>
            <w:pPr>
              <w:spacing w:after="0"/>
              <w:rPr>
                <w:sz w:val="17"/>
                <w:szCs w:val="17"/>
                <w:color w:val="auto"/>
              </w:rPr>
            </w:pPr>
          </w:p>
        </w:tc>
        <w:tc>
          <w:tcPr>
            <w:tcW w:w="1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(281,042)</w:t>
            </w:r>
          </w:p>
        </w:tc>
        <w:tc>
          <w:tcPr>
            <w:tcW w:w="80" w:type="dxa"/>
            <w:vAlign w:val="bottom"/>
            <w:tcBorders>
              <w:top w:val="single" w:sz="8" w:color="EBFEFF"/>
            </w:tcBorders>
            <w:shd w:val="clear" w:color="auto" w:fill="EBFEFF"/>
          </w:tcPr>
          <w:p>
            <w:pPr>
              <w:spacing w:after="0"/>
              <w:rPr>
                <w:sz w:val="17"/>
                <w:szCs w:val="17"/>
                <w:color w:val="auto"/>
              </w:rPr>
            </w:pPr>
          </w:p>
        </w:tc>
        <w:tc>
          <w:tcPr>
            <w:tcW w:w="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(24,680)</w:t>
            </w:r>
          </w:p>
        </w:tc>
        <w:tc>
          <w:tcPr>
            <w:tcW w:w="80" w:type="dxa"/>
            <w:vAlign w:val="bottom"/>
            <w:tcBorders>
              <w:top w:val="single" w:sz="8" w:color="EBFEFF"/>
            </w:tcBorders>
            <w:shd w:val="clear" w:color="auto" w:fill="EBFEFF"/>
          </w:tcPr>
          <w:p>
            <w:pPr>
              <w:spacing w:after="0"/>
              <w:rPr>
                <w:sz w:val="17"/>
                <w:szCs w:val="17"/>
                <w:color w:val="auto"/>
              </w:rPr>
            </w:pPr>
          </w:p>
        </w:tc>
        <w:tc>
          <w:tcPr>
            <w:tcW w:w="18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EBFEFF"/>
            </w:tcBorders>
            <w:shd w:val="clear" w:color="auto" w:fill="EBFEFF"/>
          </w:tcPr>
          <w:p>
            <w:pPr>
              <w:spacing w:after="0"/>
              <w:rPr>
                <w:sz w:val="17"/>
                <w:szCs w:val="17"/>
                <w:color w:val="auto"/>
              </w:rPr>
            </w:pPr>
          </w:p>
        </w:tc>
        <w:tc>
          <w:tcPr>
            <w:tcW w:w="160" w:type="dxa"/>
            <w:vAlign w:val="bottom"/>
            <w:tcBorders>
              <w:top w:val="single" w:sz="8" w:color="auto"/>
            </w:tcBorders>
            <w:shd w:val="clear" w:color="auto" w:fill="EBF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(24,680)</w:t>
            </w:r>
          </w:p>
        </w:tc>
        <w:tc>
          <w:tcPr>
            <w:tcW w:w="0" w:type="dxa"/>
            <w:vAlign w:val="bottom"/>
          </w:tcPr>
          <w:p>
            <w:pPr>
              <w:spacing w:after="0"/>
              <w:rPr>
                <w:sz w:val="1"/>
                <w:szCs w:val="1"/>
                <w:color w:val="auto"/>
              </w:rPr>
            </w:pPr>
          </w:p>
        </w:tc>
      </w:tr>
      <w:tr>
        <w:trPr>
          <w:trHeight w:val="139"/>
        </w:trPr>
        <w:tc>
          <w:tcPr>
            <w:tcW w:w="208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Net loss attributable to vTv</w:t>
            </w:r>
          </w:p>
        </w:tc>
        <w:tc>
          <w:tcPr>
            <w:tcW w:w="100" w:type="dxa"/>
            <w:vAlign w:val="bottom"/>
          </w:tcPr>
          <w:p>
            <w:pPr>
              <w:spacing w:after="0"/>
              <w:rPr>
                <w:sz w:val="12"/>
                <w:szCs w:val="12"/>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(4,865)</w:t>
            </w:r>
          </w:p>
        </w:tc>
        <w:tc>
          <w:tcPr>
            <w:tcW w:w="0" w:type="dxa"/>
            <w:vAlign w:val="bottom"/>
          </w:tcPr>
          <w:p>
            <w:pPr>
              <w:spacing w:after="0"/>
              <w:rPr>
                <w:sz w:val="1"/>
                <w:szCs w:val="1"/>
                <w:color w:val="auto"/>
              </w:rPr>
            </w:pPr>
          </w:p>
        </w:tc>
      </w:tr>
      <w:tr>
        <w:trPr>
          <w:trHeight w:val="193"/>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Therapeutics Inc.</w:t>
            </w:r>
          </w:p>
        </w:tc>
        <w:tc>
          <w:tcPr>
            <w:tcW w:w="10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EBFEFF"/>
          </w:tcPr>
          <w:p>
            <w:pPr>
              <w:ind w:left="240"/>
              <w:spacing w:after="0" w:line="145"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shd w:val="clear" w:color="auto" w:fill="EBFEFF"/>
          </w:tcPr>
          <w:p>
            <w:pPr>
              <w:spacing w:after="0"/>
              <w:rPr>
                <w:sz w:val="12"/>
                <w:szCs w:val="12"/>
                <w:color w:val="auto"/>
              </w:rPr>
            </w:pPr>
          </w:p>
        </w:tc>
        <w:tc>
          <w:tcPr>
            <w:tcW w:w="860" w:type="dxa"/>
            <w:vAlign w:val="bottom"/>
            <w:shd w:val="clear" w:color="auto" w:fill="EBFEFF"/>
          </w:tcPr>
          <w:p>
            <w:pPr>
              <w:spacing w:after="0"/>
              <w:rPr>
                <w:sz w:val="12"/>
                <w:szCs w:val="12"/>
                <w:color w:val="auto"/>
              </w:rPr>
            </w:pPr>
          </w:p>
        </w:tc>
        <w:tc>
          <w:tcPr>
            <w:tcW w:w="100" w:type="dxa"/>
            <w:vAlign w:val="bottom"/>
            <w:tcBorders>
              <w:right w:val="single" w:sz="8" w:color="auto"/>
            </w:tcBorders>
            <w:shd w:val="clear" w:color="auto" w:fill="EBFEFF"/>
          </w:tcPr>
          <w:p>
            <w:pPr>
              <w:spacing w:after="0"/>
              <w:rPr>
                <w:sz w:val="12"/>
                <w:szCs w:val="12"/>
                <w:color w:val="auto"/>
              </w:rPr>
            </w:pPr>
          </w:p>
        </w:tc>
        <w:tc>
          <w:tcPr>
            <w:tcW w:w="60" w:type="dxa"/>
            <w:vAlign w:val="bottom"/>
            <w:shd w:val="clear" w:color="auto" w:fill="EBFEFF"/>
          </w:tcPr>
          <w:p>
            <w:pPr>
              <w:spacing w:after="0"/>
              <w:rPr>
                <w:sz w:val="12"/>
                <w:szCs w:val="12"/>
                <w:color w:val="auto"/>
              </w:rPr>
            </w:pPr>
          </w:p>
        </w:tc>
        <w:tc>
          <w:tcPr>
            <w:tcW w:w="700" w:type="dxa"/>
            <w:vAlign w:val="bottom"/>
            <w:shd w:val="clear" w:color="auto" w:fill="EBFEFF"/>
          </w:tcPr>
          <w:p>
            <w:pPr>
              <w:spacing w:after="0"/>
              <w:rPr>
                <w:sz w:val="12"/>
                <w:szCs w:val="12"/>
                <w:color w:val="auto"/>
              </w:rPr>
            </w:pPr>
          </w:p>
        </w:tc>
        <w:tc>
          <w:tcPr>
            <w:tcW w:w="10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6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5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2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14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0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80" w:type="dxa"/>
            <w:vAlign w:val="bottom"/>
            <w:shd w:val="clear" w:color="auto" w:fill="EBF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EBFEFF"/>
          </w:tcPr>
          <w:p>
            <w:pPr>
              <w:ind w:left="240"/>
              <w:spacing w:after="0" w:line="145" w:lineRule="exact"/>
              <w:rPr>
                <w:sz w:val="20"/>
                <w:szCs w:val="20"/>
                <w:color w:val="auto"/>
              </w:rPr>
            </w:pPr>
            <w:r>
              <w:rPr>
                <w:rFonts w:ascii="Times New Roman" w:cs="Times New Roman" w:eastAsia="Times New Roman" w:hAnsi="Times New Roman"/>
                <w:sz w:val="14"/>
                <w:szCs w:val="14"/>
                <w:color w:val="auto"/>
              </w:rPr>
              <w:t>redeemable noncontrolling</w:t>
            </w:r>
          </w:p>
        </w:tc>
        <w:tc>
          <w:tcPr>
            <w:tcW w:w="100" w:type="dxa"/>
            <w:vAlign w:val="bottom"/>
            <w:shd w:val="clear" w:color="auto" w:fill="EBFEFF"/>
          </w:tcPr>
          <w:p>
            <w:pPr>
              <w:spacing w:after="0"/>
              <w:rPr>
                <w:sz w:val="12"/>
                <w:szCs w:val="12"/>
                <w:color w:val="auto"/>
              </w:rPr>
            </w:pPr>
          </w:p>
        </w:tc>
        <w:tc>
          <w:tcPr>
            <w:tcW w:w="8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right w:val="single" w:sz="8" w:color="auto"/>
            </w:tcBorders>
            <w:shd w:val="clear" w:color="auto" w:fill="EBFEFF"/>
          </w:tcPr>
          <w:p>
            <w:pPr>
              <w:spacing w:after="0"/>
              <w:rPr>
                <w:sz w:val="12"/>
                <w:szCs w:val="12"/>
                <w:color w:val="auto"/>
              </w:rPr>
            </w:pPr>
          </w:p>
        </w:tc>
        <w:tc>
          <w:tcPr>
            <w:tcW w:w="6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BFEFF"/>
          </w:tcPr>
          <w:p>
            <w:pPr>
              <w:spacing w:after="0"/>
              <w:rPr>
                <w:sz w:val="12"/>
                <w:szCs w:val="12"/>
                <w:color w:val="auto"/>
              </w:rPr>
            </w:pPr>
          </w:p>
        </w:tc>
        <w:tc>
          <w:tcPr>
            <w:tcW w:w="46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BFEFF"/>
          </w:tcPr>
          <w:p>
            <w:pPr>
              <w:spacing w:after="0"/>
              <w:rPr>
                <w:sz w:val="12"/>
                <w:szCs w:val="12"/>
                <w:color w:val="auto"/>
              </w:rPr>
            </w:pPr>
          </w:p>
        </w:tc>
        <w:tc>
          <w:tcPr>
            <w:tcW w:w="4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2"/>
                <w:szCs w:val="12"/>
                <w:color w:val="auto"/>
              </w:rPr>
            </w:pPr>
          </w:p>
        </w:tc>
        <w:tc>
          <w:tcPr>
            <w:tcW w:w="66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BFEFF"/>
          </w:tcPr>
          <w:p>
            <w:pPr>
              <w:spacing w:after="0"/>
              <w:rPr>
                <w:sz w:val="12"/>
                <w:szCs w:val="12"/>
                <w:color w:val="auto"/>
              </w:rPr>
            </w:pPr>
          </w:p>
        </w:tc>
        <w:tc>
          <w:tcPr>
            <w:tcW w:w="122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BFEFF"/>
          </w:tcPr>
          <w:p>
            <w:pPr>
              <w:spacing w:after="0"/>
              <w:rPr>
                <w:sz w:val="12"/>
                <w:szCs w:val="12"/>
                <w:color w:val="auto"/>
              </w:rPr>
            </w:pPr>
          </w:p>
        </w:tc>
        <w:tc>
          <w:tcPr>
            <w:tcW w:w="88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7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4"/>
                <w:szCs w:val="14"/>
                <w:color w:val="auto"/>
              </w:rPr>
              <w:t>interest</w:t>
            </w:r>
            <w:r>
              <w:rPr>
                <w:rFonts w:ascii="Times New Roman" w:cs="Times New Roman" w:eastAsia="Times New Roman" w:hAnsi="Times New Roman"/>
                <w:sz w:val="9"/>
                <w:szCs w:val="9"/>
                <w:color w:val="auto"/>
              </w:rPr>
              <w:t>(*)</w:t>
            </w:r>
          </w:p>
        </w:tc>
        <w:tc>
          <w:tcPr>
            <w:tcW w:w="100" w:type="dxa"/>
            <w:vAlign w:val="bottom"/>
            <w:shd w:val="clear" w:color="auto" w:fill="EBFEFF"/>
          </w:tcPr>
          <w:p>
            <w:pPr>
              <w:spacing w:after="0"/>
              <w:rPr>
                <w:sz w:val="17"/>
                <w:szCs w:val="17"/>
                <w:color w:val="auto"/>
              </w:rPr>
            </w:pPr>
          </w:p>
        </w:tc>
        <w:tc>
          <w:tcPr>
            <w:tcW w:w="860" w:type="dxa"/>
            <w:vAlign w:val="bottom"/>
            <w:vMerge w:val="continue"/>
            <w:shd w:val="clear" w:color="auto" w:fill="EBFEFF"/>
          </w:tcPr>
          <w:p>
            <w:pPr>
              <w:spacing w:after="0"/>
              <w:rPr>
                <w:sz w:val="17"/>
                <w:szCs w:val="17"/>
                <w:color w:val="auto"/>
              </w:rPr>
            </w:pPr>
          </w:p>
        </w:tc>
        <w:tc>
          <w:tcPr>
            <w:tcW w:w="100" w:type="dxa"/>
            <w:vAlign w:val="bottom"/>
            <w:tcBorders>
              <w:right w:val="single" w:sz="8" w:color="auto"/>
            </w:tcBorders>
            <w:shd w:val="clear" w:color="auto" w:fill="EBFEFF"/>
          </w:tcPr>
          <w:p>
            <w:pPr>
              <w:spacing w:after="0"/>
              <w:rPr>
                <w:sz w:val="17"/>
                <w:szCs w:val="17"/>
                <w:color w:val="auto"/>
              </w:rPr>
            </w:pPr>
          </w:p>
        </w:tc>
        <w:tc>
          <w:tcPr>
            <w:tcW w:w="60" w:type="dxa"/>
            <w:vAlign w:val="bottom"/>
            <w:shd w:val="clear" w:color="auto" w:fill="EBFEFF"/>
          </w:tcPr>
          <w:p>
            <w:pPr>
              <w:spacing w:after="0"/>
              <w:rPr>
                <w:sz w:val="17"/>
                <w:szCs w:val="17"/>
                <w:color w:val="auto"/>
              </w:rPr>
            </w:pPr>
          </w:p>
        </w:tc>
        <w:tc>
          <w:tcPr>
            <w:tcW w:w="800" w:type="dxa"/>
            <w:vAlign w:val="bottom"/>
            <w:gridSpan w:val="2"/>
            <w:vMerge w:val="continue"/>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460" w:type="dxa"/>
            <w:vAlign w:val="bottom"/>
            <w:gridSpan w:val="2"/>
            <w:vMerge w:val="continue"/>
            <w:shd w:val="clear" w:color="auto" w:fill="EBFEFF"/>
          </w:tcPr>
          <w:p>
            <w:pPr>
              <w:spacing w:after="0"/>
              <w:rPr>
                <w:sz w:val="17"/>
                <w:szCs w:val="17"/>
                <w:color w:val="auto"/>
              </w:rPr>
            </w:pPr>
          </w:p>
        </w:tc>
        <w:tc>
          <w:tcPr>
            <w:tcW w:w="740" w:type="dxa"/>
            <w:vAlign w:val="bottom"/>
            <w:gridSpan w:val="2"/>
            <w:vMerge w:val="continue"/>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440" w:type="dxa"/>
            <w:vAlign w:val="bottom"/>
            <w:gridSpan w:val="2"/>
            <w:vMerge w:val="continue"/>
            <w:shd w:val="clear" w:color="auto" w:fill="EBFEFF"/>
          </w:tcPr>
          <w:p>
            <w:pPr>
              <w:spacing w:after="0"/>
              <w:rPr>
                <w:sz w:val="17"/>
                <w:szCs w:val="17"/>
                <w:color w:val="auto"/>
              </w:rPr>
            </w:pPr>
          </w:p>
        </w:tc>
        <w:tc>
          <w:tcPr>
            <w:tcW w:w="120" w:type="dxa"/>
            <w:vAlign w:val="bottom"/>
            <w:shd w:val="clear" w:color="auto" w:fill="EBFEFF"/>
          </w:tcPr>
          <w:p>
            <w:pPr>
              <w:spacing w:after="0"/>
              <w:rPr>
                <w:sz w:val="17"/>
                <w:szCs w:val="17"/>
                <w:color w:val="auto"/>
              </w:rPr>
            </w:pPr>
          </w:p>
        </w:tc>
        <w:tc>
          <w:tcPr>
            <w:tcW w:w="660" w:type="dxa"/>
            <w:vAlign w:val="bottom"/>
            <w:gridSpan w:val="2"/>
            <w:vMerge w:val="continue"/>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800" w:type="dxa"/>
            <w:vAlign w:val="bottom"/>
            <w:gridSpan w:val="2"/>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220" w:type="dxa"/>
            <w:vAlign w:val="bottom"/>
            <w:gridSpan w:val="2"/>
            <w:vMerge w:val="continue"/>
            <w:shd w:val="clear" w:color="auto" w:fill="EBFEFF"/>
          </w:tcPr>
          <w:p>
            <w:pPr>
              <w:spacing w:after="0"/>
              <w:rPr>
                <w:sz w:val="17"/>
                <w:szCs w:val="17"/>
                <w:color w:val="auto"/>
              </w:rPr>
            </w:pPr>
          </w:p>
        </w:tc>
        <w:tc>
          <w:tcPr>
            <w:tcW w:w="180" w:type="dxa"/>
            <w:vAlign w:val="bottom"/>
            <w:shd w:val="clear" w:color="auto" w:fill="EBFEFF"/>
          </w:tcPr>
          <w:p>
            <w:pPr>
              <w:spacing w:after="0"/>
              <w:rPr>
                <w:sz w:val="17"/>
                <w:szCs w:val="17"/>
                <w:color w:val="auto"/>
              </w:rPr>
            </w:pPr>
          </w:p>
        </w:tc>
        <w:tc>
          <w:tcPr>
            <w:tcW w:w="880" w:type="dxa"/>
            <w:vAlign w:val="bottom"/>
            <w:gridSpan w:val="2"/>
            <w:vMerge w:val="continue"/>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780" w:type="dxa"/>
            <w:vAlign w:val="bottom"/>
            <w:vMerge w:val="continue"/>
            <w:shd w:val="clear" w:color="auto" w:fill="EBF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Change in redemption value of</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redeemable noncontrolling</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5"/>
        </w:trPr>
        <w:tc>
          <w:tcPr>
            <w:tcW w:w="2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80" w:type="dxa"/>
            <w:vAlign w:val="bottom"/>
            <w:shd w:val="clear" w:color="auto" w:fill="EBFEFF"/>
          </w:tcPr>
          <w:p>
            <w:pPr>
              <w:ind w:left="240"/>
              <w:spacing w:after="0" w:line="147" w:lineRule="exact"/>
              <w:rPr>
                <w:sz w:val="20"/>
                <w:szCs w:val="20"/>
                <w:color w:val="auto"/>
              </w:rPr>
            </w:pPr>
            <w:r>
              <w:rPr>
                <w:rFonts w:ascii="Times New Roman" w:cs="Times New Roman" w:eastAsia="Times New Roman" w:hAnsi="Times New Roman"/>
                <w:sz w:val="14"/>
                <w:szCs w:val="14"/>
                <w:color w:val="auto"/>
              </w:rPr>
              <w:t>Reclassification of redeemable</w:t>
            </w:r>
          </w:p>
        </w:tc>
        <w:tc>
          <w:tcPr>
            <w:tcW w:w="100" w:type="dxa"/>
            <w:vAlign w:val="bottom"/>
            <w:shd w:val="clear" w:color="auto" w:fill="EBFEFF"/>
          </w:tcPr>
          <w:p>
            <w:pPr>
              <w:spacing w:after="0"/>
              <w:rPr>
                <w:sz w:val="12"/>
                <w:szCs w:val="12"/>
                <w:color w:val="auto"/>
              </w:rPr>
            </w:pPr>
          </w:p>
        </w:tc>
        <w:tc>
          <w:tcPr>
            <w:tcW w:w="860" w:type="dxa"/>
            <w:vAlign w:val="bottom"/>
            <w:shd w:val="clear" w:color="auto" w:fill="EBFEFF"/>
          </w:tcPr>
          <w:p>
            <w:pPr>
              <w:spacing w:after="0"/>
              <w:rPr>
                <w:sz w:val="12"/>
                <w:szCs w:val="12"/>
                <w:color w:val="auto"/>
              </w:rPr>
            </w:pPr>
          </w:p>
        </w:tc>
        <w:tc>
          <w:tcPr>
            <w:tcW w:w="100" w:type="dxa"/>
            <w:vAlign w:val="bottom"/>
            <w:tcBorders>
              <w:right w:val="single" w:sz="8" w:color="auto"/>
            </w:tcBorders>
            <w:shd w:val="clear" w:color="auto" w:fill="EBFEFF"/>
          </w:tcPr>
          <w:p>
            <w:pPr>
              <w:spacing w:after="0"/>
              <w:rPr>
                <w:sz w:val="12"/>
                <w:szCs w:val="12"/>
                <w:color w:val="auto"/>
              </w:rPr>
            </w:pPr>
          </w:p>
        </w:tc>
        <w:tc>
          <w:tcPr>
            <w:tcW w:w="60" w:type="dxa"/>
            <w:vAlign w:val="bottom"/>
            <w:shd w:val="clear" w:color="auto" w:fill="EBFEFF"/>
          </w:tcPr>
          <w:p>
            <w:pPr>
              <w:spacing w:after="0"/>
              <w:rPr>
                <w:sz w:val="12"/>
                <w:szCs w:val="12"/>
                <w:color w:val="auto"/>
              </w:rPr>
            </w:pPr>
          </w:p>
        </w:tc>
        <w:tc>
          <w:tcPr>
            <w:tcW w:w="700" w:type="dxa"/>
            <w:vAlign w:val="bottom"/>
            <w:shd w:val="clear" w:color="auto" w:fill="EBFEFF"/>
          </w:tcPr>
          <w:p>
            <w:pPr>
              <w:spacing w:after="0"/>
              <w:rPr>
                <w:sz w:val="12"/>
                <w:szCs w:val="12"/>
                <w:color w:val="auto"/>
              </w:rPr>
            </w:pPr>
          </w:p>
        </w:tc>
        <w:tc>
          <w:tcPr>
            <w:tcW w:w="10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6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5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2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14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0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80" w:type="dxa"/>
            <w:vAlign w:val="bottom"/>
            <w:shd w:val="clear" w:color="auto" w:fill="EBF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EBFEFF"/>
          </w:tcPr>
          <w:p>
            <w:pPr>
              <w:ind w:left="240"/>
              <w:spacing w:after="0" w:line="145" w:lineRule="exact"/>
              <w:rPr>
                <w:sz w:val="20"/>
                <w:szCs w:val="20"/>
                <w:color w:val="auto"/>
              </w:rPr>
            </w:pPr>
            <w:r>
              <w:rPr>
                <w:rFonts w:ascii="Times New Roman" w:cs="Times New Roman" w:eastAsia="Times New Roman" w:hAnsi="Times New Roman"/>
                <w:sz w:val="14"/>
                <w:szCs w:val="14"/>
                <w:color w:val="auto"/>
              </w:rPr>
              <w:t>noncontrolling interest to</w:t>
            </w:r>
          </w:p>
        </w:tc>
        <w:tc>
          <w:tcPr>
            <w:tcW w:w="100" w:type="dxa"/>
            <w:vAlign w:val="bottom"/>
            <w:shd w:val="clear" w:color="auto" w:fill="EBFEFF"/>
          </w:tcPr>
          <w:p>
            <w:pPr>
              <w:spacing w:after="0"/>
              <w:rPr>
                <w:sz w:val="12"/>
                <w:szCs w:val="12"/>
                <w:color w:val="auto"/>
              </w:rPr>
            </w:pPr>
          </w:p>
        </w:tc>
        <w:tc>
          <w:tcPr>
            <w:tcW w:w="86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100" w:type="dxa"/>
            <w:vAlign w:val="bottom"/>
            <w:tcBorders>
              <w:right w:val="single" w:sz="8" w:color="auto"/>
            </w:tcBorders>
            <w:shd w:val="clear" w:color="auto" w:fill="EBFEFF"/>
          </w:tcPr>
          <w:p>
            <w:pPr>
              <w:spacing w:after="0"/>
              <w:rPr>
                <w:sz w:val="12"/>
                <w:szCs w:val="12"/>
                <w:color w:val="auto"/>
              </w:rPr>
            </w:pPr>
          </w:p>
        </w:tc>
        <w:tc>
          <w:tcPr>
            <w:tcW w:w="6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BFEFF"/>
          </w:tcPr>
          <w:p>
            <w:pPr>
              <w:spacing w:after="0"/>
              <w:rPr>
                <w:sz w:val="12"/>
                <w:szCs w:val="12"/>
                <w:color w:val="auto"/>
              </w:rPr>
            </w:pPr>
          </w:p>
        </w:tc>
        <w:tc>
          <w:tcPr>
            <w:tcW w:w="46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BFEFF"/>
          </w:tcPr>
          <w:p>
            <w:pPr>
              <w:spacing w:after="0"/>
              <w:rPr>
                <w:sz w:val="12"/>
                <w:szCs w:val="12"/>
                <w:color w:val="auto"/>
              </w:rPr>
            </w:pPr>
          </w:p>
        </w:tc>
        <w:tc>
          <w:tcPr>
            <w:tcW w:w="4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2"/>
                <w:szCs w:val="12"/>
                <w:color w:val="auto"/>
              </w:rPr>
            </w:pPr>
          </w:p>
        </w:tc>
        <w:tc>
          <w:tcPr>
            <w:tcW w:w="66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BFEFF"/>
          </w:tcPr>
          <w:p>
            <w:pPr>
              <w:spacing w:after="0"/>
              <w:rPr>
                <w:sz w:val="12"/>
                <w:szCs w:val="12"/>
                <w:color w:val="auto"/>
              </w:rPr>
            </w:pPr>
          </w:p>
        </w:tc>
        <w:tc>
          <w:tcPr>
            <w:tcW w:w="122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BFEFF"/>
          </w:tcPr>
          <w:p>
            <w:pPr>
              <w:spacing w:after="0"/>
              <w:rPr>
                <w:sz w:val="12"/>
                <w:szCs w:val="12"/>
                <w:color w:val="auto"/>
              </w:rPr>
            </w:pPr>
          </w:p>
        </w:tc>
        <w:tc>
          <w:tcPr>
            <w:tcW w:w="8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5,260</w:t>
            </w:r>
          </w:p>
        </w:tc>
        <w:tc>
          <w:tcPr>
            <w:tcW w:w="0" w:type="dxa"/>
            <w:vAlign w:val="bottom"/>
          </w:tcPr>
          <w:p>
            <w:pPr>
              <w:spacing w:after="0"/>
              <w:rPr>
                <w:sz w:val="1"/>
                <w:szCs w:val="1"/>
                <w:color w:val="auto"/>
              </w:rPr>
            </w:pPr>
          </w:p>
        </w:tc>
      </w:tr>
      <w:tr>
        <w:trPr>
          <w:trHeight w:val="203"/>
        </w:trPr>
        <w:tc>
          <w:tcPr>
            <w:tcW w:w="20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4"/>
                <w:szCs w:val="14"/>
                <w:color w:val="auto"/>
              </w:rPr>
              <w:t>permanent equity (See Note 7)</w:t>
            </w:r>
          </w:p>
        </w:tc>
        <w:tc>
          <w:tcPr>
            <w:tcW w:w="100" w:type="dxa"/>
            <w:vAlign w:val="bottom"/>
            <w:shd w:val="clear" w:color="auto" w:fill="EBFEFF"/>
          </w:tcPr>
          <w:p>
            <w:pPr>
              <w:spacing w:after="0"/>
              <w:rPr>
                <w:sz w:val="17"/>
                <w:szCs w:val="17"/>
                <w:color w:val="auto"/>
              </w:rPr>
            </w:pPr>
          </w:p>
        </w:tc>
        <w:tc>
          <w:tcPr>
            <w:tcW w:w="860" w:type="dxa"/>
            <w:vAlign w:val="bottom"/>
            <w:vMerge w:val="continue"/>
            <w:shd w:val="clear" w:color="auto" w:fill="EBFEFF"/>
          </w:tcPr>
          <w:p>
            <w:pPr>
              <w:spacing w:after="0"/>
              <w:rPr>
                <w:sz w:val="17"/>
                <w:szCs w:val="17"/>
                <w:color w:val="auto"/>
              </w:rPr>
            </w:pPr>
          </w:p>
        </w:tc>
        <w:tc>
          <w:tcPr>
            <w:tcW w:w="100" w:type="dxa"/>
            <w:vAlign w:val="bottom"/>
            <w:tcBorders>
              <w:right w:val="single" w:sz="8" w:color="auto"/>
            </w:tcBorders>
            <w:shd w:val="clear" w:color="auto" w:fill="EBFEFF"/>
          </w:tcPr>
          <w:p>
            <w:pPr>
              <w:spacing w:after="0"/>
              <w:rPr>
                <w:sz w:val="17"/>
                <w:szCs w:val="17"/>
                <w:color w:val="auto"/>
              </w:rPr>
            </w:pPr>
          </w:p>
        </w:tc>
        <w:tc>
          <w:tcPr>
            <w:tcW w:w="60" w:type="dxa"/>
            <w:vAlign w:val="bottom"/>
            <w:shd w:val="clear" w:color="auto" w:fill="EBFEFF"/>
          </w:tcPr>
          <w:p>
            <w:pPr>
              <w:spacing w:after="0"/>
              <w:rPr>
                <w:sz w:val="17"/>
                <w:szCs w:val="17"/>
                <w:color w:val="auto"/>
              </w:rPr>
            </w:pPr>
          </w:p>
        </w:tc>
        <w:tc>
          <w:tcPr>
            <w:tcW w:w="800" w:type="dxa"/>
            <w:vAlign w:val="bottom"/>
            <w:gridSpan w:val="2"/>
            <w:vMerge w:val="continue"/>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460" w:type="dxa"/>
            <w:vAlign w:val="bottom"/>
            <w:gridSpan w:val="2"/>
            <w:vMerge w:val="continue"/>
            <w:shd w:val="clear" w:color="auto" w:fill="EBFEFF"/>
          </w:tcPr>
          <w:p>
            <w:pPr>
              <w:spacing w:after="0"/>
              <w:rPr>
                <w:sz w:val="17"/>
                <w:szCs w:val="17"/>
                <w:color w:val="auto"/>
              </w:rPr>
            </w:pPr>
          </w:p>
        </w:tc>
        <w:tc>
          <w:tcPr>
            <w:tcW w:w="740" w:type="dxa"/>
            <w:vAlign w:val="bottom"/>
            <w:gridSpan w:val="2"/>
            <w:vMerge w:val="continue"/>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440" w:type="dxa"/>
            <w:vAlign w:val="bottom"/>
            <w:gridSpan w:val="2"/>
            <w:vMerge w:val="continue"/>
            <w:shd w:val="clear" w:color="auto" w:fill="EBFEFF"/>
          </w:tcPr>
          <w:p>
            <w:pPr>
              <w:spacing w:after="0"/>
              <w:rPr>
                <w:sz w:val="17"/>
                <w:szCs w:val="17"/>
                <w:color w:val="auto"/>
              </w:rPr>
            </w:pPr>
          </w:p>
        </w:tc>
        <w:tc>
          <w:tcPr>
            <w:tcW w:w="120" w:type="dxa"/>
            <w:vAlign w:val="bottom"/>
            <w:shd w:val="clear" w:color="auto" w:fill="EBFEFF"/>
          </w:tcPr>
          <w:p>
            <w:pPr>
              <w:spacing w:after="0"/>
              <w:rPr>
                <w:sz w:val="17"/>
                <w:szCs w:val="17"/>
                <w:color w:val="auto"/>
              </w:rPr>
            </w:pPr>
          </w:p>
        </w:tc>
        <w:tc>
          <w:tcPr>
            <w:tcW w:w="660" w:type="dxa"/>
            <w:vAlign w:val="bottom"/>
            <w:gridSpan w:val="2"/>
            <w:vMerge w:val="continue"/>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800" w:type="dxa"/>
            <w:vAlign w:val="bottom"/>
            <w:gridSpan w:val="2"/>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220" w:type="dxa"/>
            <w:vAlign w:val="bottom"/>
            <w:gridSpan w:val="2"/>
            <w:vMerge w:val="continue"/>
            <w:shd w:val="clear" w:color="auto" w:fill="EBFEFF"/>
          </w:tcPr>
          <w:p>
            <w:pPr>
              <w:spacing w:after="0"/>
              <w:rPr>
                <w:sz w:val="17"/>
                <w:szCs w:val="17"/>
                <w:color w:val="auto"/>
              </w:rPr>
            </w:pPr>
          </w:p>
        </w:tc>
        <w:tc>
          <w:tcPr>
            <w:tcW w:w="180" w:type="dxa"/>
            <w:vAlign w:val="bottom"/>
            <w:shd w:val="clear" w:color="auto" w:fill="EBFEFF"/>
          </w:tcPr>
          <w:p>
            <w:pPr>
              <w:spacing w:after="0"/>
              <w:rPr>
                <w:sz w:val="17"/>
                <w:szCs w:val="17"/>
                <w:color w:val="auto"/>
              </w:rPr>
            </w:pPr>
          </w:p>
        </w:tc>
        <w:tc>
          <w:tcPr>
            <w:tcW w:w="800" w:type="dxa"/>
            <w:vAlign w:val="bottom"/>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780" w:type="dxa"/>
            <w:vAlign w:val="bottom"/>
            <w:vMerge w:val="continue"/>
            <w:shd w:val="clear" w:color="auto" w:fill="EBF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6"/>
        </w:trPr>
        <w:tc>
          <w:tcPr>
            <w:tcW w:w="2080" w:type="dxa"/>
            <w:vAlign w:val="bottom"/>
            <w:shd w:val="clear" w:color="auto" w:fill="EBFEFF"/>
          </w:tcPr>
          <w:p>
            <w:pPr>
              <w:ind w:left="240"/>
              <w:spacing w:after="0" w:line="147" w:lineRule="exact"/>
              <w:rPr>
                <w:sz w:val="20"/>
                <w:szCs w:val="20"/>
                <w:color w:val="auto"/>
              </w:rPr>
            </w:pPr>
            <w:r>
              <w:rPr>
                <w:rFonts w:ascii="Times New Roman" w:cs="Times New Roman" w:eastAsia="Times New Roman" w:hAnsi="Times New Roman"/>
                <w:sz w:val="14"/>
                <w:szCs w:val="14"/>
                <w:color w:val="auto"/>
              </w:rPr>
              <w:t>Issuance of Class A common</w:t>
            </w:r>
          </w:p>
        </w:tc>
        <w:tc>
          <w:tcPr>
            <w:tcW w:w="100" w:type="dxa"/>
            <w:vAlign w:val="bottom"/>
            <w:shd w:val="clear" w:color="auto" w:fill="EBFEFF"/>
          </w:tcPr>
          <w:p>
            <w:pPr>
              <w:spacing w:after="0"/>
              <w:rPr>
                <w:sz w:val="12"/>
                <w:szCs w:val="12"/>
                <w:color w:val="auto"/>
              </w:rPr>
            </w:pPr>
          </w:p>
        </w:tc>
        <w:tc>
          <w:tcPr>
            <w:tcW w:w="860" w:type="dxa"/>
            <w:vAlign w:val="bottom"/>
            <w:shd w:val="clear" w:color="auto" w:fill="EBFEFF"/>
          </w:tcPr>
          <w:p>
            <w:pPr>
              <w:spacing w:after="0"/>
              <w:rPr>
                <w:sz w:val="12"/>
                <w:szCs w:val="12"/>
                <w:color w:val="auto"/>
              </w:rPr>
            </w:pPr>
          </w:p>
        </w:tc>
        <w:tc>
          <w:tcPr>
            <w:tcW w:w="100" w:type="dxa"/>
            <w:vAlign w:val="bottom"/>
            <w:tcBorders>
              <w:right w:val="single" w:sz="8" w:color="auto"/>
            </w:tcBorders>
            <w:shd w:val="clear" w:color="auto" w:fill="EBFEFF"/>
          </w:tcPr>
          <w:p>
            <w:pPr>
              <w:spacing w:after="0"/>
              <w:rPr>
                <w:sz w:val="12"/>
                <w:szCs w:val="12"/>
                <w:color w:val="auto"/>
              </w:rPr>
            </w:pPr>
          </w:p>
        </w:tc>
        <w:tc>
          <w:tcPr>
            <w:tcW w:w="60" w:type="dxa"/>
            <w:vAlign w:val="bottom"/>
            <w:shd w:val="clear" w:color="auto" w:fill="EBFEFF"/>
          </w:tcPr>
          <w:p>
            <w:pPr>
              <w:spacing w:after="0"/>
              <w:rPr>
                <w:sz w:val="12"/>
                <w:szCs w:val="12"/>
                <w:color w:val="auto"/>
              </w:rPr>
            </w:pPr>
          </w:p>
        </w:tc>
        <w:tc>
          <w:tcPr>
            <w:tcW w:w="700" w:type="dxa"/>
            <w:vAlign w:val="bottom"/>
            <w:shd w:val="clear" w:color="auto" w:fill="EBFEFF"/>
          </w:tcPr>
          <w:p>
            <w:pPr>
              <w:spacing w:after="0"/>
              <w:rPr>
                <w:sz w:val="12"/>
                <w:szCs w:val="12"/>
                <w:color w:val="auto"/>
              </w:rPr>
            </w:pPr>
          </w:p>
        </w:tc>
        <w:tc>
          <w:tcPr>
            <w:tcW w:w="10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6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6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20" w:type="dxa"/>
            <w:vAlign w:val="bottom"/>
            <w:shd w:val="clear" w:color="auto" w:fill="EBFEFF"/>
          </w:tcPr>
          <w:p>
            <w:pPr>
              <w:spacing w:after="0"/>
              <w:rPr>
                <w:sz w:val="12"/>
                <w:szCs w:val="12"/>
                <w:color w:val="auto"/>
              </w:rPr>
            </w:pPr>
          </w:p>
        </w:tc>
        <w:tc>
          <w:tcPr>
            <w:tcW w:w="5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2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14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00" w:type="dxa"/>
            <w:vAlign w:val="bottom"/>
            <w:shd w:val="clear" w:color="auto" w:fill="EBFEFF"/>
          </w:tcPr>
          <w:p>
            <w:pPr>
              <w:spacing w:after="0"/>
              <w:rPr>
                <w:sz w:val="12"/>
                <w:szCs w:val="12"/>
                <w:color w:val="auto"/>
              </w:rPr>
            </w:pP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780" w:type="dxa"/>
            <w:vAlign w:val="bottom"/>
            <w:shd w:val="clear" w:color="auto" w:fill="EBF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shd w:val="clear" w:color="auto" w:fill="EBFEFF"/>
          </w:tcPr>
          <w:p>
            <w:pPr>
              <w:ind w:left="240"/>
              <w:spacing w:after="0" w:line="145" w:lineRule="exact"/>
              <w:rPr>
                <w:sz w:val="20"/>
                <w:szCs w:val="20"/>
                <w:color w:val="auto"/>
              </w:rPr>
            </w:pPr>
            <w:r>
              <w:rPr>
                <w:rFonts w:ascii="Times New Roman" w:cs="Times New Roman" w:eastAsia="Times New Roman" w:hAnsi="Times New Roman"/>
                <w:sz w:val="14"/>
                <w:szCs w:val="14"/>
                <w:color w:val="auto"/>
              </w:rPr>
              <w:t>stock and pre-funded warrants,</w:t>
            </w:r>
          </w:p>
        </w:tc>
        <w:tc>
          <w:tcPr>
            <w:tcW w:w="100" w:type="dxa"/>
            <w:vAlign w:val="bottom"/>
            <w:shd w:val="clear" w:color="auto" w:fill="EBFEFF"/>
          </w:tcPr>
          <w:p>
            <w:pPr>
              <w:spacing w:after="0"/>
              <w:rPr>
                <w:sz w:val="12"/>
                <w:szCs w:val="12"/>
                <w:color w:val="auto"/>
              </w:rPr>
            </w:pPr>
          </w:p>
        </w:tc>
        <w:tc>
          <w:tcPr>
            <w:tcW w:w="960" w:type="dxa"/>
            <w:vAlign w:val="bottom"/>
            <w:tcBorders>
              <w:right w:val="single" w:sz="8" w:color="auto"/>
            </w:tcBorders>
            <w:gridSpan w:val="2"/>
            <w:vMerge w:val="restart"/>
            <w:shd w:val="clear" w:color="auto" w:fill="EBF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BFEFF"/>
          </w:tcPr>
          <w:p>
            <w:pPr>
              <w:spacing w:after="0"/>
              <w:rPr>
                <w:sz w:val="12"/>
                <w:szCs w:val="12"/>
                <w:color w:val="auto"/>
              </w:rPr>
            </w:pPr>
          </w:p>
        </w:tc>
        <w:tc>
          <w:tcPr>
            <w:tcW w:w="70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347,884</w:t>
            </w:r>
          </w:p>
        </w:tc>
        <w:tc>
          <w:tcPr>
            <w:tcW w:w="100" w:type="dxa"/>
            <w:vAlign w:val="bottom"/>
            <w:shd w:val="clear" w:color="auto" w:fill="EBFEFF"/>
          </w:tcPr>
          <w:p>
            <w:pPr>
              <w:spacing w:after="0"/>
              <w:rPr>
                <w:sz w:val="12"/>
                <w:szCs w:val="12"/>
                <w:color w:val="auto"/>
              </w:rPr>
            </w:pPr>
          </w:p>
        </w:tc>
        <w:tc>
          <w:tcPr>
            <w:tcW w:w="280" w:type="dxa"/>
            <w:vAlign w:val="bottom"/>
            <w:shd w:val="clear" w:color="auto" w:fill="EBFEFF"/>
          </w:tcPr>
          <w:p>
            <w:pPr>
              <w:spacing w:after="0"/>
              <w:rPr>
                <w:sz w:val="12"/>
                <w:szCs w:val="12"/>
                <w:color w:val="auto"/>
              </w:rPr>
            </w:pPr>
          </w:p>
        </w:tc>
        <w:tc>
          <w:tcPr>
            <w:tcW w:w="3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EBFEFF"/>
          </w:tcPr>
          <w:p>
            <w:pPr>
              <w:spacing w:after="0"/>
              <w:rPr>
                <w:sz w:val="12"/>
                <w:szCs w:val="12"/>
                <w:color w:val="auto"/>
              </w:rPr>
            </w:pPr>
          </w:p>
        </w:tc>
        <w:tc>
          <w:tcPr>
            <w:tcW w:w="7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EBFEFF"/>
          </w:tcPr>
          <w:p>
            <w:pPr>
              <w:spacing w:after="0"/>
              <w:rPr>
                <w:sz w:val="12"/>
                <w:szCs w:val="12"/>
                <w:color w:val="auto"/>
              </w:rPr>
            </w:pPr>
          </w:p>
        </w:tc>
        <w:tc>
          <w:tcPr>
            <w:tcW w:w="44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BFEFF"/>
          </w:tcPr>
          <w:p>
            <w:pPr>
              <w:spacing w:after="0"/>
              <w:rPr>
                <w:sz w:val="12"/>
                <w:szCs w:val="12"/>
                <w:color w:val="auto"/>
              </w:rPr>
            </w:pPr>
          </w:p>
        </w:tc>
        <w:tc>
          <w:tcPr>
            <w:tcW w:w="5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50,332</w:t>
            </w:r>
          </w:p>
        </w:tc>
        <w:tc>
          <w:tcPr>
            <w:tcW w:w="80" w:type="dxa"/>
            <w:vAlign w:val="bottom"/>
            <w:shd w:val="clear" w:color="auto" w:fill="EBFEFF"/>
          </w:tcPr>
          <w:p>
            <w:pPr>
              <w:spacing w:after="0"/>
              <w:rPr>
                <w:sz w:val="12"/>
                <w:szCs w:val="12"/>
                <w:color w:val="auto"/>
              </w:rPr>
            </w:pPr>
          </w:p>
        </w:tc>
        <w:tc>
          <w:tcPr>
            <w:tcW w:w="160" w:type="dxa"/>
            <w:vAlign w:val="bottom"/>
            <w:shd w:val="clear" w:color="auto" w:fill="EBFEFF"/>
          </w:tcPr>
          <w:p>
            <w:pPr>
              <w:spacing w:after="0"/>
              <w:rPr>
                <w:sz w:val="12"/>
                <w:szCs w:val="12"/>
                <w:color w:val="auto"/>
              </w:rPr>
            </w:pPr>
          </w:p>
        </w:tc>
        <w:tc>
          <w:tcPr>
            <w:tcW w:w="800" w:type="dxa"/>
            <w:vAlign w:val="bottom"/>
            <w:gridSpan w:val="2"/>
            <w:vMerge w:val="restart"/>
            <w:shd w:val="clear" w:color="auto" w:fill="EBF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BFEFF"/>
          </w:tcPr>
          <w:p>
            <w:pPr>
              <w:spacing w:after="0"/>
              <w:rPr>
                <w:sz w:val="12"/>
                <w:szCs w:val="12"/>
                <w:color w:val="auto"/>
              </w:rPr>
            </w:pPr>
          </w:p>
        </w:tc>
        <w:tc>
          <w:tcPr>
            <w:tcW w:w="114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50,335</w:t>
            </w:r>
          </w:p>
        </w:tc>
        <w:tc>
          <w:tcPr>
            <w:tcW w:w="80" w:type="dxa"/>
            <w:vAlign w:val="bottom"/>
            <w:shd w:val="clear" w:color="auto" w:fill="EBFEFF"/>
          </w:tcPr>
          <w:p>
            <w:pPr>
              <w:spacing w:after="0"/>
              <w:rPr>
                <w:sz w:val="12"/>
                <w:szCs w:val="12"/>
                <w:color w:val="auto"/>
              </w:rPr>
            </w:pPr>
          </w:p>
        </w:tc>
        <w:tc>
          <w:tcPr>
            <w:tcW w:w="180" w:type="dxa"/>
            <w:vAlign w:val="bottom"/>
            <w:shd w:val="clear" w:color="auto" w:fill="EBFEFF"/>
          </w:tcPr>
          <w:p>
            <w:pPr>
              <w:spacing w:after="0"/>
              <w:rPr>
                <w:sz w:val="12"/>
                <w:szCs w:val="12"/>
                <w:color w:val="auto"/>
              </w:rPr>
            </w:pPr>
          </w:p>
        </w:tc>
        <w:tc>
          <w:tcPr>
            <w:tcW w:w="880" w:type="dxa"/>
            <w:vAlign w:val="bottom"/>
            <w:gridSpan w:val="2"/>
            <w:vMerge w:val="restart"/>
            <w:shd w:val="clear" w:color="auto" w:fill="EBF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BFEFF"/>
          </w:tcPr>
          <w:p>
            <w:pPr>
              <w:spacing w:after="0"/>
              <w:rPr>
                <w:sz w:val="12"/>
                <w:szCs w:val="12"/>
                <w:color w:val="auto"/>
              </w:rPr>
            </w:pPr>
          </w:p>
        </w:tc>
        <w:tc>
          <w:tcPr>
            <w:tcW w:w="780" w:type="dxa"/>
            <w:vAlign w:val="bottom"/>
            <w:vMerge w:val="restart"/>
            <w:shd w:val="clear" w:color="auto" w:fill="EBFEFF"/>
          </w:tcPr>
          <w:p>
            <w:pPr>
              <w:jc w:val="right"/>
              <w:spacing w:after="0"/>
              <w:rPr>
                <w:sz w:val="20"/>
                <w:szCs w:val="20"/>
                <w:color w:val="auto"/>
              </w:rPr>
            </w:pPr>
            <w:r>
              <w:rPr>
                <w:rFonts w:ascii="Times New Roman" w:cs="Times New Roman" w:eastAsia="Times New Roman" w:hAnsi="Times New Roman"/>
                <w:sz w:val="14"/>
                <w:szCs w:val="14"/>
                <w:color w:val="auto"/>
              </w:rPr>
              <w:t>50,335</w:t>
            </w:r>
          </w:p>
        </w:tc>
        <w:tc>
          <w:tcPr>
            <w:tcW w:w="0" w:type="dxa"/>
            <w:vAlign w:val="bottom"/>
          </w:tcPr>
          <w:p>
            <w:pPr>
              <w:spacing w:after="0"/>
              <w:rPr>
                <w:sz w:val="1"/>
                <w:szCs w:val="1"/>
                <w:color w:val="auto"/>
              </w:rPr>
            </w:pPr>
          </w:p>
        </w:tc>
      </w:tr>
      <w:tr>
        <w:trPr>
          <w:trHeight w:val="203"/>
        </w:trPr>
        <w:tc>
          <w:tcPr>
            <w:tcW w:w="20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4"/>
                <w:szCs w:val="14"/>
                <w:color w:val="auto"/>
              </w:rPr>
              <w:t>net offering costs</w:t>
            </w:r>
          </w:p>
        </w:tc>
        <w:tc>
          <w:tcPr>
            <w:tcW w:w="100" w:type="dxa"/>
            <w:vAlign w:val="bottom"/>
            <w:shd w:val="clear" w:color="auto" w:fill="EBFEFF"/>
          </w:tcPr>
          <w:p>
            <w:pPr>
              <w:spacing w:after="0"/>
              <w:rPr>
                <w:sz w:val="17"/>
                <w:szCs w:val="17"/>
                <w:color w:val="auto"/>
              </w:rPr>
            </w:pPr>
          </w:p>
        </w:tc>
        <w:tc>
          <w:tcPr>
            <w:tcW w:w="960" w:type="dxa"/>
            <w:vAlign w:val="bottom"/>
            <w:tcBorders>
              <w:right w:val="single" w:sz="8" w:color="auto"/>
            </w:tcBorders>
            <w:gridSpan w:val="2"/>
            <w:vMerge w:val="continue"/>
            <w:shd w:val="clear" w:color="auto" w:fill="EBFEFF"/>
          </w:tcPr>
          <w:p>
            <w:pPr>
              <w:spacing w:after="0"/>
              <w:rPr>
                <w:sz w:val="17"/>
                <w:szCs w:val="17"/>
                <w:color w:val="auto"/>
              </w:rPr>
            </w:pPr>
          </w:p>
        </w:tc>
        <w:tc>
          <w:tcPr>
            <w:tcW w:w="60" w:type="dxa"/>
            <w:vAlign w:val="bottom"/>
            <w:shd w:val="clear" w:color="auto" w:fill="EBFEFF"/>
          </w:tcPr>
          <w:p>
            <w:pPr>
              <w:spacing w:after="0"/>
              <w:rPr>
                <w:sz w:val="17"/>
                <w:szCs w:val="17"/>
                <w:color w:val="auto"/>
              </w:rPr>
            </w:pPr>
          </w:p>
        </w:tc>
        <w:tc>
          <w:tcPr>
            <w:tcW w:w="700" w:type="dxa"/>
            <w:vAlign w:val="bottom"/>
            <w:vMerge w:val="continue"/>
            <w:shd w:val="clear" w:color="auto" w:fill="EBFEFF"/>
          </w:tcPr>
          <w:p>
            <w:pPr>
              <w:spacing w:after="0"/>
              <w:rPr>
                <w:sz w:val="17"/>
                <w:szCs w:val="17"/>
                <w:color w:val="auto"/>
              </w:rPr>
            </w:pPr>
          </w:p>
        </w:tc>
        <w:tc>
          <w:tcPr>
            <w:tcW w:w="100" w:type="dxa"/>
            <w:vAlign w:val="bottom"/>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380" w:type="dxa"/>
            <w:vAlign w:val="bottom"/>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740" w:type="dxa"/>
            <w:vAlign w:val="bottom"/>
            <w:gridSpan w:val="2"/>
            <w:vMerge w:val="continue"/>
            <w:shd w:val="clear" w:color="auto" w:fill="EBFEFF"/>
          </w:tcPr>
          <w:p>
            <w:pPr>
              <w:spacing w:after="0"/>
              <w:rPr>
                <w:sz w:val="17"/>
                <w:szCs w:val="17"/>
                <w:color w:val="auto"/>
              </w:rPr>
            </w:pPr>
          </w:p>
        </w:tc>
        <w:tc>
          <w:tcPr>
            <w:tcW w:w="280" w:type="dxa"/>
            <w:vAlign w:val="bottom"/>
            <w:shd w:val="clear" w:color="auto" w:fill="EBFEFF"/>
          </w:tcPr>
          <w:p>
            <w:pPr>
              <w:spacing w:after="0"/>
              <w:rPr>
                <w:sz w:val="17"/>
                <w:szCs w:val="17"/>
                <w:color w:val="auto"/>
              </w:rPr>
            </w:pPr>
          </w:p>
        </w:tc>
        <w:tc>
          <w:tcPr>
            <w:tcW w:w="440" w:type="dxa"/>
            <w:vAlign w:val="bottom"/>
            <w:gridSpan w:val="2"/>
            <w:vMerge w:val="continue"/>
            <w:shd w:val="clear" w:color="auto" w:fill="EBFEFF"/>
          </w:tcPr>
          <w:p>
            <w:pPr>
              <w:spacing w:after="0"/>
              <w:rPr>
                <w:sz w:val="17"/>
                <w:szCs w:val="17"/>
                <w:color w:val="auto"/>
              </w:rPr>
            </w:pPr>
          </w:p>
        </w:tc>
        <w:tc>
          <w:tcPr>
            <w:tcW w:w="120" w:type="dxa"/>
            <w:vAlign w:val="bottom"/>
            <w:shd w:val="clear" w:color="auto" w:fill="EBFEFF"/>
          </w:tcPr>
          <w:p>
            <w:pPr>
              <w:spacing w:after="0"/>
              <w:rPr>
                <w:sz w:val="17"/>
                <w:szCs w:val="17"/>
                <w:color w:val="auto"/>
              </w:rPr>
            </w:pPr>
          </w:p>
        </w:tc>
        <w:tc>
          <w:tcPr>
            <w:tcW w:w="580" w:type="dxa"/>
            <w:vAlign w:val="bottom"/>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800" w:type="dxa"/>
            <w:vAlign w:val="bottom"/>
            <w:gridSpan w:val="2"/>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140" w:type="dxa"/>
            <w:vAlign w:val="bottom"/>
            <w:vMerge w:val="continue"/>
            <w:shd w:val="clear" w:color="auto" w:fill="EBFEFF"/>
          </w:tcPr>
          <w:p>
            <w:pPr>
              <w:spacing w:after="0"/>
              <w:rPr>
                <w:sz w:val="17"/>
                <w:szCs w:val="17"/>
                <w:color w:val="auto"/>
              </w:rPr>
            </w:pPr>
          </w:p>
        </w:tc>
        <w:tc>
          <w:tcPr>
            <w:tcW w:w="80" w:type="dxa"/>
            <w:vAlign w:val="bottom"/>
            <w:shd w:val="clear" w:color="auto" w:fill="EBFEFF"/>
          </w:tcPr>
          <w:p>
            <w:pPr>
              <w:spacing w:after="0"/>
              <w:rPr>
                <w:sz w:val="17"/>
                <w:szCs w:val="17"/>
                <w:color w:val="auto"/>
              </w:rPr>
            </w:pPr>
          </w:p>
        </w:tc>
        <w:tc>
          <w:tcPr>
            <w:tcW w:w="180" w:type="dxa"/>
            <w:vAlign w:val="bottom"/>
            <w:shd w:val="clear" w:color="auto" w:fill="EBFEFF"/>
          </w:tcPr>
          <w:p>
            <w:pPr>
              <w:spacing w:after="0"/>
              <w:rPr>
                <w:sz w:val="17"/>
                <w:szCs w:val="17"/>
                <w:color w:val="auto"/>
              </w:rPr>
            </w:pPr>
          </w:p>
        </w:tc>
        <w:tc>
          <w:tcPr>
            <w:tcW w:w="880" w:type="dxa"/>
            <w:vAlign w:val="bottom"/>
            <w:gridSpan w:val="2"/>
            <w:vMerge w:val="continue"/>
            <w:shd w:val="clear" w:color="auto" w:fill="EBFEFF"/>
          </w:tcPr>
          <w:p>
            <w:pPr>
              <w:spacing w:after="0"/>
              <w:rPr>
                <w:sz w:val="17"/>
                <w:szCs w:val="17"/>
                <w:color w:val="auto"/>
              </w:rPr>
            </w:pPr>
          </w:p>
        </w:tc>
        <w:tc>
          <w:tcPr>
            <w:tcW w:w="160" w:type="dxa"/>
            <w:vAlign w:val="bottom"/>
            <w:shd w:val="clear" w:color="auto" w:fill="EBFEFF"/>
          </w:tcPr>
          <w:p>
            <w:pPr>
              <w:spacing w:after="0"/>
              <w:rPr>
                <w:sz w:val="17"/>
                <w:szCs w:val="17"/>
                <w:color w:val="auto"/>
              </w:rPr>
            </w:pPr>
          </w:p>
        </w:tc>
        <w:tc>
          <w:tcPr>
            <w:tcW w:w="780" w:type="dxa"/>
            <w:vAlign w:val="bottom"/>
            <w:vMerge w:val="continue"/>
            <w:shd w:val="clear" w:color="auto" w:fill="EBF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Net loss attributable to</w:t>
            </w:r>
          </w:p>
        </w:tc>
        <w:tc>
          <w:tcPr>
            <w:tcW w:w="100" w:type="dxa"/>
            <w:vAlign w:val="bottom"/>
          </w:tcPr>
          <w:p>
            <w:pPr>
              <w:spacing w:after="0"/>
              <w:rPr>
                <w:sz w:val="12"/>
                <w:szCs w:val="12"/>
                <w:color w:val="auto"/>
              </w:rPr>
            </w:pPr>
          </w:p>
        </w:tc>
        <w:tc>
          <w:tcPr>
            <w:tcW w:w="9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93"/>
        </w:trPr>
        <w:tc>
          <w:tcPr>
            <w:tcW w:w="20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Pr>
          <w:p>
            <w:pPr>
              <w:spacing w:after="0"/>
              <w:rPr>
                <w:sz w:val="16"/>
                <w:szCs w:val="16"/>
                <w:color w:val="auto"/>
              </w:rPr>
            </w:pPr>
          </w:p>
        </w:tc>
        <w:tc>
          <w:tcPr>
            <w:tcW w:w="9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80" w:type="dxa"/>
            <w:vAlign w:val="bottom"/>
            <w:tcBorders>
              <w:top w:val="single" w:sz="8" w:color="EBFEFF"/>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2024</w:t>
            </w:r>
          </w:p>
        </w:tc>
        <w:tc>
          <w:tcPr>
            <w:tcW w:w="10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EBFEFF"/>
              <w:bottom w:val="single" w:sz="8" w:color="EBFEFF"/>
              <w:right w:val="single" w:sz="8" w:color="auto"/>
            </w:tcBorders>
            <w:shd w:val="clear" w:color="auto" w:fill="EBFEFF"/>
          </w:tcPr>
          <w:p>
            <w:pPr>
              <w:spacing w:after="0"/>
              <w:rPr>
                <w:sz w:val="18"/>
                <w:szCs w:val="18"/>
                <w:color w:val="auto"/>
              </w:rPr>
            </w:pPr>
          </w:p>
        </w:tc>
        <w:tc>
          <w:tcPr>
            <w:tcW w:w="60" w:type="dxa"/>
            <w:vAlign w:val="bottom"/>
            <w:tcBorders>
              <w:top w:val="single" w:sz="8" w:color="EBFEFF"/>
              <w:bottom w:val="single" w:sz="8" w:color="EBFEFF"/>
            </w:tcBorders>
            <w:shd w:val="clear" w:color="auto" w:fill="EBFEFF"/>
          </w:tcPr>
          <w:p>
            <w:pPr>
              <w:spacing w:after="0"/>
              <w:rPr>
                <w:sz w:val="18"/>
                <w:szCs w:val="18"/>
                <w:color w:val="auto"/>
              </w:rPr>
            </w:pPr>
          </w:p>
        </w:tc>
        <w:tc>
          <w:tcPr>
            <w:tcW w:w="7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2,432,857</w:t>
            </w:r>
          </w:p>
        </w:tc>
        <w:tc>
          <w:tcPr>
            <w:tcW w:w="100" w:type="dxa"/>
            <w:vAlign w:val="bottom"/>
            <w:tcBorders>
              <w:top w:val="single" w:sz="8" w:color="EBFEFF"/>
              <w:bottom w:val="single" w:sz="8" w:color="EBFEFF"/>
            </w:tcBorders>
            <w:shd w:val="clear" w:color="auto" w:fill="EBFEFF"/>
          </w:tcPr>
          <w:p>
            <w:pPr>
              <w:spacing w:after="0"/>
              <w:rPr>
                <w:sz w:val="18"/>
                <w:szCs w:val="18"/>
                <w:color w:val="auto"/>
              </w:rPr>
            </w:pPr>
          </w:p>
        </w:tc>
        <w:tc>
          <w:tcPr>
            <w:tcW w:w="280" w:type="dxa"/>
            <w:vAlign w:val="bottom"/>
            <w:tcBorders>
              <w:top w:val="single" w:sz="8" w:color="auto"/>
              <w:bottom w:val="single" w:sz="8" w:color="auto"/>
            </w:tcBorders>
            <w:shd w:val="clear" w:color="auto" w:fill="EBF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6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280" w:type="dxa"/>
            <w:vAlign w:val="bottom"/>
            <w:tcBorders>
              <w:top w:val="single" w:sz="8" w:color="auto"/>
              <w:bottom w:val="single" w:sz="8" w:color="auto"/>
            </w:tcBorders>
            <w:shd w:val="clear" w:color="auto" w:fill="EBF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1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306,887</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16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(286,121)</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20,796</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18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5,191</w:t>
            </w:r>
          </w:p>
        </w:tc>
        <w:tc>
          <w:tcPr>
            <w:tcW w:w="80" w:type="dxa"/>
            <w:vAlign w:val="bottom"/>
            <w:tcBorders>
              <w:top w:val="single" w:sz="8" w:color="EBFEFF"/>
              <w:bottom w:val="single" w:sz="8" w:color="EBFEFF"/>
            </w:tcBorders>
            <w:shd w:val="clear" w:color="auto" w:fill="EBFEFF"/>
          </w:tcPr>
          <w:p>
            <w:pPr>
              <w:spacing w:after="0"/>
              <w:rPr>
                <w:sz w:val="18"/>
                <w:szCs w:val="18"/>
                <w:color w:val="auto"/>
              </w:rPr>
            </w:pPr>
          </w:p>
        </w:tc>
        <w:tc>
          <w:tcPr>
            <w:tcW w:w="160" w:type="dxa"/>
            <w:vAlign w:val="bottom"/>
            <w:tcBorders>
              <w:top w:val="single" w:sz="8" w:color="auto"/>
              <w:bottom w:val="single" w:sz="8" w:color="auto"/>
            </w:tcBorders>
            <w:shd w:val="clear" w:color="auto" w:fill="EBF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4"/>
                <w:szCs w:val="14"/>
                <w:b w:val="1"/>
                <w:bCs w:val="1"/>
                <w:color w:val="auto"/>
              </w:rPr>
              <w:t>25,987</w:t>
            </w:r>
          </w:p>
        </w:tc>
        <w:tc>
          <w:tcPr>
            <w:tcW w:w="0" w:type="dxa"/>
            <w:vAlign w:val="bottom"/>
          </w:tcPr>
          <w:p>
            <w:pPr>
              <w:spacing w:after="0"/>
              <w:rPr>
                <w:sz w:val="1"/>
                <w:szCs w:val="1"/>
                <w:color w:val="auto"/>
              </w:rPr>
            </w:pPr>
          </w:p>
        </w:tc>
      </w:tr>
    </w:tbl>
    <w:p>
      <w:pPr>
        <w:jc w:val="both"/>
        <w:ind w:left="20" w:right="9180" w:firstLine="6"/>
        <w:spacing w:after="0" w:line="225" w:lineRule="auto"/>
        <w:tabs>
          <w:tab w:leader="none" w:pos="188" w:val="left"/>
        </w:tabs>
        <w:numPr>
          <w:ilvl w:val="0"/>
          <w:numId w:val="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Allocation of NCI net loss was a result from the reclassification to permanent equity on February 27, 2024 (See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-216535</wp:posOffset>
            </wp:positionV>
            <wp:extent cx="5820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2022</w:t>
      </w:r>
    </w:p>
    <w:p>
      <w:pPr>
        <w:spacing w:after="0" w:line="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Net loss</w:t>
      </w:r>
    </w:p>
    <w:p>
      <w:pPr>
        <w:spacing w:after="0" w:line="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42" w:lineRule="exact"/>
        <w:rPr>
          <w:sz w:val="20"/>
          <w:szCs w:val="20"/>
          <w:color w:val="auto"/>
        </w:rPr>
      </w:pPr>
    </w:p>
    <w:p>
      <w:pPr>
        <w:ind w:left="360" w:hanging="80"/>
        <w:spacing w:after="0" w:line="241" w:lineRule="auto"/>
        <w:rPr>
          <w:sz w:val="20"/>
          <w:szCs w:val="20"/>
          <w:color w:val="auto"/>
        </w:rPr>
      </w:pPr>
      <w:r>
        <w:rPr>
          <w:rFonts w:ascii="Times New Roman" w:cs="Times New Roman" w:eastAsia="Times New Roman" w:hAnsi="Times New Roman"/>
          <w:sz w:val="14"/>
          <w:szCs w:val="14"/>
          <w:color w:val="auto"/>
        </w:rPr>
        <w:t>Change in redemption value of noncontrolling interest</w:t>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2023</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020" w:type="dxa"/>
            <w:vAlign w:val="bottom"/>
            <w:tcBorders>
              <w:right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00"/>
              <w:spacing w:after="0" w:line="12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0"/>
                <w:szCs w:val="10"/>
                <w:color w:val="auto"/>
              </w:rPr>
            </w:pPr>
          </w:p>
        </w:tc>
        <w:tc>
          <w:tcPr>
            <w:tcW w:w="960" w:type="dxa"/>
            <w:vAlign w:val="bottom"/>
          </w:tcPr>
          <w:p>
            <w:pPr>
              <w:jc w:val="center"/>
              <w:ind w:right="8"/>
              <w:spacing w:after="0" w:line="12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40" w:type="dxa"/>
            <w:vAlign w:val="bottom"/>
            <w:tcBorders>
              <w:right w:val="single" w:sz="8" w:color="auto"/>
            </w:tcBorders>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2"/>
                <w:szCs w:val="12"/>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2"/>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16,579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2,084,973</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254,757</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(265,524)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(10,740)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19,600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2,084,973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577,349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255,100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(274,319)</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-496570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-153670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060" w:space="320"/>
            <w:col w:w="8860"/>
          </w:cols>
          <w:pgMar w:left="320" w:top="229" w:right="339" w:bottom="1440" w:gutter="0" w:footer="0" w:header="0"/>
          <w:type w:val="continuous"/>
        </w:sectPr>
      </w:pPr>
    </w:p>
    <w:p>
      <w:pPr>
        <w:ind w:left="20" w:right="8900" w:firstLine="6"/>
        <w:spacing w:after="0" w:line="225" w:lineRule="auto"/>
        <w:tabs>
          <w:tab w:leader="none" w:pos="198"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Adjusted retroactively for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-168910</wp:posOffset>
            </wp:positionV>
            <wp:extent cx="5623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80" w:type="dxa"/>
            <w:vAlign w:val="bottom"/>
          </w:tcPr>
          <w:p>
            <w:pPr>
              <w:spacing w:after="0"/>
              <w:rPr>
                <w:sz w:val="19"/>
                <w:szCs w:val="19"/>
                <w:color w:val="auto"/>
              </w:rPr>
            </w:pPr>
          </w:p>
        </w:tc>
        <w:tc>
          <w:tcPr>
            <w:tcW w:w="344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8"/>
        </w:trPr>
        <w:tc>
          <w:tcPr>
            <w:tcW w:w="7780" w:type="dxa"/>
            <w:vAlign w:val="bottom"/>
            <w:tcBorders>
              <w:bottom w:val="single" w:sz="8" w:color="C9FC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9FC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9FCFF"/>
          </w:tcPr>
          <w:p>
            <w:pPr>
              <w:spacing w:after="0"/>
              <w:rPr>
                <w:sz w:val="18"/>
                <w:szCs w:val="18"/>
                <w:color w:val="auto"/>
              </w:rPr>
            </w:pPr>
          </w:p>
        </w:tc>
        <w:tc>
          <w:tcPr>
            <w:tcW w:w="600" w:type="dxa"/>
            <w:vAlign w:val="bottom"/>
            <w:shd w:val="clear" w:color="auto" w:fill="C9FCFF"/>
          </w:tcPr>
          <w:p>
            <w:pPr>
              <w:spacing w:after="0"/>
              <w:rPr>
                <w:sz w:val="18"/>
                <w:szCs w:val="18"/>
                <w:color w:val="auto"/>
              </w:rPr>
            </w:pPr>
          </w:p>
        </w:tc>
        <w:tc>
          <w:tcPr>
            <w:tcW w:w="100" w:type="dxa"/>
            <w:vAlign w:val="bottom"/>
            <w:shd w:val="clear" w:color="auto" w:fill="C9FCFF"/>
          </w:tcPr>
          <w:p>
            <w:pPr>
              <w:spacing w:after="0"/>
              <w:rPr>
                <w:sz w:val="18"/>
                <w:szCs w:val="18"/>
                <w:color w:val="auto"/>
              </w:rPr>
            </w:pPr>
          </w:p>
        </w:tc>
        <w:tc>
          <w:tcPr>
            <w:tcW w:w="380" w:type="dxa"/>
            <w:vAlign w:val="bottom"/>
            <w:shd w:val="clear" w:color="auto" w:fill="C9FCFF"/>
          </w:tcPr>
          <w:p>
            <w:pPr>
              <w:spacing w:after="0"/>
              <w:rPr>
                <w:sz w:val="18"/>
                <w:szCs w:val="18"/>
                <w:color w:val="auto"/>
              </w:rPr>
            </w:pPr>
          </w:p>
        </w:tc>
        <w:tc>
          <w:tcPr>
            <w:tcW w:w="1300" w:type="dxa"/>
            <w:vAlign w:val="bottom"/>
            <w:shd w:val="clear" w:color="auto" w:fill="C9FCFF"/>
          </w:tcPr>
          <w:p>
            <w:pPr>
              <w:spacing w:after="0"/>
              <w:rPr>
                <w:sz w:val="18"/>
                <w:szCs w:val="18"/>
                <w:color w:val="auto"/>
              </w:rPr>
            </w:pPr>
          </w:p>
        </w:tc>
      </w:tr>
      <w:tr>
        <w:trPr>
          <w:trHeight w:val="229"/>
        </w:trPr>
        <w:tc>
          <w:tcPr>
            <w:tcW w:w="77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060" w:type="dxa"/>
            <w:vAlign w:val="bottom"/>
            <w:shd w:val="clear" w:color="auto" w:fill="EBF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(5,774)</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used in operating activities: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promissory note early redemption</w:t>
            </w:r>
          </w:p>
        </w:tc>
        <w:tc>
          <w:tcPr>
            <w:tcW w:w="10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Non-cash interest income</w:t>
            </w:r>
          </w:p>
        </w:tc>
        <w:tc>
          <w:tcPr>
            <w:tcW w:w="1060" w:type="dxa"/>
            <w:vAlign w:val="bottom"/>
            <w:shd w:val="clear" w:color="auto" w:fill="EBFEFF"/>
          </w:tcPr>
          <w:p>
            <w:pPr>
              <w:spacing w:after="0"/>
              <w:rPr>
                <w:sz w:val="19"/>
                <w:szCs w:val="19"/>
                <w:color w:val="auto"/>
              </w:rPr>
            </w:pPr>
          </w:p>
        </w:tc>
        <w:tc>
          <w:tcPr>
            <w:tcW w:w="70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Change in fair value of investments</w:t>
            </w:r>
          </w:p>
        </w:tc>
        <w:tc>
          <w:tcPr>
            <w:tcW w:w="1060" w:type="dxa"/>
            <w:vAlign w:val="bottom"/>
            <w:shd w:val="clear" w:color="auto" w:fill="EBFEFF"/>
          </w:tcPr>
          <w:p>
            <w:pPr>
              <w:spacing w:after="0"/>
              <w:rPr>
                <w:sz w:val="19"/>
                <w:szCs w:val="19"/>
                <w:color w:val="auto"/>
              </w:rPr>
            </w:pPr>
          </w:p>
        </w:tc>
        <w:tc>
          <w:tcPr>
            <w:tcW w:w="70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(2,104)</w:t>
            </w: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related party</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7780" w:type="dxa"/>
            <w:vAlign w:val="bottom"/>
            <w:shd w:val="clear" w:color="auto" w:fill="EBFEFF"/>
          </w:tcPr>
          <w:p>
            <w:pPr>
              <w:ind w:left="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spacing w:after="0"/>
              <w:rPr>
                <w:sz w:val="19"/>
                <w:szCs w:val="19"/>
                <w:color w:val="auto"/>
              </w:rPr>
            </w:pP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30"/>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7780" w:type="dxa"/>
            <w:vAlign w:val="bottom"/>
            <w:tcBorders>
              <w:bottom w:val="single" w:sz="8" w:color="EBFEFF"/>
            </w:tcBorders>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30"/>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shd w:val="clear" w:color="auto" w:fill="C9FCFF"/>
          </w:tcPr>
          <w:p>
            <w:pPr>
              <w:spacing w:after="0"/>
              <w:rPr>
                <w:sz w:val="19"/>
                <w:szCs w:val="19"/>
                <w:color w:val="auto"/>
              </w:rPr>
            </w:pPr>
          </w:p>
        </w:tc>
        <w:tc>
          <w:tcPr>
            <w:tcW w:w="600" w:type="dxa"/>
            <w:vAlign w:val="bottom"/>
            <w:shd w:val="clear" w:color="auto" w:fill="C9FCFF"/>
          </w:tcPr>
          <w:p>
            <w:pPr>
              <w:spacing w:after="0"/>
              <w:rPr>
                <w:sz w:val="19"/>
                <w:szCs w:val="19"/>
                <w:color w:val="auto"/>
              </w:rPr>
            </w:pPr>
          </w:p>
        </w:tc>
        <w:tc>
          <w:tcPr>
            <w:tcW w:w="100" w:type="dxa"/>
            <w:vAlign w:val="bottom"/>
            <w:shd w:val="clear" w:color="auto" w:fill="C9FCFF"/>
          </w:tcPr>
          <w:p>
            <w:pPr>
              <w:spacing w:after="0"/>
              <w:rPr>
                <w:sz w:val="19"/>
                <w:szCs w:val="19"/>
                <w:color w:val="auto"/>
              </w:rPr>
            </w:pPr>
          </w:p>
        </w:tc>
        <w:tc>
          <w:tcPr>
            <w:tcW w:w="380" w:type="dxa"/>
            <w:vAlign w:val="bottom"/>
            <w:shd w:val="clear" w:color="auto" w:fill="C9FCFF"/>
          </w:tcPr>
          <w:p>
            <w:pPr>
              <w:spacing w:after="0"/>
              <w:rPr>
                <w:sz w:val="19"/>
                <w:szCs w:val="19"/>
                <w:color w:val="auto"/>
              </w:rPr>
            </w:pPr>
          </w:p>
        </w:tc>
        <w:tc>
          <w:tcPr>
            <w:tcW w:w="1300" w:type="dxa"/>
            <w:vAlign w:val="bottom"/>
            <w:shd w:val="clear" w:color="auto" w:fill="C9FCFF"/>
          </w:tcPr>
          <w:p>
            <w:pPr>
              <w:spacing w:after="0"/>
              <w:rPr>
                <w:sz w:val="19"/>
                <w:szCs w:val="19"/>
                <w:color w:val="auto"/>
              </w:rPr>
            </w:pP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sale of Class A common stock and pre-funded warrants, net of offering costs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780" w:type="dxa"/>
            <w:vAlign w:val="bottom"/>
            <w:shd w:val="clear" w:color="auto" w:fill="EBF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Proceeds from promissory note early redemption related to sale of Class A common stock to</w:t>
            </w:r>
          </w:p>
        </w:tc>
        <w:tc>
          <w:tcPr>
            <w:tcW w:w="1060" w:type="dxa"/>
            <w:vAlign w:val="bottom"/>
            <w:shd w:val="clear" w:color="auto" w:fill="EBFEFF"/>
          </w:tcPr>
          <w:p>
            <w:pPr>
              <w:spacing w:after="0"/>
              <w:rPr>
                <w:sz w:val="15"/>
                <w:szCs w:val="15"/>
                <w:color w:val="auto"/>
              </w:rPr>
            </w:pPr>
          </w:p>
        </w:tc>
        <w:tc>
          <w:tcPr>
            <w:tcW w:w="600" w:type="dxa"/>
            <w:vAlign w:val="bottom"/>
            <w:shd w:val="clear" w:color="auto" w:fill="EBFEFF"/>
          </w:tcPr>
          <w:p>
            <w:pPr>
              <w:spacing w:after="0"/>
              <w:rPr>
                <w:sz w:val="15"/>
                <w:szCs w:val="15"/>
                <w:color w:val="auto"/>
              </w:rPr>
            </w:pPr>
          </w:p>
        </w:tc>
        <w:tc>
          <w:tcPr>
            <w:tcW w:w="100" w:type="dxa"/>
            <w:vAlign w:val="bottom"/>
            <w:shd w:val="clear" w:color="auto" w:fill="EBFEFF"/>
          </w:tcPr>
          <w:p>
            <w:pPr>
              <w:spacing w:after="0"/>
              <w:rPr>
                <w:sz w:val="15"/>
                <w:szCs w:val="15"/>
                <w:color w:val="auto"/>
              </w:rPr>
            </w:pPr>
          </w:p>
        </w:tc>
        <w:tc>
          <w:tcPr>
            <w:tcW w:w="380" w:type="dxa"/>
            <w:vAlign w:val="bottom"/>
            <w:shd w:val="clear" w:color="auto" w:fill="EBFEFF"/>
          </w:tcPr>
          <w:p>
            <w:pPr>
              <w:spacing w:after="0"/>
              <w:rPr>
                <w:sz w:val="15"/>
                <w:szCs w:val="15"/>
                <w:color w:val="auto"/>
              </w:rPr>
            </w:pPr>
          </w:p>
        </w:tc>
        <w:tc>
          <w:tcPr>
            <w:tcW w:w="1300" w:type="dxa"/>
            <w:vAlign w:val="bottom"/>
            <w:shd w:val="clear" w:color="auto" w:fill="EBFEFF"/>
          </w:tcPr>
          <w:p>
            <w:pPr>
              <w:spacing w:after="0"/>
              <w:rPr>
                <w:sz w:val="15"/>
                <w:szCs w:val="15"/>
                <w:color w:val="auto"/>
              </w:rPr>
            </w:pPr>
          </w:p>
        </w:tc>
      </w:tr>
      <w:tr>
        <w:trPr>
          <w:trHeight w:val="243"/>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collaboration partner</w:t>
            </w:r>
          </w:p>
        </w:tc>
        <w:tc>
          <w:tcPr>
            <w:tcW w:w="1060" w:type="dxa"/>
            <w:vAlign w:val="bottom"/>
            <w:shd w:val="clear" w:color="auto" w:fill="EBFEFF"/>
          </w:tcPr>
          <w:p>
            <w:pPr>
              <w:spacing w:after="0"/>
              <w:rPr>
                <w:sz w:val="21"/>
                <w:szCs w:val="21"/>
                <w:color w:val="auto"/>
              </w:rPr>
            </w:pPr>
          </w:p>
        </w:tc>
        <w:tc>
          <w:tcPr>
            <w:tcW w:w="700" w:type="dxa"/>
            <w:vAlign w:val="bottom"/>
            <w:gridSpan w:val="2"/>
            <w:shd w:val="clear" w:color="auto" w:fill="EBF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BFEFF"/>
          </w:tcPr>
          <w:p>
            <w:pPr>
              <w:spacing w:after="0"/>
              <w:rPr>
                <w:sz w:val="21"/>
                <w:szCs w:val="21"/>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12,030</w:t>
            </w:r>
          </w:p>
        </w:tc>
      </w:tr>
      <w:tr>
        <w:trPr>
          <w:trHeight w:val="229"/>
        </w:trPr>
        <w:tc>
          <w:tcPr>
            <w:tcW w:w="7780" w:type="dxa"/>
            <w:vAlign w:val="bottom"/>
            <w:tcBorders>
              <w:bottom w:val="single" w:sz="8" w:color="EBFEFF"/>
            </w:tcBorders>
          </w:tcPr>
          <w:p>
            <w:pPr>
              <w:ind w:left="260"/>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EBF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77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shd w:val="clear" w:color="auto" w:fill="EBFEFF"/>
          </w:tcPr>
          <w:p>
            <w:pPr>
              <w:spacing w:after="0"/>
              <w:rPr>
                <w:sz w:val="19"/>
                <w:szCs w:val="19"/>
                <w:color w:val="auto"/>
              </w:rPr>
            </w:pP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11,806</w:t>
            </w:r>
          </w:p>
        </w:tc>
      </w:tr>
      <w:tr>
        <w:trPr>
          <w:trHeight w:val="229"/>
        </w:trPr>
        <w:tc>
          <w:tcPr>
            <w:tcW w:w="7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30"/>
        </w:trPr>
        <w:tc>
          <w:tcPr>
            <w:tcW w:w="7780" w:type="dxa"/>
            <w:vAlign w:val="bottom"/>
            <w:shd w:val="clear" w:color="auto" w:fill="EBFEFF"/>
          </w:tcPr>
          <w:p>
            <w:pPr>
              <w:ind w:left="100"/>
              <w:spacing w:after="0"/>
              <w:rPr>
                <w:sz w:val="20"/>
                <w:szCs w:val="20"/>
                <w:color w:val="auto"/>
              </w:rPr>
            </w:pPr>
            <w:r>
              <w:rPr>
                <w:rFonts w:ascii="Times New Roman" w:cs="Times New Roman" w:eastAsia="Times New Roman" w:hAnsi="Times New Roman"/>
                <w:sz w:val="18"/>
                <w:szCs w:val="18"/>
                <w:color w:val="auto"/>
              </w:rPr>
              <w:t>Total cash and cash equivalents, beginning of period</w:t>
            </w:r>
          </w:p>
        </w:tc>
        <w:tc>
          <w:tcPr>
            <w:tcW w:w="1060" w:type="dxa"/>
            <w:vAlign w:val="bottom"/>
            <w:tcBorders>
              <w:bottom w:val="single" w:sz="8" w:color="auto"/>
            </w:tcBorders>
            <w:shd w:val="clear" w:color="auto" w:fill="EBFEFF"/>
          </w:tcPr>
          <w:p>
            <w:pPr>
              <w:spacing w:after="0"/>
              <w:rPr>
                <w:sz w:val="19"/>
                <w:szCs w:val="19"/>
                <w:color w:val="auto"/>
              </w:rPr>
            </w:pPr>
          </w:p>
        </w:tc>
        <w:tc>
          <w:tcPr>
            <w:tcW w:w="6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00" w:type="dxa"/>
            <w:vAlign w:val="bottom"/>
            <w:shd w:val="clear" w:color="auto" w:fill="EBFEFF"/>
          </w:tcPr>
          <w:p>
            <w:pPr>
              <w:spacing w:after="0"/>
              <w:rPr>
                <w:sz w:val="19"/>
                <w:szCs w:val="19"/>
                <w:color w:val="auto"/>
              </w:rPr>
            </w:pPr>
          </w:p>
        </w:tc>
        <w:tc>
          <w:tcPr>
            <w:tcW w:w="380" w:type="dxa"/>
            <w:vAlign w:val="bottom"/>
            <w:tcBorders>
              <w:bottom w:val="single" w:sz="8" w:color="auto"/>
            </w:tcBorders>
            <w:shd w:val="clear" w:color="auto" w:fill="EBFEFF"/>
          </w:tcPr>
          <w:p>
            <w:pPr>
              <w:spacing w:after="0"/>
              <w:rPr>
                <w:sz w:val="19"/>
                <w:szCs w:val="19"/>
                <w:color w:val="auto"/>
              </w:rPr>
            </w:pPr>
          </w:p>
        </w:tc>
        <w:tc>
          <w:tcPr>
            <w:tcW w:w="13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12,126</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end of period</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18,766</w:t>
            </w:r>
          </w:p>
        </w:tc>
      </w:tr>
      <w:tr>
        <w:trPr>
          <w:trHeight w:val="20"/>
        </w:trPr>
        <w:tc>
          <w:tcPr>
            <w:tcW w:w="7780" w:type="dxa"/>
            <w:vAlign w:val="bottom"/>
            <w:tcBorders>
              <w:bottom w:val="single" w:sz="8" w:color="EBF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7780" w:type="dxa"/>
            <w:vAlign w:val="bottom"/>
            <w:tcBorders>
              <w:bottom w:val="single" w:sz="8" w:color="C9FCFF"/>
            </w:tcBorders>
            <w:shd w:val="clear" w:color="auto" w:fill="EBFEFF"/>
          </w:tcPr>
          <w:p>
            <w:pPr>
              <w:spacing w:after="0"/>
              <w:rPr>
                <w:sz w:val="20"/>
                <w:szCs w:val="20"/>
                <w:color w:val="auto"/>
              </w:rPr>
            </w:pPr>
          </w:p>
        </w:tc>
        <w:tc>
          <w:tcPr>
            <w:tcW w:w="1060" w:type="dxa"/>
            <w:vAlign w:val="bottom"/>
            <w:tcBorders>
              <w:bottom w:val="single" w:sz="8" w:color="auto"/>
            </w:tcBorders>
            <w:shd w:val="clear" w:color="auto" w:fill="EBFEFF"/>
          </w:tcPr>
          <w:p>
            <w:pPr>
              <w:spacing w:after="0"/>
              <w:rPr>
                <w:sz w:val="20"/>
                <w:szCs w:val="20"/>
                <w:color w:val="auto"/>
              </w:rPr>
            </w:pPr>
          </w:p>
        </w:tc>
        <w:tc>
          <w:tcPr>
            <w:tcW w:w="600" w:type="dxa"/>
            <w:vAlign w:val="bottom"/>
            <w:tcBorders>
              <w:bottom w:val="single" w:sz="8" w:color="auto"/>
            </w:tcBorders>
            <w:shd w:val="clear" w:color="auto" w:fill="EBFEFF"/>
          </w:tcPr>
          <w:p>
            <w:pPr>
              <w:spacing w:after="0"/>
              <w:rPr>
                <w:sz w:val="20"/>
                <w:szCs w:val="20"/>
                <w:color w:val="auto"/>
              </w:rPr>
            </w:pPr>
          </w:p>
        </w:tc>
        <w:tc>
          <w:tcPr>
            <w:tcW w:w="100" w:type="dxa"/>
            <w:vAlign w:val="bottom"/>
            <w:tcBorders>
              <w:bottom w:val="single" w:sz="8" w:color="C9FCFF"/>
            </w:tcBorders>
            <w:shd w:val="clear" w:color="auto" w:fill="EBFEFF"/>
          </w:tcPr>
          <w:p>
            <w:pPr>
              <w:spacing w:after="0"/>
              <w:rPr>
                <w:sz w:val="20"/>
                <w:szCs w:val="20"/>
                <w:color w:val="auto"/>
              </w:rPr>
            </w:pPr>
          </w:p>
        </w:tc>
        <w:tc>
          <w:tcPr>
            <w:tcW w:w="380" w:type="dxa"/>
            <w:vAlign w:val="bottom"/>
            <w:tcBorders>
              <w:bottom w:val="single" w:sz="8" w:color="auto"/>
            </w:tcBorders>
            <w:shd w:val="clear" w:color="auto" w:fill="EBFEFF"/>
          </w:tcPr>
          <w:p>
            <w:pPr>
              <w:spacing w:after="0"/>
              <w:rPr>
                <w:sz w:val="20"/>
                <w:szCs w:val="20"/>
                <w:color w:val="auto"/>
              </w:rPr>
            </w:pPr>
          </w:p>
        </w:tc>
        <w:tc>
          <w:tcPr>
            <w:tcW w:w="1300" w:type="dxa"/>
            <w:vAlign w:val="bottom"/>
            <w:tcBorders>
              <w:bottom w:val="single" w:sz="8" w:color="auto"/>
            </w:tcBorders>
            <w:shd w:val="clear" w:color="auto" w:fill="EBFEFF"/>
          </w:tcPr>
          <w:p>
            <w:pPr>
              <w:spacing w:after="0"/>
              <w:rPr>
                <w:sz w:val="20"/>
                <w:szCs w:val="20"/>
                <w:color w:val="auto"/>
              </w:rPr>
            </w:pPr>
          </w:p>
        </w:tc>
      </w:tr>
      <w:tr>
        <w:trPr>
          <w:trHeight w:val="210"/>
        </w:trPr>
        <w:tc>
          <w:tcPr>
            <w:tcW w:w="7780" w:type="dxa"/>
            <w:vAlign w:val="bottom"/>
            <w:shd w:val="clear" w:color="auto" w:fill="C9FC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1060" w:type="dxa"/>
            <w:vAlign w:val="bottom"/>
            <w:shd w:val="clear" w:color="auto" w:fill="C9FCFF"/>
          </w:tcPr>
          <w:p>
            <w:pPr>
              <w:spacing w:after="0"/>
              <w:rPr>
                <w:sz w:val="18"/>
                <w:szCs w:val="18"/>
                <w:color w:val="auto"/>
              </w:rPr>
            </w:pPr>
          </w:p>
        </w:tc>
        <w:tc>
          <w:tcPr>
            <w:tcW w:w="600" w:type="dxa"/>
            <w:vAlign w:val="bottom"/>
            <w:shd w:val="clear" w:color="auto" w:fill="C9FCFF"/>
          </w:tcPr>
          <w:p>
            <w:pPr>
              <w:spacing w:after="0"/>
              <w:rPr>
                <w:sz w:val="18"/>
                <w:szCs w:val="18"/>
                <w:color w:val="auto"/>
              </w:rPr>
            </w:pPr>
          </w:p>
        </w:tc>
        <w:tc>
          <w:tcPr>
            <w:tcW w:w="100" w:type="dxa"/>
            <w:vAlign w:val="bottom"/>
            <w:shd w:val="clear" w:color="auto" w:fill="C9FCFF"/>
          </w:tcPr>
          <w:p>
            <w:pPr>
              <w:spacing w:after="0"/>
              <w:rPr>
                <w:sz w:val="18"/>
                <w:szCs w:val="18"/>
                <w:color w:val="auto"/>
              </w:rPr>
            </w:pPr>
          </w:p>
        </w:tc>
        <w:tc>
          <w:tcPr>
            <w:tcW w:w="380" w:type="dxa"/>
            <w:vAlign w:val="bottom"/>
            <w:shd w:val="clear" w:color="auto" w:fill="C9FCFF"/>
          </w:tcPr>
          <w:p>
            <w:pPr>
              <w:spacing w:after="0"/>
              <w:rPr>
                <w:sz w:val="18"/>
                <w:szCs w:val="18"/>
                <w:color w:val="auto"/>
              </w:rPr>
            </w:pPr>
          </w:p>
        </w:tc>
        <w:tc>
          <w:tcPr>
            <w:tcW w:w="1300" w:type="dxa"/>
            <w:vAlign w:val="bottom"/>
            <w:shd w:val="clear" w:color="auto" w:fill="C9FCFF"/>
          </w:tcPr>
          <w:p>
            <w:pPr>
              <w:spacing w:after="0"/>
              <w:rPr>
                <w:sz w:val="18"/>
                <w:szCs w:val="18"/>
                <w:color w:val="auto"/>
              </w:rPr>
            </w:pPr>
          </w:p>
        </w:tc>
      </w:tr>
      <w:tr>
        <w:trPr>
          <w:trHeight w:val="229"/>
        </w:trPr>
        <w:tc>
          <w:tcPr>
            <w:tcW w:w="7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30"/>
        </w:trPr>
        <w:tc>
          <w:tcPr>
            <w:tcW w:w="778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Reclassification of noncontrolling interest to additional paid-in capital</w:t>
            </w:r>
          </w:p>
        </w:tc>
        <w:tc>
          <w:tcPr>
            <w:tcW w:w="1060" w:type="dxa"/>
            <w:vAlign w:val="bottom"/>
            <w:shd w:val="clear" w:color="auto" w:fill="EBF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shd w:val="clear" w:color="auto" w:fill="EBFEFF"/>
          </w:tcPr>
          <w:p>
            <w:pPr>
              <w:spacing w:after="0"/>
              <w:rPr>
                <w:sz w:val="19"/>
                <w:szCs w:val="19"/>
                <w:color w:val="auto"/>
              </w:rPr>
            </w:pPr>
          </w:p>
        </w:tc>
        <w:tc>
          <w:tcPr>
            <w:tcW w:w="380" w:type="dxa"/>
            <w:vAlign w:val="bottom"/>
            <w:shd w:val="clear" w:color="auto" w:fill="EBFEFF"/>
          </w:tcPr>
          <w:p>
            <w:pPr>
              <w:spacing w:after="0"/>
              <w:rPr>
                <w:sz w:val="19"/>
                <w:szCs w:val="19"/>
                <w:color w:val="auto"/>
              </w:rPr>
            </w:pPr>
          </w:p>
        </w:tc>
        <w:tc>
          <w:tcPr>
            <w:tcW w:w="13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are in thousands, unless otherwise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vTv Therapeutics Inc. (the “Company,” the “Registrant,” “we” or “us”) was incorporated in the state of Delaware in April 2015. The Company is a clinical stage pharmaceutical company focused on treating metabolic diseases to minimize their long-term complications through end-organ protection.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Company’s principal operating subsidiary, which is a clinical stage pharmaceutical company engaged in the discovery and development of orally administered small molecule drug candidates to fill significant unmet medical needs.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The assets and liabilities of vTv LLC represent substantially all of the Company's consolidated assets and liabilities with the exception of the Warrants.</w:t>
      </w:r>
    </w:p>
    <w:p>
      <w:pPr>
        <w:spacing w:after="0" w:line="7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Various holders own non-voting interests in vTv LLC, representing a 19.2% economic interest in vTv LLC, effectively restricting vTv Therapeutics Inc.’s interest to 80.8%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its registered direct offering in March 2019, and its agreeing to be a co-borrower under the Venture Loan and Security Agreement (the “Loan Agreement”) with Horizon Technology Finance Corporation and Silicon Valley Bank (together, the “Lenders”) which was entered into in 2016. vTv Therapeutics Inc. entered into the letter agreements with MacAndrews and Forbes Group LLC (“M&amp;F Group”), a related party and an affiliate of MacAndrews &amp; Forbes Incorporated (together with its affiliates “MacAndrews”) in December 2017, July 2018, December 2018, March 2019, September 2019, and December 2019 (each a “Letter Agreement” and collectively, the “Letter Agreements”). vTv Therapeutics Inc. entered into a common stock purchase agreement with G42 Investments AI Holding RSC Ltd (“G42 Investments”) (the “G42 Purchase Agreement”), the common stock and warrant purchase agreement with CinPax, LLC and CinRx, LLC, respectively (the “CinRx Purchase Agreement”). In addition vTv Therapeutics Inc also entered into a Securities Purchase Agreement with Private Placement Investors and the sales agreement with Cowen and Company, LLC (“TD Cowen”) (“TD Cowen Sales Agreement”). vTv Therapeutics Inc. will not be required to provide financial or other support for vTv LLC. However, vTv Therapeutics Inc. will control its business and other activities through its managing member interest in vTv LLC, and its management is the management of vTv LLC. Nevertheless, because vTv Therapeutics Inc. will have no material assets other than its interests in vTv LLC, any financial difficulties at vTv LLC could result in vTv Therapeutics Inc. recognizing a loss.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the Company has not generated any product revenue and has not achieved profitable operations. The continuing development of our drug candidates will require additional financing. From its inception through March 31, 2024,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March 31, 2024, the Company had an accumulated deficit of $286.1 million and has generated net losses in each year of its existence. As of March 31, 2024, the Company’s liquidity sources included cash and cash equivalents of $52.3 million.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believe that our current cash and cash equivalents will allow us to meet our liquidity requirements for at least the next twelve months.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March 31, 2024, Condensed Consolidated Statements of Operations for the three months ended March 31, 2024 and 2023, Condensed Consolidated Statement of Changes in Redeemable Noncontrolling Interest and Stockholders’ Equity (Deficit) for the three months ended March 31, 2024 and 2023 and Condensed Consolidated Statements of Cash Flows for the three months ended March 31, 2024 and 2023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2023,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March 31, 2024, the results of operations for the three months ended March 31, 2024 and 2023 and cash flows for the three months ended March 31, 2024 and 2023. The December 31, 2023 Condensed Consolidated Balance Sheet included herein was derived from the audited financial statements but does not include all disclosures or notes required by GAAP for complete financial statements.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financial data and other information disclosed in these notes to the financial statements related to the three months ended March 31, 2024 and 2023 are unaudited. Interim results are not necessarily indicative of results for an entire year.</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principally of cash on deposit with multiple financial institutions. The balance of the cash account frequently exceeds insured limits. The associated risk of concentration for cash and cash equivalents is mitigated by transferring a majority of our cash to a AAA rated money market account with a creditworthy institution.</w:t>
      </w:r>
    </w:p>
    <w:p>
      <w:pPr>
        <w:spacing w:after="0" w:line="68"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One customer represented 100% of the revenue earned during the three months ended March 31, 2024. The Company did not have any revenue during the three months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considers any highly liquid investments with an original maturity of three months or less to be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the Company has no control or significant influence, is not the primary beneficiary, and have a readily determinable fair value are classified as equity investments with readily determinable fair value. The investments are measured at fair value based on a quoted market price per unit in active markets multiplied by the number of units held without consideration of transaction costs (Level 1). Gains and losses are recorded in other income (expense), net on the Condensed Consolidated Statements of Operations.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Equity investments without readily determinable fair value include ownership rights that do not provide the Company with control or significant influence and these investments do not have readily determinable fair values. The Company has elected to measure its equity investments without readily determinable fair values at cost minus impairment, if any, plus or minus changes resulting from observable price changes in orderly transactions for the identical or similar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the revenue recognition guidance established by ASC 606, Revenue From Contracts With Customers (“ASC 606”). When an agreement falls under the scope of other standards, such as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the Company will apply the recognition, measurement, presentation, and disclosure guidance in ASC 606 to the performance obligations in the agreements if those performance obligations are with a customer. Revenue recognized by analogizing to ASC 606, is recorded as collaboration revenue on the statements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discernible pattern over which the services will be provided.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that are reimbursed under a cost-sharing arrangement are reflected as a reduction of research and development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Segment Reporting</w:t>
      </w:r>
      <w:r>
        <w:rPr>
          <w:rFonts w:ascii="Times New Roman" w:cs="Times New Roman" w:eastAsia="Times New Roman" w:hAnsi="Times New Roman"/>
          <w:sz w:val="18"/>
          <w:szCs w:val="18"/>
          <w:color w:val="auto"/>
        </w:rPr>
        <w:t>: In November 2023, the FASB issued ASU 2023-07, Segment Reporting (Topic 280): “</w:t>
      </w:r>
      <w:r>
        <w:rPr>
          <w:rFonts w:ascii="Times New Roman" w:cs="Times New Roman" w:eastAsia="Times New Roman" w:hAnsi="Times New Roman"/>
          <w:sz w:val="18"/>
          <w:szCs w:val="18"/>
          <w:i w:val="1"/>
          <w:iCs w:val="1"/>
          <w:color w:val="auto"/>
        </w:rPr>
        <w:t>Improvements to Reportable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(ASU 2023-07)</w:t>
      </w:r>
      <w:r>
        <w:rPr>
          <w:rFonts w:ascii="Times New Roman" w:cs="Times New Roman" w:eastAsia="Times New Roman" w:hAnsi="Times New Roman"/>
          <w:sz w:val="18"/>
          <w:szCs w:val="18"/>
          <w:color w:val="auto"/>
        </w:rPr>
        <w:t>. The ASU expands public entities' segment disclosures by requiring disclosures of significant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CODM and included within each reported measure of segment profit or loss, an amount and description of its composition for other segment items, and interim disclosures of a reportable segment's profit or loss and assets. Early adoption is permitted. Since the Company only has one segment, the Company does not expect an impact when adopting this ASU on the Company's Consolidated Financial Statements and disclosures.</w:t>
      </w:r>
    </w:p>
    <w:p>
      <w:pPr>
        <w:spacing w:after="0" w:line="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Income Taxes</w:t>
      </w:r>
      <w:r>
        <w:rPr>
          <w:rFonts w:ascii="Times New Roman" w:cs="Times New Roman" w:eastAsia="Times New Roman" w:hAnsi="Times New Roman"/>
          <w:sz w:val="18"/>
          <w:szCs w:val="18"/>
          <w:color w:val="auto"/>
        </w:rPr>
        <w:t>: 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(“ASU 2023-09”). The ASU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us in the annual period beginning January 1, 2025, though early adoption is permitted. The Company is currently evaluating the presentational effect that ASU 2023-09 will have on the Company's Consolidated Financial Statements and disclosures, and we expect considerable changes to our income tax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Purchase Agreement and Cogna Collaborative and License Agreement</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and G42 Investments AI Holding RSC Ltd, a private limited company (“G42 Investments”), entered into a Common Stock Purchase Agreement (the “G42 Purchase Agreement”), pursuant to which the Company sold to G42 Investments 259,657 shares of the Company’s Class A common stock at a price per share of approximately $96.40, for an aggregate purchase price of $25.0 million, which was paid (i) $12.5 million in cash at the closing and (ii) $12.5 million in the form of a promissory note of G42 Investments to be paid at May 31, 2023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G42 Investments has agreed to certain transfer restrictions (including restrictions on short sales or similar transactions) and restrictions on further acquisitions of shares, in each case subject to specified exceptions. Following the expiration of a lock up period, from the period May 31, 2022 until December 31, 2024 (or if earlier, the date of receipt of U.S. Food and Drug Administration (“FDA”) approval in the U.S. for </w:t>
      </w:r>
      <w:r>
        <w:rPr>
          <w:rFonts w:ascii="Times New Roman" w:cs="Times New Roman" w:eastAsia="Times New Roman" w:hAnsi="Times New Roman"/>
          <w:sz w:val="18"/>
          <w:szCs w:val="18"/>
          <w:i w:val="1"/>
          <w:iCs w:val="1"/>
          <w:color w:val="auto"/>
        </w:rPr>
        <w:t>cadisegliatin (TTP399)</w:t>
      </w:r>
      <w:r>
        <w:rPr>
          <w:rFonts w:ascii="Times New Roman" w:cs="Times New Roman" w:eastAsia="Times New Roman" w:hAnsi="Times New Roman"/>
          <w:sz w:val="18"/>
          <w:szCs w:val="18"/>
          <w:color w:val="auto"/>
        </w:rPr>
        <w:t>, the Company has granted to G42 Investments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shelf and piggyback registration rights with respect to those shares of Class A common stock issued to G42 Investments pursuant to the G42 Purchase Agreement, including the ability to conduct an underwritten offering to resell such shares under certain circumstances. The registration rights include customary cooperation, cut-back, expense reimbursement, and indemnification provisions.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Contemporaneously with the G42 Purchase Agreement, effective on May 31, 2022, the Company entered into a collaboration and license agreement (the “Cogna Agreement”) with Cogna Technology Solutions LLC, an affiliate of G42 Investments (“Cogna”), which requires Cogna to work with the Company in performing clinical trials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xml:space="preserve"> as well as jointly creating a global development plan to develop, market, and commercialize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certain countries in the Middle East, Africa, and Central Asia (the “Partner Territory”). Under the terms of the Cogna Agreement, Cogna will obtain a license under certain intellectual property controlled by the Company to enable it to fulfill its obligations and exercise its rights under the Cogna agreement, including to develop and commercialize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the Partner Territory, but will not have access to the various intellectual property (“IP”) related to the license and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Specifically, the Company will share various protocols with Cogna related to conducting the clinical trials and will provide the patient dosages and placebo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needed to conduct the trials.</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Under the Cogna Agreement, Cogna has the right to develop and commercialize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the Partner Territory at its own cost once restrictions on the use of the IP have been lifted by the Company. The Cogna Agreement determined which specific countries in the Partner Territory that Cogna may pursue development and commercialization and provides the Company with the ability to determine when Cogna can benefit from this IP through the powers granted to the Company to approve the global development plan. Further, the Company may supply at cost, or Cogna may manufacture,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for commercial sale under terms to be agreed upon by the parties at a later date.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Separately, the Company will conduct its clinical trials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outside of the Partner Territory at its own cost. The results of each party’s clinical trials will be combined by the Company to seek FDA approval in the United States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On December 21, 2022, G42 Healthcare Technology Solutions LLC (formerly known as Cogna Technology Solutions LLC) novated its rights and obligation under the Cogna agreement to G42 Healthcare Research Technology Projects LLC (“G42 Healthcare”), an affiliate of G42 Investments. As a result of the novation, all reference to Cogna herein shall be deemed to refer to G42 Healthcare.</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G42 Purchase Agreement also provides for, following the receipt of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at the option of G42 Investments, either</w:t>
      </w:r>
    </w:p>
    <w:p>
      <w:pPr>
        <w:spacing w:after="0" w:line="29" w:lineRule="exact"/>
        <w:rPr>
          <w:sz w:val="20"/>
          <w:szCs w:val="20"/>
          <w:color w:val="auto"/>
        </w:rPr>
      </w:pPr>
    </w:p>
    <w:p>
      <w:pPr>
        <w:jc w:val="both"/>
        <w:ind w:firstLine="8"/>
        <w:spacing w:after="0" w:line="253" w:lineRule="auto"/>
        <w:tabs>
          <w:tab w:leader="none" w:pos="24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of the Company’s Class A common stock (the “Milestone Shares”) having an aggregate value equal to $30.0 million or (b) the payment by the Company of $30.0 million in cash (the “Milestone Cash Payment”). The issuance of the Milestone Shares or the payment of the Milestone Cash Payment, as applicable, is conditioned upon receipt of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and subject to certain limitations and conditions set forth in the G42 Purchase Agreement. There can be no assurance that the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FDA Approval will be granted or as to the timing thereof.</w:t>
      </w:r>
    </w:p>
    <w:p>
      <w:pPr>
        <w:spacing w:after="0" w:line="8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Once commercialization takes place in the Partner Territory, the Company will receive royalties in the single digits from Cogna on the net sales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for a period of at least ten years after the first commercial sale of</w:t>
      </w:r>
      <w:r>
        <w:rPr>
          <w:rFonts w:ascii="Times New Roman" w:cs="Times New Roman" w:eastAsia="Times New Roman" w:hAnsi="Times New Roman"/>
          <w:sz w:val="18"/>
          <w:szCs w:val="18"/>
          <w:i w:val="1"/>
          <w:iCs w:val="1"/>
          <w:color w:val="auto"/>
        </w:rPr>
        <w:t xml:space="preserve"> cadisegliatin </w:t>
      </w:r>
      <w:r>
        <w:rPr>
          <w:rFonts w:ascii="Times New Roman" w:cs="Times New Roman" w:eastAsia="Times New Roman" w:hAnsi="Times New Roman"/>
          <w:sz w:val="18"/>
          <w:szCs w:val="18"/>
          <w:color w:val="auto"/>
        </w:rPr>
        <w:t>in the Partner Territory.</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Common stock is generally recorded at fair value at the date of issuance. In determining the fair value of the Class A common stock issued to G42 Investments, the Company considered the closing price of the common stock on the effective date. The Company did not make an adjustment to the fair value for sale restrictions on the stock in accordance with guidance recently adopted in ASU 2022-03. See the “Recently Issued Accounting Guidance” in this quarterly report on Form 10-Q for details of the ASU. Accordingly, the Company determined that cash consideration of $5.7 million should be recorded as fair value of the Class A common stock at the effective date, utilizing the Class A common stock closing price of $22.04 at the effective date.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premium was paid on the Class A common stock by G42 Investments of $18.7 million, net of a note receivable discount of $0.6 million. This premium is determined to be the transaction price for all remaining obligations under the agreements, which will be accounted for under ASC 808 or ASC 606 based on determination of the unit of account.</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determined that certain commitments under the agreements are in the scope of ASC 808 as both the Company and Cogna are active participants in the clinical trials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and both are exposed to significant risks and rewards based on the success of the clinical trials and subsequent FDA approval. Cogna is determined to be a vendor of the Company during the clinical trial phase, working on the Company’s behalf to complete research and development activities, and not in a customer capacity. The Company accounted for the commitments related to the clinical trials, which includes transfer of trial protocols, supply of clinical trial dosages, and collaboration on the joint development committee (“JDC”) as an ASC 808 unit of account, applying the recognition and measurement principles of ASC 606 by analogy. The Company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recognize collaboration revenue for its development activities under ASC 808 over time based on the estimated period of performance.</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By applying the principals in ASC 606 by analogy, the Company identified the performance obligation and considered the timing of satisfaction of the obligation to account for the pattern of revenue recognition. In order to recognize collaboration revenue, generally, the Company would begin satisfying its performance obligation and Cogna would need to be able to use and benefit from delivery of the assets or services. The performance obligation under the agreements that fall within the 808 unit of account are concentrated in the clinical trials. As of March 31, 2024, the clinical trials had not commenced. Accordingly, no collaboration revenue was recognized for the ASC 808 unit of account during the three months ended March 31, 2024.</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identified certain commitments that are in the scope of ASC 606 as Cogna’s relationship is that of a customer for these commitments. The significant performance obligations that are in the scope of ASC 606 are (1) the development, commercialization and manufacturing license of the IP once restrictions on the use of the IP have been lifted by the Company and (2) a potential material right to a commercial supply agreement. The Company will recognize revenue from the development, commercial and manufacturing license at a point in time when the Company releases the restrictions on the use of the IP, which is expected to be after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is approved by the FDA. The Company will recognize revenue from the material right related to Cogna’s ability to purchase the commercial supply at cost as Cogna purchases the commercial supply from the Company, which will occur after the completion of the initial clinical trials (if Cogna decides to purchase the clinical supply from the Company). As a result, the Company has not recognized any revenue under the ASC 606 unit of account during the three months ended March 31, 2024.</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income,net in the Company’s Condensed Consolidated Statements of Operations. The G42 Promissory Note receivable was classified and accounted for under ASC 310 “</w:t>
      </w:r>
      <w:r>
        <w:rPr>
          <w:rFonts w:ascii="Times New Roman" w:cs="Times New Roman" w:eastAsia="Times New Roman" w:hAnsi="Times New Roman"/>
          <w:sz w:val="18"/>
          <w:szCs w:val="18"/>
          <w:i w:val="1"/>
          <w:iCs w:val="1"/>
          <w:color w:val="auto"/>
        </w:rPr>
        <w:t>Receivables“</w:t>
      </w:r>
      <w:r>
        <w:rPr>
          <w:rFonts w:ascii="Times New Roman" w:cs="Times New Roman" w:eastAsia="Times New Roman" w:hAnsi="Times New Roman"/>
          <w:sz w:val="18"/>
          <w:szCs w:val="18"/>
          <w:color w:val="auto"/>
        </w:rPr>
        <w:t xml:space="preserve"> (“ASC 310”) and was initially measured at its fair value of $11.9 million. The Company also recorded the $18.7 million as deferred revenue in the Condensed Consolidated Balance Sheets, as none of the underlying performance obligations had been satisfied as of and for the three months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Newsoara License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Times New Roman" w:cs="Times New Roman" w:eastAsia="Times New Roman" w:hAnsi="Times New Roman"/>
          <w:sz w:val="18"/>
          <w:szCs w:val="18"/>
          <w:i w:val="1"/>
          <w:iCs w:val="1"/>
          <w:color w:val="auto"/>
        </w:rPr>
        <w:t>HPP737</w:t>
      </w:r>
      <w:r>
        <w:rPr>
          <w:rFonts w:ascii="Times New Roman" w:cs="Times New Roman" w:eastAsia="Times New Roman" w:hAnsi="Times New Roman"/>
          <w:sz w:val="18"/>
          <w:szCs w:val="18"/>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fully allocated the transaction price to the license and the technology transfer services which represents a single performance obligation because they were not capable of being distinct on their own. The Company recognized revenue for this performance obligation using the straight-line method over the transfer service period. The revenue for this performance obligation has been fully recognized as of March 31, 2024. In the first quarter of 2024, the transaction price for this performance obligation was increased by $1.0 million due to the satisfaction of a development milestone under the Newsoara License Agreement. This amount was fully recognized as revenue during the three months ended March 31, 2024, as the related performance obligation was fully satisfied. No revenue related to this performance obligation was recognized and there were no changes to the transaction price during the three months ended March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Share-Based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issued non-qualified stock option awards to management, other key employees, consultants, and non-employee directors. These option awards generally vest ratably over a three-year period and the option awards expire after a term of ten years from the date of grant. As of March 31, 2024, the Company had total unrecognized stock-based compensation expense for its outstanding stock option awards of approximately $1.3 million, which is expected to be recognized over a weighted average period of 2.1 years. The weighted average grant date fair value of options granted during the three months ended March 31, 2023 was $0.80 per option. There were no options granted during the three months ended March 31, 2024. The aggregate intrinsic value of the in-the-money awards outstanding at March 31, 2024 was de minimis.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February 23, 2024, in connection with the Private Placement, several directors resigned as members of the Company’s Board of Directors,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on the closing of the Private Placement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As a result of their resignations, 14,340 stock options to purchase shares of common stock were modified to increase the time period to exercise the options and 7,590 stock options to purchase shares of common stock were modified to accelerate vesting at the termination date. All the unvested options were modified to be fully vested as of the posting of the Private Placement which resulted in a reduction in their fair value. The Company incurred $0.1 million reduction in stock compensation expense for the modifications for the three months ended March 31, 2024.</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stock option awards for the three months ended March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5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3"/>
                <w:szCs w:val="13"/>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5"/>
        </w:trPr>
        <w:tc>
          <w:tcPr>
            <w:tcW w:w="80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0" w:type="dxa"/>
            <w:vAlign w:val="bottom"/>
          </w:tcPr>
          <w:p>
            <w:pPr>
              <w:spacing w:after="0"/>
              <w:rPr>
                <w:sz w:val="1"/>
                <w:szCs w:val="1"/>
                <w:color w:val="auto"/>
              </w:rPr>
            </w:pPr>
          </w:p>
        </w:tc>
      </w:tr>
      <w:tr>
        <w:trPr>
          <w:trHeight w:val="228"/>
        </w:trPr>
        <w:tc>
          <w:tcPr>
            <w:tcW w:w="8020" w:type="dxa"/>
            <w:vAlign w:val="bottom"/>
            <w:tcBorders>
              <w:top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31, 2023</w:t>
            </w:r>
          </w:p>
        </w:tc>
        <w:tc>
          <w:tcPr>
            <w:tcW w:w="1460" w:type="dxa"/>
            <w:vAlign w:val="bottom"/>
            <w:tcBorders>
              <w:top w:val="single" w:sz="8" w:color="auto"/>
            </w:tcBorders>
            <w:shd w:val="clear" w:color="auto" w:fill="EBFEFF"/>
          </w:tcPr>
          <w:p>
            <w:pPr>
              <w:jc w:val="center"/>
              <w:ind w:left="652"/>
              <w:spacing w:after="0"/>
              <w:rPr>
                <w:sz w:val="20"/>
                <w:szCs w:val="20"/>
                <w:color w:val="auto"/>
              </w:rPr>
            </w:pPr>
            <w:r>
              <w:rPr>
                <w:rFonts w:ascii="Times New Roman" w:cs="Times New Roman" w:eastAsia="Times New Roman" w:hAnsi="Times New Roman"/>
                <w:sz w:val="18"/>
                <w:szCs w:val="18"/>
                <w:color w:val="auto"/>
              </w:rPr>
              <w:t>249,247</w:t>
            </w:r>
          </w:p>
        </w:tc>
        <w:tc>
          <w:tcPr>
            <w:tcW w:w="100" w:type="dxa"/>
            <w:vAlign w:val="bottom"/>
            <w:tcBorders>
              <w:top w:val="single" w:sz="8" w:color="EBFEFF"/>
            </w:tcBorders>
            <w:shd w:val="clear" w:color="auto" w:fill="EBFEFF"/>
          </w:tcPr>
          <w:p>
            <w:pPr>
              <w:spacing w:after="0"/>
              <w:rPr>
                <w:sz w:val="19"/>
                <w:szCs w:val="19"/>
                <w:color w:val="auto"/>
              </w:rPr>
            </w:pPr>
          </w:p>
        </w:tc>
        <w:tc>
          <w:tcPr>
            <w:tcW w:w="260" w:type="dxa"/>
            <w:vAlign w:val="bottom"/>
            <w:tcBorders>
              <w:top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EBFEFF"/>
            </w:tcBorders>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EBF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EBFEFF"/>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Awards outstanding at March 31, 2024</w:t>
            </w:r>
          </w:p>
        </w:tc>
        <w:tc>
          <w:tcPr>
            <w:tcW w:w="1460" w:type="dxa"/>
            <w:vAlign w:val="bottom"/>
            <w:tcBorders>
              <w:bottom w:val="single" w:sz="8" w:color="auto"/>
            </w:tcBorders>
            <w:shd w:val="clear" w:color="auto" w:fill="EBFEFF"/>
          </w:tcPr>
          <w:p>
            <w:pPr>
              <w:jc w:val="center"/>
              <w:ind w:left="652"/>
              <w:spacing w:after="0"/>
              <w:rPr>
                <w:sz w:val="20"/>
                <w:szCs w:val="20"/>
                <w:color w:val="auto"/>
              </w:rPr>
            </w:pPr>
            <w:r>
              <w:rPr>
                <w:rFonts w:ascii="Times New Roman" w:cs="Times New Roman" w:eastAsia="Times New Roman" w:hAnsi="Times New Roman"/>
                <w:sz w:val="18"/>
                <w:szCs w:val="18"/>
                <w:color w:val="auto"/>
              </w:rPr>
              <w:t>248,622</w:t>
            </w:r>
          </w:p>
        </w:tc>
        <w:tc>
          <w:tcPr>
            <w:tcW w:w="100" w:type="dxa"/>
            <w:vAlign w:val="bottom"/>
            <w:tcBorders>
              <w:bottom w:val="single" w:sz="8" w:color="EBFEFF"/>
            </w:tcBorders>
            <w:shd w:val="clear" w:color="auto" w:fill="EBFEFF"/>
          </w:tcPr>
          <w:p>
            <w:pPr>
              <w:spacing w:after="0"/>
              <w:rPr>
                <w:sz w:val="21"/>
                <w:szCs w:val="21"/>
                <w:color w:val="auto"/>
              </w:rPr>
            </w:pPr>
          </w:p>
        </w:tc>
        <w:tc>
          <w:tcPr>
            <w:tcW w:w="260" w:type="dxa"/>
            <w:vAlign w:val="bottom"/>
            <w:tcBorders>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0"/>
        </w:trPr>
        <w:tc>
          <w:tcPr>
            <w:tcW w:w="8020" w:type="dxa"/>
            <w:vAlign w:val="bottom"/>
            <w:tcBorders>
              <w:top w:val="single" w:sz="8" w:color="EBFEFF"/>
              <w:bottom w:val="single" w:sz="8" w:color="EBF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2024</w:t>
            </w:r>
          </w:p>
        </w:tc>
        <w:tc>
          <w:tcPr>
            <w:tcW w:w="14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60" w:type="dxa"/>
            <w:vAlign w:val="bottom"/>
            <w:tcBorders>
              <w:top w:val="single" w:sz="8" w:color="EBFEFF"/>
              <w:bottom w:val="single" w:sz="8" w:color="auto"/>
            </w:tcBorders>
          </w:tcPr>
          <w:p>
            <w:pPr>
              <w:spacing w:after="0" w:line="20" w:lineRule="exact"/>
              <w:rPr>
                <w:sz w:val="1"/>
                <w:szCs w:val="1"/>
                <w:color w:val="auto"/>
              </w:rPr>
            </w:pPr>
          </w:p>
        </w:tc>
        <w:tc>
          <w:tcPr>
            <w:tcW w:w="120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vMerge w:val="continue"/>
          </w:tcPr>
          <w:p>
            <w:pPr>
              <w:spacing w:after="0"/>
              <w:rPr>
                <w:sz w:val="17"/>
                <w:szCs w:val="17"/>
                <w:color w:val="auto"/>
              </w:rPr>
            </w:pPr>
          </w:p>
        </w:tc>
        <w:tc>
          <w:tcPr>
            <w:tcW w:w="1460" w:type="dxa"/>
            <w:vAlign w:val="bottom"/>
          </w:tcPr>
          <w:p>
            <w:pPr>
              <w:jc w:val="center"/>
              <w:ind w:left="652"/>
              <w:spacing w:after="0" w:line="203" w:lineRule="exact"/>
              <w:rPr>
                <w:sz w:val="20"/>
                <w:szCs w:val="20"/>
                <w:color w:val="auto"/>
              </w:rPr>
            </w:pPr>
            <w:r>
              <w:rPr>
                <w:rFonts w:ascii="Times New Roman" w:cs="Times New Roman" w:eastAsia="Times New Roman" w:hAnsi="Times New Roman"/>
                <w:sz w:val="18"/>
                <w:szCs w:val="18"/>
                <w:color w:val="auto"/>
              </w:rPr>
              <w:t>163,336</w:t>
            </w:r>
          </w:p>
        </w:tc>
        <w:tc>
          <w:tcPr>
            <w:tcW w:w="100" w:type="dxa"/>
            <w:vAlign w:val="bottom"/>
          </w:tcPr>
          <w:p>
            <w:pPr>
              <w:spacing w:after="0"/>
              <w:rPr>
                <w:sz w:val="17"/>
                <w:szCs w:val="17"/>
                <w:color w:val="auto"/>
              </w:rPr>
            </w:pPr>
          </w:p>
        </w:tc>
        <w:tc>
          <w:tcPr>
            <w:tcW w:w="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102.02</w:t>
            </w:r>
          </w:p>
        </w:tc>
        <w:tc>
          <w:tcPr>
            <w:tcW w:w="0" w:type="dxa"/>
            <w:vAlign w:val="bottom"/>
          </w:tcPr>
          <w:p>
            <w:pPr>
              <w:spacing w:after="0"/>
              <w:rPr>
                <w:sz w:val="1"/>
                <w:szCs w:val="1"/>
                <w:color w:val="auto"/>
              </w:rPr>
            </w:pPr>
          </w:p>
        </w:tc>
      </w:tr>
      <w:tr>
        <w:trPr>
          <w:trHeight w:val="229"/>
        </w:trPr>
        <w:tc>
          <w:tcPr>
            <w:tcW w:w="802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shd w:val="clear" w:color="auto" w:fill="EBFEFF"/>
          </w:tcPr>
          <w:p>
            <w:pPr>
              <w:jc w:val="center"/>
              <w:ind w:left="572"/>
              <w:spacing w:after="0"/>
              <w:rPr>
                <w:sz w:val="20"/>
                <w:szCs w:val="20"/>
                <w:color w:val="auto"/>
              </w:rPr>
            </w:pPr>
            <w:r>
              <w:rPr>
                <w:rFonts w:ascii="Times New Roman" w:cs="Times New Roman" w:eastAsia="Times New Roman" w:hAnsi="Times New Roman"/>
                <w:sz w:val="18"/>
                <w:szCs w:val="18"/>
                <w:color w:val="auto"/>
                <w:w w:val="95"/>
              </w:rPr>
              <w:t>6.4 Years</w:t>
            </w:r>
          </w:p>
        </w:tc>
        <w:tc>
          <w:tcPr>
            <w:tcW w:w="260" w:type="dxa"/>
            <w:vAlign w:val="bottom"/>
            <w:shd w:val="clear" w:color="auto" w:fill="EBFEFF"/>
          </w:tcPr>
          <w:p>
            <w:pPr>
              <w:spacing w:after="0"/>
              <w:rPr>
                <w:sz w:val="19"/>
                <w:szCs w:val="19"/>
                <w:color w:val="auto"/>
              </w:rPr>
            </w:pPr>
          </w:p>
        </w:tc>
        <w:tc>
          <w:tcPr>
            <w:tcW w:w="120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at March 31, 2024</w:t>
            </w:r>
          </w:p>
        </w:tc>
        <w:tc>
          <w:tcPr>
            <w:tcW w:w="146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rPr>
              <w:t>220,524</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29"/>
        </w:trPr>
        <w:tc>
          <w:tcPr>
            <w:tcW w:w="8020" w:type="dxa"/>
            <w:vAlign w:val="bottom"/>
            <w:shd w:val="clear" w:color="auto" w:fill="EBFEFF"/>
          </w:tcPr>
          <w:p>
            <w:pPr>
              <w:ind w:left="26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1560" w:type="dxa"/>
            <w:vAlign w:val="bottom"/>
            <w:gridSpan w:val="2"/>
            <w:shd w:val="clear" w:color="auto" w:fill="EBFEFF"/>
          </w:tcPr>
          <w:p>
            <w:pPr>
              <w:jc w:val="center"/>
              <w:ind w:left="572"/>
              <w:spacing w:after="0"/>
              <w:rPr>
                <w:sz w:val="20"/>
                <w:szCs w:val="20"/>
                <w:color w:val="auto"/>
              </w:rPr>
            </w:pPr>
            <w:r>
              <w:rPr>
                <w:rFonts w:ascii="Times New Roman" w:cs="Times New Roman" w:eastAsia="Times New Roman" w:hAnsi="Times New Roman"/>
                <w:sz w:val="18"/>
                <w:szCs w:val="18"/>
                <w:color w:val="auto"/>
                <w:w w:val="95"/>
              </w:rPr>
              <w:t>7.0 Years</w:t>
            </w:r>
          </w:p>
        </w:tc>
        <w:tc>
          <w:tcPr>
            <w:tcW w:w="260" w:type="dxa"/>
            <w:vAlign w:val="bottom"/>
            <w:shd w:val="clear" w:color="auto" w:fill="EBFEFF"/>
          </w:tcPr>
          <w:p>
            <w:pPr>
              <w:spacing w:after="0"/>
              <w:rPr>
                <w:sz w:val="19"/>
                <w:szCs w:val="19"/>
                <w:color w:val="auto"/>
              </w:rPr>
            </w:pPr>
          </w:p>
        </w:tc>
        <w:tc>
          <w:tcPr>
            <w:tcW w:w="120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related to the grants of stock options is included in research and development and general and administrative expense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03"/>
        </w:trPr>
        <w:tc>
          <w:tcPr>
            <w:tcW w:w="82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r>
      <w:tr>
        <w:trPr>
          <w:trHeight w:val="23"/>
        </w:trPr>
        <w:tc>
          <w:tcPr>
            <w:tcW w:w="8220" w:type="dxa"/>
            <w:vAlign w:val="bottom"/>
            <w:tcBorders>
              <w:bottom w:val="single" w:sz="8" w:color="EBF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EBF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EBFEFF"/>
          </w:tcPr>
          <w:p>
            <w:pPr>
              <w:spacing w:after="0"/>
              <w:rPr>
                <w:sz w:val="19"/>
                <w:szCs w:val="19"/>
                <w:color w:val="auto"/>
              </w:rPr>
            </w:pPr>
          </w:p>
        </w:tc>
        <w:tc>
          <w:tcPr>
            <w:tcW w:w="1020" w:type="dxa"/>
            <w:vAlign w:val="bottom"/>
            <w:shd w:val="clear" w:color="auto" w:fill="EBF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22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EBF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48"/>
        </w:trPr>
        <w:tc>
          <w:tcPr>
            <w:tcW w:w="8220" w:type="dxa"/>
            <w:vAlign w:val="bottom"/>
            <w:tcBorders>
              <w:bottom w:val="single" w:sz="8" w:color="EBFEFF"/>
            </w:tcBorders>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00" w:type="dxa"/>
            <w:vAlign w:val="bottom"/>
            <w:tcBorders>
              <w:bottom w:val="single" w:sz="8" w:color="auto"/>
            </w:tcBorders>
            <w:shd w:val="clear" w:color="auto" w:fill="EBF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EBFEFF"/>
            </w:tcBorders>
            <w:shd w:val="clear" w:color="auto" w:fill="EBFEFF"/>
          </w:tcPr>
          <w:p>
            <w:pPr>
              <w:spacing w:after="0"/>
              <w:rPr>
                <w:sz w:val="21"/>
                <w:szCs w:val="21"/>
                <w:color w:val="auto"/>
              </w:rPr>
            </w:pPr>
          </w:p>
        </w:tc>
        <w:tc>
          <w:tcPr>
            <w:tcW w:w="1020" w:type="dxa"/>
            <w:vAlign w:val="bottom"/>
            <w:tcBorders>
              <w:bottom w:val="single" w:sz="8" w:color="auto"/>
            </w:tcBorders>
            <w:shd w:val="clear" w:color="auto" w:fill="EBF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8220" w:type="dxa"/>
            <w:vAlign w:val="bottom"/>
            <w:tcBorders>
              <w:top w:val="single" w:sz="8" w:color="EBFEFF"/>
            </w:tcBorders>
          </w:tcPr>
          <w:p>
            <w:pPr>
              <w:spacing w:after="0" w:line="20" w:lineRule="exact"/>
              <w:rPr>
                <w:sz w:val="1"/>
                <w:szCs w:val="1"/>
                <w:color w:val="auto"/>
              </w:rPr>
            </w:pPr>
          </w:p>
        </w:tc>
        <w:tc>
          <w:tcPr>
            <w:tcW w:w="1000" w:type="dxa"/>
            <w:vAlign w:val="bottom"/>
            <w:tcBorders>
              <w:top w:val="single" w:sz="8" w:color="EBFEFF"/>
              <w:bottom w:val="single" w:sz="8" w:color="auto"/>
            </w:tcBorders>
          </w:tcPr>
          <w:p>
            <w:pPr>
              <w:spacing w:after="0" w:line="20" w:lineRule="exact"/>
              <w:rPr>
                <w:sz w:val="1"/>
                <w:szCs w:val="1"/>
                <w:color w:val="auto"/>
              </w:rPr>
            </w:pPr>
          </w:p>
        </w:tc>
        <w:tc>
          <w:tcPr>
            <w:tcW w:w="4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020" w:type="dxa"/>
            <w:vAlign w:val="bottom"/>
            <w:tcBorders>
              <w:top w:val="single" w:sz="8" w:color="EBFEFF"/>
              <w:bottom w:val="single" w:sz="8" w:color="auto"/>
            </w:tcBorders>
          </w:tcPr>
          <w:p>
            <w:pPr>
              <w:spacing w:after="0" w:line="20" w:lineRule="exact"/>
              <w:rPr>
                <w:sz w:val="1"/>
                <w:szCs w:val="1"/>
                <w:color w:val="auto"/>
              </w:rPr>
            </w:pPr>
          </w:p>
        </w:tc>
        <w:tc>
          <w:tcPr>
            <w:tcW w:w="440" w:type="dxa"/>
            <w:vAlign w:val="bottom"/>
            <w:tcBorders>
              <w:top w:val="single" w:sz="8" w:color="EBF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Novo Nordisk</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2007, the Company entered into an Agreement (the “Novo License Agreement”) Concerning Glucokinase Activator Project with Novo Nordisk A/S (the “Novo Nordisk”) whereby the Company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This agreement was amended in May 2019 to create milestone payments applicable to certain specific and non-specific areas of therapeutic use. Under the terms of the amended Novo License Agreement, the Company has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August 2019, the Company leased office space for its headquarters location under an operating lease. This lease commenced in November 2019 after the completion of certain tenant improvements made by the lessor. The lease includes 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option to renew for a five-year term as well as an option to terminate after three years, neither of which have been recognized as part of its related right of use assets or lease liabilities as their election is not considered reasonably certain. In November 2022, the Company entered into a second amendment to the lease, (i) to reduce the square footage and (ii) to extend the lease term, which constituted a modification event under ASC 842 and, the lease classification for the asset remains as an operating lease. As a result of the remeasurement of the associated lease liabilities, the Company recognized additional right of use assets and corresponding lease liabilities of $0.1 million. Further, the second amendment to the lease does not include any material residual value guarantee or restrictive covenants.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each of March 31, 2024 and December 31, 2023, the weighted average incremental borrowing rate for the operating leases held by the Company was 9.5%. At March 31, 2024 and December 31, 2023, the weighted average remaining lease terms for the operating leases held by the Company were 1.7 years and 1.9 years,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leases as of March 31, 2024 were as follows (in thousands):</w:t>
            </w: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35"/>
        </w:trPr>
        <w:tc>
          <w:tcPr>
            <w:tcW w:w="9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29"/>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620" w:type="dxa"/>
            <w:vAlign w:val="bottom"/>
            <w:shd w:val="clear" w:color="auto" w:fill="EBF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5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shd w:val="clear" w:color="auto" w:fill="EBFEFF"/>
          </w:tcPr>
          <w:p>
            <w:pPr>
              <w:spacing w:after="0"/>
              <w:rPr>
                <w:sz w:val="19"/>
                <w:szCs w:val="19"/>
                <w:color w:val="auto"/>
              </w:rPr>
            </w:pPr>
          </w:p>
        </w:tc>
        <w:tc>
          <w:tcPr>
            <w:tcW w:w="84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9"/>
        </w:trPr>
        <w:tc>
          <w:tcPr>
            <w:tcW w:w="95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9580" w:type="dxa"/>
            <w:vAlign w:val="bottom"/>
            <w:tcBorders>
              <w:bottom w:val="single" w:sz="8" w:color="EBFEFF"/>
            </w:tcBorders>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620" w:type="dxa"/>
            <w:vAlign w:val="bottom"/>
            <w:tcBorders>
              <w:bottom w:val="single" w:sz="8" w:color="auto"/>
            </w:tcBorders>
            <w:shd w:val="clear" w:color="auto" w:fill="EBF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9580" w:type="dxa"/>
            <w:vAlign w:val="bottom"/>
            <w:tcBorders>
              <w:top w:val="single" w:sz="8" w:color="EBFEFF"/>
            </w:tcBorders>
          </w:tcPr>
          <w:p>
            <w:pPr>
              <w:spacing w:after="0" w:line="20" w:lineRule="exact"/>
              <w:rPr>
                <w:sz w:val="1"/>
                <w:szCs w:val="1"/>
                <w:color w:val="auto"/>
              </w:rPr>
            </w:pPr>
          </w:p>
        </w:tc>
        <w:tc>
          <w:tcPr>
            <w:tcW w:w="620" w:type="dxa"/>
            <w:vAlign w:val="bottom"/>
            <w:tcBorders>
              <w:top w:val="single" w:sz="8" w:color="EBFEFF"/>
              <w:bottom w:val="single" w:sz="8" w:color="auto"/>
            </w:tcBorders>
          </w:tcPr>
          <w:p>
            <w:pPr>
              <w:spacing w:after="0" w:line="20" w:lineRule="exact"/>
              <w:rPr>
                <w:sz w:val="1"/>
                <w:szCs w:val="1"/>
                <w:color w:val="auto"/>
              </w:rPr>
            </w:pPr>
          </w:p>
        </w:tc>
        <w:tc>
          <w:tcPr>
            <w:tcW w:w="840" w:type="dxa"/>
            <w:vAlign w:val="bottom"/>
            <w:tcBorders>
              <w:top w:val="single" w:sz="8" w:color="EBF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cost and the related operating cash flows for the three months ended March 31, 2024 was $0.1 million and was immaterial for the three months ended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Noncontrolling Interest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vTv Units representing the 19.2% noncontrolling interest in vTv LLC outstanding as of March 31, 2024 (see Note 9).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27, 2024, in connection with the Private Placement financing, the Investor Rights Agreement altered M&amp;F TTP Holdings Two LLC (“M&amp;F”) governance rights such that directors designated by M&amp;F no longer comprised a majority of the Company’s Board of Directors (see Note 9). The redeemable noncontrolling interest redemption feature to exchange vTv Units for cash rather than shares of Class A common stock is a contingent event that is now within control of the Company through the Company’s independent Board of Directors. As a result, $5.3 million representing the fair value of redeemable noncontrolling interest on February 27, 2024, was reclassified from temporary equity in the mezzanine section of the Condensed Consolidated Balance Sheets to noncontrolling interest as a component of permanent equity.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Prior to February 27, 2024, the Company recorded redeemable noncontrolling interest at the higher of (1) its initial fair value plus accumulated earnings/losses associated with the noncontrolling interest or (2) the redemption value as of the balance sheet date. At December 31, 2023, the redeemable noncontrolling interest was recorded based on the redemption value as of the balance sheet date of $6.1 million.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changes. The following is a summary of net income attributable to vTv Therapeutics Inc. and transfers to noncontrolling interest: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0" w:type="dxa"/>
            <w:vAlign w:val="bottom"/>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040" w:type="dxa"/>
            <w:vAlign w:val="bottom"/>
            <w:tcBorders>
              <w:bottom w:val="single" w:sz="8" w:color="EBF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EBF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vTv Therapeutics Inc. common shareholders</w:t>
            </w:r>
          </w:p>
        </w:tc>
        <w:tc>
          <w:tcPr>
            <w:tcW w:w="960" w:type="dxa"/>
            <w:vAlign w:val="bottom"/>
            <w:shd w:val="clear" w:color="auto" w:fill="EBF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EBFEFF"/>
          </w:tcPr>
          <w:p>
            <w:pPr>
              <w:jc w:val="center"/>
              <w:spacing w:after="0"/>
              <w:rPr>
                <w:sz w:val="20"/>
                <w:szCs w:val="20"/>
                <w:color w:val="auto"/>
              </w:rPr>
            </w:pPr>
            <w:r>
              <w:rPr>
                <w:rFonts w:ascii="Times New Roman" w:cs="Times New Roman" w:eastAsia="Times New Roman" w:hAnsi="Times New Roman"/>
                <w:sz w:val="18"/>
                <w:szCs w:val="18"/>
                <w:color w:val="auto"/>
                <w:w w:val="98"/>
              </w:rPr>
              <w:t>(4,865)</w:t>
            </w:r>
          </w:p>
        </w:tc>
        <w:tc>
          <w:tcPr>
            <w:tcW w:w="80" w:type="dxa"/>
            <w:vAlign w:val="bottom"/>
            <w:shd w:val="clear" w:color="auto" w:fill="EBFEFF"/>
          </w:tcPr>
          <w:p>
            <w:pPr>
              <w:spacing w:after="0"/>
              <w:rPr>
                <w:sz w:val="19"/>
                <w:szCs w:val="19"/>
                <w:color w:val="auto"/>
              </w:rPr>
            </w:pPr>
          </w:p>
        </w:tc>
        <w:tc>
          <w:tcPr>
            <w:tcW w:w="380" w:type="dxa"/>
            <w:vAlign w:val="bottom"/>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EBFEFF"/>
          </w:tcPr>
          <w:p>
            <w:pPr>
              <w:jc w:val="center"/>
              <w:ind w:left="515"/>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175"/>
        </w:trPr>
        <w:tc>
          <w:tcPr>
            <w:tcW w:w="8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vTv Therapeutics Inc. stockholders' equity (deficit) for sale of vTv Units as a result of common</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EBFEFF"/>
            </w:tcBorders>
          </w:tcPr>
          <w:p>
            <w:pPr>
              <w:ind w:left="180"/>
              <w:spacing w:after="0"/>
              <w:rPr>
                <w:sz w:val="20"/>
                <w:szCs w:val="20"/>
                <w:color w:val="auto"/>
              </w:rPr>
            </w:pPr>
            <w:r>
              <w:rPr>
                <w:rFonts w:ascii="Times New Roman" w:cs="Times New Roman" w:eastAsia="Times New Roman" w:hAnsi="Times New Roman"/>
                <w:sz w:val="18"/>
                <w:szCs w:val="18"/>
                <w:color w:val="auto"/>
              </w:rPr>
              <w:t>stock issuances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9,564</w:t>
            </w:r>
          </w:p>
        </w:tc>
        <w:tc>
          <w:tcPr>
            <w:tcW w:w="80" w:type="dxa"/>
            <w:vAlign w:val="bottom"/>
            <w:tcBorders>
              <w:bottom w:val="single" w:sz="8" w:color="EBF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1,345</w:t>
            </w:r>
          </w:p>
        </w:tc>
        <w:tc>
          <w:tcPr>
            <w:tcW w:w="0" w:type="dxa"/>
            <w:vAlign w:val="bottom"/>
          </w:tcPr>
          <w:p>
            <w:pPr>
              <w:spacing w:after="0"/>
              <w:rPr>
                <w:sz w:val="1"/>
                <w:szCs w:val="1"/>
                <w:color w:val="auto"/>
              </w:rPr>
            </w:pPr>
          </w:p>
        </w:tc>
      </w:tr>
      <w:tr>
        <w:trPr>
          <w:trHeight w:val="155"/>
        </w:trPr>
        <w:tc>
          <w:tcPr>
            <w:tcW w:w="8040" w:type="dxa"/>
            <w:vAlign w:val="bottom"/>
            <w:shd w:val="clear" w:color="auto" w:fill="EBF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attributable to vTv Therapeutics Inc. common shareholders and transfers to</w:t>
            </w:r>
          </w:p>
        </w:tc>
        <w:tc>
          <w:tcPr>
            <w:tcW w:w="960" w:type="dxa"/>
            <w:vAlign w:val="bottom"/>
            <w:vMerge w:val="restart"/>
            <w:shd w:val="clear" w:color="auto" w:fill="EBF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EBFEFF"/>
          </w:tcPr>
          <w:p>
            <w:pPr>
              <w:jc w:val="center"/>
              <w:spacing w:after="0"/>
              <w:rPr>
                <w:sz w:val="20"/>
                <w:szCs w:val="20"/>
                <w:color w:val="auto"/>
              </w:rPr>
            </w:pPr>
            <w:r>
              <w:rPr>
                <w:rFonts w:ascii="Times New Roman" w:cs="Times New Roman" w:eastAsia="Times New Roman" w:hAnsi="Times New Roman"/>
                <w:sz w:val="18"/>
                <w:szCs w:val="18"/>
                <w:color w:val="auto"/>
                <w:w w:val="98"/>
              </w:rPr>
              <w:t>4,699</w:t>
            </w:r>
          </w:p>
        </w:tc>
        <w:tc>
          <w:tcPr>
            <w:tcW w:w="80" w:type="dxa"/>
            <w:vAlign w:val="bottom"/>
            <w:shd w:val="clear" w:color="auto" w:fill="EBFEFF"/>
          </w:tcPr>
          <w:p>
            <w:pPr>
              <w:spacing w:after="0"/>
              <w:rPr>
                <w:sz w:val="13"/>
                <w:szCs w:val="13"/>
                <w:color w:val="auto"/>
              </w:rPr>
            </w:pPr>
          </w:p>
        </w:tc>
        <w:tc>
          <w:tcPr>
            <w:tcW w:w="380" w:type="dxa"/>
            <w:vAlign w:val="bottom"/>
            <w:vMerge w:val="restart"/>
            <w:shd w:val="clear" w:color="auto" w:fill="EBF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EBFEFF"/>
          </w:tcPr>
          <w:p>
            <w:pPr>
              <w:jc w:val="center"/>
              <w:ind w:left="515"/>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36"/>
        </w:trPr>
        <w:tc>
          <w:tcPr>
            <w:tcW w:w="8040" w:type="dxa"/>
            <w:vAlign w:val="bottom"/>
            <w:tcBorders>
              <w:bottom w:val="single" w:sz="8" w:color="EBFEFF"/>
            </w:tcBorders>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960" w:type="dxa"/>
            <w:vAlign w:val="bottom"/>
            <w:tcBorders>
              <w:bottom w:val="single" w:sz="8" w:color="auto"/>
            </w:tcBorders>
            <w:vMerge w:val="continue"/>
            <w:shd w:val="clear" w:color="auto" w:fill="EBFEFF"/>
          </w:tcPr>
          <w:p>
            <w:pPr>
              <w:spacing w:after="0"/>
              <w:rPr>
                <w:sz w:val="20"/>
                <w:szCs w:val="20"/>
                <w:color w:val="auto"/>
              </w:rPr>
            </w:pPr>
          </w:p>
        </w:tc>
        <w:tc>
          <w:tcPr>
            <w:tcW w:w="600" w:type="dxa"/>
            <w:vAlign w:val="bottom"/>
            <w:tcBorders>
              <w:bottom w:val="single" w:sz="8" w:color="auto"/>
            </w:tcBorders>
            <w:vMerge w:val="continue"/>
            <w:shd w:val="clear" w:color="auto" w:fill="EBFEFF"/>
          </w:tcPr>
          <w:p>
            <w:pPr>
              <w:spacing w:after="0"/>
              <w:rPr>
                <w:sz w:val="20"/>
                <w:szCs w:val="20"/>
                <w:color w:val="auto"/>
              </w:rPr>
            </w:pPr>
          </w:p>
        </w:tc>
        <w:tc>
          <w:tcPr>
            <w:tcW w:w="80" w:type="dxa"/>
            <w:vAlign w:val="bottom"/>
            <w:tcBorders>
              <w:bottom w:val="single" w:sz="8" w:color="EBFEFF"/>
            </w:tcBorders>
            <w:shd w:val="clear" w:color="auto" w:fill="EBFEFF"/>
          </w:tcPr>
          <w:p>
            <w:pPr>
              <w:spacing w:after="0"/>
              <w:rPr>
                <w:sz w:val="20"/>
                <w:szCs w:val="20"/>
                <w:color w:val="auto"/>
              </w:rPr>
            </w:pPr>
          </w:p>
        </w:tc>
        <w:tc>
          <w:tcPr>
            <w:tcW w:w="380" w:type="dxa"/>
            <w:vAlign w:val="bottom"/>
            <w:tcBorders>
              <w:bottom w:val="single" w:sz="8" w:color="auto"/>
            </w:tcBorders>
            <w:vMerge w:val="continue"/>
            <w:shd w:val="clear" w:color="auto" w:fill="EBFEFF"/>
          </w:tcPr>
          <w:p>
            <w:pPr>
              <w:spacing w:after="0"/>
              <w:rPr>
                <w:sz w:val="20"/>
                <w:szCs w:val="20"/>
                <w:color w:val="auto"/>
              </w:rPr>
            </w:pPr>
          </w:p>
        </w:tc>
        <w:tc>
          <w:tcPr>
            <w:tcW w:w="1180" w:type="dxa"/>
            <w:vAlign w:val="bottom"/>
            <w:tcBorders>
              <w:bottom w:val="single" w:sz="8" w:color="auto"/>
            </w:tcBorders>
            <w:vMerge w:val="continue"/>
            <w:shd w:val="clear" w:color="auto" w:fill="EBF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EBFEFF"/>
            </w:tcBorders>
          </w:tcPr>
          <w:p>
            <w:pPr>
              <w:spacing w:after="0" w:line="20" w:lineRule="exact"/>
              <w:rPr>
                <w:sz w:val="1"/>
                <w:szCs w:val="1"/>
                <w:color w:val="auto"/>
              </w:rPr>
            </w:pPr>
          </w:p>
        </w:tc>
        <w:tc>
          <w:tcPr>
            <w:tcW w:w="960" w:type="dxa"/>
            <w:vAlign w:val="bottom"/>
            <w:tcBorders>
              <w:top w:val="single" w:sz="8" w:color="EBFEFF"/>
              <w:bottom w:val="single" w:sz="8" w:color="auto"/>
            </w:tcBorders>
          </w:tcPr>
          <w:p>
            <w:pPr>
              <w:spacing w:after="0" w:line="20" w:lineRule="exact"/>
              <w:rPr>
                <w:sz w:val="1"/>
                <w:szCs w:val="1"/>
                <w:color w:val="auto"/>
              </w:rPr>
            </w:pPr>
          </w:p>
        </w:tc>
        <w:tc>
          <w:tcPr>
            <w:tcW w:w="600" w:type="dxa"/>
            <w:vAlign w:val="bottom"/>
            <w:tcBorders>
              <w:top w:val="single" w:sz="8" w:color="EBFEFF"/>
              <w:bottom w:val="single" w:sz="8" w:color="auto"/>
            </w:tcBorders>
          </w:tcPr>
          <w:p>
            <w:pPr>
              <w:spacing w:after="0" w:line="20" w:lineRule="exact"/>
              <w:rPr>
                <w:sz w:val="1"/>
                <w:szCs w:val="1"/>
                <w:color w:val="auto"/>
              </w:rPr>
            </w:pPr>
          </w:p>
        </w:tc>
        <w:tc>
          <w:tcPr>
            <w:tcW w:w="80" w:type="dxa"/>
            <w:vAlign w:val="bottom"/>
            <w:tcBorders>
              <w:top w:val="single" w:sz="8" w:color="EBFEFF"/>
            </w:tcBorders>
          </w:tcPr>
          <w:p>
            <w:pPr>
              <w:spacing w:after="0" w:line="20" w:lineRule="exact"/>
              <w:rPr>
                <w:sz w:val="1"/>
                <w:szCs w:val="1"/>
                <w:color w:val="auto"/>
              </w:rPr>
            </w:pPr>
          </w:p>
        </w:tc>
        <w:tc>
          <w:tcPr>
            <w:tcW w:w="380" w:type="dxa"/>
            <w:vAlign w:val="bottom"/>
            <w:tcBorders>
              <w:top w:val="single" w:sz="8" w:color="EBFEFF"/>
              <w:bottom w:val="single" w:sz="8" w:color="auto"/>
            </w:tcBorders>
          </w:tcPr>
          <w:p>
            <w:pPr>
              <w:spacing w:after="0" w:line="20" w:lineRule="exact"/>
              <w:rPr>
                <w:sz w:val="1"/>
                <w:szCs w:val="1"/>
                <w:color w:val="auto"/>
              </w:rPr>
            </w:pPr>
          </w:p>
        </w:tc>
        <w:tc>
          <w:tcPr>
            <w:tcW w:w="118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2021, the Company filed an amendment to its Amended and Restated Certificate of Incorporation (the “Charter Amendment”) to increase the number of shares of Class A common stock that the Company is authorized to issue from 100,000,000 shares of Class A common stock to 200,000,000 shares of Class A common stock, representing an increase of 100,000,000 shares of authorized Class A common stock, with a corresponding increase in the total authorized common stock, which includes Class A common stock and Class B common stock, from 200,000,000 to 300,000,000, and a corresponding increase in the total authorized capital stock, which includes common stock and preferred stock, from 250,000,000 shares to 350,000,000 shares.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20, 2023, the Company filed an amendment to its Amended and Restated Certificate of Incorporation as amended, to effect a reverse stock split at a ratio of 1-for-40 (the "Reverse Stock Split"). Pursuant to the Reverse Stock Split, every 40 shares of the Company’s Class A common stock was combined into one issued and outstanding share of Class A Common Stock and every 40 shares of the Company’s Class B common stock was combined into one issued and outstanding share of Class B Common Stock. The Reverse Stock Split did not reduce the number of authorized shares of Class A and Class B common stock, which remained at 200,000,000 and 100,000,000 respectively and did not change the par value of the common stock, which remained at $0.01 per share. The Reverse Stock Split did not have any effect on the number of authorized shares of the Company’s preferred stock, par value of $0.01 per share, which would remain at 50,000,000 shares. Currently no shares of preferred stock are outstanding.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2024, the Company entered into a Securities Purchase Agreement with certain Private Placement Investors, pursuant to which we agreed to issue and sell to the Private Placement Investors in a private placement (i) an aggregate of 464,377 shares of our Class A common stock, at a purchase price of $11.81 per share and (ii) issued pre-funded warrants to purchase an aggregate of 3,853,997 shares of the Company’s Class A common stock at a price of $11.80 per pre-funded warrant. The pre-funded warrants were immediately exercisable, have an exercise price of $0.01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March 31, 2024, there were pre-funded warrants to purchase an aggregate of 3,970,587 shares of the Company’s common stock that remained available for exercise.</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G42 Investments Transaction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31, 2022, the Company and G42 Investments entered in to the G42 Purchase Agreement (see Note 3), pursuant to which the Company agreed to sell to G42 Investments 259,657 shares of the Company's Class A common stock at a price per share of approximately $96.40, for an aggregate purchase price of $25.0 million, consisting of (i) $12.5 million in cash at the closing of the transaction and (ii) $12.5 million in the form of a promissory note of G42 Investments to be paid at the one-year anniversary of the execution of the G42 Purchase Agreement (the “G42 Promissory Note”). On February 28, 2023, the Company and G42 Investments amended the G42 Purchase Agreement and modified the G42 Promissory Note to accelerate the payment due under the note. Pursuant to the amendment, on February 28, 2023, the Company received $12.0 million, which reflected the original amount due under the G42 Promissory Note less a 3.75% discount, in full satisfaction of the note, resulting in a loss of $0.3 million and was recognized as a component of other income, net in the Company’s Condensed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CinPax and CinRx Transaction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22, 2022 (the “Transaction Date”), the Company entered into the CinRx Purchase Agreement with CinPax, LLC (“CinPax”) and CinRx-Pharma, LLC (“CinRx”), pursuant to which the Company agreed to sell to CinPax 103,864 shares of the Company’s Class A common stock at a price per share of approximately $96.40, for an aggregate purchase price of $10.0 million, which was paid (i) $6.0 million in cash at the closing of the transaction and (ii) $4.0 million in the form of a non-interest-bearing promissory note with CinPax and was paid to the Company on November 22, 2022.</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Common stock is generally recorded at fair value at the date of issuance. In determining the fair value of the Class A common stock issued to CinPax, the Company considered the closing price of the common stock on the Transaction Date. The Company did not make an adjustment to the fair value for sale restrictions on the stock in accordance with guidance recently adopted in ASU 2022-03. See the “Recently Issued Accounting Guidance” in</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for details of the ASU. Accordingly, the Company determined that cash consideration of $3.0 million should be recorded as fair value of the Class A common stock at the effective date, utilizing the Class A common stock closing price of $28.80 at the effective date.</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CinRx Purchase Agreement also provides CinRx warrants to purchase up to 30,000 shares of common stock at an initial exercise of price of approximately $28.80 per share (the “CinRx Warrants”). The CinRx Warrants were initially measured at fair value of $0.4 million using the Black-Scholes option model at the time of issuance and will be recorded in Warrant liability related party in the Condensed Consolidated Balance Sheets and will be subsequently remeasured at fair value through earnings on a recurring basis. (see Note 12)</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CinRx Warrants will become exercisable by CinRx only if (i) the Company receives approval from the U.S. Food and Drug Administration (“FDA Approval”) to market and distribute the pharmaceutical product containing the Company’s proprietary candidate,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(the “Product”), or</w:t>
      </w:r>
    </w:p>
    <w:p>
      <w:pPr>
        <w:jc w:val="both"/>
        <w:ind w:firstLine="8"/>
        <w:spacing w:after="0" w:line="253" w:lineRule="auto"/>
        <w:tabs>
          <w:tab w:leader="none" w:pos="2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acquired by a third party, sells all or substantially all of its assets related to the Product to a third party or grants a third party an exclusive license to develop, commercialize and manufacture the Product in the United States. If neither of these events happen within five years of the date of the issuance of the CinRx Warrants, the CinRx Warrants will expire and not be exercisable by CinRx. The exercise price of the CinRx Warrants and the number of shares issuable upon exercise of the CinRx Warrants are subject to adjustments in accordance with the terms of the CinRx Warrants.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in conjunction with the CinRx Purchase Agreement the Company and CinRx entered into a Master Service Agreement (“CinRx MSA”) whereby CinRx provides the Company with consulting, preclinical and clinical trial services, as enumerated in project proposals negotiated between the Company and CinRx from time to time. (see Note 9)</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did not identify any other promises in the CinRx Purchase Agreement (aside from the issuance of common shares and the CinRx Warrants) and determined since there is no value ascribed to the CinRx MSA, the right to appoint a member and observer to the board of directors, that the remaining unallocated amount meets the definition of contributed equity and represents the amount in excess of par. The Company, CinPax and CinRx subsequently amended the CinRx Purchase Agreement on February 27, 2024, in connection with the Private Placement. The CinRx Purchase Agreement provides CinPax the right for two years following the Closing to designate a board observer, which has been subsequently approved by the Company’s board.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3.0% of the aggregate proceeds from the sale of shares and reimburse certain legal fees or other disbursements.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Related-Party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MacAndrews &amp; Forbes Incorporated</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MacAndrews directly or indirectly controls 577,108 shares of Class B common stock. Further, as of March 31, 2024, MacAndrews directly or indirectly holds 912,982 shares of the Company’s Class A common stock. As a result, MacAndrews’ holdings represent approximately 49.5% of the combined voting power of the Company’s outstanding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entered into several agreements with MacAndrews or its affiliates as further detailed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had previously entered into the Letter Agreements with MacAndrews. Under the terms of the Letter Agreements, during the one year commitment period beginning on the date of each Letter Agreement, the Company had the right to sell to MacAndrews shares of its Class A common stock at a specified price per share, and MacAndrews had the right (exercisable up to three times) to require the Company to sell to it shares of Class A common stock at the same price. The commitment period of each of the Letter Agreements has now expired.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Letter Agreement Warrants have been recorded as warrant liability, related party within the Company’s Condensed Consolidated Balance Sheets based on their fair value. The issuance of the Letter Agreement Warrants was considered to be a cost of equity recorded as a reduction to additional paid-in capital.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terms of the Exchange Agreement, but subject to the Amended and Restated LLC Agreement of vTv Therapeutics LLC, the vTv Units (along with a corresponding number of shares of the Class B common stock) are exchangeable for (i) shares of the Company’s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March 31, 2024, MacAndrews had not exchanged any shares under the provisions of the Exchange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March 31,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Rights Agreement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M&amp;F was initially entitled to nominate a majority of the members of the Board of Directors and designate the members of the committees of the Board of Directors. The Investor Rights Agreement was amended on February 27, 2024 to alter M&amp;F governance rights that now entitles M&amp;F the right to designate two members of our Board of Directors, and as part of the Private Placement, the Private Placement Investors have rights to designate three members of our Board of Directors, making it more difficult for a third party to acquire control of our Board. The agreement with the Private Placement Investors also provides that five of our directors must approve certain actions including any acquisition by a third party, which makes it more difficult for our Board of Directors to approve such a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taxes as well as state taxes. The Company’s income tax provision for three months ended March 31, 2024 was $0.1 million representing foreign withholding taxes accrued in connection with revenue recorded under license agreements with foreign entities. The Company did not record an income tax provision for the three months ended March 31, 2023.</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on March 31, 2024, is due to the valuation allowance against the Company’s expected net operating losses.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9,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March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Share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vTv Therapeutics Inc. by the weighted 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80" w:type="dxa"/>
            <w:vAlign w:val="bottom"/>
            <w:tcBorders>
              <w:bottom w:val="single" w:sz="8" w:color="EBF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EBFEFF"/>
          </w:tcPr>
          <w:p>
            <w:pPr>
              <w:spacing w:after="0"/>
              <w:rPr>
                <w:sz w:val="18"/>
                <w:szCs w:val="18"/>
                <w:color w:val="auto"/>
              </w:rPr>
            </w:pPr>
          </w:p>
        </w:tc>
        <w:tc>
          <w:tcPr>
            <w:tcW w:w="120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320" w:type="dxa"/>
            <w:vAlign w:val="bottom"/>
            <w:shd w:val="clear" w:color="auto" w:fill="EBFEFF"/>
          </w:tcPr>
          <w:p>
            <w:pPr>
              <w:spacing w:after="0"/>
              <w:rPr>
                <w:sz w:val="18"/>
                <w:szCs w:val="18"/>
                <w:color w:val="auto"/>
              </w:rPr>
            </w:pPr>
          </w:p>
        </w:tc>
        <w:tc>
          <w:tcPr>
            <w:tcW w:w="102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30"/>
        </w:trPr>
        <w:tc>
          <w:tcPr>
            <w:tcW w:w="8480" w:type="dxa"/>
            <w:vAlign w:val="bottom"/>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0" w:type="dxa"/>
            <w:vAlign w:val="bottom"/>
            <w:tcBorders>
              <w:bottom w:val="single" w:sz="8" w:color="auto"/>
            </w:tcBorders>
            <w:shd w:val="clear" w:color="auto" w:fill="EBFEFF"/>
          </w:tcPr>
          <w:p>
            <w:pPr>
              <w:spacing w:after="0"/>
              <w:rPr>
                <w:sz w:val="19"/>
                <w:szCs w:val="19"/>
                <w:color w:val="auto"/>
              </w:rPr>
            </w:pPr>
          </w:p>
        </w:tc>
        <w:tc>
          <w:tcPr>
            <w:tcW w:w="12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EBFEFF"/>
          </w:tcPr>
          <w:p>
            <w:pPr>
              <w:spacing w:after="0"/>
              <w:rPr>
                <w:sz w:val="19"/>
                <w:szCs w:val="19"/>
                <w:color w:val="auto"/>
              </w:rPr>
            </w:pPr>
          </w:p>
        </w:tc>
        <w:tc>
          <w:tcPr>
            <w:tcW w:w="320" w:type="dxa"/>
            <w:vAlign w:val="bottom"/>
            <w:tcBorders>
              <w:bottom w:val="single" w:sz="8" w:color="auto"/>
            </w:tcBorders>
            <w:shd w:val="clear" w:color="auto" w:fill="EBFEFF"/>
          </w:tcPr>
          <w:p>
            <w:pPr>
              <w:spacing w:after="0"/>
              <w:rPr>
                <w:sz w:val="19"/>
                <w:szCs w:val="19"/>
                <w:color w:val="auto"/>
              </w:rPr>
            </w:pPr>
          </w:p>
        </w:tc>
        <w:tc>
          <w:tcPr>
            <w:tcW w:w="10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EBF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shareholders of vTv Therapeutics Inc., basic and diluted</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0" w:type="dxa"/>
            <w:vAlign w:val="bottom"/>
          </w:tcPr>
          <w:p>
            <w:pPr>
              <w:spacing w:after="0"/>
              <w:rPr>
                <w:sz w:val="1"/>
                <w:szCs w:val="1"/>
                <w:color w:val="auto"/>
              </w:rPr>
            </w:pPr>
          </w:p>
        </w:tc>
      </w:tr>
      <w:tr>
        <w:trPr>
          <w:trHeight w:val="210"/>
        </w:trPr>
        <w:tc>
          <w:tcPr>
            <w:tcW w:w="848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shd w:val="clear" w:color="auto" w:fill="EBFEFF"/>
          </w:tcPr>
          <w:p>
            <w:pPr>
              <w:spacing w:after="0"/>
              <w:rPr>
                <w:sz w:val="18"/>
                <w:szCs w:val="18"/>
                <w:color w:val="auto"/>
              </w:rPr>
            </w:pPr>
          </w:p>
        </w:tc>
        <w:tc>
          <w:tcPr>
            <w:tcW w:w="1200" w:type="dxa"/>
            <w:vAlign w:val="bottom"/>
            <w:shd w:val="clear" w:color="auto" w:fill="EBFEFF"/>
          </w:tcPr>
          <w:p>
            <w:pPr>
              <w:spacing w:after="0"/>
              <w:rPr>
                <w:sz w:val="18"/>
                <w:szCs w:val="18"/>
                <w:color w:val="auto"/>
              </w:rPr>
            </w:pPr>
          </w:p>
        </w:tc>
        <w:tc>
          <w:tcPr>
            <w:tcW w:w="100" w:type="dxa"/>
            <w:vAlign w:val="bottom"/>
            <w:shd w:val="clear" w:color="auto" w:fill="EBFEFF"/>
          </w:tcPr>
          <w:p>
            <w:pPr>
              <w:spacing w:after="0"/>
              <w:rPr>
                <w:sz w:val="18"/>
                <w:szCs w:val="18"/>
                <w:color w:val="auto"/>
              </w:rPr>
            </w:pPr>
          </w:p>
        </w:tc>
        <w:tc>
          <w:tcPr>
            <w:tcW w:w="320" w:type="dxa"/>
            <w:vAlign w:val="bottom"/>
            <w:shd w:val="clear" w:color="auto" w:fill="EBFEFF"/>
          </w:tcPr>
          <w:p>
            <w:pPr>
              <w:spacing w:after="0"/>
              <w:rPr>
                <w:sz w:val="18"/>
                <w:szCs w:val="18"/>
                <w:color w:val="auto"/>
              </w:rPr>
            </w:pPr>
          </w:p>
        </w:tc>
        <w:tc>
          <w:tcPr>
            <w:tcW w:w="1020" w:type="dxa"/>
            <w:vAlign w:val="bottom"/>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EBF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Weighted average vTv Therapeutics Inc. Class A common stock, basic and diluted </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4,141,492</w:t>
            </w:r>
          </w:p>
        </w:tc>
        <w:tc>
          <w:tcPr>
            <w:tcW w:w="100" w:type="dxa"/>
            <w:vAlign w:val="bottom"/>
            <w:tcBorders>
              <w:bottom w:val="single" w:sz="8" w:color="EBF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2,084,973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EBFEFF"/>
            </w:tcBorders>
            <w:shd w:val="clear" w:color="auto" w:fill="EBFEFF"/>
          </w:tcPr>
          <w:p>
            <w:pPr>
              <w:ind w:left="180"/>
              <w:spacing w:after="0" w:line="223" w:lineRule="exact"/>
              <w:rPr>
                <w:sz w:val="20"/>
                <w:szCs w:val="20"/>
                <w:color w:val="auto"/>
              </w:rPr>
            </w:pPr>
            <w:r>
              <w:rPr>
                <w:rFonts w:ascii="Times New Roman" w:cs="Times New Roman" w:eastAsia="Times New Roman" w:hAnsi="Times New Roman"/>
                <w:sz w:val="18"/>
                <w:szCs w:val="18"/>
                <w:color w:val="auto"/>
              </w:rPr>
              <w:t xml:space="preserve">Net loss per share of vTv Therapeutics Inc. Class A common stock, basic and diluted </w:t>
            </w:r>
            <w:r>
              <w:rPr>
                <w:rFonts w:ascii="Times New Roman" w:cs="Times New Roman" w:eastAsia="Times New Roman" w:hAnsi="Times New Roman"/>
                <w:sz w:val="23"/>
                <w:szCs w:val="23"/>
                <w:color w:val="auto"/>
                <w:vertAlign w:val="superscript"/>
              </w:rPr>
              <w:t>(*)</w:t>
            </w:r>
          </w:p>
        </w:tc>
        <w:tc>
          <w:tcPr>
            <w:tcW w:w="1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EBFEFF"/>
            </w:tcBorders>
            <w:shd w:val="clear" w:color="auto" w:fill="EBFEFF"/>
          </w:tcPr>
          <w:p>
            <w:pPr>
              <w:spacing w:after="0"/>
              <w:rPr>
                <w:sz w:val="21"/>
                <w:szCs w:val="21"/>
                <w:color w:val="auto"/>
              </w:rPr>
            </w:pPr>
          </w:p>
        </w:tc>
        <w:tc>
          <w:tcPr>
            <w:tcW w:w="320" w:type="dxa"/>
            <w:vAlign w:val="bottom"/>
            <w:tcBorders>
              <w:bottom w:val="single" w:sz="8" w:color="auto"/>
            </w:tcBorders>
            <w:shd w:val="clear" w:color="auto" w:fill="EBF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8480" w:type="dxa"/>
            <w:vAlign w:val="bottom"/>
            <w:tcBorders>
              <w:top w:val="single" w:sz="8" w:color="EBFEFF"/>
              <w:bottom w:val="single" w:sz="8" w:color="EBF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 Adjusted retroactively for reverse stock split</w:t>
            </w:r>
          </w:p>
        </w:tc>
        <w:tc>
          <w:tcPr>
            <w:tcW w:w="120" w:type="dxa"/>
            <w:vAlign w:val="bottom"/>
            <w:tcBorders>
              <w:top w:val="single" w:sz="8" w:color="EBFEFF"/>
              <w:bottom w:val="single" w:sz="8" w:color="auto"/>
            </w:tcBorders>
          </w:tcPr>
          <w:p>
            <w:pPr>
              <w:spacing w:after="0" w:line="20" w:lineRule="exact"/>
              <w:rPr>
                <w:sz w:val="1"/>
                <w:szCs w:val="1"/>
                <w:color w:val="auto"/>
              </w:rPr>
            </w:pPr>
          </w:p>
        </w:tc>
        <w:tc>
          <w:tcPr>
            <w:tcW w:w="12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20" w:type="dxa"/>
            <w:vAlign w:val="bottom"/>
            <w:tcBorders>
              <w:top w:val="single" w:sz="8" w:color="EBFEFF"/>
              <w:bottom w:val="single" w:sz="8" w:color="auto"/>
            </w:tcBorders>
          </w:tcPr>
          <w:p>
            <w:pPr>
              <w:spacing w:after="0" w:line="20" w:lineRule="exact"/>
              <w:rPr>
                <w:sz w:val="1"/>
                <w:szCs w:val="1"/>
                <w:color w:val="auto"/>
              </w:rPr>
            </w:pPr>
          </w:p>
        </w:tc>
        <w:tc>
          <w:tcPr>
            <w:tcW w:w="102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right="240" w:hanging="469"/>
        <w:spacing w:after="0" w:line="212" w:lineRule="auto"/>
        <w:tabs>
          <w:tab w:leader="none" w:pos="94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shares underlying the pre-funded warrants to purchase shares of the Company’s common stock have been included in the calculation of the weighted-average number of shares outstanding, basic and diluted, for the three months ended March 31, 2024.</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Potentially dilutive securities not included in the calculation of dilutive net loss per share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82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EBF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8200" w:type="dxa"/>
            <w:vAlign w:val="bottom"/>
            <w:shd w:val="clear" w:color="auto" w:fill="EBF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Class B common stock </w:t>
            </w:r>
            <w:r>
              <w:rPr>
                <w:rFonts w:ascii="Times New Roman" w:cs="Times New Roman" w:eastAsia="Times New Roman" w:hAnsi="Times New Roman"/>
                <w:sz w:val="23"/>
                <w:szCs w:val="23"/>
                <w:color w:val="auto"/>
                <w:vertAlign w:val="superscript"/>
              </w:rPr>
              <w:t>(1)(*)</w:t>
            </w:r>
          </w:p>
        </w:tc>
        <w:tc>
          <w:tcPr>
            <w:tcW w:w="1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577,349</w:t>
            </w:r>
          </w:p>
        </w:tc>
        <w:tc>
          <w:tcPr>
            <w:tcW w:w="100" w:type="dxa"/>
            <w:vAlign w:val="bottom"/>
            <w:shd w:val="clear" w:color="auto" w:fill="EBFEFF"/>
          </w:tcPr>
          <w:p>
            <w:pPr>
              <w:spacing w:after="0"/>
              <w:rPr>
                <w:sz w:val="19"/>
                <w:szCs w:val="19"/>
                <w:color w:val="auto"/>
              </w:rPr>
            </w:pPr>
          </w:p>
        </w:tc>
        <w:tc>
          <w:tcPr>
            <w:tcW w:w="146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577,349</w:t>
            </w:r>
          </w:p>
        </w:tc>
      </w:tr>
      <w:tr>
        <w:trPr>
          <w:trHeight w:val="229"/>
        </w:trPr>
        <w:tc>
          <w:tcPr>
            <w:tcW w:w="8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options granted under the Plan </w:t>
            </w:r>
            <w:r>
              <w:rPr>
                <w:rFonts w:ascii="Times New Roman" w:cs="Times New Roman" w:eastAsia="Times New Roman" w:hAnsi="Times New Roman"/>
                <w:sz w:val="23"/>
                <w:szCs w:val="23"/>
                <w:color w:val="auto"/>
                <w:vertAlign w:val="superscript"/>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248,622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227,372</w:t>
            </w:r>
          </w:p>
        </w:tc>
      </w:tr>
      <w:tr>
        <w:trPr>
          <w:trHeight w:val="230"/>
        </w:trPr>
        <w:tc>
          <w:tcPr>
            <w:tcW w:w="8200" w:type="dxa"/>
            <w:vAlign w:val="bottom"/>
            <w:shd w:val="clear" w:color="auto" w:fill="EBF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stock warrants </w:t>
            </w:r>
            <w:r>
              <w:rPr>
                <w:rFonts w:ascii="Times New Roman" w:cs="Times New Roman" w:eastAsia="Times New Roman" w:hAnsi="Times New Roman"/>
                <w:sz w:val="23"/>
                <w:szCs w:val="23"/>
                <w:color w:val="auto"/>
                <w:vertAlign w:val="superscript"/>
              </w:rPr>
              <w:t>(*)</w:t>
            </w:r>
          </w:p>
        </w:tc>
        <w:tc>
          <w:tcPr>
            <w:tcW w:w="1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75,595</w:t>
            </w:r>
          </w:p>
        </w:tc>
        <w:tc>
          <w:tcPr>
            <w:tcW w:w="100" w:type="dxa"/>
            <w:vAlign w:val="bottom"/>
            <w:shd w:val="clear" w:color="auto" w:fill="EBFEFF"/>
          </w:tcPr>
          <w:p>
            <w:pPr>
              <w:spacing w:after="0"/>
              <w:rPr>
                <w:sz w:val="19"/>
                <w:szCs w:val="19"/>
                <w:color w:val="auto"/>
              </w:rPr>
            </w:pPr>
          </w:p>
        </w:tc>
        <w:tc>
          <w:tcPr>
            <w:tcW w:w="146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80,359</w:t>
            </w:r>
          </w:p>
        </w:tc>
      </w:tr>
      <w:tr>
        <w:trPr>
          <w:trHeight w:val="223"/>
        </w:trPr>
        <w:tc>
          <w:tcPr>
            <w:tcW w:w="82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901,566</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885,080</w:t>
            </w:r>
          </w:p>
        </w:tc>
      </w:tr>
      <w:tr>
        <w:trPr>
          <w:trHeight w:val="20"/>
        </w:trPr>
        <w:tc>
          <w:tcPr>
            <w:tcW w:w="820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BF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0"/>
        </w:trPr>
        <w:tc>
          <w:tcPr>
            <w:tcW w:w="820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4"/>
                <w:szCs w:val="14"/>
                <w:color w:val="auto"/>
              </w:rPr>
              <w:t>(*) Adjusted retroactively for reverse stock split</w:t>
            </w:r>
          </w:p>
        </w:tc>
        <w:tc>
          <w:tcPr>
            <w:tcW w:w="1460" w:type="dxa"/>
            <w:vAlign w:val="bottom"/>
            <w:shd w:val="clear" w:color="auto" w:fill="EBFEFF"/>
          </w:tcPr>
          <w:p>
            <w:pPr>
              <w:spacing w:after="0"/>
              <w:rPr>
                <w:sz w:val="14"/>
                <w:szCs w:val="14"/>
                <w:color w:val="auto"/>
              </w:rPr>
            </w:pPr>
          </w:p>
        </w:tc>
        <w:tc>
          <w:tcPr>
            <w:tcW w:w="100" w:type="dxa"/>
            <w:vAlign w:val="bottom"/>
            <w:shd w:val="clear" w:color="auto" w:fill="EBFEFF"/>
          </w:tcPr>
          <w:p>
            <w:pPr>
              <w:spacing w:after="0"/>
              <w:rPr>
                <w:sz w:val="14"/>
                <w:szCs w:val="14"/>
                <w:color w:val="auto"/>
              </w:rPr>
            </w:pPr>
          </w:p>
        </w:tc>
        <w:tc>
          <w:tcPr>
            <w:tcW w:w="1460" w:type="dxa"/>
            <w:vAlign w:val="bottom"/>
            <w:shd w:val="clear" w:color="auto" w:fill="EBFEFF"/>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71" w:lineRule="exact"/>
        <w:rPr>
          <w:sz w:val="20"/>
          <w:szCs w:val="20"/>
          <w:color w:val="auto"/>
        </w:rPr>
      </w:pPr>
    </w:p>
    <w:p>
      <w:pPr>
        <w:jc w:val="both"/>
        <w:ind w:left="940" w:right="220" w:hanging="469"/>
        <w:spacing w:after="0" w:line="223" w:lineRule="auto"/>
        <w:tabs>
          <w:tab w:leader="none" w:pos="9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Financial Instruments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 of certain of the Company’s financial instruments, including cash and cash equivalents, net accounts receivable, note receivable, accounts payable and other accrued liabilities approximate fair value due to their short-term nature.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measures the value of its equity investments without readily determinable fair values at cost minus impairment, if any, plus or minus changes resulting from observable price changes in orderly transactions for the identical or similar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March 31, 2024 and December 31, 2023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1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5300" w:type="dxa"/>
            <w:vAlign w:val="bottom"/>
          </w:tcPr>
          <w:p>
            <w:pPr>
              <w:spacing w:after="0"/>
              <w:rPr>
                <w:sz w:val="12"/>
                <w:szCs w:val="12"/>
                <w:color w:val="auto"/>
              </w:rPr>
            </w:pPr>
          </w:p>
        </w:tc>
        <w:tc>
          <w:tcPr>
            <w:tcW w:w="1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5"/>
        </w:trPr>
        <w:tc>
          <w:tcPr>
            <w:tcW w:w="5300" w:type="dxa"/>
            <w:vAlign w:val="bottom"/>
            <w:tcBorders>
              <w:top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shd w:val="clear" w:color="auto" w:fill="EBFEFF"/>
          </w:tcPr>
          <w:p>
            <w:pPr>
              <w:spacing w:after="0"/>
              <w:rPr>
                <w:sz w:val="18"/>
                <w:szCs w:val="18"/>
                <w:color w:val="auto"/>
              </w:rPr>
            </w:pPr>
          </w:p>
        </w:tc>
        <w:tc>
          <w:tcPr>
            <w:tcW w:w="10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20" w:type="dxa"/>
            <w:vAlign w:val="bottom"/>
            <w:tcBorders>
              <w:top w:val="single" w:sz="8" w:color="auto"/>
            </w:tcBorders>
            <w:shd w:val="clear" w:color="auto" w:fill="EBFEFF"/>
          </w:tcPr>
          <w:p>
            <w:pPr>
              <w:spacing w:after="0"/>
              <w:rPr>
                <w:sz w:val="18"/>
                <w:szCs w:val="18"/>
                <w:color w:val="auto"/>
              </w:rPr>
            </w:pPr>
          </w:p>
        </w:tc>
        <w:tc>
          <w:tcPr>
            <w:tcW w:w="14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80" w:type="dxa"/>
            <w:vAlign w:val="bottom"/>
            <w:tcBorders>
              <w:top w:val="single" w:sz="8" w:color="auto"/>
            </w:tcBorders>
            <w:shd w:val="clear" w:color="auto" w:fill="EBFEFF"/>
          </w:tcPr>
          <w:p>
            <w:pPr>
              <w:spacing w:after="0"/>
              <w:rPr>
                <w:sz w:val="18"/>
                <w:szCs w:val="18"/>
                <w:color w:val="auto"/>
              </w:rPr>
            </w:pPr>
          </w:p>
        </w:tc>
        <w:tc>
          <w:tcPr>
            <w:tcW w:w="136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20" w:type="dxa"/>
            <w:vAlign w:val="bottom"/>
            <w:tcBorders>
              <w:top w:val="single" w:sz="8" w:color="auto"/>
            </w:tcBorders>
            <w:shd w:val="clear" w:color="auto" w:fill="EBFEFF"/>
          </w:tcPr>
          <w:p>
            <w:pPr>
              <w:spacing w:after="0"/>
              <w:rPr>
                <w:sz w:val="18"/>
                <w:szCs w:val="18"/>
                <w:color w:val="auto"/>
              </w:rPr>
            </w:pPr>
          </w:p>
        </w:tc>
        <w:tc>
          <w:tcPr>
            <w:tcW w:w="112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jc w:val="right"/>
              <w:ind w:right="263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48"/>
        </w:trPr>
        <w:tc>
          <w:tcPr>
            <w:tcW w:w="5300" w:type="dxa"/>
            <w:vAlign w:val="bottom"/>
            <w:tcBorders>
              <w:top w:val="single" w:sz="8" w:color="EBFEFF"/>
              <w:bottom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BF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BF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53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0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540" w:type="dxa"/>
            <w:vAlign w:val="bottom"/>
            <w:tcBorders>
              <w:top w:val="single" w:sz="8" w:color="EBFEFF"/>
              <w:bottom w:val="single" w:sz="8" w:color="auto"/>
            </w:tcBorders>
            <w:gridSpan w:val="2"/>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3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24"/>
                <w:szCs w:val="24"/>
                <w:color w:val="auto"/>
              </w:rPr>
            </w:pPr>
          </w:p>
        </w:tc>
        <w:tc>
          <w:tcPr>
            <w:tcW w:w="11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2"/>
                <w:szCs w:val="12"/>
                <w:color w:val="auto"/>
              </w:rPr>
            </w:pPr>
          </w:p>
        </w:tc>
        <w:tc>
          <w:tcPr>
            <w:tcW w:w="15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530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5300" w:type="dxa"/>
            <w:vAlign w:val="bottom"/>
            <w:tcBorders>
              <w:top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auto"/>
            </w:tcBorders>
            <w:shd w:val="clear" w:color="auto" w:fill="EBFEFF"/>
          </w:tcPr>
          <w:p>
            <w:pPr>
              <w:spacing w:after="0"/>
              <w:rPr>
                <w:sz w:val="18"/>
                <w:szCs w:val="18"/>
                <w:color w:val="auto"/>
              </w:rPr>
            </w:pPr>
          </w:p>
        </w:tc>
        <w:tc>
          <w:tcPr>
            <w:tcW w:w="10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20" w:type="dxa"/>
            <w:vAlign w:val="bottom"/>
            <w:tcBorders>
              <w:top w:val="single" w:sz="8" w:color="auto"/>
            </w:tcBorders>
            <w:shd w:val="clear" w:color="auto" w:fill="EBFEFF"/>
          </w:tcPr>
          <w:p>
            <w:pPr>
              <w:spacing w:after="0"/>
              <w:rPr>
                <w:sz w:val="18"/>
                <w:szCs w:val="18"/>
                <w:color w:val="auto"/>
              </w:rPr>
            </w:pPr>
          </w:p>
        </w:tc>
        <w:tc>
          <w:tcPr>
            <w:tcW w:w="142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80" w:type="dxa"/>
            <w:vAlign w:val="bottom"/>
            <w:tcBorders>
              <w:top w:val="single" w:sz="8" w:color="auto"/>
            </w:tcBorders>
            <w:shd w:val="clear" w:color="auto" w:fill="EBFEFF"/>
          </w:tcPr>
          <w:p>
            <w:pPr>
              <w:spacing w:after="0"/>
              <w:rPr>
                <w:sz w:val="18"/>
                <w:szCs w:val="18"/>
                <w:color w:val="auto"/>
              </w:rPr>
            </w:pPr>
          </w:p>
        </w:tc>
        <w:tc>
          <w:tcPr>
            <w:tcW w:w="136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20" w:type="dxa"/>
            <w:vAlign w:val="bottom"/>
            <w:tcBorders>
              <w:top w:val="single" w:sz="8" w:color="auto"/>
            </w:tcBorders>
            <w:shd w:val="clear" w:color="auto" w:fill="EBFEFF"/>
          </w:tcPr>
          <w:p>
            <w:pPr>
              <w:spacing w:after="0"/>
              <w:rPr>
                <w:sz w:val="18"/>
                <w:szCs w:val="18"/>
                <w:color w:val="auto"/>
              </w:rPr>
            </w:pPr>
          </w:p>
        </w:tc>
        <w:tc>
          <w:tcPr>
            <w:tcW w:w="112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jc w:val="right"/>
              <w:ind w:right="2630"/>
              <w:spacing w:after="0" w:line="230" w:lineRule="exact"/>
              <w:rPr>
                <w:sz w:val="20"/>
                <w:szCs w:val="20"/>
                <w:color w:val="auto"/>
              </w:rPr>
            </w:pPr>
            <w:r>
              <w:rPr>
                <w:rFonts w:ascii="Times New Roman" w:cs="Times New Roman" w:eastAsia="Times New Roman" w:hAnsi="Times New Roman"/>
                <w:sz w:val="18"/>
                <w:szCs w:val="18"/>
                <w:color w:val="auto"/>
              </w:rPr>
              <w:t xml:space="preserve">Warrant liability, related party </w:t>
            </w:r>
            <w:r>
              <w:rPr>
                <w:rFonts w:ascii="Times New Roman" w:cs="Times New Roman" w:eastAsia="Times New Roman" w:hAnsi="Times New Roman"/>
                <w:sz w:val="23"/>
                <w:szCs w:val="23"/>
                <w:color w:val="auto"/>
                <w:vertAlign w:val="superscript"/>
              </w:rPr>
              <w:t>(1)</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8"/>
        </w:trPr>
        <w:tc>
          <w:tcPr>
            <w:tcW w:w="5300" w:type="dxa"/>
            <w:vAlign w:val="bottom"/>
            <w:tcBorders>
              <w:top w:val="single" w:sz="8" w:color="EBFEFF"/>
              <w:bottom w:val="single" w:sz="8" w:color="EBFEFF"/>
            </w:tcBorders>
            <w:shd w:val="clear" w:color="auto" w:fill="EBFEFF"/>
          </w:tcPr>
          <w:p>
            <w:pPr>
              <w:jc w:val="right"/>
              <w:ind w:right="4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BF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BF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20" w:type="dxa"/>
            <w:vAlign w:val="bottom"/>
            <w:tcBorders>
              <w:top w:val="single" w:sz="8" w:color="auto"/>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53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0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20" w:type="dxa"/>
            <w:vAlign w:val="bottom"/>
            <w:tcBorders>
              <w:top w:val="single" w:sz="8" w:color="EBFEFF"/>
              <w:bottom w:val="single" w:sz="8" w:color="auto"/>
            </w:tcBorders>
          </w:tcPr>
          <w:p>
            <w:pPr>
              <w:spacing w:after="0" w:line="20" w:lineRule="exact"/>
              <w:rPr>
                <w:sz w:val="1"/>
                <w:szCs w:val="1"/>
                <w:color w:val="auto"/>
              </w:rPr>
            </w:pPr>
          </w:p>
        </w:tc>
        <w:tc>
          <w:tcPr>
            <w:tcW w:w="142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36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0" w:right="240" w:hanging="534"/>
        <w:spacing w:after="0" w:line="212" w:lineRule="auto"/>
        <w:tabs>
          <w:tab w:leader="none" w:pos="5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Fair value determined using the Black-Scholes option pricing model. Expected volatility is based on the historical volatility of the Company’s common stock over the most recent period. The risk-free rate is based on the U.S. Treasury yield curve in effect at the time of valuation.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2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Changes in Level 3 instruments for the three months ended March 31,</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Net Change in</w:t>
            </w:r>
          </w:p>
        </w:tc>
        <w:tc>
          <w:tcPr>
            <w:tcW w:w="220" w:type="dxa"/>
            <w:vAlign w:val="bottom"/>
          </w:tcPr>
          <w:p>
            <w:pPr>
              <w:spacing w:after="0"/>
              <w:rPr>
                <w:sz w:val="11"/>
                <w:szCs w:val="11"/>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 /</w:t>
            </w:r>
          </w:p>
        </w:tc>
        <w:tc>
          <w:tcPr>
            <w:tcW w:w="20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Sales /</w:t>
            </w: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5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included in</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5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Borders>
              <w:top w:val="single" w:sz="8" w:color="EBFEFF"/>
            </w:tcBorders>
            <w:shd w:val="clear" w:color="auto" w:fill="EBFEFF"/>
          </w:tcPr>
          <w:p>
            <w:pPr>
              <w:jc w:val="right"/>
              <w:ind w:right="29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0" w:type="dxa"/>
            <w:vAlign w:val="bottom"/>
            <w:tcBorders>
              <w:top w:val="single" w:sz="8" w:color="auto"/>
            </w:tcBorders>
            <w:shd w:val="clear" w:color="auto" w:fill="EBFEFF"/>
          </w:tcPr>
          <w:p>
            <w:pPr>
              <w:spacing w:after="0"/>
              <w:rPr>
                <w:sz w:val="18"/>
                <w:szCs w:val="18"/>
                <w:color w:val="auto"/>
              </w:rPr>
            </w:pPr>
          </w:p>
        </w:tc>
        <w:tc>
          <w:tcPr>
            <w:tcW w:w="84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60" w:type="dxa"/>
            <w:vAlign w:val="bottom"/>
            <w:tcBorders>
              <w:top w:val="single" w:sz="8" w:color="auto"/>
            </w:tcBorders>
            <w:shd w:val="clear" w:color="auto" w:fill="EBFEFF"/>
          </w:tcPr>
          <w:p>
            <w:pPr>
              <w:spacing w:after="0"/>
              <w:rPr>
                <w:sz w:val="18"/>
                <w:szCs w:val="18"/>
                <w:color w:val="auto"/>
              </w:rPr>
            </w:pPr>
          </w:p>
        </w:tc>
        <w:tc>
          <w:tcPr>
            <w:tcW w:w="128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20" w:type="dxa"/>
            <w:vAlign w:val="bottom"/>
            <w:tcBorders>
              <w:top w:val="single" w:sz="8" w:color="auto"/>
            </w:tcBorders>
            <w:shd w:val="clear" w:color="auto" w:fill="EBFEFF"/>
          </w:tcPr>
          <w:p>
            <w:pPr>
              <w:spacing w:after="0"/>
              <w:rPr>
                <w:sz w:val="18"/>
                <w:szCs w:val="18"/>
                <w:color w:val="auto"/>
              </w:rPr>
            </w:pPr>
          </w:p>
        </w:tc>
        <w:tc>
          <w:tcPr>
            <w:tcW w:w="110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200" w:type="dxa"/>
            <w:vAlign w:val="bottom"/>
            <w:tcBorders>
              <w:top w:val="single" w:sz="8" w:color="auto"/>
            </w:tcBorders>
            <w:shd w:val="clear" w:color="auto" w:fill="EBFEFF"/>
          </w:tcPr>
          <w:p>
            <w:pPr>
              <w:spacing w:after="0"/>
              <w:rPr>
                <w:sz w:val="18"/>
                <w:szCs w:val="18"/>
                <w:color w:val="auto"/>
              </w:rPr>
            </w:pPr>
          </w:p>
        </w:tc>
        <w:tc>
          <w:tcPr>
            <w:tcW w:w="1140" w:type="dxa"/>
            <w:vAlign w:val="bottom"/>
            <w:tcBorders>
              <w:top w:val="single" w:sz="8" w:color="auto"/>
            </w:tcBorders>
            <w:shd w:val="clear" w:color="auto" w:fill="EBFEFF"/>
          </w:tcPr>
          <w:p>
            <w:pPr>
              <w:spacing w:after="0"/>
              <w:rPr>
                <w:sz w:val="18"/>
                <w:szCs w:val="18"/>
                <w:color w:val="auto"/>
              </w:rPr>
            </w:pPr>
          </w:p>
        </w:tc>
        <w:tc>
          <w:tcPr>
            <w:tcW w:w="100" w:type="dxa"/>
            <w:vAlign w:val="bottom"/>
            <w:tcBorders>
              <w:top w:val="single" w:sz="8" w:color="EBFEFF"/>
            </w:tcBorders>
            <w:shd w:val="clear" w:color="auto" w:fill="EBFEFF"/>
          </w:tcPr>
          <w:p>
            <w:pPr>
              <w:spacing w:after="0"/>
              <w:rPr>
                <w:sz w:val="18"/>
                <w:szCs w:val="18"/>
                <w:color w:val="auto"/>
              </w:rPr>
            </w:pPr>
          </w:p>
        </w:tc>
        <w:tc>
          <w:tcPr>
            <w:tcW w:w="180" w:type="dxa"/>
            <w:vAlign w:val="bottom"/>
            <w:tcBorders>
              <w:top w:val="single" w:sz="8" w:color="auto"/>
            </w:tcBorders>
            <w:shd w:val="clear" w:color="auto" w:fill="EBFEFF"/>
          </w:tcPr>
          <w:p>
            <w:pPr>
              <w:spacing w:after="0"/>
              <w:rPr>
                <w:sz w:val="18"/>
                <w:szCs w:val="18"/>
                <w:color w:val="auto"/>
              </w:rPr>
            </w:pPr>
          </w:p>
        </w:tc>
        <w:tc>
          <w:tcPr>
            <w:tcW w:w="1660" w:type="dxa"/>
            <w:vAlign w:val="bottom"/>
            <w:tcBorders>
              <w:top w:val="single" w:sz="8" w:color="auto"/>
            </w:tcBorders>
            <w:shd w:val="clear" w:color="auto" w:fill="EBF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48"/>
        </w:trPr>
        <w:tc>
          <w:tcPr>
            <w:tcW w:w="3460" w:type="dxa"/>
            <w:vAlign w:val="bottom"/>
            <w:tcBorders>
              <w:top w:val="single" w:sz="8" w:color="EBFEFF"/>
              <w:bottom w:val="single" w:sz="8" w:color="EBFEFF"/>
            </w:tcBorders>
            <w:shd w:val="clear" w:color="auto" w:fill="EBFEFF"/>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shd w:val="clear" w:color="auto" w:fill="EBF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2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EBF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BF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3460" w:type="dxa"/>
            <w:vAlign w:val="bottom"/>
            <w:tcBorders>
              <w:top w:val="single" w:sz="8" w:color="EBFEFF"/>
            </w:tcBorders>
          </w:tcPr>
          <w:p>
            <w:pPr>
              <w:spacing w:after="0" w:line="20" w:lineRule="exact"/>
              <w:rPr>
                <w:sz w:val="1"/>
                <w:szCs w:val="1"/>
                <w:color w:val="auto"/>
              </w:rPr>
            </w:pPr>
          </w:p>
        </w:tc>
        <w:tc>
          <w:tcPr>
            <w:tcW w:w="600" w:type="dxa"/>
            <w:vAlign w:val="bottom"/>
            <w:tcBorders>
              <w:top w:val="single" w:sz="8" w:color="EBFEFF"/>
              <w:bottom w:val="single" w:sz="8" w:color="auto"/>
            </w:tcBorders>
          </w:tcPr>
          <w:p>
            <w:pPr>
              <w:spacing w:after="0" w:line="20" w:lineRule="exact"/>
              <w:rPr>
                <w:sz w:val="1"/>
                <w:szCs w:val="1"/>
                <w:color w:val="auto"/>
              </w:rPr>
            </w:pPr>
          </w:p>
        </w:tc>
        <w:tc>
          <w:tcPr>
            <w:tcW w:w="8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60" w:type="dxa"/>
            <w:vAlign w:val="bottom"/>
            <w:tcBorders>
              <w:top w:val="single" w:sz="8" w:color="EBFEFF"/>
              <w:bottom w:val="single" w:sz="8" w:color="auto"/>
            </w:tcBorders>
          </w:tcPr>
          <w:p>
            <w:pPr>
              <w:spacing w:after="0" w:line="20" w:lineRule="exact"/>
              <w:rPr>
                <w:sz w:val="1"/>
                <w:szCs w:val="1"/>
                <w:color w:val="auto"/>
              </w:rPr>
            </w:pPr>
          </w:p>
        </w:tc>
        <w:tc>
          <w:tcPr>
            <w:tcW w:w="12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66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EBFEFF"/>
          </w:tcPr>
          <w:p>
            <w:pPr>
              <w:jc w:val="right"/>
              <w:ind w:right="29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0" w:type="dxa"/>
            <w:vAlign w:val="bottom"/>
            <w:shd w:val="clear" w:color="auto" w:fill="EBFEFF"/>
          </w:tcPr>
          <w:p>
            <w:pPr>
              <w:spacing w:after="0"/>
              <w:rPr>
                <w:sz w:val="19"/>
                <w:szCs w:val="19"/>
                <w:color w:val="auto"/>
              </w:rPr>
            </w:pPr>
          </w:p>
        </w:tc>
        <w:tc>
          <w:tcPr>
            <w:tcW w:w="8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160" w:type="dxa"/>
            <w:vAlign w:val="bottom"/>
            <w:shd w:val="clear" w:color="auto" w:fill="EBFEFF"/>
          </w:tcPr>
          <w:p>
            <w:pPr>
              <w:spacing w:after="0"/>
              <w:rPr>
                <w:sz w:val="19"/>
                <w:szCs w:val="19"/>
                <w:color w:val="auto"/>
              </w:rPr>
            </w:pPr>
          </w:p>
        </w:tc>
        <w:tc>
          <w:tcPr>
            <w:tcW w:w="128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20" w:type="dxa"/>
            <w:vAlign w:val="bottom"/>
            <w:shd w:val="clear" w:color="auto" w:fill="EBFEFF"/>
          </w:tcPr>
          <w:p>
            <w:pPr>
              <w:spacing w:after="0"/>
              <w:rPr>
                <w:sz w:val="19"/>
                <w:szCs w:val="19"/>
                <w:color w:val="auto"/>
              </w:rPr>
            </w:pPr>
          </w:p>
        </w:tc>
        <w:tc>
          <w:tcPr>
            <w:tcW w:w="110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200" w:type="dxa"/>
            <w:vAlign w:val="bottom"/>
            <w:shd w:val="clear" w:color="auto" w:fill="EBFEFF"/>
          </w:tcPr>
          <w:p>
            <w:pPr>
              <w:spacing w:after="0"/>
              <w:rPr>
                <w:sz w:val="19"/>
                <w:szCs w:val="19"/>
                <w:color w:val="auto"/>
              </w:rPr>
            </w:pPr>
          </w:p>
        </w:tc>
        <w:tc>
          <w:tcPr>
            <w:tcW w:w="114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180" w:type="dxa"/>
            <w:vAlign w:val="bottom"/>
            <w:shd w:val="clear" w:color="auto" w:fill="EBFEFF"/>
          </w:tcPr>
          <w:p>
            <w:pPr>
              <w:spacing w:after="0"/>
              <w:rPr>
                <w:sz w:val="19"/>
                <w:szCs w:val="19"/>
                <w:color w:val="auto"/>
              </w:rPr>
            </w:pPr>
          </w:p>
        </w:tc>
        <w:tc>
          <w:tcPr>
            <w:tcW w:w="1660" w:type="dxa"/>
            <w:vAlign w:val="bottom"/>
            <w:shd w:val="clear" w:color="auto" w:fill="EBF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Warrant liability, related party</w:t>
            </w:r>
          </w:p>
        </w:tc>
        <w:tc>
          <w:tcPr>
            <w:tcW w:w="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48"/>
        </w:trPr>
        <w:tc>
          <w:tcPr>
            <w:tcW w:w="3460" w:type="dxa"/>
            <w:vAlign w:val="bottom"/>
            <w:tcBorders>
              <w:top w:val="single" w:sz="8" w:color="EBFEFF"/>
              <w:bottom w:val="single" w:sz="8" w:color="EBFEFF"/>
            </w:tcBorders>
            <w:shd w:val="clear" w:color="auto" w:fill="EBFEFF"/>
          </w:tcPr>
          <w:p>
            <w:pPr>
              <w:jc w:val="right"/>
              <w:ind w:right="2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shd w:val="clear" w:color="auto" w:fill="EBF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2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EBF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200" w:type="dxa"/>
            <w:vAlign w:val="bottom"/>
            <w:tcBorders>
              <w:top w:val="single" w:sz="8" w:color="auto"/>
              <w:bottom w:val="single" w:sz="8" w:color="auto"/>
            </w:tcBorders>
            <w:shd w:val="clear" w:color="auto" w:fill="EBF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BF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BFEFF"/>
              <w:bottom w:val="single" w:sz="8" w:color="EBFEFF"/>
            </w:tcBorders>
            <w:shd w:val="clear" w:color="auto" w:fill="EBFEFF"/>
          </w:tcPr>
          <w:p>
            <w:pPr>
              <w:spacing w:after="0"/>
              <w:rPr>
                <w:sz w:val="21"/>
                <w:szCs w:val="21"/>
                <w:color w:val="auto"/>
              </w:rPr>
            </w:pPr>
          </w:p>
        </w:tc>
        <w:tc>
          <w:tcPr>
            <w:tcW w:w="18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0"/>
        </w:trPr>
        <w:tc>
          <w:tcPr>
            <w:tcW w:w="3460" w:type="dxa"/>
            <w:vAlign w:val="bottom"/>
            <w:tcBorders>
              <w:top w:val="single" w:sz="8" w:color="EBFEFF"/>
            </w:tcBorders>
          </w:tcPr>
          <w:p>
            <w:pPr>
              <w:spacing w:after="0" w:line="20" w:lineRule="exact"/>
              <w:rPr>
                <w:sz w:val="1"/>
                <w:szCs w:val="1"/>
                <w:color w:val="auto"/>
              </w:rPr>
            </w:pPr>
          </w:p>
        </w:tc>
        <w:tc>
          <w:tcPr>
            <w:tcW w:w="600" w:type="dxa"/>
            <w:vAlign w:val="bottom"/>
            <w:tcBorders>
              <w:top w:val="single" w:sz="8" w:color="EBFEFF"/>
              <w:bottom w:val="single" w:sz="8" w:color="auto"/>
            </w:tcBorders>
          </w:tcPr>
          <w:p>
            <w:pPr>
              <w:spacing w:after="0" w:line="20" w:lineRule="exact"/>
              <w:rPr>
                <w:sz w:val="1"/>
                <w:szCs w:val="1"/>
                <w:color w:val="auto"/>
              </w:rPr>
            </w:pPr>
          </w:p>
        </w:tc>
        <w:tc>
          <w:tcPr>
            <w:tcW w:w="8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60" w:type="dxa"/>
            <w:vAlign w:val="bottom"/>
            <w:tcBorders>
              <w:top w:val="single" w:sz="8" w:color="EBFEFF"/>
              <w:bottom w:val="single" w:sz="8" w:color="auto"/>
            </w:tcBorders>
          </w:tcPr>
          <w:p>
            <w:pPr>
              <w:spacing w:after="0" w:line="20" w:lineRule="exact"/>
              <w:rPr>
                <w:sz w:val="1"/>
                <w:szCs w:val="1"/>
                <w:color w:val="auto"/>
              </w:rPr>
            </w:pPr>
          </w:p>
        </w:tc>
        <w:tc>
          <w:tcPr>
            <w:tcW w:w="12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20" w:type="dxa"/>
            <w:vAlign w:val="bottom"/>
            <w:tcBorders>
              <w:top w:val="single" w:sz="8" w:color="EBFEFF"/>
              <w:bottom w:val="single" w:sz="8" w:color="auto"/>
            </w:tcBorders>
          </w:tcPr>
          <w:p>
            <w:pPr>
              <w:spacing w:after="0" w:line="20" w:lineRule="exact"/>
              <w:rPr>
                <w:sz w:val="1"/>
                <w:szCs w:val="1"/>
                <w:color w:val="auto"/>
              </w:rPr>
            </w:pPr>
          </w:p>
        </w:tc>
        <w:tc>
          <w:tcPr>
            <w:tcW w:w="110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200" w:type="dxa"/>
            <w:vAlign w:val="bottom"/>
            <w:tcBorders>
              <w:top w:val="single" w:sz="8" w:color="EBFEFF"/>
              <w:bottom w:val="single" w:sz="8" w:color="auto"/>
            </w:tcBorders>
          </w:tcPr>
          <w:p>
            <w:pPr>
              <w:spacing w:after="0" w:line="20" w:lineRule="exact"/>
              <w:rPr>
                <w:sz w:val="1"/>
                <w:szCs w:val="1"/>
                <w:color w:val="auto"/>
              </w:rPr>
            </w:pPr>
          </w:p>
        </w:tc>
        <w:tc>
          <w:tcPr>
            <w:tcW w:w="114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180" w:type="dxa"/>
            <w:vAlign w:val="bottom"/>
            <w:tcBorders>
              <w:top w:val="single" w:sz="8" w:color="EBFEFF"/>
              <w:bottom w:val="single" w:sz="8" w:color="auto"/>
            </w:tcBorders>
          </w:tcPr>
          <w:p>
            <w:pPr>
              <w:spacing w:after="0" w:line="20" w:lineRule="exact"/>
              <w:rPr>
                <w:sz w:val="1"/>
                <w:szCs w:val="1"/>
                <w:color w:val="auto"/>
              </w:rPr>
            </w:pPr>
          </w:p>
        </w:tc>
        <w:tc>
          <w:tcPr>
            <w:tcW w:w="1660" w:type="dxa"/>
            <w:vAlign w:val="bottom"/>
            <w:tcBorders>
              <w:top w:val="single" w:sz="8" w:color="EBF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transfers into or out of level 3 instruments and/or between level 1 and level 2 instruments during the three months ended March 31, 2024. Gains and losses recognized due to the change in fair value of the warrant liability, related party are recognized as a component of other expense, related party in the Company’s Condensed Consolidated Statements of Operations.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the Letter Agreement Warrants was determined using the Black-Scholes option pricing model or option pricing models based on the Company’s current capitalization. Expected volatility is based on the historical volatility of the Company’s common stock over the most recent period. The risk-free rate is based on the U.S. Treasury yield curve in effect at the time of valuation. Significant inputs utilized in the valuation of the Letter Agreement Warrants as of March 31, 2024 and December 31, 2023, were: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860" w:type="dxa"/>
            <w:vAlign w:val="bottom"/>
            <w:gridSpan w:val="3"/>
          </w:tcPr>
          <w:p>
            <w:pPr>
              <w:ind w:left="1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900" w:type="dxa"/>
            <w:vAlign w:val="bottom"/>
          </w:tcPr>
          <w:p>
            <w:pPr>
              <w:spacing w:after="0"/>
              <w:rPr>
                <w:sz w:val="16"/>
                <w:szCs w:val="16"/>
                <w:color w:val="auto"/>
              </w:rPr>
            </w:pPr>
          </w:p>
        </w:tc>
        <w:tc>
          <w:tcPr>
            <w:tcW w:w="28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35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19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r>
      <w:tr>
        <w:trPr>
          <w:trHeight w:val="190"/>
        </w:trPr>
        <w:tc>
          <w:tcPr>
            <w:tcW w:w="3540" w:type="dxa"/>
            <w:vAlign w:val="bottom"/>
            <w:tcBorders>
              <w:bottom w:val="single" w:sz="8" w:color="EBFEFF"/>
            </w:tcBorders>
          </w:tcPr>
          <w:p>
            <w:pPr>
              <w:spacing w:after="0"/>
              <w:rPr>
                <w:sz w:val="16"/>
                <w:szCs w:val="16"/>
                <w:color w:val="auto"/>
              </w:rPr>
            </w:pPr>
          </w:p>
        </w:tc>
        <w:tc>
          <w:tcPr>
            <w:tcW w:w="1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Borders>
              <w:bottom w:val="single" w:sz="8" w:color="EBFEFF"/>
            </w:tcBorders>
          </w:tcPr>
          <w:p>
            <w:pPr>
              <w:spacing w:after="0"/>
              <w:rPr>
                <w:sz w:val="16"/>
                <w:szCs w:val="16"/>
                <w:color w:val="auto"/>
              </w:rPr>
            </w:pPr>
          </w:p>
        </w:tc>
        <w:tc>
          <w:tcPr>
            <w:tcW w:w="19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8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229"/>
        </w:trPr>
        <w:tc>
          <w:tcPr>
            <w:tcW w:w="354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940" w:type="dxa"/>
            <w:vAlign w:val="bottom"/>
            <w:shd w:val="clear" w:color="auto" w:fill="EBFEFF"/>
          </w:tcPr>
          <w:p>
            <w:pPr>
              <w:jc w:val="right"/>
              <w:ind w:right="239"/>
              <w:spacing w:after="0"/>
              <w:rPr>
                <w:sz w:val="20"/>
                <w:szCs w:val="20"/>
                <w:color w:val="auto"/>
              </w:rPr>
            </w:pPr>
            <w:r>
              <w:rPr>
                <w:rFonts w:ascii="Times New Roman" w:cs="Times New Roman" w:eastAsia="Times New Roman" w:hAnsi="Times New Roman"/>
                <w:sz w:val="18"/>
                <w:szCs w:val="18"/>
                <w:color w:val="auto"/>
              </w:rPr>
              <w:t>93.31% - 142.10%</w:t>
            </w:r>
          </w:p>
        </w:tc>
        <w:tc>
          <w:tcPr>
            <w:tcW w:w="1840" w:type="dxa"/>
            <w:vAlign w:val="bottom"/>
            <w:shd w:val="clear" w:color="auto" w:fill="EBFEFF"/>
          </w:tcPr>
          <w:p>
            <w:pPr>
              <w:jc w:val="right"/>
              <w:ind w:right="556"/>
              <w:spacing w:after="0"/>
              <w:rPr>
                <w:sz w:val="20"/>
                <w:szCs w:val="20"/>
                <w:color w:val="auto"/>
              </w:rPr>
            </w:pPr>
            <w:r>
              <w:rPr>
                <w:rFonts w:ascii="Times New Roman" w:cs="Times New Roman" w:eastAsia="Times New Roman" w:hAnsi="Times New Roman"/>
                <w:sz w:val="18"/>
                <w:szCs w:val="18"/>
                <w:color w:val="auto"/>
              </w:rPr>
              <w:t>101.45%</w:t>
            </w:r>
          </w:p>
        </w:tc>
        <w:tc>
          <w:tcPr>
            <w:tcW w:w="80" w:type="dxa"/>
            <w:vAlign w:val="bottom"/>
            <w:shd w:val="clear" w:color="auto" w:fill="EBFEFF"/>
          </w:tcPr>
          <w:p>
            <w:pPr>
              <w:spacing w:after="0"/>
              <w:rPr>
                <w:sz w:val="19"/>
                <w:szCs w:val="19"/>
                <w:color w:val="auto"/>
              </w:rPr>
            </w:pPr>
          </w:p>
        </w:tc>
        <w:tc>
          <w:tcPr>
            <w:tcW w:w="9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- 89.61%</w:t>
            </w:r>
          </w:p>
        </w:tc>
        <w:tc>
          <w:tcPr>
            <w:tcW w:w="1840" w:type="dxa"/>
            <w:vAlign w:val="bottom"/>
            <w:shd w:val="clear" w:color="auto" w:fill="EBFEFF"/>
          </w:tcPr>
          <w:p>
            <w:pPr>
              <w:jc w:val="right"/>
              <w:ind w:right="576"/>
              <w:spacing w:after="0"/>
              <w:rPr>
                <w:sz w:val="20"/>
                <w:szCs w:val="20"/>
                <w:color w:val="auto"/>
              </w:rPr>
            </w:pPr>
            <w:r>
              <w:rPr>
                <w:rFonts w:ascii="Times New Roman" w:cs="Times New Roman" w:eastAsia="Times New Roman" w:hAnsi="Times New Roman"/>
                <w:sz w:val="18"/>
                <w:szCs w:val="18"/>
                <w:color w:val="auto"/>
              </w:rPr>
              <w:t>81.55%</w:t>
            </w:r>
          </w:p>
        </w:tc>
      </w:tr>
      <w:tr>
        <w:trPr>
          <w:trHeight w:val="234"/>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94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4.45% - 5.25%</w:t>
            </w:r>
          </w:p>
        </w:tc>
        <w:tc>
          <w:tcPr>
            <w:tcW w:w="184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- 4.87%</w:t>
            </w:r>
          </w:p>
        </w:tc>
        <w:tc>
          <w:tcPr>
            <w:tcW w:w="184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4.15%</w:t>
            </w: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CinRx Warrants was determined using the Black-Scholes option pricing model. Expected volatility is based on the historical volatility of the Company’s common stock over the most recent period. The risk-free rate is based on the U.S. Treasury yield curve in effect at the time of valuation. Significant inputs utilized in the valuation of the CinRx Warrants as of March 31, 2024, were: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54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4"/>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Changes in the unobservable inputs noted above would impact the amount of the liability for the Letter Agreement Warrants and CinRx Warrants. Increases (decreases) in the estimates of the Company’s annual volatility would increase (decrease) the liability and an increase (decrease) in the annual risk-free rate would increase (decrease) the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May 9, 2024 and determined that there have been no events that have occurred that would require adjustments to our disclosures or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are a clinical stage pharmaceutical company focused on treating metabolic and inflammatory diseases to minimize their long-term complications and improve the lives of patients. We have an innovative pipeline of first-in-class small molecule clinical and preclinical drug candidates. Our lead program is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TTP399)</w:t>
      </w:r>
      <w:r>
        <w:rPr>
          <w:rFonts w:ascii="Times New Roman" w:cs="Times New Roman" w:eastAsia="Times New Roman" w:hAnsi="Times New Roman"/>
          <w:sz w:val="18"/>
          <w:szCs w:val="18"/>
          <w:color w:val="auto"/>
        </w:rPr>
        <w:t>, an orally administered, small molecule, liver-selective glucokinase activator (“GKA”) as an adjunctive therapy to insulin for the treatment of type 1 diabetes (“T1D”).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 Class A Common Shares and Pre-Funded Warrants</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(the “TD Cowen ATM Offering”). Pursuant to General Instruction I.B.6 of Form S-3, in no event will we sell securities registered on the registration statement relating to the TD Cowen ATM Offering with a value exceeding more than one-third of our public float in any 12-month period so long as our public float remains below $75.0 million. Under the terms of the TD Cowen Sales Agreement, we will pay TD Cowen a commission of 3% of the aggregate proceeds from the sale of shares and reimburse certain legal fees or other disbursements.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drug candidates, their partnership status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837555" cy="2768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3755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Type 1 Diabetes Program – </w:t>
      </w:r>
      <w:r>
        <w:rPr>
          <w:rFonts w:ascii="Times New Roman" w:cs="Times New Roman" w:eastAsia="Times New Roman" w:hAnsi="Times New Roman"/>
          <w:sz w:val="18"/>
          <w:szCs w:val="18"/>
          <w:b w:val="1"/>
          <w:bCs w:val="1"/>
          <w:i w:val="1"/>
          <w:iCs w:val="1"/>
          <w:color w:val="auto"/>
        </w:rPr>
        <w:t>Cadisegliatin (TTP399)</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U.S. Food and Drug Administration (FDA) granted Breakthrough Therapy designation in 2021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adjunctive therapy to insulin for the treatment of type 1 diabetes. The Breakthrough Therapy designation provides a sponsor with added support and the potential to expedite development and review timelines for a promising new investigational medicine. The Breakthrough Therapy designation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T1D was supported by the positive results from the Phase 2 SimpliciT-1 Study, a multi-center, randomized, double-blind, adaptive study assessing the safety and efficacy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an adjunct to insulin therapy in adults with T1D. In this trial, treatment with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resulted in a statistically significant improvement in HbA1c relative to placebo and a clinically meaningful decrease (40%) in the frequency of severe and symptomatic hypoglycemia.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demonstrated a favorable safety profile, in which abnormal levels of serum or urine ketones were detected less frequently in patients taking</w:t>
      </w:r>
      <w:r>
        <w:rPr>
          <w:rFonts w:ascii="Times New Roman" w:cs="Times New Roman" w:eastAsia="Times New Roman" w:hAnsi="Times New Roman"/>
          <w:sz w:val="18"/>
          <w:szCs w:val="18"/>
          <w:i w:val="1"/>
          <w:iCs w:val="1"/>
          <w:color w:val="auto"/>
        </w:rPr>
        <w:t xml:space="preserve"> cadisegliatin </w:t>
      </w:r>
      <w:r>
        <w:rPr>
          <w:rFonts w:ascii="Times New Roman" w:cs="Times New Roman" w:eastAsia="Times New Roman" w:hAnsi="Times New Roman"/>
          <w:sz w:val="18"/>
          <w:szCs w:val="18"/>
          <w:color w:val="auto"/>
        </w:rPr>
        <w:t>than those taking placebo.</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May of 2023, the FDA issued new draft guidance on "Diabetes Mellitus: Efficacy Endpoints for Clinical Trials Investigating Antidiabetic Drugs and Biological Products" which, for the first time, permitted the use of hypoglycemia as an endpoint to support a label claim. Consistent with this guidance and with input from the FDA, we have initiated a Phase 3 double-blind controlled trial to assess the effect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on reducing the frequency of Level 2 hypoglycemia (blood glucose levels are less than 54 mg/dL or 3 mmol/L, regardless of symptoms) and Level 3 hypoglycemia ("severe" hypoglycemia e.g., requiring assistance of another person) in 150 patients with type 1 diabetes. Participants in the trial will be randomized to two doses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or placebo. Reduction in glycated hemoglobin (HbA1c), a traditional efficacy endpoint in diabetes trials, is a key secondary endpoint to assess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potential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to reduce hyperglycemia, Following the initial assessment of efficacy after six months of treatment, participants will remain on trial for another six months to assess the durability of potential beneficial effects and safety. The study protocol was submitted to the FDA on February 29, 2024. The trial will be conducted in the U.S. only and is expected to complete enrollment by the fourth quarter in 2024 providing top line 1-year data by the first quarter in 2026.</w:t>
      </w:r>
    </w:p>
    <w:p>
      <w:pPr>
        <w:spacing w:after="0" w:line="8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Concurrently, we will be working on the design for two international registrational studies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in type 1 diabetes, which we expect to start in 2026.</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we continue to work with our partner, G42 Investments AI Holding RSC Ltd. (“G42”), to initiate a double-blind, randomized, controlled Phase 2 trial in the Middle East region in 450 insulin-using patients with type 2 diabetes. We expect that trial to begin in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drug sales. Our revenue has been primarily derived from milestone payments, up-front proceeds and research fees under collaboration and license agreements.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in connection with our clinical trials, and costs related to acquiring and manufacturing clinical trial materials. Our indirect research and development costs consist primarily of cash and share-based compensation costs, the cost of employee benefits and related overhead expenses for personnel in research and development functions. Since we typically use our employee and infrastructure resources across multiple research and development programs such costs are not allocated to the individual projects.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research and development expenses by project for the three months ended March 31, 2024 and 2023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02"/>
        </w:trPr>
        <w:tc>
          <w:tcPr>
            <w:tcW w:w="8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7"/>
                <w:szCs w:val="17"/>
                <w:color w:val="auto"/>
              </w:rPr>
            </w:pPr>
          </w:p>
        </w:tc>
      </w:tr>
      <w:tr>
        <w:trPr>
          <w:trHeight w:val="2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0"/>
        </w:trPr>
        <w:tc>
          <w:tcPr>
            <w:tcW w:w="8220" w:type="dxa"/>
            <w:vAlign w:val="bottom"/>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w:t>
            </w:r>
          </w:p>
        </w:tc>
        <w:tc>
          <w:tcPr>
            <w:tcW w:w="940" w:type="dxa"/>
            <w:vAlign w:val="bottom"/>
            <w:shd w:val="clear" w:color="auto" w:fill="EBFEFF"/>
          </w:tcPr>
          <w:p>
            <w:pPr>
              <w:spacing w:after="0"/>
              <w:rPr>
                <w:sz w:val="19"/>
                <w:szCs w:val="19"/>
                <w:color w:val="auto"/>
              </w:rPr>
            </w:pPr>
          </w:p>
        </w:tc>
        <w:tc>
          <w:tcPr>
            <w:tcW w:w="520" w:type="dxa"/>
            <w:vAlign w:val="bottom"/>
            <w:shd w:val="clear" w:color="auto" w:fill="EBFEFF"/>
          </w:tcPr>
          <w:p>
            <w:pPr>
              <w:spacing w:after="0"/>
              <w:rPr>
                <w:sz w:val="19"/>
                <w:szCs w:val="19"/>
                <w:color w:val="auto"/>
              </w:rPr>
            </w:pPr>
          </w:p>
        </w:tc>
        <w:tc>
          <w:tcPr>
            <w:tcW w:w="100" w:type="dxa"/>
            <w:vAlign w:val="bottom"/>
            <w:shd w:val="clear" w:color="auto" w:fill="EBFEFF"/>
          </w:tcPr>
          <w:p>
            <w:pPr>
              <w:spacing w:after="0"/>
              <w:rPr>
                <w:sz w:val="19"/>
                <w:szCs w:val="19"/>
                <w:color w:val="auto"/>
              </w:rPr>
            </w:pPr>
          </w:p>
        </w:tc>
        <w:tc>
          <w:tcPr>
            <w:tcW w:w="960" w:type="dxa"/>
            <w:vAlign w:val="bottom"/>
            <w:shd w:val="clear" w:color="auto" w:fill="EBFEFF"/>
          </w:tcPr>
          <w:p>
            <w:pPr>
              <w:spacing w:after="0"/>
              <w:rPr>
                <w:sz w:val="19"/>
                <w:szCs w:val="19"/>
                <w:color w:val="auto"/>
              </w:rPr>
            </w:pPr>
          </w:p>
        </w:tc>
        <w:tc>
          <w:tcPr>
            <w:tcW w:w="500" w:type="dxa"/>
            <w:vAlign w:val="bottom"/>
            <w:shd w:val="clear" w:color="auto" w:fill="EBF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Cadisegliatin</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3,056</w:t>
            </w:r>
          </w:p>
        </w:tc>
      </w:tr>
      <w:tr>
        <w:trPr>
          <w:trHeight w:val="230"/>
        </w:trPr>
        <w:tc>
          <w:tcPr>
            <w:tcW w:w="8220" w:type="dxa"/>
            <w:vAlign w:val="bottom"/>
            <w:shd w:val="clear" w:color="auto" w:fill="EBFEFF"/>
          </w:tcPr>
          <w:p>
            <w:pPr>
              <w:ind w:left="140"/>
              <w:spacing w:after="0"/>
              <w:rPr>
                <w:sz w:val="20"/>
                <w:szCs w:val="20"/>
                <w:color w:val="auto"/>
              </w:rPr>
            </w:pPr>
            <w:r>
              <w:rPr>
                <w:rFonts w:ascii="Times New Roman" w:cs="Times New Roman" w:eastAsia="Times New Roman" w:hAnsi="Times New Roman"/>
                <w:sz w:val="18"/>
                <w:szCs w:val="18"/>
                <w:i w:val="1"/>
                <w:iCs w:val="1"/>
                <w:color w:val="auto"/>
              </w:rPr>
              <w:t>HPP737</w:t>
            </w:r>
          </w:p>
        </w:tc>
        <w:tc>
          <w:tcPr>
            <w:tcW w:w="940" w:type="dxa"/>
            <w:vAlign w:val="bottom"/>
            <w:shd w:val="clear" w:color="auto" w:fill="EBFEFF"/>
          </w:tcPr>
          <w:p>
            <w:pPr>
              <w:spacing w:after="0"/>
              <w:rPr>
                <w:sz w:val="19"/>
                <w:szCs w:val="19"/>
                <w:color w:val="auto"/>
              </w:rPr>
            </w:pPr>
          </w:p>
        </w:tc>
        <w:tc>
          <w:tcPr>
            <w:tcW w:w="5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EBFEFF"/>
          </w:tcPr>
          <w:p>
            <w:pPr>
              <w:spacing w:after="0"/>
              <w:rPr>
                <w:sz w:val="19"/>
                <w:szCs w:val="19"/>
                <w:color w:val="auto"/>
              </w:rPr>
            </w:pPr>
          </w:p>
        </w:tc>
        <w:tc>
          <w:tcPr>
            <w:tcW w:w="960" w:type="dxa"/>
            <w:vAlign w:val="bottom"/>
            <w:shd w:val="clear" w:color="auto" w:fill="EBFEFF"/>
          </w:tcPr>
          <w:p>
            <w:pPr>
              <w:spacing w:after="0"/>
              <w:rPr>
                <w:sz w:val="19"/>
                <w:szCs w:val="19"/>
                <w:color w:val="auto"/>
              </w:rPr>
            </w:pPr>
          </w:p>
        </w:tc>
        <w:tc>
          <w:tcPr>
            <w:tcW w:w="50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projects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8220" w:type="dxa"/>
            <w:vAlign w:val="bottom"/>
            <w:shd w:val="clear" w:color="auto" w:fill="EBFEFF"/>
          </w:tcPr>
          <w:p>
            <w:pPr>
              <w:ind w:left="140"/>
              <w:spacing w:after="0"/>
              <w:rPr>
                <w:sz w:val="20"/>
                <w:szCs w:val="20"/>
                <w:color w:val="auto"/>
              </w:rPr>
            </w:pPr>
            <w:r>
              <w:rPr>
                <w:rFonts w:ascii="Times New Roman" w:cs="Times New Roman" w:eastAsia="Times New Roman" w:hAnsi="Times New Roman"/>
                <w:sz w:val="18"/>
                <w:szCs w:val="18"/>
                <w:color w:val="auto"/>
              </w:rPr>
              <w:t>Indirect research and development expense</w:t>
            </w:r>
          </w:p>
        </w:tc>
        <w:tc>
          <w:tcPr>
            <w:tcW w:w="940" w:type="dxa"/>
            <w:vAlign w:val="bottom"/>
            <w:tcBorders>
              <w:bottom w:val="single" w:sz="8" w:color="auto"/>
            </w:tcBorders>
            <w:shd w:val="clear" w:color="auto" w:fill="EBFEFF"/>
          </w:tcPr>
          <w:p>
            <w:pPr>
              <w:spacing w:after="0"/>
              <w:rPr>
                <w:sz w:val="19"/>
                <w:szCs w:val="19"/>
                <w:color w:val="auto"/>
              </w:rPr>
            </w:pPr>
          </w:p>
        </w:tc>
        <w:tc>
          <w:tcPr>
            <w:tcW w:w="5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EBFEFF"/>
          </w:tcPr>
          <w:p>
            <w:pPr>
              <w:spacing w:after="0"/>
              <w:rPr>
                <w:sz w:val="19"/>
                <w:szCs w:val="19"/>
                <w:color w:val="auto"/>
              </w:rPr>
            </w:pPr>
          </w:p>
        </w:tc>
        <w:tc>
          <w:tcPr>
            <w:tcW w:w="960" w:type="dxa"/>
            <w:vAlign w:val="bottom"/>
            <w:tcBorders>
              <w:bottom w:val="single" w:sz="8" w:color="auto"/>
            </w:tcBorders>
            <w:shd w:val="clear" w:color="auto" w:fill="EBFEFF"/>
          </w:tcPr>
          <w:p>
            <w:pPr>
              <w:spacing w:after="0"/>
              <w:rPr>
                <w:sz w:val="19"/>
                <w:szCs w:val="19"/>
                <w:color w:val="auto"/>
              </w:rPr>
            </w:pPr>
          </w:p>
        </w:tc>
        <w:tc>
          <w:tcPr>
            <w:tcW w:w="50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3,942</w:t>
            </w:r>
          </w:p>
        </w:tc>
      </w:tr>
      <w:tr>
        <w:trPr>
          <w:trHeight w:val="21"/>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We plan to continue to incur significant research and development expenses for the foreseeable future as we continue the development of </w:t>
      </w:r>
      <w:r>
        <w:rPr>
          <w:rFonts w:ascii="Times New Roman" w:cs="Times New Roman" w:eastAsia="Times New Roman" w:hAnsi="Times New Roman"/>
          <w:sz w:val="18"/>
          <w:szCs w:val="18"/>
          <w:i w:val="1"/>
          <w:iCs w:val="1"/>
          <w:color w:val="auto"/>
        </w:rPr>
        <w:t xml:space="preserve">cadisegliatin </w:t>
      </w:r>
      <w:r>
        <w:rPr>
          <w:rFonts w:ascii="Times New Roman" w:cs="Times New Roman" w:eastAsia="Times New Roman" w:hAnsi="Times New Roman"/>
          <w:sz w:val="18"/>
          <w:szCs w:val="18"/>
          <w:color w:val="auto"/>
        </w:rPr>
        <w:t>and further advance the development of our other drug candidates, subject to the availability of additional funding.</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these drug candidates may commence. This is due to the numerous risks and uncertainties associated with the development of our drug candidates, including:</w:t>
      </w:r>
    </w:p>
    <w:p>
      <w:pPr>
        <w:spacing w:after="0" w:line="54" w:lineRule="exact"/>
        <w:rPr>
          <w:sz w:val="20"/>
          <w:szCs w:val="20"/>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scope, rate of progress and expense of our ongoing, as well as any additional,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candidates over other therapies;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commercialize and achieve market acceptance for any of our drug candidates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sufficient capital and cash resources, including access to available debt and equity financing and revenues from operations, to satisfy all of our short-term and longer-term cash requirements and other cash needs, at the times and in the amounts needed;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and regulatory actions and changes in laws or regulations;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represents noncash interest income related to the imputed interest from the G42 Promissory Note receivable using the effective interest method, which ended in 2023, and cash interest income from dividends and interest from our money market account, all of which are recognized in our Condensed Consolidated Statement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 net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expense/income primarily consists of unrealized gains or losses attributable to the changes in fair value of the equity investments in Reneo Pharmaceuticals, Inc ("Reneo"), the recognition of changes in fair value of the warrants to purchase shares of our Class A common stock held by related parties and the loss from the G42 promissory note early redemption on February 28,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results of operations for the periods shown: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Pr>
          <w:p>
            <w:pPr>
              <w:spacing w:after="0"/>
              <w:rPr>
                <w:sz w:val="19"/>
                <w:szCs w:val="19"/>
                <w:color w:val="auto"/>
              </w:rPr>
            </w:pPr>
          </w:p>
        </w:tc>
        <w:tc>
          <w:tcPr>
            <w:tcW w:w="32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40" w:type="dxa"/>
            <w:vAlign w:val="bottom"/>
          </w:tcPr>
          <w:p>
            <w:pPr>
              <w:spacing w:after="0"/>
              <w:rPr>
                <w:sz w:val="19"/>
                <w:szCs w:val="19"/>
                <w:color w:val="auto"/>
              </w:rPr>
            </w:pPr>
          </w:p>
        </w:tc>
      </w:tr>
      <w:tr>
        <w:trPr>
          <w:trHeight w:val="238"/>
        </w:trPr>
        <w:tc>
          <w:tcPr>
            <w:tcW w:w="6680" w:type="dxa"/>
            <w:vAlign w:val="bottom"/>
            <w:tcBorders>
              <w:bottom w:val="single" w:sz="8" w:color="EBF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EBF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BF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23"/>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80" w:type="dxa"/>
            <w:vAlign w:val="bottom"/>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EBFEFF"/>
          </w:tcPr>
          <w:p>
            <w:pPr>
              <w:spacing w:after="0"/>
              <w:rPr>
                <w:sz w:val="19"/>
                <w:szCs w:val="19"/>
                <w:color w:val="auto"/>
              </w:rPr>
            </w:pP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4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(1,293)</w:t>
            </w:r>
          </w:p>
        </w:tc>
      </w:tr>
      <w:tr>
        <w:trPr>
          <w:trHeight w:val="229"/>
        </w:trPr>
        <w:tc>
          <w:tcPr>
            <w:tcW w:w="6680" w:type="dxa"/>
            <w:vAlign w:val="bottom"/>
            <w:tcBorders>
              <w:bottom w:val="single" w:sz="8" w:color="EBF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3,978</w:t>
            </w:r>
          </w:p>
        </w:tc>
        <w:tc>
          <w:tcPr>
            <w:tcW w:w="8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Borders>
              <w:bottom w:val="single" w:sz="8" w:color="EBF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6680" w:type="dxa"/>
            <w:vAlign w:val="bottom"/>
            <w:shd w:val="clear" w:color="auto" w:fill="EBF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shd w:val="clear" w:color="auto" w:fill="EBFEFF"/>
          </w:tcPr>
          <w:p>
            <w:pPr>
              <w:spacing w:after="0"/>
              <w:rPr>
                <w:sz w:val="19"/>
                <w:szCs w:val="19"/>
                <w:color w:val="auto"/>
              </w:rPr>
            </w:pPr>
          </w:p>
        </w:tc>
        <w:tc>
          <w:tcPr>
            <w:tcW w:w="420" w:type="dxa"/>
            <w:vAlign w:val="bottom"/>
            <w:tcBorders>
              <w:bottom w:val="single" w:sz="8" w:color="auto"/>
            </w:tcBorders>
            <w:shd w:val="clear" w:color="auto" w:fill="EBFEFF"/>
          </w:tcPr>
          <w:p>
            <w:pPr>
              <w:spacing w:after="0"/>
              <w:rPr>
                <w:sz w:val="19"/>
                <w:szCs w:val="19"/>
                <w:color w:val="auto"/>
              </w:rPr>
            </w:pPr>
          </w:p>
        </w:tc>
        <w:tc>
          <w:tcPr>
            <w:tcW w:w="104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(800)</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EBFEFF"/>
          </w:tcPr>
          <w:p>
            <w:pPr>
              <w:spacing w:after="0"/>
              <w:rPr>
                <w:sz w:val="19"/>
                <w:szCs w:val="19"/>
                <w:color w:val="auto"/>
              </w:rPr>
            </w:pP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12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EBFEFF"/>
          </w:tcPr>
          <w:p>
            <w:pPr>
              <w:spacing w:after="0"/>
              <w:rPr>
                <w:sz w:val="19"/>
                <w:szCs w:val="19"/>
                <w:color w:val="auto"/>
              </w:rPr>
            </w:pPr>
          </w:p>
        </w:tc>
        <w:tc>
          <w:tcPr>
            <w:tcW w:w="420" w:type="dxa"/>
            <w:vAlign w:val="bottom"/>
            <w:shd w:val="clear" w:color="auto" w:fill="EBFEFF"/>
          </w:tcPr>
          <w:p>
            <w:pPr>
              <w:spacing w:after="0"/>
              <w:rPr>
                <w:sz w:val="19"/>
                <w:szCs w:val="19"/>
                <w:color w:val="auto"/>
              </w:rPr>
            </w:pPr>
          </w:p>
        </w:tc>
        <w:tc>
          <w:tcPr>
            <w:tcW w:w="104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shd w:val="clear" w:color="auto" w:fill="EBFEFF"/>
          </w:tcPr>
          <w:p>
            <w:pPr>
              <w:spacing w:after="0"/>
              <w:rPr>
                <w:sz w:val="19"/>
                <w:szCs w:val="19"/>
                <w:color w:val="auto"/>
              </w:rPr>
            </w:pPr>
          </w:p>
        </w:tc>
        <w:tc>
          <w:tcPr>
            <w:tcW w:w="420" w:type="dxa"/>
            <w:vAlign w:val="bottom"/>
            <w:tcBorders>
              <w:bottom w:val="single" w:sz="8" w:color="auto"/>
            </w:tcBorders>
            <w:shd w:val="clear" w:color="auto" w:fill="EBFEFF"/>
          </w:tcPr>
          <w:p>
            <w:pPr>
              <w:spacing w:after="0"/>
              <w:rPr>
                <w:sz w:val="19"/>
                <w:szCs w:val="19"/>
                <w:color w:val="auto"/>
              </w:rPr>
            </w:pPr>
          </w:p>
        </w:tc>
        <w:tc>
          <w:tcPr>
            <w:tcW w:w="104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(1,924)</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income taxes and noncontrolling interest</w:t>
            </w:r>
          </w:p>
        </w:tc>
        <w:tc>
          <w:tcPr>
            <w:tcW w:w="3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EBFEFF"/>
          </w:tcPr>
          <w:p>
            <w:pPr>
              <w:spacing w:after="0"/>
              <w:rPr>
                <w:sz w:val="19"/>
                <w:szCs w:val="19"/>
                <w:color w:val="auto"/>
              </w:rPr>
            </w:pPr>
          </w:p>
        </w:tc>
        <w:tc>
          <w:tcPr>
            <w:tcW w:w="1140" w:type="dxa"/>
            <w:vAlign w:val="bottom"/>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EBFEFF"/>
          </w:tcPr>
          <w:p>
            <w:pPr>
              <w:spacing w:after="0"/>
              <w:rPr>
                <w:sz w:val="19"/>
                <w:szCs w:val="19"/>
                <w:color w:val="auto"/>
              </w:rPr>
            </w:pPr>
          </w:p>
        </w:tc>
        <w:tc>
          <w:tcPr>
            <w:tcW w:w="340" w:type="dxa"/>
            <w:vAlign w:val="bottom"/>
            <w:shd w:val="clear" w:color="auto" w:fill="EBFEFF"/>
          </w:tcPr>
          <w:p>
            <w:pPr>
              <w:spacing w:after="0"/>
              <w:rPr>
                <w:sz w:val="19"/>
                <w:szCs w:val="19"/>
                <w:color w:val="auto"/>
              </w:rPr>
            </w:pPr>
          </w:p>
        </w:tc>
        <w:tc>
          <w:tcPr>
            <w:tcW w:w="1220" w:type="dxa"/>
            <w:vAlign w:val="bottom"/>
            <w:gridSpan w:val="2"/>
            <w:shd w:val="clear" w:color="auto" w:fill="EBF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BFEFF"/>
          </w:tcPr>
          <w:p>
            <w:pPr>
              <w:spacing w:after="0"/>
              <w:rPr>
                <w:sz w:val="19"/>
                <w:szCs w:val="19"/>
                <w:color w:val="auto"/>
              </w:rPr>
            </w:pPr>
          </w:p>
        </w:tc>
        <w:tc>
          <w:tcPr>
            <w:tcW w:w="1040" w:type="dxa"/>
            <w:vAlign w:val="bottom"/>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(6,019)</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6680" w:type="dxa"/>
            <w:vAlign w:val="bottom"/>
            <w:shd w:val="clear" w:color="auto" w:fill="EBFEFF"/>
          </w:tcPr>
          <w:p>
            <w:pPr>
              <w:ind w:left="24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auto"/>
            </w:tcBorders>
            <w:shd w:val="clear" w:color="auto" w:fill="EBFEFF"/>
          </w:tcPr>
          <w:p>
            <w:pPr>
              <w:spacing w:after="0"/>
              <w:rPr>
                <w:sz w:val="19"/>
                <w:szCs w:val="19"/>
                <w:color w:val="auto"/>
              </w:rPr>
            </w:pPr>
          </w:p>
        </w:tc>
        <w:tc>
          <w:tcPr>
            <w:tcW w:w="1140" w:type="dxa"/>
            <w:vAlign w:val="bottom"/>
            <w:tcBorders>
              <w:bottom w:val="single" w:sz="8" w:color="auto"/>
            </w:tcBorders>
            <w:shd w:val="clear" w:color="auto" w:fill="EBFEFF"/>
          </w:tcPr>
          <w:p>
            <w:pPr>
              <w:jc w:val="right"/>
              <w:ind w:right="50"/>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shd w:val="clear" w:color="auto" w:fill="EBFEFF"/>
          </w:tcPr>
          <w:p>
            <w:pPr>
              <w:spacing w:after="0"/>
              <w:rPr>
                <w:sz w:val="19"/>
                <w:szCs w:val="19"/>
                <w:color w:val="auto"/>
              </w:rPr>
            </w:pPr>
          </w:p>
        </w:tc>
        <w:tc>
          <w:tcPr>
            <w:tcW w:w="340" w:type="dxa"/>
            <w:vAlign w:val="bottom"/>
            <w:tcBorders>
              <w:bottom w:val="single" w:sz="8" w:color="auto"/>
            </w:tcBorders>
            <w:shd w:val="clear" w:color="auto" w:fill="EBFEFF"/>
          </w:tcPr>
          <w:p>
            <w:pPr>
              <w:spacing w:after="0"/>
              <w:rPr>
                <w:sz w:val="19"/>
                <w:szCs w:val="19"/>
                <w:color w:val="auto"/>
              </w:rPr>
            </w:pPr>
          </w:p>
        </w:tc>
        <w:tc>
          <w:tcPr>
            <w:tcW w:w="112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EBFEFF"/>
          </w:tcPr>
          <w:p>
            <w:pPr>
              <w:spacing w:after="0"/>
              <w:rPr>
                <w:sz w:val="19"/>
                <w:szCs w:val="19"/>
                <w:color w:val="auto"/>
              </w:rPr>
            </w:pPr>
          </w:p>
        </w:tc>
        <w:tc>
          <w:tcPr>
            <w:tcW w:w="420" w:type="dxa"/>
            <w:vAlign w:val="bottom"/>
            <w:tcBorders>
              <w:bottom w:val="single" w:sz="8" w:color="auto"/>
            </w:tcBorders>
            <w:shd w:val="clear" w:color="auto" w:fill="EBFEFF"/>
          </w:tcPr>
          <w:p>
            <w:pPr>
              <w:spacing w:after="0"/>
              <w:rPr>
                <w:sz w:val="19"/>
                <w:szCs w:val="19"/>
                <w:color w:val="auto"/>
              </w:rPr>
            </w:pPr>
          </w:p>
        </w:tc>
        <w:tc>
          <w:tcPr>
            <w:tcW w:w="1040" w:type="dxa"/>
            <w:vAlign w:val="bottom"/>
            <w:tcBorders>
              <w:bottom w:val="single" w:sz="8" w:color="auto"/>
            </w:tcBorders>
            <w:shd w:val="clear" w:color="auto" w:fill="EBF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vTv Therapeutics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(4,865)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r>
      <w:tr>
        <w:trPr>
          <w:trHeight w:val="21"/>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2024, includes a $1.0 million increase to the transaction price for the license performance obligation under the Newsoara License Agreement due to the satisfaction of a development milestones. There was no revenue for the three months ended March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Research and development expenses were $2.6 million and $3.9 million for the three months ended March 31, 2024 and 2023, respectively. The decrease in research and development expenses during this period of $1.3 million or 32.8%, was primarily driven by i) lower spending on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of $1.5 million, due to decreases in toxicity study costs and drug manufacturing related costs partially offset by increases in clinical trial start-up costs, and ii) an increase in indirect costs and other projects of $0.2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r>
        <w:rPr>
          <w:rFonts w:ascii="Times New Roman" w:cs="Times New Roman" w:eastAsia="Times New Roman" w:hAnsi="Times New Roman"/>
          <w:sz w:val="18"/>
          <w:szCs w:val="18"/>
          <w:i w:val="1"/>
          <w:iCs w:val="1"/>
          <w:color w:val="auto"/>
        </w:rPr>
        <w: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$4.0 million and $3.5 million for the three months ended March 31, 2024 and 2023, respectively. The increase in general and administrative expenses during this period of $0.5 million, or 14.1%, was primarily driven by i) increases of $0.8 million in payroll related costs, ii) increases of $0.3 million in legal expenses, partially offset by iii) decreases of $0.5 million in other general and administrative costs, and iv) decreases of $0.1 million in share-based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2024, of $0.1 million, is related to dividend income from our money market account. Interest income for the three months ended March 31, 2023, of $0.1 million, is related to imputed interest on the promissory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 Net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expense was $0.4 million for the three months ended March 31, 2024, and was driven by losses related to the change in the fair value of the outstanding warrants to purchase shares of our own stock issued to related parties (“Related Party Warrants”). Other income was $1.6 million for the three months ended March 31, 2023, and was driven by an unrealized gain related to our investment in Reneo, losses related to the change in the fair value of the outstanding warrants to purchase shares of our stock issued to related parties and the loss from the G42 promissory note early redemption.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2024, we had an accumulated deficit of $286.1 million. Since our inception, we have experienced a history of negative cash flows from operating activities. We anticipate that we will continue to incur losses and negative cash flow from operations for the foreseeable future as we continue our clinical trials. Further, we expect that we will need additional capital to continue to fund our operations. As of March 31, 2024, we had cash and cash equivalents of $52.3 million.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On February 27, 2024, the Company closed a private placement financing of up to $51.0 million and additionally granting investors the right to purchase up to an additional $30.0 million of common stock 18 months following the closing of the private placement financing. The financing raised will allow the Company to further advance its lead program for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additional financing are not yet known.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TD Cowen Sales Agreement</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28, 2024, we entered into a sales agreement (the "TD Cowen Sales Agreement") with Cowen and Company, LLC (“TD Cowen”) pursuant to which we may offer and sell, from time to time, through or to TD Cowen, as sales agent or principal, shares of our Class A common stock having an aggregate offering price of up to $50.0 million, although we may only offer and sell under the TD Cowen ATM Offering up to one-third of the aggregate market value of our Class A common stock held by non-affiliates during any 12 calendar month period pursuant to General Instruction I.B.6 of Form S-3. We are not obligated to sell any shares under the TD Cowen Sales Agreement. Under the terms of the TD Cowen Sales Agreement, we will pay TD Cowen a commission of 3% of the aggregate proceeds from the sale of shares and reimburse certain legal fees or other disbursements.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020" w:type="dxa"/>
            <w:vAlign w:val="bottom"/>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
        </w:trPr>
        <w:tc>
          <w:tcPr>
            <w:tcW w:w="8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020" w:type="dxa"/>
            <w:vAlign w:val="bottom"/>
            <w:shd w:val="clear" w:color="auto" w:fill="EBF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EBF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BFEFF"/>
          </w:tcPr>
          <w:p>
            <w:pPr>
              <w:ind w:left="40"/>
              <w:spacing w:after="0"/>
              <w:rPr>
                <w:sz w:val="20"/>
                <w:szCs w:val="20"/>
                <w:color w:val="auto"/>
              </w:rPr>
            </w:pPr>
            <w:r>
              <w:rPr>
                <w:rFonts w:ascii="Times New Roman" w:cs="Times New Roman" w:eastAsia="Times New Roman" w:hAnsi="Times New Roman"/>
                <w:sz w:val="18"/>
                <w:szCs w:val="18"/>
                <w:color w:val="auto"/>
                <w:w w:val="98"/>
              </w:rPr>
              <w:t>(7,335)</w:t>
            </w:r>
          </w:p>
        </w:tc>
        <w:tc>
          <w:tcPr>
            <w:tcW w:w="100" w:type="dxa"/>
            <w:vAlign w:val="bottom"/>
            <w:shd w:val="clear" w:color="auto" w:fill="EBFEFF"/>
          </w:tcPr>
          <w:p>
            <w:pPr>
              <w:spacing w:after="0"/>
              <w:rPr>
                <w:sz w:val="19"/>
                <w:szCs w:val="19"/>
                <w:color w:val="auto"/>
              </w:rPr>
            </w:pPr>
          </w:p>
        </w:tc>
        <w:tc>
          <w:tcPr>
            <w:tcW w:w="340" w:type="dxa"/>
            <w:vAlign w:val="bottom"/>
            <w:shd w:val="clear" w:color="auto" w:fill="EBF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(5,166)</w:t>
            </w:r>
          </w:p>
        </w:tc>
      </w:tr>
      <w:tr>
        <w:trPr>
          <w:trHeight w:val="229"/>
        </w:trPr>
        <w:tc>
          <w:tcPr>
            <w:tcW w:w="8020" w:type="dxa"/>
            <w:vAlign w:val="bottom"/>
            <w:tcBorders>
              <w:bottom w:val="single" w:sz="8" w:color="EBF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tcBorders>
              <w:bottom w:val="single" w:sz="8" w:color="EBF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11,806</w:t>
            </w:r>
          </w:p>
        </w:tc>
      </w:tr>
      <w:tr>
        <w:trPr>
          <w:trHeight w:val="248"/>
        </w:trPr>
        <w:tc>
          <w:tcPr>
            <w:tcW w:w="8020" w:type="dxa"/>
            <w:vAlign w:val="bottom"/>
            <w:tcBorders>
              <w:bottom w:val="single" w:sz="8" w:color="EBFEFF"/>
            </w:tcBorders>
            <w:shd w:val="clear" w:color="auto" w:fill="EBFEFF"/>
          </w:tcPr>
          <w:p>
            <w:pPr>
              <w:ind w:left="3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80" w:type="dxa"/>
            <w:vAlign w:val="bottom"/>
            <w:tcBorders>
              <w:bottom w:val="single" w:sz="8" w:color="auto"/>
            </w:tcBorders>
            <w:shd w:val="clear" w:color="auto" w:fill="EBF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EBFEFF"/>
          </w:tcPr>
          <w:p>
            <w:pPr>
              <w:ind w:left="20"/>
              <w:spacing w:after="0"/>
              <w:rPr>
                <w:sz w:val="20"/>
                <w:szCs w:val="20"/>
                <w:color w:val="auto"/>
              </w:rPr>
            </w:pPr>
            <w:r>
              <w:rPr>
                <w:rFonts w:ascii="Times New Roman" w:cs="Times New Roman" w:eastAsia="Times New Roman" w:hAnsi="Times New Roman"/>
                <w:sz w:val="18"/>
                <w:szCs w:val="18"/>
                <w:color w:val="auto"/>
              </w:rPr>
              <w:t>42,809</w:t>
            </w:r>
          </w:p>
        </w:tc>
        <w:tc>
          <w:tcPr>
            <w:tcW w:w="100" w:type="dxa"/>
            <w:vAlign w:val="bottom"/>
            <w:tcBorders>
              <w:bottom w:val="single" w:sz="8" w:color="EBFEFF"/>
            </w:tcBorders>
            <w:shd w:val="clear" w:color="auto" w:fill="EBFEFF"/>
          </w:tcPr>
          <w:p>
            <w:pPr>
              <w:spacing w:after="0"/>
              <w:rPr>
                <w:sz w:val="21"/>
                <w:szCs w:val="21"/>
                <w:color w:val="auto"/>
              </w:rPr>
            </w:pPr>
          </w:p>
        </w:tc>
        <w:tc>
          <w:tcPr>
            <w:tcW w:w="340" w:type="dxa"/>
            <w:vAlign w:val="bottom"/>
            <w:tcBorders>
              <w:bottom w:val="single" w:sz="8" w:color="auto"/>
            </w:tcBorders>
            <w:shd w:val="clear" w:color="auto" w:fill="EBF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BF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0"/>
        </w:trPr>
        <w:tc>
          <w:tcPr>
            <w:tcW w:w="8020" w:type="dxa"/>
            <w:vAlign w:val="bottom"/>
            <w:tcBorders>
              <w:top w:val="single" w:sz="8" w:color="EBFEFF"/>
            </w:tcBorders>
          </w:tcPr>
          <w:p>
            <w:pPr>
              <w:spacing w:after="0" w:line="20" w:lineRule="exact"/>
              <w:rPr>
                <w:sz w:val="1"/>
                <w:szCs w:val="1"/>
                <w:color w:val="auto"/>
              </w:rPr>
            </w:pPr>
          </w:p>
        </w:tc>
        <w:tc>
          <w:tcPr>
            <w:tcW w:w="880" w:type="dxa"/>
            <w:vAlign w:val="bottom"/>
            <w:tcBorders>
              <w:top w:val="single" w:sz="8" w:color="EBFEFF"/>
              <w:bottom w:val="single" w:sz="8" w:color="auto"/>
            </w:tcBorders>
          </w:tcPr>
          <w:p>
            <w:pPr>
              <w:spacing w:after="0" w:line="20" w:lineRule="exact"/>
              <w:rPr>
                <w:sz w:val="1"/>
                <w:szCs w:val="1"/>
                <w:color w:val="auto"/>
              </w:rPr>
            </w:pPr>
          </w:p>
        </w:tc>
        <w:tc>
          <w:tcPr>
            <w:tcW w:w="580" w:type="dxa"/>
            <w:vAlign w:val="bottom"/>
            <w:tcBorders>
              <w:top w:val="single" w:sz="8" w:color="EBFEFF"/>
              <w:bottom w:val="single" w:sz="8" w:color="auto"/>
            </w:tcBorders>
          </w:tcPr>
          <w:p>
            <w:pPr>
              <w:spacing w:after="0" w:line="20" w:lineRule="exact"/>
              <w:rPr>
                <w:sz w:val="1"/>
                <w:szCs w:val="1"/>
                <w:color w:val="auto"/>
              </w:rPr>
            </w:pPr>
          </w:p>
        </w:tc>
        <w:tc>
          <w:tcPr>
            <w:tcW w:w="100" w:type="dxa"/>
            <w:vAlign w:val="bottom"/>
            <w:tcBorders>
              <w:top w:val="single" w:sz="8" w:color="EBFEFF"/>
            </w:tcBorders>
          </w:tcPr>
          <w:p>
            <w:pPr>
              <w:spacing w:after="0" w:line="20" w:lineRule="exact"/>
              <w:rPr>
                <w:sz w:val="1"/>
                <w:szCs w:val="1"/>
                <w:color w:val="auto"/>
              </w:rPr>
            </w:pPr>
          </w:p>
        </w:tc>
        <w:tc>
          <w:tcPr>
            <w:tcW w:w="340" w:type="dxa"/>
            <w:vAlign w:val="bottom"/>
            <w:tcBorders>
              <w:top w:val="single" w:sz="8" w:color="EBFEFF"/>
              <w:bottom w:val="single" w:sz="8" w:color="auto"/>
            </w:tcBorders>
          </w:tcPr>
          <w:p>
            <w:pPr>
              <w:spacing w:after="0" w:line="20" w:lineRule="exact"/>
              <w:rPr>
                <w:sz w:val="1"/>
                <w:szCs w:val="1"/>
                <w:color w:val="auto"/>
              </w:rPr>
            </w:pPr>
          </w:p>
        </w:tc>
        <w:tc>
          <w:tcPr>
            <w:tcW w:w="1120" w:type="dxa"/>
            <w:vAlign w:val="bottom"/>
            <w:tcBorders>
              <w:top w:val="single" w:sz="8" w:color="EBF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our net cash used in operating activities increased by $2.2 million from the three months ended March 31, 2023. The significant contributor to the change in cash used during the year was working capital changes.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cash flows from investing activities for the three months ended March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was driven by sales of our Class A common stock and proceeds from pre-funded warrants of $51.0 million from the Private Placement financing. For the three months ended March 31, 2023, net cash provided by financing activities was driven by the receipt of proceeds of $12.0 million from the G42 promissory note early redemption.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current cash and cash equivalents will allow us to meet our liquidity requirements for at least the next twelve months. We plan to finance our operations into the first quarter of 2026 through the use of our cash and cash equivalents and based on current operating plans, we are evaluating several financing strategies to fund the ongoing and future clinical trials of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including direct equity investments and the potential licensing and monetization of other Company programs. The timing of any such transactions is not certain, and we may not be able to complete such transactions on acceptable terms, or at all. Even if we are able to complete such transactions, they may contain restrictions on our operations or cause substantial dilution to our stockholders.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 Additionally, we may rely on our ability to sell shares of our Class A common stock pursuant to the ATM Offering. However, the ability to use this source of capital is dependent on a number of factors, including the prevailing market price of and the volume of trading in the Company’s Class A common stock.</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56" w:lineRule="exact"/>
        <w:rPr>
          <w:sz w:val="20"/>
          <w:szCs w:val="20"/>
          <w:color w:val="auto"/>
        </w:rPr>
      </w:pPr>
    </w:p>
    <w:p>
      <w:pPr>
        <w:ind w:left="980" w:right="20" w:hanging="486"/>
        <w:spacing w:after="0" w:line="236" w:lineRule="auto"/>
        <w:tabs>
          <w:tab w:leader="none" w:pos="975"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 xml:space="preserve">the progress, costs, results and timing of our planned trials to evaluate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 xml:space="preserve"> as a potential adjunctive therapy for the treatment of type 1 diabetes;</w:t>
      </w:r>
    </w:p>
    <w:p>
      <w:pPr>
        <w:spacing w:after="0" w:line="89" w:lineRule="exact"/>
        <w:rPr>
          <w:rFonts w:ascii="Arial" w:cs="Arial" w:eastAsia="Arial" w:hAnsi="Arial"/>
          <w:sz w:val="22"/>
          <w:szCs w:val="22"/>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FDA to rely upon our completed and planned clinical and preclinical studies and other work, as the basis for review and approval of our drug candidates;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maintain control over our costs in line with our budget to complete the Phase 3 clinical trial for our lead product candidate, </w:t>
      </w:r>
      <w:r>
        <w:rPr>
          <w:rFonts w:ascii="Times New Roman" w:cs="Times New Roman" w:eastAsia="Times New Roman" w:hAnsi="Times New Roman"/>
          <w:sz w:val="18"/>
          <w:szCs w:val="18"/>
          <w:i w:val="1"/>
          <w:iCs w:val="1"/>
          <w:color w:val="auto"/>
        </w:rPr>
        <w:t>cadisegliatin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candidates that we pursue, including our drug candidates in preclinical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drug candidates to progress through clinical development successfully;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establishing and maintaining commercialization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products, drug candidates and technologies;</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and success of our existing licensing arrangements and any collaboration, licensing or other arrangements into which we may enter in the future;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payments we are required to make to M&amp;F TTP Holdings Two LLC in the future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2024, we did not have outstanding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Critical Accounting Policies and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estimates, please refer to Part II, Item 7. “Management’s Discussion and Analysis of Financial Condition and Results of Operations” in our Annual Report on Form 10-K for the year ended December 31, 2023. There have been no material changes to our critical accounting policies and estimates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includes certain forward-looking statements within the meaning of the federal securities laws regarding, among other things, our management’s intentions, plans, beliefs, expectations, or predictions of future events, which are considered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“anticipates,” “believes,” “could,” “seeks,” “estimates,” “expects,” “intends,” “may,” “plans,” “potential,” “predicts,” “projects,” “should,” “will,” “would” or similar expressions and the negatives of those terms.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See discussion of recent accounting pronouncements in Note 2, “Summary of Significant Accounting Policies”, to the Condensed Consolidated Financial Statements in this Form 10-Q.</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currently have any material interest rate exposure.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cash and cash equivalents with multiple financial institutions that management believes to be of high credit quality.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(our Principal Executive Officer) and Chief Financial Officer (our Principal Financial Officer), management has evaluated the effectiveness of the design and operation of our disclosure controls and procedures (as defined in Rules 13a-15(e) or 15d-15(e) of the Securities Exchange Act of 1934) as of March 31, 2024. Based upon that evaluation, our Chief Executive Officer and Chief Financial Officer concluded that, as of March 31, 2024,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pursuant to SEC disclosure obligations.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risk factors are set forth under the heading “Risk Factors” under Item 1A of Part I in our Annual Report on Form 10-K for the year ended December 31, 2023. There have been no material changes to our risk factors from those previously disclosed in our Annual Report on Form 10-K for the year ended December 31, 2023.</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27, 2024, we entered into a securities purchase agreement (the “Securities Purchase Agreement”) with certain institutional accredited investors (the “Private Placement Investors”), pursuant to which we agreed to issue and sell to the Private Placement Investors in a private placement (the “Private Placement”) (i) an aggregate of 464,377 shares (the “Private Placement Shares”) of our Class A common stock, at a purchase price of $11.81 per share, and (ii) pre-funded warrants (the “Private Placement Pre-Funded Warrants”) to purchase up to an aggregate of 3,853,997 shares of our Class A common stock (the “Private Placement Warrant Shares”) at a purchase price of $11.80 per Private Placement Pre-Funded Warrant (representing the $11.81 per Private Placement Share purchase price less the exercise price of $0.01 per Private Placement Warrant Share). We received aggregate gross proceeds from the Private Placement of approximately $51.0 million, before deducting offering expenses payable by us. The Private Placement Pre-Funded Warrants are exercisable at any time after their original issuance and will not expire.</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March 5, 2024, the Company entered into a letter agreement with the Private Placement Investors pursuant to which the Private Placement Investors agreed to exchange an aggregate of 116,493 Private Placement Shares for an aggregate of 116,590 Private Placement Pre-Funded Warrants.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Private Placement Shares and the Private Placement Pre-Funded Warrants were issued pursuant to the exemption from registration contained in Section 4(a)(2) of the Securities Act.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first fiscal quarter ended March 31, 2024, none of our directors or executive officers adopted or terminated any contract, instruction or written plan for the purchase or sale of our securities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1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72"/>
        </w:trPr>
        <w:tc>
          <w:tcPr>
            <w:tcW w:w="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520" w:type="dxa"/>
            <w:vAlign w:val="bottom"/>
            <w:gridSpan w:val="7"/>
            <w:vMerge w:val="restart"/>
          </w:tcPr>
          <w:p>
            <w:pPr>
              <w:ind w:left="23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752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required by Rule 13a-14(a)/15d-14(a) under the Securities Exchange Act of</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1934, as 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7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4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460" w:hanging="1434"/>
        <w:spacing w:after="0"/>
        <w:tabs>
          <w:tab w:leader="none" w:pos="14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29"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58"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VTV THERAPEUTICS INC.</w:t>
      </w:r>
    </w:p>
    <w:p>
      <w:pPr>
        <w:spacing w:after="0" w:line="27"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88" w:lineRule="exact"/>
        <w:rPr>
          <w:sz w:val="20"/>
          <w:szCs w:val="20"/>
          <w:color w:val="auto"/>
        </w:rPr>
      </w:pPr>
    </w:p>
    <w:p>
      <w:pPr>
        <w:ind w:left="6580"/>
        <w:spacing w:after="0"/>
        <w:tabs>
          <w:tab w:leader="none" w:pos="702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17145</wp:posOffset>
            </wp:positionV>
            <wp:extent cx="25546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J. Sekhri, certify that:</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35"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Tuch, certify that:</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vTv Therapeutics Inc. (the “registrant”);</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82" w:lineRule="auto"/>
        <w:tabs>
          <w:tab w:leader="none" w:pos="14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43"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Steven Tuch</w:t>
      </w:r>
    </w:p>
    <w:p>
      <w:pPr>
        <w:spacing w:after="0" w:line="5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3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March 31, 2024, as filed with the Securities and Exchange Commission on the date hereof (the “Report”), I, Paul J. Sekhri,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71"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Paul J. Sekhri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0"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Paul J. Sekhri</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03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vTv Therapeutics Inc. (the “Company”) on Form 10-Q for the period ended March 31, 2024, as filed with the Securities and Exchange Commission on the date hereof (the “Report”), I, Steven Tuch, certify, pursuant to 18 U.S.C. Section 1350, as adopted pursuant to Section 906 of the Sarbanes-Oxley Act of 2002, in my capacity as an officer of the Company that, to my knowledge:</w:t>
      </w:r>
    </w:p>
    <w:p>
      <w:pPr>
        <w:spacing w:after="0" w:line="68"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2024</w:t>
      </w:r>
    </w:p>
    <w:p>
      <w:pPr>
        <w:spacing w:after="0" w:line="158" w:lineRule="exact"/>
        <w:rPr>
          <w:sz w:val="20"/>
          <w:szCs w:val="20"/>
          <w:color w:val="auto"/>
        </w:rPr>
      </w:pPr>
    </w:p>
    <w:p>
      <w:pPr>
        <w:ind w:left="6920"/>
        <w:spacing w:after="0"/>
        <w:tabs>
          <w:tab w:leader="none" w:pos="7360" w:val="left"/>
        </w:tabs>
        <w:rPr>
          <w:sz w:val="20"/>
          <w:szCs w:val="20"/>
          <w:color w:val="auto"/>
        </w:rPr>
      </w:pPr>
      <w:r>
        <w:rPr>
          <w:rFonts w:ascii="Times New Roman" w:cs="Times New Roman" w:eastAsia="Times New Roman" w:hAnsi="Times New Roman"/>
          <w:sz w:val="18"/>
          <w:szCs w:val="18"/>
          <w:color w:val="auto"/>
        </w:rPr>
        <w:t>By:</w:t>
        <w:tab/>
        <w:t>/s/ Steven 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17145</wp:posOffset>
            </wp:positionV>
            <wp:extent cx="2459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Steven Tuch</w:t>
      </w:r>
    </w:p>
    <w:p>
      <w:pPr>
        <w:spacing w:after="0" w:line="2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2024-05-09T16:07:18Z</dcterms:created>
  <dcterms:modified xsi:type="dcterms:W3CDTF">2024-05-09T16:07:18Z</dcterms:modified>
</cp:coreProperties>
</file>